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DD0" w:rsidRPr="00EB040E" w:rsidRDefault="001F1DD0" w:rsidP="00EB040E">
      <w:pPr>
        <w:pStyle w:val="Heading1"/>
      </w:pPr>
      <w:bookmarkStart w:id="0" w:name="begin"/>
      <w:bookmarkStart w:id="1" w:name="ChapterNumber"/>
      <w:bookmarkStart w:id="2" w:name="_Toc429670683"/>
      <w:bookmarkStart w:id="3" w:name="_Toc429672509"/>
      <w:bookmarkStart w:id="4" w:name="_Toc432092253"/>
      <w:bookmarkStart w:id="5" w:name="_GoBack"/>
      <w:bookmarkEnd w:id="0"/>
      <w:bookmarkEnd w:id="5"/>
      <w:r w:rsidRPr="00EB040E">
        <w:t>12</w:t>
      </w:r>
      <w:bookmarkEnd w:id="1"/>
      <w:r w:rsidRPr="00EB040E">
        <w:tab/>
      </w:r>
      <w:bookmarkStart w:id="6" w:name="ChapterTitle"/>
      <w:r w:rsidRPr="00EB040E">
        <w:t>Mental health management</w:t>
      </w:r>
      <w:bookmarkEnd w:id="6"/>
      <w:bookmarkEnd w:id="2"/>
      <w:bookmarkEnd w:id="3"/>
      <w:bookmarkEnd w:id="4"/>
    </w:p>
    <w:p w:rsidR="00974092" w:rsidRDefault="00D95E5E" w:rsidP="00325922">
      <w:pPr>
        <w:pStyle w:val="Heading4"/>
        <w:rPr>
          <w:noProof/>
        </w:rPr>
      </w:pPr>
      <w:r w:rsidRPr="00EB040E">
        <w:t>CONTENTS</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Profile of mental health management</w:t>
      </w:r>
      <w:r>
        <w:rPr>
          <w:noProof/>
        </w:rPr>
        <w:tab/>
        <w:t>12.</w:t>
      </w:r>
      <w:r w:rsidR="00833D26">
        <w:rPr>
          <w:noProof/>
        </w:rPr>
        <w:t>2</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Framework of performance indicators</w:t>
      </w:r>
      <w:r>
        <w:rPr>
          <w:noProof/>
        </w:rPr>
        <w:tab/>
        <w:t>12.</w:t>
      </w:r>
      <w:r w:rsidR="00833D26">
        <w:rPr>
          <w:noProof/>
        </w:rPr>
        <w:t>11</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Key performance indicator results</w:t>
      </w:r>
      <w:r>
        <w:rPr>
          <w:noProof/>
        </w:rPr>
        <w:tab/>
        <w:t>12.</w:t>
      </w:r>
      <w:r w:rsidR="00833D26">
        <w:rPr>
          <w:noProof/>
        </w:rPr>
        <w:t>14</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12.</w:t>
      </w:r>
      <w:r w:rsidR="00833D26">
        <w:rPr>
          <w:noProof/>
        </w:rPr>
        <w:t>53</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12.5</w:t>
      </w:r>
      <w:r>
        <w:rPr>
          <w:rFonts w:asciiTheme="minorHAnsi" w:eastAsiaTheme="minorEastAsia" w:hAnsiTheme="minorHAnsi" w:cstheme="minorBidi"/>
          <w:noProof/>
          <w:sz w:val="22"/>
          <w:szCs w:val="22"/>
          <w:lang w:eastAsia="en-AU"/>
        </w:rPr>
        <w:tab/>
      </w:r>
      <w:r>
        <w:rPr>
          <w:noProof/>
        </w:rPr>
        <w:t>Definitions of key terms</w:t>
      </w:r>
      <w:r>
        <w:rPr>
          <w:noProof/>
        </w:rPr>
        <w:tab/>
        <w:t>12.</w:t>
      </w:r>
      <w:r w:rsidR="00833D26">
        <w:rPr>
          <w:noProof/>
        </w:rPr>
        <w:t>53</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12.6</w:t>
      </w:r>
      <w:r>
        <w:rPr>
          <w:rFonts w:asciiTheme="minorHAnsi" w:eastAsiaTheme="minorEastAsia" w:hAnsiTheme="minorHAnsi" w:cstheme="minorBidi"/>
          <w:noProof/>
          <w:sz w:val="22"/>
          <w:szCs w:val="22"/>
          <w:lang w:eastAsia="en-AU"/>
        </w:rPr>
        <w:tab/>
      </w:r>
      <w:r>
        <w:rPr>
          <w:noProof/>
        </w:rPr>
        <w:t>List of attachment tables</w:t>
      </w:r>
      <w:r>
        <w:rPr>
          <w:noProof/>
        </w:rPr>
        <w:tab/>
        <w:t>12.</w:t>
      </w:r>
      <w:r w:rsidR="00833D26">
        <w:rPr>
          <w:noProof/>
        </w:rPr>
        <w:t>58</w:t>
      </w:r>
    </w:p>
    <w:p w:rsidR="00974092" w:rsidRDefault="00974092">
      <w:pPr>
        <w:pStyle w:val="TOC2"/>
        <w:tabs>
          <w:tab w:val="left" w:pos="1320"/>
        </w:tabs>
        <w:rPr>
          <w:rFonts w:asciiTheme="minorHAnsi" w:eastAsiaTheme="minorEastAsia" w:hAnsiTheme="minorHAnsi" w:cstheme="minorBidi"/>
          <w:noProof/>
          <w:sz w:val="22"/>
          <w:szCs w:val="22"/>
          <w:lang w:eastAsia="en-AU"/>
        </w:rPr>
      </w:pPr>
      <w:r>
        <w:rPr>
          <w:noProof/>
        </w:rPr>
        <w:t>12.7</w:t>
      </w:r>
      <w:r>
        <w:rPr>
          <w:rFonts w:asciiTheme="minorHAnsi" w:eastAsiaTheme="minorEastAsia" w:hAnsiTheme="minorHAnsi" w:cstheme="minorBidi"/>
          <w:noProof/>
          <w:sz w:val="22"/>
          <w:szCs w:val="22"/>
          <w:lang w:eastAsia="en-AU"/>
        </w:rPr>
        <w:tab/>
      </w:r>
      <w:r>
        <w:rPr>
          <w:noProof/>
        </w:rPr>
        <w:t>References</w:t>
      </w:r>
      <w:r>
        <w:rPr>
          <w:noProof/>
        </w:rPr>
        <w:tab/>
        <w:t>12.</w:t>
      </w:r>
      <w:r w:rsidR="00833D26">
        <w:rPr>
          <w:noProof/>
        </w:rPr>
        <w:t>62</w:t>
      </w:r>
    </w:p>
    <w:p w:rsidR="00D95E5E" w:rsidRPr="00D95E5E" w:rsidRDefault="00D95E5E" w:rsidP="00D95E5E">
      <w:pPr>
        <w:keepNext/>
        <w:spacing w:before="360" w:line="80" w:lineRule="exact"/>
        <w:rPr>
          <w:szCs w:val="20"/>
        </w:rPr>
      </w:pPr>
      <w:r w:rsidRPr="00D95E5E">
        <w:rPr>
          <w:sz w:val="26"/>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5E5E" w:rsidRPr="00D95E5E" w:rsidTr="009D4675">
        <w:tc>
          <w:tcPr>
            <w:tcW w:w="8771" w:type="dxa"/>
            <w:tcBorders>
              <w:top w:val="single" w:sz="6" w:space="0" w:color="78A22F"/>
              <w:left w:val="nil"/>
              <w:bottom w:val="nil"/>
              <w:right w:val="nil"/>
            </w:tcBorders>
            <w:shd w:val="clear" w:color="auto" w:fill="F2F2F2"/>
          </w:tcPr>
          <w:p w:rsidR="00D95E5E" w:rsidRPr="00D95E5E" w:rsidRDefault="00D95E5E" w:rsidP="00D95E5E">
            <w:pPr>
              <w:keepNext/>
              <w:keepLines/>
              <w:spacing w:before="120" w:line="280" w:lineRule="exact"/>
              <w:ind w:left="1474" w:hanging="1474"/>
              <w:rPr>
                <w:rFonts w:ascii="Arial" w:hAnsi="Arial"/>
                <w:b/>
              </w:rPr>
            </w:pPr>
            <w:r w:rsidRPr="00D95E5E">
              <w:rPr>
                <w:rFonts w:ascii="Arial" w:hAnsi="Arial"/>
                <w:b/>
              </w:rPr>
              <w:t>Attachment tables</w:t>
            </w:r>
          </w:p>
        </w:tc>
      </w:tr>
      <w:tr w:rsidR="00D95E5E" w:rsidRPr="00D95E5E" w:rsidTr="009D4675">
        <w:trPr>
          <w:cantSplit/>
        </w:trPr>
        <w:tc>
          <w:tcPr>
            <w:tcW w:w="8771" w:type="dxa"/>
            <w:tcBorders>
              <w:top w:val="nil"/>
              <w:left w:val="nil"/>
              <w:bottom w:val="nil"/>
              <w:right w:val="nil"/>
            </w:tcBorders>
            <w:shd w:val="clear" w:color="auto" w:fill="F2F2F2"/>
          </w:tcPr>
          <w:p w:rsidR="00D95E5E" w:rsidRPr="00D95E5E" w:rsidRDefault="00D95E5E" w:rsidP="00296306">
            <w:pPr>
              <w:keepNext/>
              <w:spacing w:before="120" w:line="260" w:lineRule="atLeast"/>
              <w:jc w:val="both"/>
              <w:rPr>
                <w:rFonts w:ascii="Arial" w:hAnsi="Arial"/>
                <w:sz w:val="20"/>
                <w:szCs w:val="20"/>
              </w:rPr>
            </w:pPr>
            <w:r w:rsidRPr="00D95E5E">
              <w:rPr>
                <w:rFonts w:ascii="Arial" w:hAnsi="Arial"/>
                <w:sz w:val="20"/>
                <w:szCs w:val="20"/>
              </w:rPr>
              <w:t>Attachment tables are identified in references throughout this chapter by a ‘</w:t>
            </w:r>
            <w:proofErr w:type="spellStart"/>
            <w:r w:rsidRPr="00D95E5E">
              <w:rPr>
                <w:rFonts w:ascii="Arial" w:hAnsi="Arial"/>
                <w:sz w:val="20"/>
                <w:szCs w:val="20"/>
              </w:rPr>
              <w:t>1</w:t>
            </w:r>
            <w:r>
              <w:rPr>
                <w:rFonts w:ascii="Arial" w:hAnsi="Arial"/>
                <w:sz w:val="20"/>
                <w:szCs w:val="20"/>
              </w:rPr>
              <w:t>2</w:t>
            </w:r>
            <w:r w:rsidRPr="00D95E5E">
              <w:rPr>
                <w:rFonts w:ascii="Arial" w:hAnsi="Arial"/>
                <w:sz w:val="20"/>
                <w:szCs w:val="20"/>
              </w:rPr>
              <w:t>A</w:t>
            </w:r>
            <w:proofErr w:type="spellEnd"/>
            <w:r w:rsidRPr="00D95E5E">
              <w:rPr>
                <w:rFonts w:ascii="Arial" w:hAnsi="Arial"/>
                <w:sz w:val="20"/>
                <w:szCs w:val="20"/>
              </w:rPr>
              <w:t>’ prefix (for example, table</w:t>
            </w:r>
            <w:r w:rsidR="0022260C">
              <w:rPr>
                <w:rFonts w:ascii="Arial" w:hAnsi="Arial"/>
                <w:sz w:val="20"/>
                <w:szCs w:val="20"/>
              </w:rPr>
              <w:t> </w:t>
            </w:r>
            <w:proofErr w:type="spellStart"/>
            <w:r w:rsidRPr="00D95E5E">
              <w:rPr>
                <w:rFonts w:ascii="Arial" w:hAnsi="Arial"/>
                <w:sz w:val="20"/>
                <w:szCs w:val="20"/>
              </w:rPr>
              <w:t>1</w:t>
            </w:r>
            <w:r>
              <w:rPr>
                <w:rFonts w:ascii="Arial" w:hAnsi="Arial"/>
                <w:sz w:val="20"/>
                <w:szCs w:val="20"/>
              </w:rPr>
              <w:t>2</w:t>
            </w:r>
            <w:r w:rsidRPr="00D95E5E">
              <w:rPr>
                <w:rFonts w:ascii="Arial" w:hAnsi="Arial"/>
                <w:sz w:val="20"/>
                <w:szCs w:val="20"/>
              </w:rPr>
              <w:t>A.1</w:t>
            </w:r>
            <w:proofErr w:type="spellEnd"/>
            <w:r w:rsidRPr="00D95E5E">
              <w:rPr>
                <w:rFonts w:ascii="Arial" w:hAnsi="Arial"/>
                <w:sz w:val="20"/>
                <w:szCs w:val="20"/>
              </w:rPr>
              <w:t>). A full list of attachment tables is provided at the end of this chapter, and the attachment</w:t>
            </w:r>
            <w:r w:rsidR="00296306">
              <w:rPr>
                <w:rFonts w:ascii="Arial" w:hAnsi="Arial"/>
                <w:sz w:val="20"/>
                <w:szCs w:val="20"/>
              </w:rPr>
              <w:t xml:space="preserve"> tables are available from the </w:t>
            </w:r>
            <w:r w:rsidRPr="00D95E5E">
              <w:rPr>
                <w:rFonts w:ascii="Arial" w:hAnsi="Arial"/>
                <w:sz w:val="20"/>
                <w:szCs w:val="20"/>
              </w:rPr>
              <w:t xml:space="preserve">website at </w:t>
            </w:r>
            <w:proofErr w:type="spellStart"/>
            <w:r w:rsidR="000B69A0" w:rsidRPr="001D1186">
              <w:rPr>
                <w:rFonts w:ascii="Arial" w:hAnsi="Arial"/>
                <w:sz w:val="20"/>
                <w:szCs w:val="20"/>
              </w:rPr>
              <w:t>www.pc.gov.au</w:t>
            </w:r>
            <w:proofErr w:type="spellEnd"/>
            <w:r w:rsidR="000B69A0" w:rsidRPr="001D1186">
              <w:rPr>
                <w:rFonts w:ascii="Arial" w:hAnsi="Arial"/>
                <w:sz w:val="20"/>
                <w:szCs w:val="20"/>
              </w:rPr>
              <w:t>/</w:t>
            </w:r>
            <w:proofErr w:type="spellStart"/>
            <w:r w:rsidR="000B69A0" w:rsidRPr="001D1186">
              <w:rPr>
                <w:rFonts w:ascii="Arial" w:hAnsi="Arial"/>
                <w:sz w:val="20"/>
                <w:szCs w:val="20"/>
              </w:rPr>
              <w:t>rogs</w:t>
            </w:r>
            <w:proofErr w:type="spellEnd"/>
            <w:r w:rsidR="000B69A0" w:rsidRPr="001D1186">
              <w:rPr>
                <w:rFonts w:ascii="Arial" w:hAnsi="Arial"/>
                <w:sz w:val="20"/>
                <w:szCs w:val="20"/>
              </w:rPr>
              <w:t>/</w:t>
            </w:r>
            <w:r w:rsidR="000B69A0">
              <w:rPr>
                <w:rFonts w:ascii="Arial" w:hAnsi="Arial"/>
                <w:sz w:val="20"/>
                <w:szCs w:val="20"/>
              </w:rPr>
              <w:t>2016</w:t>
            </w:r>
            <w:r w:rsidR="00BD5F3E">
              <w:rPr>
                <w:rFonts w:ascii="Arial" w:hAnsi="Arial"/>
                <w:sz w:val="20"/>
                <w:szCs w:val="20"/>
              </w:rPr>
              <w:t>.</w:t>
            </w:r>
          </w:p>
        </w:tc>
      </w:tr>
      <w:tr w:rsidR="00D95E5E" w:rsidRPr="00D95E5E" w:rsidTr="009D4675">
        <w:trPr>
          <w:cantSplit/>
        </w:trPr>
        <w:tc>
          <w:tcPr>
            <w:tcW w:w="8771" w:type="dxa"/>
            <w:tcBorders>
              <w:top w:val="nil"/>
              <w:left w:val="nil"/>
              <w:bottom w:val="single" w:sz="6" w:space="0" w:color="78A22F"/>
              <w:right w:val="nil"/>
            </w:tcBorders>
            <w:shd w:val="clear" w:color="auto" w:fill="F2F2F2"/>
          </w:tcPr>
          <w:p w:rsidR="00D95E5E" w:rsidRPr="00D95E5E" w:rsidRDefault="00D95E5E" w:rsidP="00D95E5E">
            <w:pPr>
              <w:keepNext/>
              <w:spacing w:line="120" w:lineRule="exact"/>
              <w:jc w:val="both"/>
              <w:rPr>
                <w:rFonts w:ascii="Arial" w:hAnsi="Arial"/>
                <w:sz w:val="20"/>
                <w:szCs w:val="20"/>
              </w:rPr>
            </w:pPr>
          </w:p>
        </w:tc>
      </w:tr>
      <w:tr w:rsidR="00D95E5E" w:rsidRPr="00D95E5E" w:rsidTr="009D4675">
        <w:tc>
          <w:tcPr>
            <w:tcW w:w="8771" w:type="dxa"/>
            <w:tcBorders>
              <w:top w:val="single" w:sz="6" w:space="0" w:color="78A22F"/>
              <w:left w:val="nil"/>
              <w:bottom w:val="nil"/>
              <w:right w:val="nil"/>
            </w:tcBorders>
          </w:tcPr>
          <w:p w:rsidR="00D95E5E" w:rsidRPr="00D95E5E" w:rsidRDefault="00D95E5E" w:rsidP="00D95E5E">
            <w:pPr>
              <w:spacing w:before="60" w:after="60" w:line="80" w:lineRule="exact"/>
              <w:jc w:val="both"/>
              <w:rPr>
                <w:rFonts w:ascii="Arial" w:hAnsi="Arial"/>
                <w:sz w:val="14"/>
                <w:szCs w:val="20"/>
              </w:rPr>
            </w:pPr>
          </w:p>
        </w:tc>
      </w:tr>
    </w:tbl>
    <w:p w:rsidR="00D61A40" w:rsidRDefault="00D95E5E" w:rsidP="00D61A40">
      <w:pPr>
        <w:pStyle w:val="BodyText"/>
      </w:pPr>
      <w:r w:rsidRPr="00D95E5E">
        <w:t xml:space="preserve">This chapter reports on the Australian, State and Territory governments’ management of mental health and mental illnesses through a variety of service types and delivery settings. </w:t>
      </w:r>
      <w:r w:rsidR="00D61A40">
        <w:t xml:space="preserve">The chapter focuses on State and Territory governments’ specialised mental health services and specific mental health services provided by General Practitioners (GPs), </w:t>
      </w:r>
      <w:r w:rsidR="00D61A40" w:rsidRPr="005673E9">
        <w:rPr>
          <w:shd w:val="clear" w:color="auto" w:fill="FFFFFF" w:themeFill="background1"/>
        </w:rPr>
        <w:t>psychiatrists, psychologists and other allied health professionals under the</w:t>
      </w:r>
      <w:r w:rsidR="00D61A40">
        <w:rPr>
          <w:shd w:val="clear" w:color="auto" w:fill="FFFFFF" w:themeFill="background1"/>
        </w:rPr>
        <w:t xml:space="preserve"> Medicare Benefits Schedule</w:t>
      </w:r>
      <w:r w:rsidR="00D61A40" w:rsidRPr="005673E9">
        <w:rPr>
          <w:shd w:val="clear" w:color="auto" w:fill="FFFFFF" w:themeFill="background1"/>
        </w:rPr>
        <w:t xml:space="preserve"> </w:t>
      </w:r>
      <w:r w:rsidR="00D61A40">
        <w:rPr>
          <w:shd w:val="clear" w:color="auto" w:fill="FFFFFF" w:themeFill="background1"/>
        </w:rPr>
        <w:t>(</w:t>
      </w:r>
      <w:proofErr w:type="spellStart"/>
      <w:r w:rsidR="00D61A40" w:rsidRPr="005673E9">
        <w:rPr>
          <w:shd w:val="clear" w:color="auto" w:fill="FFFFFF" w:themeFill="background1"/>
        </w:rPr>
        <w:t>MBS</w:t>
      </w:r>
      <w:proofErr w:type="spellEnd"/>
      <w:r w:rsidR="00D61A40">
        <w:rPr>
          <w:shd w:val="clear" w:color="auto" w:fill="FFFFFF" w:themeFill="background1"/>
        </w:rPr>
        <w:t>)</w:t>
      </w:r>
      <w:r w:rsidR="00D61A40" w:rsidRPr="005673E9">
        <w:rPr>
          <w:shd w:val="clear" w:color="auto" w:fill="FFFFFF" w:themeFill="background1"/>
        </w:rPr>
        <w:t xml:space="preserve">. </w:t>
      </w:r>
    </w:p>
    <w:p w:rsidR="00D95E5E" w:rsidRPr="001D5B88" w:rsidRDefault="001D5B88" w:rsidP="00EB040E">
      <w:pPr>
        <w:pStyle w:val="BodyText"/>
      </w:pPr>
      <w:r w:rsidRPr="009432C9">
        <w:t xml:space="preserve">Improvements to the reporting of </w:t>
      </w:r>
      <w:r>
        <w:t>mental health management</w:t>
      </w:r>
      <w:r w:rsidRPr="009432C9">
        <w:t xml:space="preserve"> in this edition include:</w:t>
      </w:r>
      <w:r w:rsidR="00D95E5E" w:rsidRPr="00D95E5E">
        <w:t xml:space="preserve"> </w:t>
      </w:r>
    </w:p>
    <w:p w:rsidR="0076216C" w:rsidRPr="00463329" w:rsidRDefault="0076216C" w:rsidP="00463329">
      <w:pPr>
        <w:pStyle w:val="ListBullet"/>
      </w:pPr>
      <w:r w:rsidRPr="00463329">
        <w:t xml:space="preserve">additional data </w:t>
      </w:r>
      <w:proofErr w:type="spellStart"/>
      <w:r w:rsidRPr="00463329">
        <w:t>disaggregations</w:t>
      </w:r>
      <w:proofErr w:type="spellEnd"/>
      <w:r w:rsidRPr="00463329">
        <w:t xml:space="preserve"> for </w:t>
      </w:r>
      <w:proofErr w:type="spellStart"/>
      <w:r w:rsidRPr="004B70A3">
        <w:t>MBS</w:t>
      </w:r>
      <w:proofErr w:type="spellEnd"/>
      <w:r w:rsidRPr="00463329">
        <w:t xml:space="preserve"> subsidised services for the ‘New client index’ indicator </w:t>
      </w:r>
    </w:p>
    <w:p w:rsidR="00433098" w:rsidRPr="00463329" w:rsidRDefault="00433098" w:rsidP="00463329">
      <w:pPr>
        <w:pStyle w:val="ListBullet"/>
      </w:pPr>
      <w:r w:rsidRPr="00463329">
        <w:t xml:space="preserve">new data on the duration of seclusion events reported as contextual information for the ‘Rate of seclusion’ indicator </w:t>
      </w:r>
    </w:p>
    <w:p w:rsidR="00433098" w:rsidRPr="00463329" w:rsidRDefault="00433098" w:rsidP="00463329">
      <w:pPr>
        <w:pStyle w:val="ListBullet"/>
      </w:pPr>
      <w:r w:rsidRPr="00463329">
        <w:t xml:space="preserve">a new measure for the ‘Social and economic inclusion of people with mental illness’ indicator on </w:t>
      </w:r>
      <w:r w:rsidR="0076216C" w:rsidRPr="00463329">
        <w:t xml:space="preserve">the </w:t>
      </w:r>
      <w:r w:rsidR="00B31B47" w:rsidRPr="00463329">
        <w:t xml:space="preserve">social participation </w:t>
      </w:r>
      <w:r w:rsidR="0076216C" w:rsidRPr="00463329">
        <w:t xml:space="preserve">of </w:t>
      </w:r>
      <w:r w:rsidR="00B31B47" w:rsidRPr="00463329">
        <w:t>people with mental illness</w:t>
      </w:r>
      <w:r w:rsidRPr="00463329">
        <w:t>.</w:t>
      </w:r>
    </w:p>
    <w:p w:rsidR="00206030" w:rsidRPr="00206030" w:rsidRDefault="00206030" w:rsidP="003C3880">
      <w:pPr>
        <w:pStyle w:val="BodyText"/>
      </w:pPr>
      <w:r w:rsidRPr="00206030">
        <w:t>All abbreviations used in this Report are available in a complete list in volume A: Approach to performance reporting.</w:t>
      </w:r>
    </w:p>
    <w:p w:rsidR="001F1DD0" w:rsidRDefault="001F1DD0" w:rsidP="004A11D8">
      <w:pPr>
        <w:pStyle w:val="Heading2"/>
      </w:pPr>
      <w:bookmarkStart w:id="7" w:name="_Toc432092254"/>
      <w:r>
        <w:lastRenderedPageBreak/>
        <w:t>12.</w:t>
      </w:r>
      <w:r w:rsidR="00833D26">
        <w:rPr>
          <w:noProof/>
        </w:rPr>
        <w:t>1</w:t>
      </w:r>
      <w:r>
        <w:tab/>
      </w:r>
      <w:r w:rsidRPr="009B1F5D">
        <w:t>Profile of mental health management</w:t>
      </w:r>
      <w:bookmarkEnd w:id="7"/>
    </w:p>
    <w:p w:rsidR="009B1F5D" w:rsidRDefault="009B1F5D" w:rsidP="002315C6">
      <w:pPr>
        <w:pStyle w:val="BodyText"/>
      </w:pPr>
      <w:r>
        <w:t>Health management is the ongoing process beginning with initial client contact and including all actions relating to the client: assessment/evaluation; education of the person, family or carer(s); diagnosis; and treatment. Problems associated with adherence to treatment and liaison with, or referral to, other agencies are also included.</w:t>
      </w:r>
      <w:r w:rsidR="0014325B">
        <w:t xml:space="preserve"> </w:t>
      </w:r>
      <w:r>
        <w:t xml:space="preserve">Measuring performance in the management of a health problem involves measuring the performance of service providers in specific settings, and the overall management of diseases, illnesses and injuries across </w:t>
      </w:r>
      <w:r w:rsidR="004265D0">
        <w:t xml:space="preserve">the </w:t>
      </w:r>
      <w:r>
        <w:t>spectrum of services, including prevention, early detection and treatment programs. The appropriate mix of services and of service delivery mechanisms</w:t>
      </w:r>
      <w:r w:rsidR="004A491A">
        <w:t xml:space="preserve"> is also important.</w:t>
      </w:r>
      <w:r>
        <w:t xml:space="preserve"> </w:t>
      </w:r>
    </w:p>
    <w:p w:rsidR="009B1F5D" w:rsidRDefault="009B1F5D" w:rsidP="002315C6">
      <w:pPr>
        <w:pStyle w:val="BodyText"/>
      </w:pPr>
      <w:r>
        <w:t>Mental health relates to an individual’s ability to negotiate the daily challenges and social interactions of life without experiencing undue emotional or behavioural incapacity (</w:t>
      </w:r>
      <w:proofErr w:type="spellStart"/>
      <w:r>
        <w:t>DHAC</w:t>
      </w:r>
      <w:proofErr w:type="spellEnd"/>
      <w:r>
        <w:t xml:space="preserve"> and </w:t>
      </w:r>
      <w:proofErr w:type="spellStart"/>
      <w:r>
        <w:t>AIHW</w:t>
      </w:r>
      <w:proofErr w:type="spellEnd"/>
      <w:r>
        <w:t xml:space="preserve"> 1999). The World Health Organization</w:t>
      </w:r>
      <w:r w:rsidR="00BD5D96">
        <w:t xml:space="preserve"> </w:t>
      </w:r>
      <w:r>
        <w:t>describes positive mental health as:</w:t>
      </w:r>
    </w:p>
    <w:p w:rsidR="009B1F5D" w:rsidRDefault="009B1F5D" w:rsidP="009B1F5D">
      <w:pPr>
        <w:pStyle w:val="Quote"/>
      </w:pPr>
      <w:r>
        <w:t xml:space="preserve">… a state of </w:t>
      </w:r>
      <w:proofErr w:type="spellStart"/>
      <w:r>
        <w:t>well</w:t>
      </w:r>
      <w:r>
        <w:noBreakHyphen/>
        <w:t>being</w:t>
      </w:r>
      <w:proofErr w:type="spellEnd"/>
      <w:r>
        <w:t xml:space="preserve"> in which the individual realizes his or her own abilities, can cope with the normal stresses of life, can work productively and fruitfully, and is able to make a contribution to his or her community (WHO 2001).</w:t>
      </w:r>
    </w:p>
    <w:p w:rsidR="009B1F5D" w:rsidRDefault="009B1F5D" w:rsidP="002315C6">
      <w:pPr>
        <w:pStyle w:val="BodyText"/>
      </w:pPr>
      <w:r>
        <w:t xml:space="preserve">Mental health is identified by governments as </w:t>
      </w:r>
      <w:r w:rsidR="00B31B47">
        <w:t>one of the</w:t>
      </w:r>
      <w:r>
        <w:t xml:space="preserve"> national health priority area</w:t>
      </w:r>
      <w:r w:rsidR="00B31B47">
        <w:t>s</w:t>
      </w:r>
      <w:r>
        <w:t xml:space="preserve">. The national </w:t>
      </w:r>
      <w:r w:rsidR="00D3627B">
        <w:t xml:space="preserve">health priority areas represent a large proportion of </w:t>
      </w:r>
      <w:r>
        <w:t xml:space="preserve">the total burden of disease and injury in Australia and mental illnesses </w:t>
      </w:r>
      <w:r w:rsidR="00D3627B">
        <w:t xml:space="preserve">makes a significant </w:t>
      </w:r>
      <w:r>
        <w:t>contribut</w:t>
      </w:r>
      <w:r w:rsidR="00D3627B">
        <w:t>ion</w:t>
      </w:r>
      <w:r>
        <w:t xml:space="preserve"> to this total burden </w:t>
      </w:r>
      <w:r w:rsidRPr="00AB1CAB">
        <w:t>(</w:t>
      </w:r>
      <w:proofErr w:type="spellStart"/>
      <w:r w:rsidRPr="00AB1CAB">
        <w:t>Begg</w:t>
      </w:r>
      <w:proofErr w:type="spellEnd"/>
      <w:r w:rsidRPr="00AB1CAB">
        <w:t xml:space="preserve"> et al. 2007).</w:t>
      </w:r>
      <w:r>
        <w:t xml:space="preserve"> The total burden comprises the number of ‘years’ lost due to fatal events (years of life lost due to premature death) and non</w:t>
      </w:r>
      <w:r>
        <w:noBreakHyphen/>
        <w:t>fatal events (years of ‘healthy’ life lost due to disability). Mental illness is the leading cause of ‘healthy’ life years lost due to disability (</w:t>
      </w:r>
      <w:proofErr w:type="spellStart"/>
      <w:r w:rsidRPr="00AB1CAB">
        <w:t>Begg</w:t>
      </w:r>
      <w:proofErr w:type="spellEnd"/>
      <w:r w:rsidRPr="00AB1CAB">
        <w:t xml:space="preserve"> et al. 2007</w:t>
      </w:r>
      <w:r>
        <w:t xml:space="preserve">). </w:t>
      </w:r>
    </w:p>
    <w:p w:rsidR="009B1F5D" w:rsidRDefault="009B1F5D" w:rsidP="002315C6">
      <w:pPr>
        <w:pStyle w:val="BodyText"/>
      </w:pPr>
      <w:r>
        <w:t>Mental illness is a term that describes a diverse range of behavioural and psychological conditions. These conditions can affect an individual’s mental health, functioning and quality of life. Each mental illness is unique in its incidence across the lifespan, causal factors and treatments. The most common mental illnesses are anxiety, affective (mood) and substance use disorders. Mental illness also includes low prevalence conditions such as schizophrenia, bipolar disorder and other psychoses, and severe personality disorder (DoHA 2010). While of lower prevalence, these conditions can severely affect people’s ability to function in their daily lives (Morgan et al. 2011).</w:t>
      </w:r>
    </w:p>
    <w:p w:rsidR="009B1F5D" w:rsidRPr="00BC2E33" w:rsidRDefault="00D11E81" w:rsidP="002315C6">
      <w:pPr>
        <w:pStyle w:val="BodyText"/>
      </w:pPr>
      <w:r w:rsidRPr="00062DA8">
        <w:t>M</w:t>
      </w:r>
      <w:r w:rsidR="009B1F5D" w:rsidRPr="00BC2E33">
        <w:t>ental health management</w:t>
      </w:r>
      <w:r w:rsidR="00A25A0B" w:rsidRPr="00BC2E33">
        <w:t xml:space="preserve"> </w:t>
      </w:r>
      <w:r w:rsidRPr="00BC2E33">
        <w:t xml:space="preserve">is </w:t>
      </w:r>
      <w:r w:rsidR="009B1F5D" w:rsidRPr="00BC2E33">
        <w:t xml:space="preserve">offered </w:t>
      </w:r>
      <w:r w:rsidR="00F84265" w:rsidRPr="00BC2E33">
        <w:t xml:space="preserve">across a spectrum </w:t>
      </w:r>
      <w:r w:rsidR="00A25A0B" w:rsidRPr="00BC2E33">
        <w:t>of government and non</w:t>
      </w:r>
      <w:r w:rsidR="00A25A0B" w:rsidRPr="00BC2E33">
        <w:noBreakHyphen/>
        <w:t>government service providers</w:t>
      </w:r>
      <w:r w:rsidR="00F84265" w:rsidRPr="00BC2E33">
        <w:t xml:space="preserve"> that </w:t>
      </w:r>
      <w:r w:rsidR="009B1F5D" w:rsidRPr="00BC2E33">
        <w:t>include promotion, prevention, treatment, management</w:t>
      </w:r>
      <w:r w:rsidR="009B1F5D" w:rsidRPr="00062DA8">
        <w:t xml:space="preserve"> and rehabilitation services. </w:t>
      </w:r>
      <w:r w:rsidRPr="00BC2E33">
        <w:t>Psychiatric hospitals</w:t>
      </w:r>
      <w:r w:rsidR="00F84265" w:rsidRPr="00BC2E33">
        <w:t xml:space="preserve">, </w:t>
      </w:r>
      <w:r w:rsidR="00E5099A">
        <w:t>general</w:t>
      </w:r>
      <w:r w:rsidRPr="00BC2E33">
        <w:t xml:space="preserve"> hospitals with psychiatric units</w:t>
      </w:r>
      <w:r w:rsidR="00F84265" w:rsidRPr="00BC2E33">
        <w:t>, c</w:t>
      </w:r>
      <w:r w:rsidR="009B1F5D" w:rsidRPr="00BC2E33">
        <w:t>ommunity mental health facilities, psychiatrists, clinical psychologists, psychotherapists, mental health clinicians in private practice</w:t>
      </w:r>
      <w:r w:rsidR="00E5099A">
        <w:t xml:space="preserve"> and</w:t>
      </w:r>
      <w:r w:rsidR="00E5099A" w:rsidRPr="00BC2E33">
        <w:t xml:space="preserve"> </w:t>
      </w:r>
      <w:r w:rsidR="009B1F5D" w:rsidRPr="00BC2E33">
        <w:t>counsellors</w:t>
      </w:r>
      <w:r w:rsidR="00F84265" w:rsidRPr="00BC2E33">
        <w:t xml:space="preserve"> </w:t>
      </w:r>
      <w:r w:rsidR="009B1F5D" w:rsidRPr="00BC2E33">
        <w:t xml:space="preserve">all provide specialised mental health care. </w:t>
      </w:r>
      <w:r w:rsidR="00BC2E33" w:rsidRPr="006F439A">
        <w:t xml:space="preserve">Mental health </w:t>
      </w:r>
      <w:r w:rsidR="009B1F5D" w:rsidRPr="00062DA8">
        <w:t xml:space="preserve">care </w:t>
      </w:r>
      <w:r w:rsidR="00BC2E33" w:rsidRPr="006F439A">
        <w:t xml:space="preserve">is also provided </w:t>
      </w:r>
      <w:r w:rsidR="009B1F5D" w:rsidRPr="00BC2E33">
        <w:t>in non</w:t>
      </w:r>
      <w:r w:rsidR="009B1F5D" w:rsidRPr="00BC2E33">
        <w:noBreakHyphen/>
        <w:t>specialised setting</w:t>
      </w:r>
      <w:r w:rsidRPr="00BC2E33">
        <w:t>s</w:t>
      </w:r>
      <w:r w:rsidR="009B1F5D" w:rsidRPr="00BC2E33">
        <w:t xml:space="preserve"> — for example, </w:t>
      </w:r>
      <w:r w:rsidR="00D86858" w:rsidRPr="00BC2E33">
        <w:rPr>
          <w:shd w:val="clear" w:color="auto" w:fill="FFFFFF" w:themeFill="background1"/>
        </w:rPr>
        <w:t>GPs</w:t>
      </w:r>
      <w:r w:rsidR="009B1F5D" w:rsidRPr="00BC2E33">
        <w:t>, public hospital emergency departments an</w:t>
      </w:r>
      <w:r w:rsidR="009B1F5D" w:rsidRPr="008F71B7">
        <w:t xml:space="preserve">d outpatient departments, and public hospital general wards (as distinct from </w:t>
      </w:r>
      <w:r w:rsidR="00BC2E33" w:rsidRPr="00BC2E33">
        <w:t>specialis</w:t>
      </w:r>
      <w:r w:rsidR="00BC2E33" w:rsidRPr="006F439A">
        <w:t xml:space="preserve">ed </w:t>
      </w:r>
      <w:r w:rsidR="009B1F5D" w:rsidRPr="00062DA8">
        <w:t xml:space="preserve">psychiatric </w:t>
      </w:r>
      <w:r w:rsidR="00BC2E33" w:rsidRPr="006F439A">
        <w:lastRenderedPageBreak/>
        <w:t>units</w:t>
      </w:r>
      <w:r w:rsidR="009B1F5D" w:rsidRPr="00062DA8">
        <w:t xml:space="preserve">). Some people with a mental illness are cared for in residential aged care services. </w:t>
      </w:r>
      <w:r w:rsidR="009B1F5D" w:rsidRPr="00BC2E33">
        <w:t xml:space="preserve">Mental health is also the subject of programs designed to improve public health. </w:t>
      </w:r>
    </w:p>
    <w:p w:rsidR="009B1F5D" w:rsidRDefault="009B1F5D" w:rsidP="002315C6">
      <w:pPr>
        <w:pStyle w:val="BodyText"/>
      </w:pPr>
      <w:r>
        <w:t xml:space="preserve">This chapter focuses on the performance of State and Territory </w:t>
      </w:r>
      <w:r w:rsidR="00A25A0B">
        <w:t xml:space="preserve">governments’ </w:t>
      </w:r>
      <w:r>
        <w:t>specialised mental health services that treat the mostly low prevalence, but severe, mental illnesses</w:t>
      </w:r>
      <w:r w:rsidR="00ED5ED2">
        <w:t xml:space="preserve"> and</w:t>
      </w:r>
      <w:r>
        <w:t xml:space="preserve"> also on the </w:t>
      </w:r>
      <w:r w:rsidR="003C78E9">
        <w:t xml:space="preserve">specific </w:t>
      </w:r>
      <w:r>
        <w:t xml:space="preserve">mental health services provided by GPs, </w:t>
      </w:r>
      <w:r w:rsidRPr="005673E9">
        <w:rPr>
          <w:shd w:val="clear" w:color="auto" w:fill="FFFFFF" w:themeFill="background1"/>
        </w:rPr>
        <w:t>psychiatrists</w:t>
      </w:r>
      <w:r w:rsidR="00361EB3" w:rsidRPr="005673E9">
        <w:rPr>
          <w:shd w:val="clear" w:color="auto" w:fill="FFFFFF" w:themeFill="background1"/>
        </w:rPr>
        <w:t>, psychologists</w:t>
      </w:r>
      <w:r w:rsidRPr="005673E9">
        <w:rPr>
          <w:shd w:val="clear" w:color="auto" w:fill="FFFFFF" w:themeFill="background1"/>
        </w:rPr>
        <w:t xml:space="preserve"> and other allied health professionals under the </w:t>
      </w:r>
      <w:proofErr w:type="spellStart"/>
      <w:r w:rsidRPr="005673E9">
        <w:rPr>
          <w:shd w:val="clear" w:color="auto" w:fill="FFFFFF" w:themeFill="background1"/>
        </w:rPr>
        <w:t>MBS</w:t>
      </w:r>
      <w:proofErr w:type="spellEnd"/>
      <w:r w:rsidRPr="005673E9">
        <w:rPr>
          <w:shd w:val="clear" w:color="auto" w:fill="FFFFFF" w:themeFill="background1"/>
        </w:rPr>
        <w:t>.</w:t>
      </w:r>
      <w:r w:rsidR="00C972B4" w:rsidRPr="005673E9">
        <w:rPr>
          <w:shd w:val="clear" w:color="auto" w:fill="FFFFFF" w:themeFill="background1"/>
        </w:rPr>
        <w:t xml:space="preserve"> </w:t>
      </w:r>
      <w:r w:rsidR="00D86858">
        <w:rPr>
          <w:shd w:val="clear" w:color="auto" w:fill="FFFFFF" w:themeFill="background1"/>
        </w:rPr>
        <w:t xml:space="preserve">It also </w:t>
      </w:r>
      <w:r w:rsidR="003C78E9">
        <w:rPr>
          <w:shd w:val="clear" w:color="auto" w:fill="FFFFFF" w:themeFill="background1"/>
        </w:rPr>
        <w:t>reports</w:t>
      </w:r>
      <w:r w:rsidR="00D86858" w:rsidRPr="00D86858">
        <w:rPr>
          <w:shd w:val="clear" w:color="auto" w:fill="FFFFFF" w:themeFill="background1"/>
        </w:rPr>
        <w:t xml:space="preserve"> on the interaction and integration arrangements between </w:t>
      </w:r>
      <w:r w:rsidR="00D86858">
        <w:rPr>
          <w:shd w:val="clear" w:color="auto" w:fill="FFFFFF" w:themeFill="background1"/>
        </w:rPr>
        <w:t xml:space="preserve">hospital and </w:t>
      </w:r>
      <w:r w:rsidR="00D86858" w:rsidRPr="00D86858">
        <w:rPr>
          <w:shd w:val="clear" w:color="auto" w:fill="FFFFFF" w:themeFill="background1"/>
        </w:rPr>
        <w:t>community</w:t>
      </w:r>
      <w:r w:rsidR="003C78E9">
        <w:rPr>
          <w:shd w:val="clear" w:color="auto" w:fill="FFFFFF" w:themeFill="background1"/>
        </w:rPr>
        <w:noBreakHyphen/>
      </w:r>
      <w:r w:rsidR="00D86858" w:rsidRPr="00D86858">
        <w:rPr>
          <w:shd w:val="clear" w:color="auto" w:fill="FFFFFF" w:themeFill="background1"/>
        </w:rPr>
        <w:t xml:space="preserve">based </w:t>
      </w:r>
      <w:r w:rsidR="00D86858">
        <w:rPr>
          <w:shd w:val="clear" w:color="auto" w:fill="FFFFFF" w:themeFill="background1"/>
        </w:rPr>
        <w:t xml:space="preserve">services and </w:t>
      </w:r>
      <w:r w:rsidR="004147C0">
        <w:rPr>
          <w:shd w:val="clear" w:color="auto" w:fill="FFFFFF" w:themeFill="background1"/>
        </w:rPr>
        <w:t xml:space="preserve">on the </w:t>
      </w:r>
      <w:r w:rsidR="00D86858">
        <w:rPr>
          <w:shd w:val="clear" w:color="auto" w:fill="FFFFFF" w:themeFill="background1"/>
        </w:rPr>
        <w:t>broad social, economic and physical health outcomes</w:t>
      </w:r>
      <w:r w:rsidR="004147C0" w:rsidRPr="004147C0">
        <w:t xml:space="preserve"> </w:t>
      </w:r>
      <w:r w:rsidR="004147C0" w:rsidRPr="004147C0">
        <w:rPr>
          <w:shd w:val="clear" w:color="auto" w:fill="FFFFFF" w:themeFill="background1"/>
        </w:rPr>
        <w:t>of people with a mental illness</w:t>
      </w:r>
      <w:r w:rsidR="00D86858">
        <w:rPr>
          <w:shd w:val="clear" w:color="auto" w:fill="FFFFFF" w:themeFill="background1"/>
        </w:rPr>
        <w:t xml:space="preserve">. </w:t>
      </w:r>
    </w:p>
    <w:p w:rsidR="009B1F5D" w:rsidRDefault="009B1F5D" w:rsidP="009B1F5D">
      <w:pPr>
        <w:pStyle w:val="Heading3"/>
      </w:pPr>
      <w:r>
        <w:t>Roles and responsibilities</w:t>
      </w:r>
    </w:p>
    <w:p w:rsidR="00804599" w:rsidRDefault="00804599" w:rsidP="006F439A">
      <w:pPr>
        <w:pStyle w:val="Heading4"/>
      </w:pPr>
      <w:r>
        <w:t>National mental health policy context</w:t>
      </w:r>
    </w:p>
    <w:p w:rsidR="00BC2E33" w:rsidRDefault="00B1670A" w:rsidP="00B1670A">
      <w:pPr>
        <w:pStyle w:val="BodyText"/>
      </w:pPr>
      <w:r>
        <w:t xml:space="preserve">In 1991, Australian Health Ministers signed the </w:t>
      </w:r>
      <w:r w:rsidRPr="006F439A">
        <w:rPr>
          <w:i/>
        </w:rPr>
        <w:t>Mental Health Statement of Rights and Responsibilities</w:t>
      </w:r>
      <w:r>
        <w:t xml:space="preserve">. This Statement seeks to ensure that consumers, carers, advocates, service providers and the community are aware of their rights and responsibilities and can be confident in exercising them (Australian Health Ministers 1991). </w:t>
      </w:r>
      <w:r w:rsidR="00BC2E33">
        <w:t>During 2011</w:t>
      </w:r>
      <w:r w:rsidR="00BC2E33">
        <w:noBreakHyphen/>
        <w:t xml:space="preserve">12, the Statement was updated to align with the </w:t>
      </w:r>
      <w:r w:rsidR="00BC2E33" w:rsidRPr="00F85146">
        <w:rPr>
          <w:i/>
        </w:rPr>
        <w:t>National Mental Health Policy 2008</w:t>
      </w:r>
      <w:r w:rsidR="00BC2E33">
        <w:t xml:space="preserve"> and Australia’s international obligations with respect to the </w:t>
      </w:r>
      <w:r w:rsidR="00BC2E33" w:rsidRPr="00F85146">
        <w:rPr>
          <w:i/>
        </w:rPr>
        <w:t>United Nations Convention on the Rights of Persons with Disabilities and the United Nations Convention on the Rights of the Child</w:t>
      </w:r>
      <w:r w:rsidR="00BC2E33">
        <w:t>.</w:t>
      </w:r>
    </w:p>
    <w:p w:rsidR="009D4B2E" w:rsidRDefault="00B1670A" w:rsidP="006F439A">
      <w:pPr>
        <w:pStyle w:val="BodyText"/>
      </w:pPr>
      <w:r>
        <w:t>The Statement underpins the National Mental Health Strategy (</w:t>
      </w:r>
      <w:proofErr w:type="spellStart"/>
      <w:r>
        <w:t>NMHS</w:t>
      </w:r>
      <w:proofErr w:type="spellEnd"/>
      <w:r>
        <w:t>) endorsed by Australian, State and Territory governments in 1992</w:t>
      </w:r>
      <w:r w:rsidR="00E5099A">
        <w:t>,</w:t>
      </w:r>
      <w:r>
        <w:t xml:space="preserve"> </w:t>
      </w:r>
      <w:r w:rsidR="00E5099A">
        <w:t>but</w:t>
      </w:r>
      <w:r w:rsidR="00206030">
        <w:t xml:space="preserve"> has been </w:t>
      </w:r>
      <w:r w:rsidR="003346FA" w:rsidRPr="00BC2E33">
        <w:t xml:space="preserve">reaffirmed by health ministers a number of times </w:t>
      </w:r>
      <w:r w:rsidR="00206030" w:rsidRPr="00BC2E33">
        <w:t xml:space="preserve">since </w:t>
      </w:r>
      <w:r w:rsidR="00206030">
        <w:t xml:space="preserve">then </w:t>
      </w:r>
      <w:r>
        <w:t>(</w:t>
      </w:r>
      <w:r w:rsidR="003346FA">
        <w:t>Department of Health</w:t>
      </w:r>
      <w:r>
        <w:t xml:space="preserve"> </w:t>
      </w:r>
      <w:r w:rsidR="003346FA">
        <w:t>2014</w:t>
      </w:r>
      <w:r>
        <w:t xml:space="preserve">). The </w:t>
      </w:r>
      <w:proofErr w:type="spellStart"/>
      <w:r>
        <w:t>NMHS</w:t>
      </w:r>
      <w:proofErr w:type="spellEnd"/>
      <w:r>
        <w:t xml:space="preserve"> was established to guide the reform agenda for mental health in Australia across the whole of government. The </w:t>
      </w:r>
      <w:proofErr w:type="spellStart"/>
      <w:r>
        <w:t>NMHS</w:t>
      </w:r>
      <w:proofErr w:type="spellEnd"/>
      <w:r>
        <w:t xml:space="preserve"> consists of th</w:t>
      </w:r>
      <w:r w:rsidR="00C1610B">
        <w:t xml:space="preserve">e National Mental Health Policy that describes its broad aims and objectives </w:t>
      </w:r>
      <w:r>
        <w:t>and the National Mental Health Plan</w:t>
      </w:r>
      <w:r w:rsidR="00C1610B">
        <w:t xml:space="preserve"> that</w:t>
      </w:r>
      <w:r w:rsidR="003346FA">
        <w:t xml:space="preserve"> </w:t>
      </w:r>
      <w:r w:rsidR="00C1610B">
        <w:t>outlines</w:t>
      </w:r>
      <w:r w:rsidR="003346FA">
        <w:t xml:space="preserve"> the approach to implementing the</w:t>
      </w:r>
      <w:r w:rsidR="00C1610B">
        <w:t>se</w:t>
      </w:r>
      <w:r w:rsidR="003346FA">
        <w:t xml:space="preserve"> aims and objectives. T</w:t>
      </w:r>
      <w:r w:rsidR="00BC2E33">
        <w:t xml:space="preserve">he </w:t>
      </w:r>
      <w:r w:rsidR="00BC2E33" w:rsidRPr="00BC2E33">
        <w:t xml:space="preserve">National </w:t>
      </w:r>
      <w:r w:rsidR="00BC2E33">
        <w:t>M</w:t>
      </w:r>
      <w:r w:rsidR="00BC2E33" w:rsidRPr="00BC2E33">
        <w:t xml:space="preserve">ental </w:t>
      </w:r>
      <w:r w:rsidR="003346FA">
        <w:t>H</w:t>
      </w:r>
      <w:r w:rsidR="00BC2E33" w:rsidRPr="00BC2E33">
        <w:t xml:space="preserve">ealth </w:t>
      </w:r>
      <w:r w:rsidR="003346FA">
        <w:t>P</w:t>
      </w:r>
      <w:r w:rsidR="00BC2E33" w:rsidRPr="00BC2E33">
        <w:t xml:space="preserve">olicy was revised in 2008 and the Fourth </w:t>
      </w:r>
      <w:r w:rsidR="003346FA">
        <w:t>N</w:t>
      </w:r>
      <w:r w:rsidR="00BC2E33" w:rsidRPr="00BC2E33">
        <w:t xml:space="preserve">ational </w:t>
      </w:r>
      <w:r w:rsidR="003346FA">
        <w:t>M</w:t>
      </w:r>
      <w:r w:rsidR="00BC2E33" w:rsidRPr="00BC2E33">
        <w:t xml:space="preserve">ental </w:t>
      </w:r>
      <w:r w:rsidR="003346FA">
        <w:t>H</w:t>
      </w:r>
      <w:r w:rsidR="00BC2E33" w:rsidRPr="00BC2E33">
        <w:t xml:space="preserve">ealth </w:t>
      </w:r>
      <w:r w:rsidR="003346FA">
        <w:t>P</w:t>
      </w:r>
      <w:r w:rsidR="00BC2E33" w:rsidRPr="00BC2E33">
        <w:t xml:space="preserve">lan was released in November 2009. </w:t>
      </w:r>
      <w:r>
        <w:t xml:space="preserve">The </w:t>
      </w:r>
      <w:r w:rsidR="00C1610B">
        <w:t>F</w:t>
      </w:r>
      <w:r>
        <w:t xml:space="preserve">ourth </w:t>
      </w:r>
      <w:r w:rsidR="00C1610B">
        <w:t>P</w:t>
      </w:r>
      <w:r>
        <w:t xml:space="preserve">lan (2009–2014) has </w:t>
      </w:r>
      <w:r w:rsidR="00C1610B">
        <w:t xml:space="preserve">now </w:t>
      </w:r>
      <w:r>
        <w:t xml:space="preserve">expired and a </w:t>
      </w:r>
      <w:r w:rsidR="00C1610B">
        <w:t>F</w:t>
      </w:r>
      <w:r>
        <w:t xml:space="preserve">ifth </w:t>
      </w:r>
      <w:r w:rsidR="00C1610B">
        <w:t>P</w:t>
      </w:r>
      <w:r>
        <w:t>lan is currently being developed.</w:t>
      </w:r>
    </w:p>
    <w:p w:rsidR="00804599" w:rsidRPr="009D4B2E" w:rsidRDefault="00804599" w:rsidP="006F439A">
      <w:pPr>
        <w:pStyle w:val="Heading4"/>
      </w:pPr>
      <w:r>
        <w:t>Service roles and responsibilities</w:t>
      </w:r>
    </w:p>
    <w:p w:rsidR="009B1F5D" w:rsidRDefault="009B1F5D" w:rsidP="002315C6">
      <w:pPr>
        <w:pStyle w:val="BodyText"/>
      </w:pPr>
      <w:r>
        <w:t>State and Territory governments are responsible for the funding, delivery and</w:t>
      </w:r>
      <w:r w:rsidR="006F5E0F">
        <w:t>/or</w:t>
      </w:r>
      <w:r>
        <w:t xml:space="preserve"> management of specialised mental health services including </w:t>
      </w:r>
      <w:r w:rsidR="00B03D4A">
        <w:t>in</w:t>
      </w:r>
      <w:r>
        <w:t>patient</w:t>
      </w:r>
      <w:r w:rsidR="00E5099A">
        <w:t>/admitted</w:t>
      </w:r>
      <w:r>
        <w:t xml:space="preserve"> care in hospitals, community</w:t>
      </w:r>
      <w:r w:rsidR="00C6566D">
        <w:noBreakHyphen/>
      </w:r>
      <w:r>
        <w:t xml:space="preserve">based ambulatory care </w:t>
      </w:r>
      <w:r w:rsidR="00E5099A">
        <w:t>a</w:t>
      </w:r>
      <w:r>
        <w:t>nd community</w:t>
      </w:r>
      <w:r w:rsidR="00C6566D">
        <w:noBreakHyphen/>
      </w:r>
      <w:r>
        <w:t>based residential care. Some of these services are provided by non</w:t>
      </w:r>
      <w:r>
        <w:noBreakHyphen/>
        <w:t>government organisations</w:t>
      </w:r>
      <w:r w:rsidR="00BD5F3E">
        <w:t xml:space="preserve"> (NGOs)</w:t>
      </w:r>
      <w:r>
        <w:t xml:space="preserve">, for example governments can fund </w:t>
      </w:r>
      <w:r w:rsidR="00E5099A">
        <w:t>private</w:t>
      </w:r>
      <w:r>
        <w:t xml:space="preserve"> entities to provide admitted patient hospital care. State and Territory governments also fund not</w:t>
      </w:r>
      <w:r w:rsidR="00463329">
        <w:noBreakHyphen/>
      </w:r>
      <w:r>
        <w:t>for</w:t>
      </w:r>
      <w:r w:rsidR="00463329">
        <w:noBreakHyphen/>
      </w:r>
      <w:r>
        <w:t xml:space="preserve">profit, </w:t>
      </w:r>
      <w:r w:rsidR="00BD5F3E">
        <w:t>NGOs</w:t>
      </w:r>
      <w:r>
        <w:t xml:space="preserve"> to provide a range of support services for people with psychiatric disability arising from </w:t>
      </w:r>
      <w:r w:rsidR="00E5099A">
        <w:t xml:space="preserve">their </w:t>
      </w:r>
      <w:r>
        <w:t xml:space="preserve">mental illness. </w:t>
      </w:r>
    </w:p>
    <w:p w:rsidR="00C6566D" w:rsidRDefault="009B1F5D" w:rsidP="00D71789">
      <w:pPr>
        <w:pStyle w:val="BodyText"/>
      </w:pPr>
      <w:r>
        <w:lastRenderedPageBreak/>
        <w:t xml:space="preserve">The Australian Government is responsible for the </w:t>
      </w:r>
      <w:r w:rsidR="009D4B2E">
        <w:t xml:space="preserve">oversight and </w:t>
      </w:r>
      <w:r>
        <w:t xml:space="preserve">funding of </w:t>
      </w:r>
      <w:r w:rsidR="006F5E0F">
        <w:t xml:space="preserve">a </w:t>
      </w:r>
      <w:r w:rsidR="003C78E9">
        <w:t xml:space="preserve">range of </w:t>
      </w:r>
      <w:r>
        <w:t>mental health services and programs</w:t>
      </w:r>
      <w:r w:rsidR="006F5E0F">
        <w:t xml:space="preserve"> that</w:t>
      </w:r>
      <w:r w:rsidR="009D4B2E">
        <w:t xml:space="preserve"> are primarily provided or delivered by private practitioners or NGO</w:t>
      </w:r>
      <w:r w:rsidR="00461318">
        <w:t>s</w:t>
      </w:r>
      <w:r w:rsidR="009D4B2E">
        <w:t xml:space="preserve">. These services and programs </w:t>
      </w:r>
      <w:r w:rsidR="003C78E9">
        <w:t>includ</w:t>
      </w:r>
      <w:r w:rsidR="009D4B2E">
        <w:t>e</w:t>
      </w:r>
      <w:r w:rsidR="003C78E9">
        <w:t xml:space="preserve"> </w:t>
      </w:r>
      <w:proofErr w:type="spellStart"/>
      <w:r>
        <w:t>MBS</w:t>
      </w:r>
      <w:proofErr w:type="spellEnd"/>
      <w:r w:rsidR="003978B7">
        <w:t xml:space="preserve"> </w:t>
      </w:r>
      <w:r>
        <w:t>subsidised services provided by GPs (</w:t>
      </w:r>
      <w:r w:rsidR="00E5099A">
        <w:t xml:space="preserve">under </w:t>
      </w:r>
      <w:r>
        <w:t>both general and specific mental health items), private psychiatrists and allied mental health professionals</w:t>
      </w:r>
      <w:r w:rsidR="00EC4B61">
        <w:t>,</w:t>
      </w:r>
      <w:r>
        <w:t xml:space="preserve"> </w:t>
      </w:r>
      <w:r w:rsidR="009D4B2E">
        <w:t>P</w:t>
      </w:r>
      <w:r>
        <w:t>harmaceutical Benefits Scheme (</w:t>
      </w:r>
      <w:proofErr w:type="spellStart"/>
      <w:r>
        <w:t>PBS</w:t>
      </w:r>
      <w:proofErr w:type="spellEnd"/>
      <w:r>
        <w:t>) funded mental</w:t>
      </w:r>
      <w:r w:rsidR="000A530B">
        <w:t xml:space="preserve"> </w:t>
      </w:r>
      <w:r>
        <w:t>health</w:t>
      </w:r>
      <w:r w:rsidR="000A530B">
        <w:noBreakHyphen/>
      </w:r>
      <w:r>
        <w:t xml:space="preserve">related medications </w:t>
      </w:r>
      <w:r w:rsidR="00EC4B61">
        <w:t xml:space="preserve">and </w:t>
      </w:r>
      <w:r>
        <w:t>other programs</w:t>
      </w:r>
      <w:r w:rsidR="009D4B2E">
        <w:t xml:space="preserve"> </w:t>
      </w:r>
      <w:r>
        <w:t xml:space="preserve">designed </w:t>
      </w:r>
      <w:r w:rsidR="008B1A32">
        <w:t>to prevent suicide or i</w:t>
      </w:r>
      <w:r>
        <w:t>ncrease the level of social support and community</w:t>
      </w:r>
      <w:r w:rsidR="00063E26">
        <w:noBreakHyphen/>
      </w:r>
      <w:r>
        <w:t xml:space="preserve">based care for people with a mental illness and </w:t>
      </w:r>
      <w:r w:rsidR="00EC4B61">
        <w:t>their carers</w:t>
      </w:r>
      <w:r>
        <w:t>.</w:t>
      </w:r>
      <w:r w:rsidR="003C78E9">
        <w:t xml:space="preserve"> </w:t>
      </w:r>
      <w:r w:rsidR="00D62DEA">
        <w:rPr>
          <w:shd w:val="clear" w:color="auto" w:fill="FFFFFF" w:themeFill="background1"/>
        </w:rPr>
        <w:t>T</w:t>
      </w:r>
      <w:r w:rsidR="00361EB3" w:rsidRPr="005673E9">
        <w:rPr>
          <w:shd w:val="clear" w:color="auto" w:fill="FFFFFF" w:themeFill="background1"/>
        </w:rPr>
        <w:t xml:space="preserve">he Australian Government also </w:t>
      </w:r>
      <w:r w:rsidR="00EC4B61">
        <w:rPr>
          <w:shd w:val="clear" w:color="auto" w:fill="FFFFFF" w:themeFill="background1"/>
        </w:rPr>
        <w:t>funds</w:t>
      </w:r>
      <w:r w:rsidR="00361EB3" w:rsidRPr="005673E9">
        <w:rPr>
          <w:shd w:val="clear" w:color="auto" w:fill="FFFFFF" w:themeFill="background1"/>
        </w:rPr>
        <w:t xml:space="preserve"> State and Territory governments for health services</w:t>
      </w:r>
      <w:r w:rsidR="00CB129F">
        <w:rPr>
          <w:shd w:val="clear" w:color="auto" w:fill="FFFFFF" w:themeFill="background1"/>
        </w:rPr>
        <w:t>,</w:t>
      </w:r>
      <w:r w:rsidR="00361EB3" w:rsidRPr="005673E9">
        <w:rPr>
          <w:shd w:val="clear" w:color="auto" w:fill="FFFFFF" w:themeFill="background1"/>
        </w:rPr>
        <w:t xml:space="preserve"> </w:t>
      </w:r>
      <w:r w:rsidR="00D62DEA">
        <w:rPr>
          <w:shd w:val="clear" w:color="auto" w:fill="FFFFFF" w:themeFill="background1"/>
        </w:rPr>
        <w:t xml:space="preserve">most recently </w:t>
      </w:r>
      <w:r w:rsidR="006E744F">
        <w:rPr>
          <w:shd w:val="clear" w:color="auto" w:fill="FFFFFF" w:themeFill="background1"/>
        </w:rPr>
        <w:t>through</w:t>
      </w:r>
      <w:r w:rsidR="00D62DEA">
        <w:rPr>
          <w:shd w:val="clear" w:color="auto" w:fill="FFFFFF" w:themeFill="background1"/>
        </w:rPr>
        <w:t xml:space="preserve"> the</w:t>
      </w:r>
      <w:r w:rsidR="00361EB3" w:rsidRPr="005673E9">
        <w:rPr>
          <w:shd w:val="clear" w:color="auto" w:fill="FFFFFF" w:themeFill="background1"/>
        </w:rPr>
        <w:t xml:space="preserve"> approaches specified in the National Health Reform Agreement</w:t>
      </w:r>
      <w:r w:rsidR="00770022" w:rsidRPr="005673E9">
        <w:rPr>
          <w:shd w:val="clear" w:color="auto" w:fill="FFFFFF" w:themeFill="background1"/>
        </w:rPr>
        <w:t xml:space="preserve"> (</w:t>
      </w:r>
      <w:proofErr w:type="spellStart"/>
      <w:r w:rsidR="00770022" w:rsidRPr="005673E9">
        <w:rPr>
          <w:shd w:val="clear" w:color="auto" w:fill="FFFFFF" w:themeFill="background1"/>
        </w:rPr>
        <w:t>NHRA</w:t>
      </w:r>
      <w:proofErr w:type="spellEnd"/>
      <w:r w:rsidR="00770022" w:rsidRPr="005673E9">
        <w:rPr>
          <w:shd w:val="clear" w:color="auto" w:fill="FFFFFF" w:themeFill="background1"/>
        </w:rPr>
        <w:t>)</w:t>
      </w:r>
      <w:r w:rsidR="00CE28E8">
        <w:rPr>
          <w:shd w:val="clear" w:color="auto" w:fill="FFFFFF" w:themeFill="background1"/>
        </w:rPr>
        <w:t>, but t</w:t>
      </w:r>
      <w:r w:rsidR="00EB7BBB">
        <w:rPr>
          <w:shd w:val="clear" w:color="auto" w:fill="FFFFFF" w:themeFill="background1"/>
        </w:rPr>
        <w:t>he</w:t>
      </w:r>
      <w:r w:rsidR="00361EB3" w:rsidRPr="005673E9">
        <w:rPr>
          <w:shd w:val="clear" w:color="auto" w:fill="FFFFFF" w:themeFill="background1"/>
        </w:rPr>
        <w:t xml:space="preserve"> mental health </w:t>
      </w:r>
      <w:r w:rsidR="00EB7BBB">
        <w:rPr>
          <w:shd w:val="clear" w:color="auto" w:fill="FFFFFF" w:themeFill="background1"/>
        </w:rPr>
        <w:t xml:space="preserve">component of this funding </w:t>
      </w:r>
      <w:r w:rsidR="00D62DEA">
        <w:rPr>
          <w:shd w:val="clear" w:color="auto" w:fill="FFFFFF" w:themeFill="background1"/>
        </w:rPr>
        <w:t xml:space="preserve">is not </w:t>
      </w:r>
      <w:r w:rsidR="00361EB3" w:rsidRPr="005673E9">
        <w:rPr>
          <w:shd w:val="clear" w:color="auto" w:fill="FFFFFF" w:themeFill="background1"/>
        </w:rPr>
        <w:t>separately identified</w:t>
      </w:r>
      <w:r w:rsidR="00EB7BBB">
        <w:rPr>
          <w:shd w:val="clear" w:color="auto" w:fill="FFFFFF" w:themeFill="background1"/>
        </w:rPr>
        <w:t xml:space="preserve"> </w:t>
      </w:r>
      <w:r w:rsidR="008B1A32">
        <w:rPr>
          <w:shd w:val="clear" w:color="auto" w:fill="FFFFFF" w:themeFill="background1"/>
        </w:rPr>
        <w:t>for</w:t>
      </w:r>
      <w:r w:rsidR="00EB7BBB">
        <w:rPr>
          <w:shd w:val="clear" w:color="auto" w:fill="FFFFFF" w:themeFill="background1"/>
        </w:rPr>
        <w:t xml:space="preserve"> this Report</w:t>
      </w:r>
      <w:r w:rsidR="00361EB3" w:rsidRPr="005673E9">
        <w:rPr>
          <w:shd w:val="clear" w:color="auto" w:fill="FFFFFF" w:themeFill="background1"/>
        </w:rPr>
        <w:t>.</w:t>
      </w:r>
      <w:r w:rsidR="00C6566D">
        <w:t xml:space="preserve"> </w:t>
      </w:r>
    </w:p>
    <w:p w:rsidR="009B1F5D" w:rsidRDefault="009B1F5D" w:rsidP="009B1F5D">
      <w:pPr>
        <w:pStyle w:val="Heading3"/>
      </w:pPr>
      <w:r>
        <w:t>Funding</w:t>
      </w:r>
    </w:p>
    <w:p w:rsidR="0010468D" w:rsidRDefault="009B1F5D" w:rsidP="00B33D98">
      <w:pPr>
        <w:pStyle w:val="BodyText"/>
        <w:shd w:val="clear" w:color="auto" w:fill="FFFFFF" w:themeFill="background1"/>
      </w:pPr>
      <w:r>
        <w:t xml:space="preserve">Real government recurrent expenditure of around </w:t>
      </w:r>
      <w:r w:rsidRPr="00B33D98">
        <w:rPr>
          <w:shd w:val="clear" w:color="auto" w:fill="FFFFFF" w:themeFill="background1"/>
        </w:rPr>
        <w:t>$</w:t>
      </w:r>
      <w:r w:rsidR="00E72BA1" w:rsidRPr="00B33D98">
        <w:rPr>
          <w:shd w:val="clear" w:color="auto" w:fill="FFFFFF" w:themeFill="background1"/>
        </w:rPr>
        <w:t>7.</w:t>
      </w:r>
      <w:r w:rsidR="00D340C7" w:rsidRPr="00B33D98">
        <w:rPr>
          <w:shd w:val="clear" w:color="auto" w:fill="FFFFFF" w:themeFill="background1"/>
        </w:rPr>
        <w:t>7</w:t>
      </w:r>
      <w:r w:rsidR="00E72BA1" w:rsidRPr="00B33D98">
        <w:rPr>
          <w:shd w:val="clear" w:color="auto" w:fill="FFFFFF" w:themeFill="background1"/>
        </w:rPr>
        <w:t xml:space="preserve"> </w:t>
      </w:r>
      <w:r w:rsidRPr="00B33D98">
        <w:rPr>
          <w:shd w:val="clear" w:color="auto" w:fill="FFFFFF" w:themeFill="background1"/>
        </w:rPr>
        <w:t>billion</w:t>
      </w:r>
      <w:r>
        <w:t xml:space="preserve"> was allocated to mental health services in 201</w:t>
      </w:r>
      <w:r w:rsidR="00D62DEA">
        <w:t>3</w:t>
      </w:r>
      <w:r w:rsidR="00F63EDA">
        <w:noBreakHyphen/>
      </w:r>
      <w:r>
        <w:t>1</w:t>
      </w:r>
      <w:r w:rsidR="00D62DEA">
        <w:t>4</w:t>
      </w:r>
      <w:r>
        <w:t xml:space="preserve"> (table</w:t>
      </w:r>
      <w:r w:rsidR="0022260C">
        <w:t> </w:t>
      </w:r>
      <w:proofErr w:type="spellStart"/>
      <w:r>
        <w:t>12A.4</w:t>
      </w:r>
      <w:proofErr w:type="spellEnd"/>
      <w:r>
        <w:t>). State and Territory governments made the largest contribution ($</w:t>
      </w:r>
      <w:r w:rsidR="00E72BA1">
        <w:t xml:space="preserve">4.8 </w:t>
      </w:r>
      <w:r>
        <w:t xml:space="preserve">billion, </w:t>
      </w:r>
      <w:r w:rsidRPr="00B33D98">
        <w:rPr>
          <w:shd w:val="clear" w:color="auto" w:fill="FFFFFF" w:themeFill="background1"/>
        </w:rPr>
        <w:t xml:space="preserve">or </w:t>
      </w:r>
      <w:r w:rsidR="00E72BA1" w:rsidRPr="00B33D98">
        <w:rPr>
          <w:shd w:val="clear" w:color="auto" w:fill="FFFFFF" w:themeFill="background1"/>
        </w:rPr>
        <w:t>62.</w:t>
      </w:r>
      <w:r w:rsidR="00D340C7" w:rsidRPr="00B33D98">
        <w:rPr>
          <w:shd w:val="clear" w:color="auto" w:fill="FFFFFF" w:themeFill="background1"/>
        </w:rPr>
        <w:t>4</w:t>
      </w:r>
      <w:r w:rsidR="00E72BA1" w:rsidRPr="00B33D98">
        <w:rPr>
          <w:shd w:val="clear" w:color="auto" w:fill="FFFFFF" w:themeFill="background1"/>
        </w:rPr>
        <w:t xml:space="preserve"> </w:t>
      </w:r>
      <w:r w:rsidRPr="00B33D98">
        <w:rPr>
          <w:shd w:val="clear" w:color="auto" w:fill="FFFFFF" w:themeFill="background1"/>
        </w:rPr>
        <w:t>per</w:t>
      </w:r>
      <w:r w:rsidR="006062EF" w:rsidRPr="00B33D98">
        <w:rPr>
          <w:shd w:val="clear" w:color="auto" w:fill="FFFFFF" w:themeFill="background1"/>
        </w:rPr>
        <w:t> </w:t>
      </w:r>
      <w:r w:rsidRPr="00B33D98">
        <w:rPr>
          <w:shd w:val="clear" w:color="auto" w:fill="FFFFFF" w:themeFill="background1"/>
        </w:rPr>
        <w:t>cent,</w:t>
      </w:r>
      <w:r>
        <w:t xml:space="preserve"> </w:t>
      </w:r>
      <w:r w:rsidR="00146269">
        <w:t>which</w:t>
      </w:r>
      <w:r>
        <w:t xml:space="preserve"> includes Australian Government funding under </w:t>
      </w:r>
      <w:r w:rsidRPr="005673E9">
        <w:rPr>
          <w:shd w:val="clear" w:color="auto" w:fill="FFFFFF" w:themeFill="background1"/>
        </w:rPr>
        <w:t xml:space="preserve">the </w:t>
      </w:r>
      <w:proofErr w:type="spellStart"/>
      <w:r w:rsidR="006C3116" w:rsidRPr="005673E9">
        <w:rPr>
          <w:shd w:val="clear" w:color="auto" w:fill="FFFFFF" w:themeFill="background1"/>
        </w:rPr>
        <w:t>NHRA</w:t>
      </w:r>
      <w:proofErr w:type="spellEnd"/>
      <w:r w:rsidR="00146269">
        <w:rPr>
          <w:shd w:val="clear" w:color="auto" w:fill="FFFFFF" w:themeFill="background1"/>
        </w:rPr>
        <w:t>), with Australian Government expenditure</w:t>
      </w:r>
      <w:r w:rsidR="00146269">
        <w:t xml:space="preserve"> of</w:t>
      </w:r>
      <w:r>
        <w:t xml:space="preserve"> $</w:t>
      </w:r>
      <w:r w:rsidR="008D62CA">
        <w:t>2.9</w:t>
      </w:r>
      <w:r>
        <w:t xml:space="preserve"> billion </w:t>
      </w:r>
      <w:r w:rsidR="009E6B98" w:rsidRPr="00B33D98">
        <w:rPr>
          <w:shd w:val="clear" w:color="auto" w:fill="FFFFFF" w:themeFill="background1"/>
        </w:rPr>
        <w:t>or 37.</w:t>
      </w:r>
      <w:r w:rsidR="00D340C7" w:rsidRPr="00B33D98">
        <w:rPr>
          <w:shd w:val="clear" w:color="auto" w:fill="FFFFFF" w:themeFill="background1"/>
        </w:rPr>
        <w:t>6</w:t>
      </w:r>
      <w:r w:rsidR="009E6B98" w:rsidRPr="00B33D98">
        <w:rPr>
          <w:shd w:val="clear" w:color="auto" w:fill="FFFFFF" w:themeFill="background1"/>
        </w:rPr>
        <w:t xml:space="preserve"> per cent of total government recurrent expenditure on mental health services</w:t>
      </w:r>
      <w:r w:rsidR="009E6B98">
        <w:t xml:space="preserve"> </w:t>
      </w:r>
      <w:r>
        <w:t>(table</w:t>
      </w:r>
      <w:r w:rsidR="00C6566D">
        <w:t> </w:t>
      </w:r>
      <w:proofErr w:type="spellStart"/>
      <w:r>
        <w:t>12A.4</w:t>
      </w:r>
      <w:proofErr w:type="spellEnd"/>
      <w:r>
        <w:t xml:space="preserve">). </w:t>
      </w:r>
    </w:p>
    <w:p w:rsidR="0010468D" w:rsidRDefault="009B1F5D" w:rsidP="00B33D98">
      <w:pPr>
        <w:pStyle w:val="BodyText"/>
        <w:shd w:val="clear" w:color="auto" w:fill="FFFFFF" w:themeFill="background1"/>
      </w:pPr>
      <w:r>
        <w:t xml:space="preserve">Real </w:t>
      </w:r>
      <w:r w:rsidR="00146269">
        <w:t>recurrent</w:t>
      </w:r>
      <w:r>
        <w:t xml:space="preserve"> government expenditure per</w:t>
      </w:r>
      <w:r w:rsidR="006062EF">
        <w:t> </w:t>
      </w:r>
      <w:r>
        <w:t>person on mental health services in</w:t>
      </w:r>
      <w:r w:rsidR="002B70A7">
        <w:t xml:space="preserve">creased from </w:t>
      </w:r>
      <w:r w:rsidR="002B70A7" w:rsidRPr="00C95390">
        <w:t>$</w:t>
      </w:r>
      <w:r w:rsidR="002B70A7">
        <w:t>255.44 in 2005</w:t>
      </w:r>
      <w:r w:rsidR="002B70A7">
        <w:noBreakHyphen/>
        <w:t>06 to</w:t>
      </w:r>
      <w:r>
        <w:t xml:space="preserve"> </w:t>
      </w:r>
      <w:r w:rsidR="002B70A7" w:rsidRPr="00B33D98">
        <w:rPr>
          <w:shd w:val="clear" w:color="auto" w:fill="FFFFFF" w:themeFill="background1"/>
        </w:rPr>
        <w:t>$3</w:t>
      </w:r>
      <w:r w:rsidR="00D340C7" w:rsidRPr="00B33D98">
        <w:rPr>
          <w:shd w:val="clear" w:color="auto" w:fill="FFFFFF" w:themeFill="background1"/>
        </w:rPr>
        <w:t>30</w:t>
      </w:r>
      <w:r w:rsidR="002B70A7" w:rsidRPr="00B33D98">
        <w:rPr>
          <w:shd w:val="clear" w:color="auto" w:fill="FFFFFF" w:themeFill="background1"/>
        </w:rPr>
        <w:t>.</w:t>
      </w:r>
      <w:r w:rsidR="00D340C7" w:rsidRPr="00B33D98">
        <w:rPr>
          <w:shd w:val="clear" w:color="auto" w:fill="FFFFFF" w:themeFill="background1"/>
        </w:rPr>
        <w:t>28</w:t>
      </w:r>
      <w:r w:rsidR="002B70A7">
        <w:t xml:space="preserve"> in </w:t>
      </w:r>
      <w:r w:rsidR="00CB129F">
        <w:t>2013</w:t>
      </w:r>
      <w:r w:rsidR="00F63EDA">
        <w:noBreakHyphen/>
      </w:r>
      <w:r w:rsidR="00CB129F">
        <w:t>14</w:t>
      </w:r>
      <w:r w:rsidR="002B70A7">
        <w:t xml:space="preserve"> </w:t>
      </w:r>
      <w:r>
        <w:t>(figure</w:t>
      </w:r>
      <w:r w:rsidR="007D1295">
        <w:t> </w:t>
      </w:r>
      <w:r w:rsidR="005448DE">
        <w:t>12.</w:t>
      </w:r>
      <w:r w:rsidR="0021696B">
        <w:t>1</w:t>
      </w:r>
      <w:r>
        <w:t>).</w:t>
      </w:r>
      <w:r w:rsidR="006F5E0F">
        <w:t xml:space="preserve"> </w:t>
      </w:r>
      <w:r w:rsidR="008F6347">
        <w:t xml:space="preserve">The average annual growth rate for </w:t>
      </w:r>
      <w:r w:rsidR="00146269">
        <w:t>Australian</w:t>
      </w:r>
      <w:r w:rsidR="0010468D" w:rsidRPr="00342D56">
        <w:t xml:space="preserve"> </w:t>
      </w:r>
      <w:r w:rsidR="00146269">
        <w:t>G</w:t>
      </w:r>
      <w:r w:rsidR="0010468D" w:rsidRPr="00342D56">
        <w:t xml:space="preserve">overnment </w:t>
      </w:r>
      <w:r w:rsidR="0010468D">
        <w:t>r</w:t>
      </w:r>
      <w:r w:rsidR="0010468D" w:rsidRPr="00062DA8">
        <w:t xml:space="preserve">eal expenditure </w:t>
      </w:r>
      <w:r w:rsidR="00146269">
        <w:t xml:space="preserve">over this period </w:t>
      </w:r>
      <w:r w:rsidR="008F6347">
        <w:t xml:space="preserve">was </w:t>
      </w:r>
      <w:r w:rsidR="002B70A7">
        <w:t>5.7</w:t>
      </w:r>
      <w:r w:rsidR="008F6347">
        <w:t xml:space="preserve"> per</w:t>
      </w:r>
      <w:r w:rsidR="006062EF">
        <w:t> </w:t>
      </w:r>
      <w:r w:rsidR="008F6347">
        <w:t>cent</w:t>
      </w:r>
      <w:r w:rsidR="002B70A7">
        <w:t xml:space="preserve">, which was slightly higher than the </w:t>
      </w:r>
      <w:r w:rsidR="002B70A7" w:rsidRPr="00B33D98">
        <w:rPr>
          <w:shd w:val="clear" w:color="auto" w:fill="FFFFFF" w:themeFill="background1"/>
        </w:rPr>
        <w:t>4.</w:t>
      </w:r>
      <w:r w:rsidR="00D340C7" w:rsidRPr="00B33D98">
        <w:rPr>
          <w:shd w:val="clear" w:color="auto" w:fill="FFFFFF" w:themeFill="background1"/>
        </w:rPr>
        <w:t>7</w:t>
      </w:r>
      <w:r w:rsidR="002B70A7">
        <w:t xml:space="preserve"> per cent for State and Territory governments</w:t>
      </w:r>
      <w:r w:rsidR="008F6347">
        <w:t xml:space="preserve"> </w:t>
      </w:r>
      <w:r w:rsidR="0010468D">
        <w:t>(</w:t>
      </w:r>
      <w:r w:rsidR="0010468D" w:rsidRPr="00062DA8">
        <w:t>table</w:t>
      </w:r>
      <w:r w:rsidR="0010468D">
        <w:t> </w:t>
      </w:r>
      <w:proofErr w:type="spellStart"/>
      <w:r w:rsidR="0010468D" w:rsidRPr="00062DA8">
        <w:t>12A.</w:t>
      </w:r>
      <w:r w:rsidR="00F5598C">
        <w:t>4</w:t>
      </w:r>
      <w:proofErr w:type="spellEnd"/>
      <w:r w:rsidR="0010468D">
        <w:t>)</w:t>
      </w:r>
      <w:r w:rsidR="002B70A7">
        <w:t>.</w:t>
      </w:r>
    </w:p>
    <w:p w:rsidR="002C5790" w:rsidRDefault="002C5790" w:rsidP="00B33D98">
      <w:pPr>
        <w:pStyle w:val="BodyText"/>
        <w:shd w:val="clear" w:color="auto" w:fill="FFFFFF" w:themeFill="background1"/>
      </w:pPr>
      <w:r>
        <w:t xml:space="preserve">Expenditure on </w:t>
      </w:r>
      <w:proofErr w:type="spellStart"/>
      <w:r>
        <w:t>MBS</w:t>
      </w:r>
      <w:proofErr w:type="spellEnd"/>
      <w:r>
        <w:t xml:space="preserve"> </w:t>
      </w:r>
      <w:r w:rsidRPr="00375E1F">
        <w:t>subsidised services was the largest component of Australian Government expenditure on mental health services in 201</w:t>
      </w:r>
      <w:r>
        <w:t>3</w:t>
      </w:r>
      <w:r w:rsidRPr="00375E1F">
        <w:noBreakHyphen/>
        <w:t>1</w:t>
      </w:r>
      <w:r>
        <w:t>4</w:t>
      </w:r>
      <w:r w:rsidRPr="00375E1F">
        <w:t xml:space="preserve"> ($</w:t>
      </w:r>
      <w:r>
        <w:rPr>
          <w:shd w:val="clear" w:color="auto" w:fill="FFFFFF" w:themeFill="background1"/>
        </w:rPr>
        <w:t>971.0</w:t>
      </w:r>
      <w:r>
        <w:t> </w:t>
      </w:r>
      <w:r w:rsidRPr="00375E1F">
        <w:t xml:space="preserve">million or </w:t>
      </w:r>
      <w:r w:rsidRPr="00B33D98">
        <w:rPr>
          <w:shd w:val="clear" w:color="auto" w:fill="FFFFFF" w:themeFill="background1"/>
        </w:rPr>
        <w:t>33.</w:t>
      </w:r>
      <w:r w:rsidR="00F825E7" w:rsidRPr="00B33D98">
        <w:rPr>
          <w:shd w:val="clear" w:color="auto" w:fill="FFFFFF" w:themeFill="background1"/>
        </w:rPr>
        <w:t>5</w:t>
      </w:r>
      <w:r w:rsidRPr="00375E1F">
        <w:t> per cent)</w:t>
      </w:r>
      <w:r>
        <w:t xml:space="preserve"> (table </w:t>
      </w:r>
      <w:proofErr w:type="spellStart"/>
      <w:r>
        <w:t>12A.1</w:t>
      </w:r>
      <w:proofErr w:type="spellEnd"/>
      <w:r>
        <w:t>)</w:t>
      </w:r>
      <w:r w:rsidRPr="00375E1F">
        <w:t xml:space="preserve">. This comprised </w:t>
      </w:r>
      <w:proofErr w:type="spellStart"/>
      <w:r w:rsidRPr="00375E1F">
        <w:t>MBS</w:t>
      </w:r>
      <w:proofErr w:type="spellEnd"/>
      <w:r w:rsidRPr="00375E1F">
        <w:t xml:space="preserve"> payments for psychologists and other allied health professionals (</w:t>
      </w:r>
      <w:r>
        <w:t>15.0 </w:t>
      </w:r>
      <w:r w:rsidRPr="00375E1F">
        <w:t>per</w:t>
      </w:r>
      <w:r>
        <w:t> </w:t>
      </w:r>
      <w:r w:rsidRPr="00375E1F">
        <w:t xml:space="preserve">cent), consultant psychiatrists </w:t>
      </w:r>
      <w:r w:rsidRPr="005673E9">
        <w:rPr>
          <w:shd w:val="clear" w:color="auto" w:fill="FFFFFF" w:themeFill="background1"/>
        </w:rPr>
        <w:t>(</w:t>
      </w:r>
      <w:r>
        <w:rPr>
          <w:shd w:val="clear" w:color="auto" w:fill="FFFFFF" w:themeFill="background1"/>
        </w:rPr>
        <w:t>11.1</w:t>
      </w:r>
      <w:r>
        <w:t> </w:t>
      </w:r>
      <w:r w:rsidRPr="00375E1F">
        <w:t>per</w:t>
      </w:r>
      <w:r>
        <w:t> </w:t>
      </w:r>
      <w:r w:rsidRPr="00375E1F">
        <w:t>cent</w:t>
      </w:r>
      <w:r>
        <w:t>)</w:t>
      </w:r>
      <w:r w:rsidRPr="004B4DEC">
        <w:t xml:space="preserve"> </w:t>
      </w:r>
      <w:r w:rsidRPr="00375E1F">
        <w:t>and</w:t>
      </w:r>
      <w:r>
        <w:t xml:space="preserve"> </w:t>
      </w:r>
      <w:r w:rsidRPr="00375E1F">
        <w:t>GP services (</w:t>
      </w:r>
      <w:r>
        <w:t>7.5</w:t>
      </w:r>
      <w:r w:rsidRPr="00375E1F">
        <w:t> per</w:t>
      </w:r>
      <w:r>
        <w:t> </w:t>
      </w:r>
      <w:r w:rsidRPr="00375E1F">
        <w:t>cent) (table </w:t>
      </w:r>
      <w:proofErr w:type="spellStart"/>
      <w:r w:rsidRPr="00375E1F">
        <w:t>12A.1</w:t>
      </w:r>
      <w:proofErr w:type="spellEnd"/>
      <w:r w:rsidRPr="00375E1F">
        <w:t xml:space="preserve">). </w:t>
      </w:r>
      <w:r w:rsidRPr="008773C0">
        <w:t>Another significant area of Australian Government expenditure on mental health services in 201</w:t>
      </w:r>
      <w:r>
        <w:t>3</w:t>
      </w:r>
      <w:r>
        <w:noBreakHyphen/>
      </w:r>
      <w:r w:rsidRPr="008773C0">
        <w:t>1</w:t>
      </w:r>
      <w:r>
        <w:t>4</w:t>
      </w:r>
      <w:r w:rsidRPr="008773C0">
        <w:t xml:space="preserve"> was expenditure under the </w:t>
      </w:r>
      <w:proofErr w:type="spellStart"/>
      <w:r w:rsidRPr="008773C0">
        <w:t>PBS</w:t>
      </w:r>
      <w:proofErr w:type="spellEnd"/>
      <w:r w:rsidRPr="008773C0">
        <w:t xml:space="preserve"> for mental</w:t>
      </w:r>
      <w:r>
        <w:noBreakHyphen/>
      </w:r>
      <w:r w:rsidRPr="008773C0">
        <w:t>health related medications ($</w:t>
      </w:r>
      <w:r>
        <w:t>735.0 </w:t>
      </w:r>
      <w:r w:rsidRPr="008773C0">
        <w:t>million) (table</w:t>
      </w:r>
      <w:r>
        <w:t> </w:t>
      </w:r>
      <w:proofErr w:type="spellStart"/>
      <w:r w:rsidRPr="008773C0">
        <w:t>12A.1</w:t>
      </w:r>
      <w:proofErr w:type="spellEnd"/>
      <w:r w:rsidRPr="008773C0">
        <w:t xml:space="preserve">). </w:t>
      </w:r>
    </w:p>
    <w:p w:rsidR="002C5790" w:rsidRPr="008F6347" w:rsidRDefault="002C5790" w:rsidP="00B33D98">
      <w:pPr>
        <w:pStyle w:val="BodyText"/>
        <w:shd w:val="clear" w:color="auto" w:fill="FFFFFF" w:themeFill="background1"/>
      </w:pPr>
      <w:r>
        <w:t>Nationally, expenditure on admitted patient services is</w:t>
      </w:r>
      <w:r w:rsidRPr="00B83560">
        <w:t xml:space="preserve"> the largest component of State and Territory governments’</w:t>
      </w:r>
      <w:r>
        <w:t xml:space="preserve"> expenditure on </w:t>
      </w:r>
      <w:r w:rsidRPr="00BC3E4E">
        <w:t>specialised</w:t>
      </w:r>
      <w:r w:rsidRPr="00B83560">
        <w:t xml:space="preserve"> mental health services ($</w:t>
      </w:r>
      <w:r>
        <w:t>2.1 b</w:t>
      </w:r>
      <w:r w:rsidRPr="00B83560">
        <w:t xml:space="preserve">illion or </w:t>
      </w:r>
      <w:r>
        <w:br/>
      </w:r>
      <w:r w:rsidRPr="00B33D98">
        <w:rPr>
          <w:shd w:val="clear" w:color="auto" w:fill="FFFFFF" w:themeFill="background1"/>
        </w:rPr>
        <w:t>43.</w:t>
      </w:r>
      <w:r w:rsidR="00F825E7" w:rsidRPr="00B33D98">
        <w:rPr>
          <w:shd w:val="clear" w:color="auto" w:fill="FFFFFF" w:themeFill="background1"/>
        </w:rPr>
        <w:t>4</w:t>
      </w:r>
      <w:r w:rsidRPr="00B33D98">
        <w:rPr>
          <w:shd w:val="clear" w:color="auto" w:fill="FFFFFF" w:themeFill="background1"/>
        </w:rPr>
        <w:t> per cent in 2013</w:t>
      </w:r>
      <w:r w:rsidR="00463329">
        <w:rPr>
          <w:shd w:val="clear" w:color="auto" w:fill="FFFFFF" w:themeFill="background1"/>
        </w:rPr>
        <w:noBreakHyphen/>
      </w:r>
      <w:r w:rsidRPr="00B33D98">
        <w:rPr>
          <w:shd w:val="clear" w:color="auto" w:fill="FFFFFF" w:themeFill="background1"/>
        </w:rPr>
        <w:t>14), followed by expenditure on community</w:t>
      </w:r>
      <w:r w:rsidR="00463329">
        <w:rPr>
          <w:shd w:val="clear" w:color="auto" w:fill="FFFFFF" w:themeFill="background1"/>
        </w:rPr>
        <w:noBreakHyphen/>
      </w:r>
      <w:r w:rsidRPr="00B33D98">
        <w:rPr>
          <w:shd w:val="clear" w:color="auto" w:fill="FFFFFF" w:themeFill="background1"/>
        </w:rPr>
        <w:t>based ambulatory services ($1.9 billion or 38.</w:t>
      </w:r>
      <w:r w:rsidR="00F825E7" w:rsidRPr="00B33D98">
        <w:rPr>
          <w:shd w:val="clear" w:color="auto" w:fill="FFFFFF" w:themeFill="background1"/>
        </w:rPr>
        <w:t>3</w:t>
      </w:r>
      <w:r>
        <w:t> per cent) (figure</w:t>
      </w:r>
      <w:r w:rsidR="00463329">
        <w:t> </w:t>
      </w:r>
      <w:r>
        <w:t>12.2).</w:t>
      </w:r>
      <w:r w:rsidRPr="00CB129F">
        <w:t xml:space="preserve"> </w:t>
      </w:r>
      <w:r w:rsidRPr="00E43450">
        <w:t>State and Territory governments’ expenditure on specialised mental health services</w:t>
      </w:r>
      <w:r>
        <w:t>, by source of funds and depreciation (which is excluded from reporting) are in tables </w:t>
      </w:r>
      <w:proofErr w:type="spellStart"/>
      <w:r>
        <w:t>12A.3</w:t>
      </w:r>
      <w:proofErr w:type="spellEnd"/>
      <w:r>
        <w:t xml:space="preserve"> and </w:t>
      </w:r>
      <w:proofErr w:type="spellStart"/>
      <w:r>
        <w:t>12A.5</w:t>
      </w:r>
      <w:proofErr w:type="spellEnd"/>
      <w:r>
        <w:t xml:space="preserve"> respectively. </w:t>
      </w:r>
    </w:p>
    <w:p w:rsidR="009B1F5D" w:rsidRDefault="009B1F5D" w:rsidP="002C5790">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1F5D" w:rsidTr="009D4675">
        <w:tc>
          <w:tcPr>
            <w:tcW w:w="8771" w:type="dxa"/>
            <w:tcBorders>
              <w:top w:val="single" w:sz="6" w:space="0" w:color="78A22F"/>
              <w:left w:val="nil"/>
              <w:bottom w:val="nil"/>
              <w:right w:val="nil"/>
            </w:tcBorders>
            <w:shd w:val="clear" w:color="auto" w:fill="auto"/>
          </w:tcPr>
          <w:p w:rsidR="009B1F5D" w:rsidRPr="00176D3F" w:rsidRDefault="009B1F5D">
            <w:pPr>
              <w:pStyle w:val="FigureTitle"/>
            </w:pPr>
            <w:r w:rsidRPr="00784A05">
              <w:rPr>
                <w:b w:val="0"/>
              </w:rPr>
              <w:t xml:space="preserve">Figure </w:t>
            </w:r>
            <w:bookmarkStart w:id="8" w:name="OLE_LINK3"/>
            <w:r w:rsidR="001F1DD0">
              <w:rPr>
                <w:b w:val="0"/>
              </w:rPr>
              <w:t>12.</w:t>
            </w:r>
            <w:r w:rsidR="00833D26">
              <w:rPr>
                <w:b w:val="0"/>
                <w:noProof/>
              </w:rPr>
              <w:t>1</w:t>
            </w:r>
            <w:bookmarkEnd w:id="8"/>
            <w:r>
              <w:tab/>
            </w:r>
            <w:r w:rsidRPr="009B1F5D">
              <w:t>Real recurrent governments’ expenditure on mental health services, by funding source (</w:t>
            </w:r>
            <w:r w:rsidR="00CB129F" w:rsidRPr="009B1F5D">
              <w:t>201</w:t>
            </w:r>
            <w:r w:rsidR="00CB129F">
              <w:t>3</w:t>
            </w:r>
            <w:r w:rsidR="00460F79">
              <w:noBreakHyphen/>
            </w:r>
            <w:r w:rsidR="00CB129F" w:rsidRPr="009B1F5D">
              <w:t>1</w:t>
            </w:r>
            <w:r w:rsidR="00CB129F">
              <w:t>4</w:t>
            </w:r>
            <w:r w:rsidR="00CB129F" w:rsidRPr="009B1F5D">
              <w:t xml:space="preserve"> </w:t>
            </w:r>
            <w:r w:rsidRPr="009B1F5D">
              <w:t>dollars)</w:t>
            </w:r>
            <w:r w:rsidRPr="009B1F5D">
              <w:rPr>
                <w:rStyle w:val="NoteLabel"/>
                <w:b/>
              </w:rPr>
              <w:t>a</w:t>
            </w:r>
          </w:p>
        </w:tc>
      </w:tr>
      <w:tr w:rsidR="009B1F5D" w:rsidTr="00427B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shd w:val="clear" w:color="auto" w:fill="BFBFBF" w:themeFill="background1" w:themeFillShade="BF"/>
              <w:tblLayout w:type="fixed"/>
              <w:tblCellMar>
                <w:top w:w="28" w:type="dxa"/>
                <w:left w:w="0" w:type="dxa"/>
                <w:right w:w="0" w:type="dxa"/>
              </w:tblCellMar>
              <w:tblLook w:val="0000" w:firstRow="0" w:lastRow="0" w:firstColumn="0" w:lastColumn="0" w:noHBand="0" w:noVBand="0"/>
            </w:tblPr>
            <w:tblGrid>
              <w:gridCol w:w="8504"/>
            </w:tblGrid>
            <w:tr w:rsidR="009B1F5D" w:rsidTr="00427BDE">
              <w:trPr>
                <w:jc w:val="center"/>
              </w:trPr>
              <w:tc>
                <w:tcPr>
                  <w:tcW w:w="5000" w:type="pct"/>
                  <w:tcBorders>
                    <w:top w:val="nil"/>
                    <w:bottom w:val="nil"/>
                    <w:right w:val="nil"/>
                  </w:tcBorders>
                  <w:shd w:val="clear" w:color="auto" w:fill="FFFFFF" w:themeFill="background1"/>
                </w:tcPr>
                <w:p w:rsidR="009B1F5D" w:rsidRDefault="00A23757" w:rsidP="009D4675">
                  <w:pPr>
                    <w:pStyle w:val="Figure"/>
                    <w:spacing w:before="60" w:after="60"/>
                  </w:pPr>
                  <w:r>
                    <w:rPr>
                      <w:noProof/>
                    </w:rPr>
                    <w:drawing>
                      <wp:inline distT="0" distB="0" distL="0" distR="0">
                        <wp:extent cx="5324475" cy="2695575"/>
                        <wp:effectExtent l="0" t="0" r="9525" b="9525"/>
                        <wp:docPr id="43" name="Picture 43" descr="Figure 12.1 Real recurrent governments’ expenditure on mental health services, by funding source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12.1 Real recurrent governments’ expenditure on mental health services, by funding source (2013-14 dollars)&#10;&#10;More details can be found within the text surrounding this 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4475" cy="2695575"/>
                                </a:xfrm>
                                <a:prstGeom prst="rect">
                                  <a:avLst/>
                                </a:prstGeom>
                                <a:noFill/>
                                <a:ln>
                                  <a:noFill/>
                                </a:ln>
                              </pic:spPr>
                            </pic:pic>
                          </a:graphicData>
                        </a:graphic>
                      </wp:inline>
                    </w:drawing>
                  </w:r>
                </w:p>
              </w:tc>
            </w:tr>
          </w:tbl>
          <w:p w:rsidR="009B1F5D" w:rsidRDefault="009B1F5D" w:rsidP="009D4675">
            <w:pPr>
              <w:pStyle w:val="Figure"/>
            </w:pPr>
          </w:p>
        </w:tc>
      </w:tr>
      <w:tr w:rsidR="009B1F5D" w:rsidRPr="00176D3F" w:rsidTr="009D4675">
        <w:tc>
          <w:tcPr>
            <w:tcW w:w="8771" w:type="dxa"/>
            <w:tcBorders>
              <w:top w:val="nil"/>
              <w:left w:val="nil"/>
              <w:bottom w:val="nil"/>
              <w:right w:val="nil"/>
            </w:tcBorders>
            <w:shd w:val="clear" w:color="auto" w:fill="auto"/>
          </w:tcPr>
          <w:p w:rsidR="009B1F5D" w:rsidRPr="00176D3F" w:rsidRDefault="009B1F5D" w:rsidP="006F5E0F">
            <w:pPr>
              <w:pStyle w:val="Note"/>
            </w:pPr>
            <w:r w:rsidRPr="009B1F5D">
              <w:rPr>
                <w:rStyle w:val="NoteLabel"/>
              </w:rPr>
              <w:t>a</w:t>
            </w:r>
            <w:r w:rsidRPr="006F439A">
              <w:t xml:space="preserve"> </w:t>
            </w:r>
            <w:r w:rsidR="006F5E0F" w:rsidRPr="006F5E0F">
              <w:t>See table</w:t>
            </w:r>
            <w:r w:rsidR="00463329">
              <w:t> </w:t>
            </w:r>
            <w:proofErr w:type="spellStart"/>
            <w:r w:rsidR="006F5E0F">
              <w:t>12</w:t>
            </w:r>
            <w:r w:rsidR="006F5E0F" w:rsidRPr="006F5E0F">
              <w:t>A.</w:t>
            </w:r>
            <w:r w:rsidR="006F5E0F">
              <w:t>4</w:t>
            </w:r>
            <w:proofErr w:type="spellEnd"/>
            <w:r w:rsidR="006F5E0F" w:rsidRPr="006F5E0F">
              <w:t xml:space="preserve"> </w:t>
            </w:r>
            <w:r w:rsidR="00871F08" w:rsidRPr="004B2BE8">
              <w:t xml:space="preserve">for </w:t>
            </w:r>
            <w:r w:rsidR="00871F08" w:rsidRPr="003B09FE">
              <w:t>detailed footnotes and caveats</w:t>
            </w:r>
            <w:r w:rsidR="006F5E0F" w:rsidRPr="006F5E0F">
              <w:t>.</w:t>
            </w:r>
            <w:r w:rsidRPr="009B1F5D">
              <w:t xml:space="preserve"> </w:t>
            </w:r>
          </w:p>
        </w:tc>
      </w:tr>
      <w:tr w:rsidR="009B1F5D" w:rsidRPr="00176D3F" w:rsidTr="009D4675">
        <w:tc>
          <w:tcPr>
            <w:tcW w:w="8771" w:type="dxa"/>
            <w:tcBorders>
              <w:top w:val="nil"/>
              <w:left w:val="nil"/>
              <w:bottom w:val="nil"/>
              <w:right w:val="nil"/>
            </w:tcBorders>
            <w:shd w:val="clear" w:color="auto" w:fill="auto"/>
          </w:tcPr>
          <w:p w:rsidR="009B1F5D" w:rsidRPr="00176D3F" w:rsidRDefault="009B1F5D" w:rsidP="002C5790">
            <w:pPr>
              <w:pStyle w:val="Source"/>
            </w:pPr>
            <w:r w:rsidRPr="009B1F5D">
              <w:rPr>
                <w:i/>
              </w:rPr>
              <w:t>Source</w:t>
            </w:r>
            <w:r w:rsidRPr="009B1F5D">
              <w:t>: Department of Health (unpublished); Australian Institute of Health and Welfare (AIHW) (unpublished) Mental Health Establishments (MHE) National Minimum Data Set (</w:t>
            </w:r>
            <w:proofErr w:type="spellStart"/>
            <w:r w:rsidRPr="009B1F5D">
              <w:t>NMDS</w:t>
            </w:r>
            <w:proofErr w:type="spellEnd"/>
            <w:r w:rsidRPr="009B1F5D">
              <w:t>); table</w:t>
            </w:r>
            <w:r w:rsidR="0022260C">
              <w:t> </w:t>
            </w:r>
            <w:proofErr w:type="spellStart"/>
            <w:r w:rsidRPr="009B1F5D">
              <w:t>12A.4</w:t>
            </w:r>
            <w:proofErr w:type="spellEnd"/>
            <w:r w:rsidRPr="009B1F5D">
              <w:t>.</w:t>
            </w:r>
          </w:p>
        </w:tc>
      </w:tr>
      <w:tr w:rsidR="009B1F5D" w:rsidTr="009D4675">
        <w:tc>
          <w:tcPr>
            <w:tcW w:w="8771" w:type="dxa"/>
            <w:tcBorders>
              <w:top w:val="nil"/>
              <w:left w:val="nil"/>
              <w:bottom w:val="single" w:sz="6" w:space="0" w:color="78A22F"/>
              <w:right w:val="nil"/>
            </w:tcBorders>
            <w:shd w:val="clear" w:color="auto" w:fill="auto"/>
          </w:tcPr>
          <w:p w:rsidR="009B1F5D" w:rsidRDefault="009B1F5D" w:rsidP="009D4675">
            <w:pPr>
              <w:pStyle w:val="Figurespace"/>
            </w:pPr>
          </w:p>
        </w:tc>
      </w:tr>
      <w:tr w:rsidR="009B1F5D" w:rsidRPr="000863A5" w:rsidTr="009D4675">
        <w:tc>
          <w:tcPr>
            <w:tcW w:w="8771" w:type="dxa"/>
            <w:tcBorders>
              <w:top w:val="single" w:sz="6" w:space="0" w:color="78A22F"/>
              <w:left w:val="nil"/>
              <w:bottom w:val="nil"/>
              <w:right w:val="nil"/>
            </w:tcBorders>
          </w:tcPr>
          <w:p w:rsidR="009B1F5D" w:rsidRPr="00626D32" w:rsidRDefault="009B1F5D" w:rsidP="009D4675">
            <w:pPr>
              <w:pStyle w:val="BoxSpaceBelow"/>
            </w:pPr>
          </w:p>
        </w:tc>
      </w:tr>
    </w:tbl>
    <w:p w:rsidR="009F29F9" w:rsidRDefault="009F29F9" w:rsidP="002C5790">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29F9" w:rsidTr="000B69A0">
        <w:tc>
          <w:tcPr>
            <w:tcW w:w="8771" w:type="dxa"/>
            <w:tcBorders>
              <w:top w:val="single" w:sz="6" w:space="0" w:color="78A22F"/>
              <w:left w:val="nil"/>
              <w:bottom w:val="nil"/>
              <w:right w:val="nil"/>
            </w:tcBorders>
            <w:shd w:val="clear" w:color="auto" w:fill="auto"/>
          </w:tcPr>
          <w:p w:rsidR="009F29F9" w:rsidRPr="0021696B" w:rsidRDefault="009F29F9" w:rsidP="00E22E4C">
            <w:pPr>
              <w:pStyle w:val="ListNumber"/>
              <w:keepNext/>
              <w:keepLines/>
              <w:numPr>
                <w:ilvl w:val="0"/>
                <w:numId w:val="0"/>
              </w:numPr>
              <w:spacing w:after="80" w:line="280" w:lineRule="exact"/>
              <w:ind w:left="1474" w:hanging="1474"/>
              <w:jc w:val="left"/>
              <w:rPr>
                <w:rFonts w:ascii="Arial" w:hAnsi="Arial" w:cs="Arial"/>
                <w:i/>
              </w:rPr>
            </w:pPr>
            <w:r w:rsidRPr="0021696B">
              <w:rPr>
                <w:rFonts w:ascii="Arial" w:hAnsi="Arial" w:cs="Arial"/>
              </w:rPr>
              <w:t>Figure 12.</w:t>
            </w:r>
            <w:r w:rsidR="00833D26">
              <w:rPr>
                <w:rFonts w:ascii="Arial" w:hAnsi="Arial" w:cs="Arial"/>
                <w:noProof/>
              </w:rPr>
              <w:t>2</w:t>
            </w:r>
            <w:r w:rsidRPr="0021696B">
              <w:rPr>
                <w:rFonts w:ascii="Arial" w:hAnsi="Arial" w:cs="Arial"/>
              </w:rPr>
              <w:tab/>
            </w:r>
            <w:r w:rsidRPr="0021696B">
              <w:rPr>
                <w:rFonts w:ascii="Arial" w:hAnsi="Arial" w:cs="Arial"/>
                <w:b/>
              </w:rPr>
              <w:t>Recurrent expenditure on State and Ter</w:t>
            </w:r>
            <w:r w:rsidR="004A2830">
              <w:rPr>
                <w:rFonts w:ascii="Arial" w:hAnsi="Arial" w:cs="Arial"/>
                <w:b/>
              </w:rPr>
              <w:t xml:space="preserve">ritory governments’ specialised </w:t>
            </w:r>
            <w:r w:rsidRPr="0021696B">
              <w:rPr>
                <w:rFonts w:ascii="Arial" w:hAnsi="Arial" w:cs="Arial"/>
                <w:b/>
              </w:rPr>
              <w:t>mental health services, by service category, 2013</w:t>
            </w:r>
            <w:r w:rsidR="0021696B">
              <w:rPr>
                <w:rFonts w:ascii="Arial" w:hAnsi="Arial" w:cs="Arial"/>
                <w:b/>
              </w:rPr>
              <w:noBreakHyphen/>
            </w:r>
            <w:r w:rsidRPr="0021696B">
              <w:rPr>
                <w:rFonts w:ascii="Arial" w:hAnsi="Arial" w:cs="Arial"/>
                <w:b/>
              </w:rPr>
              <w:t>14</w:t>
            </w:r>
            <w:r w:rsidR="0021696B" w:rsidRPr="0021696B">
              <w:rPr>
                <w:rStyle w:val="NoteLabel"/>
              </w:rPr>
              <w:t>a</w:t>
            </w:r>
            <w:r w:rsidR="00EA0BD3">
              <w:rPr>
                <w:rStyle w:val="NoteLabel"/>
              </w:rPr>
              <w:t>, b</w:t>
            </w:r>
          </w:p>
        </w:tc>
      </w:tr>
      <w:tr w:rsidR="009F29F9" w:rsidTr="00427B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F29F9" w:rsidTr="00427BDE">
              <w:trPr>
                <w:jc w:val="center"/>
              </w:trPr>
              <w:tc>
                <w:tcPr>
                  <w:tcW w:w="5000" w:type="pct"/>
                  <w:tcBorders>
                    <w:top w:val="nil"/>
                    <w:bottom w:val="nil"/>
                  </w:tcBorders>
                  <w:shd w:val="clear" w:color="auto" w:fill="FFFFFF" w:themeFill="background1"/>
                </w:tcPr>
                <w:p w:rsidR="009F29F9" w:rsidRDefault="007829BE" w:rsidP="000B69A0">
                  <w:pPr>
                    <w:pStyle w:val="Figure"/>
                    <w:spacing w:before="60" w:after="60"/>
                  </w:pPr>
                  <w:r>
                    <w:rPr>
                      <w:noProof/>
                    </w:rPr>
                    <w:drawing>
                      <wp:inline distT="0" distB="0" distL="0" distR="0">
                        <wp:extent cx="5353050" cy="2695575"/>
                        <wp:effectExtent l="0" t="0" r="0" b="9525"/>
                        <wp:docPr id="3" name="Picture 3" descr="Figure 12.2 Recurrent expenditure on State and Territory governments’ specialised mental health services, by service category,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050" cy="2695575"/>
                                </a:xfrm>
                                <a:prstGeom prst="rect">
                                  <a:avLst/>
                                </a:prstGeom>
                                <a:noFill/>
                                <a:ln>
                                  <a:noFill/>
                                </a:ln>
                              </pic:spPr>
                            </pic:pic>
                          </a:graphicData>
                        </a:graphic>
                      </wp:inline>
                    </w:drawing>
                  </w:r>
                </w:p>
              </w:tc>
            </w:tr>
          </w:tbl>
          <w:p w:rsidR="009F29F9" w:rsidRDefault="009F29F9" w:rsidP="000B69A0">
            <w:pPr>
              <w:pStyle w:val="Figure"/>
            </w:pPr>
          </w:p>
        </w:tc>
      </w:tr>
      <w:tr w:rsidR="009F29F9" w:rsidRPr="00176D3F" w:rsidTr="000B69A0">
        <w:tc>
          <w:tcPr>
            <w:tcW w:w="8771" w:type="dxa"/>
            <w:tcBorders>
              <w:top w:val="nil"/>
              <w:left w:val="nil"/>
              <w:bottom w:val="nil"/>
              <w:right w:val="nil"/>
            </w:tcBorders>
            <w:shd w:val="clear" w:color="auto" w:fill="auto"/>
          </w:tcPr>
          <w:p w:rsidR="009F29F9" w:rsidRPr="00176D3F" w:rsidRDefault="0021696B" w:rsidP="00E22E4C">
            <w:pPr>
              <w:pStyle w:val="Note"/>
              <w:rPr>
                <w:i/>
              </w:rPr>
            </w:pPr>
            <w:r>
              <w:rPr>
                <w:rStyle w:val="NoteLabel"/>
              </w:rPr>
              <w:t>a</w:t>
            </w:r>
            <w:r w:rsidRPr="00AF57D6">
              <w:t xml:space="preserve"> </w:t>
            </w:r>
            <w:r w:rsidR="00EA0BD3" w:rsidRPr="00EA0BD3">
              <w:t>Queens</w:t>
            </w:r>
            <w:r w:rsidR="00002EAD">
              <w:t>land does not have any in</w:t>
            </w:r>
            <w:r w:rsidR="00463329">
              <w:noBreakHyphen/>
            </w:r>
            <w:r w:rsidR="00135AE5">
              <w:t xml:space="preserve">scope </w:t>
            </w:r>
            <w:r w:rsidR="00002EAD">
              <w:t xml:space="preserve">community </w:t>
            </w:r>
            <w:r w:rsidR="00EA0BD3" w:rsidRPr="00EA0BD3">
              <w:t>residential services</w:t>
            </w:r>
            <w:r w:rsidR="00EA0BD3">
              <w:t xml:space="preserve">. </w:t>
            </w:r>
            <w:r w:rsidR="00EA0BD3">
              <w:rPr>
                <w:rStyle w:val="NoteLabel"/>
              </w:rPr>
              <w:t>b</w:t>
            </w:r>
            <w:r w:rsidR="00EA0BD3" w:rsidRPr="006F5E0F">
              <w:t xml:space="preserve"> </w:t>
            </w:r>
            <w:r w:rsidR="00062DA8" w:rsidRPr="006F5E0F">
              <w:t>See table</w:t>
            </w:r>
            <w:r w:rsidR="00463329">
              <w:t> </w:t>
            </w:r>
            <w:proofErr w:type="spellStart"/>
            <w:r w:rsidR="00062DA8">
              <w:t>12</w:t>
            </w:r>
            <w:r w:rsidR="00062DA8" w:rsidRPr="006F5E0F">
              <w:t>A.</w:t>
            </w:r>
            <w:r w:rsidR="00062DA8">
              <w:t>6</w:t>
            </w:r>
            <w:proofErr w:type="spellEnd"/>
            <w:r w:rsidR="00062DA8" w:rsidRPr="006F5E0F">
              <w:t xml:space="preserve"> </w:t>
            </w:r>
            <w:r w:rsidR="00871F08" w:rsidRPr="004B2BE8">
              <w:t xml:space="preserve">for </w:t>
            </w:r>
            <w:r w:rsidR="00871F08" w:rsidRPr="003B09FE">
              <w:t>detailed footnotes and caveats</w:t>
            </w:r>
            <w:r w:rsidR="00062DA8" w:rsidRPr="006F5E0F">
              <w:t>.</w:t>
            </w:r>
            <w:r w:rsidR="00EA0BD3">
              <w:t xml:space="preserve"> </w:t>
            </w:r>
          </w:p>
        </w:tc>
      </w:tr>
      <w:tr w:rsidR="009F29F9" w:rsidRPr="00176D3F" w:rsidTr="000B69A0">
        <w:tc>
          <w:tcPr>
            <w:tcW w:w="8771" w:type="dxa"/>
            <w:tcBorders>
              <w:top w:val="nil"/>
              <w:left w:val="nil"/>
              <w:bottom w:val="nil"/>
              <w:right w:val="nil"/>
            </w:tcBorders>
            <w:shd w:val="clear" w:color="auto" w:fill="auto"/>
          </w:tcPr>
          <w:p w:rsidR="009F29F9" w:rsidRPr="00176D3F" w:rsidRDefault="0021696B" w:rsidP="000B69A0">
            <w:pPr>
              <w:pStyle w:val="Source"/>
            </w:pPr>
            <w:r w:rsidRPr="006F4273">
              <w:rPr>
                <w:i/>
              </w:rPr>
              <w:t>Source</w:t>
            </w:r>
            <w:r w:rsidRPr="006F4273">
              <w:t xml:space="preserve">: AIHW (unpublished) </w:t>
            </w:r>
            <w:proofErr w:type="spellStart"/>
            <w:r w:rsidRPr="006F4273">
              <w:t>MHE</w:t>
            </w:r>
            <w:proofErr w:type="spellEnd"/>
            <w:r w:rsidRPr="006F4273">
              <w:t xml:space="preserve"> </w:t>
            </w:r>
            <w:proofErr w:type="spellStart"/>
            <w:r w:rsidRPr="006F4273">
              <w:t>NMDS</w:t>
            </w:r>
            <w:proofErr w:type="spellEnd"/>
            <w:r w:rsidRPr="006F4273">
              <w:t>; table</w:t>
            </w:r>
            <w:r>
              <w:t> </w:t>
            </w:r>
            <w:proofErr w:type="spellStart"/>
            <w:r w:rsidRPr="006F4273">
              <w:t>12A.6</w:t>
            </w:r>
            <w:proofErr w:type="spellEnd"/>
            <w:r w:rsidRPr="006F4273">
              <w:t>.</w:t>
            </w:r>
          </w:p>
        </w:tc>
      </w:tr>
      <w:tr w:rsidR="009F29F9" w:rsidTr="000B69A0">
        <w:tc>
          <w:tcPr>
            <w:tcW w:w="8771" w:type="dxa"/>
            <w:tcBorders>
              <w:top w:val="nil"/>
              <w:left w:val="nil"/>
              <w:bottom w:val="single" w:sz="6" w:space="0" w:color="78A22F"/>
              <w:right w:val="nil"/>
            </w:tcBorders>
            <w:shd w:val="clear" w:color="auto" w:fill="auto"/>
          </w:tcPr>
          <w:p w:rsidR="009F29F9" w:rsidRDefault="009F29F9" w:rsidP="000B69A0">
            <w:pPr>
              <w:pStyle w:val="Figurespace"/>
            </w:pPr>
          </w:p>
        </w:tc>
      </w:tr>
      <w:tr w:rsidR="009F29F9" w:rsidRPr="000863A5" w:rsidTr="000B69A0">
        <w:tc>
          <w:tcPr>
            <w:tcW w:w="8771" w:type="dxa"/>
            <w:tcBorders>
              <w:top w:val="single" w:sz="6" w:space="0" w:color="78A22F"/>
              <w:left w:val="nil"/>
              <w:bottom w:val="nil"/>
              <w:right w:val="nil"/>
            </w:tcBorders>
          </w:tcPr>
          <w:p w:rsidR="009F29F9" w:rsidRPr="00626D32" w:rsidRDefault="009F29F9" w:rsidP="000B69A0">
            <w:pPr>
              <w:pStyle w:val="BoxSpaceBelow"/>
            </w:pPr>
          </w:p>
        </w:tc>
      </w:tr>
    </w:tbl>
    <w:p w:rsidR="006F4273" w:rsidRDefault="006F4273" w:rsidP="00067BA2">
      <w:pPr>
        <w:pStyle w:val="Heading3"/>
        <w:spacing w:before="480"/>
      </w:pPr>
      <w:r>
        <w:lastRenderedPageBreak/>
        <w:t>Size and scope of sector</w:t>
      </w:r>
    </w:p>
    <w:p w:rsidR="006F4273" w:rsidRDefault="006F4273" w:rsidP="006F4273">
      <w:pPr>
        <w:pStyle w:val="Heading4"/>
      </w:pPr>
      <w:r>
        <w:t>Prevalence of mental illness and psychological distress</w:t>
      </w:r>
    </w:p>
    <w:p w:rsidR="006F4273" w:rsidRDefault="006F4273" w:rsidP="002315C6">
      <w:pPr>
        <w:pStyle w:val="BodyText"/>
      </w:pPr>
      <w:r>
        <w:t>According to the National Survey of Mental Health and Wellbeing (</w:t>
      </w:r>
      <w:proofErr w:type="spellStart"/>
      <w:r>
        <w:t>SMHWB</w:t>
      </w:r>
      <w:proofErr w:type="spellEnd"/>
      <w:r>
        <w:t xml:space="preserve">), in 2007, </w:t>
      </w:r>
      <w:r w:rsidR="00662783">
        <w:t>1 in 5 people</w:t>
      </w:r>
      <w:r>
        <w:t xml:space="preserve"> aged 16–85 years (</w:t>
      </w:r>
      <w:r w:rsidR="00662783">
        <w:t xml:space="preserve">20.0 per cent, or </w:t>
      </w:r>
      <w:r>
        <w:t>approximately 3.2 million adults) met the criteria for diagnosis of a lifetime mental disorder</w:t>
      </w:r>
      <w:r w:rsidR="004A2830">
        <w:t>/illness</w:t>
      </w:r>
      <w:r>
        <w:t xml:space="preserve"> and had symptoms in the </w:t>
      </w:r>
      <w:r w:rsidR="00662783">
        <w:t xml:space="preserve">previous </w:t>
      </w:r>
      <w:r>
        <w:t>12</w:t>
      </w:r>
      <w:r w:rsidR="00E858DD">
        <w:t> </w:t>
      </w:r>
      <w:r>
        <w:t>months</w:t>
      </w:r>
      <w:r w:rsidR="00662783">
        <w:t xml:space="preserve">, and a </w:t>
      </w:r>
      <w:r>
        <w:t>further 25.5 per</w:t>
      </w:r>
      <w:r w:rsidR="006062EF">
        <w:t> </w:t>
      </w:r>
      <w:r>
        <w:t xml:space="preserve">cent of </w:t>
      </w:r>
      <w:r w:rsidR="00662783">
        <w:t>people in this age group</w:t>
      </w:r>
      <w:r>
        <w:t xml:space="preserve"> had experienced a mental disorder at some point in their life (table</w:t>
      </w:r>
      <w:r w:rsidR="0022260C">
        <w:t> </w:t>
      </w:r>
      <w:proofErr w:type="spellStart"/>
      <w:r>
        <w:t>12A.</w:t>
      </w:r>
      <w:r w:rsidR="00BA15F4">
        <w:t>7</w:t>
      </w:r>
      <w:r>
        <w:t>6</w:t>
      </w:r>
      <w:proofErr w:type="spellEnd"/>
      <w:r>
        <w:t xml:space="preserve">). </w:t>
      </w:r>
    </w:p>
    <w:p w:rsidR="00461255" w:rsidRDefault="006F4273" w:rsidP="00067BA2">
      <w:pPr>
        <w:pStyle w:val="BodyText"/>
        <w:spacing w:before="200"/>
      </w:pPr>
      <w:r>
        <w:t>A proxy measure of the overall mental health and wellbeing of the population is the Kessler 10 (</w:t>
      </w:r>
      <w:proofErr w:type="spellStart"/>
      <w:r>
        <w:t>K10</w:t>
      </w:r>
      <w:proofErr w:type="spellEnd"/>
      <w:r>
        <w:t xml:space="preserve">) psychological distress scale. </w:t>
      </w:r>
      <w:r w:rsidR="00A64331">
        <w:t xml:space="preserve">Very high levels of </w:t>
      </w:r>
      <w:r w:rsidR="00A64331" w:rsidRPr="00A64331">
        <w:t>psychological distress</w:t>
      </w:r>
      <w:r w:rsidR="00A64331">
        <w:t xml:space="preserve"> may signify a need for professional help</w:t>
      </w:r>
      <w:r w:rsidR="00A64331" w:rsidRPr="00A64331">
        <w:t xml:space="preserve"> </w:t>
      </w:r>
      <w:r w:rsidR="00A64331">
        <w:t xml:space="preserve">and provide an estimate of the need for mental health services (ABS 2012). </w:t>
      </w:r>
      <w:r w:rsidR="00461255">
        <w:t>H</w:t>
      </w:r>
      <w:r>
        <w:t>igher levels of psychological distress</w:t>
      </w:r>
      <w:r w:rsidR="00461255">
        <w:t xml:space="preserve"> are reported </w:t>
      </w:r>
      <w:r w:rsidR="0065166A">
        <w:t>f</w:t>
      </w:r>
      <w:r w:rsidR="00461255">
        <w:t>or:</w:t>
      </w:r>
    </w:p>
    <w:p w:rsidR="00461255" w:rsidRDefault="00461255" w:rsidP="00EB040E">
      <w:pPr>
        <w:pStyle w:val="ListBullet"/>
      </w:pPr>
      <w:r>
        <w:t>females compared to males (figure</w:t>
      </w:r>
      <w:r w:rsidR="00463329">
        <w:t> </w:t>
      </w:r>
      <w:r>
        <w:t>12.3)</w:t>
      </w:r>
    </w:p>
    <w:p w:rsidR="00461255" w:rsidRDefault="00461255" w:rsidP="00EB040E">
      <w:pPr>
        <w:pStyle w:val="ListBullet"/>
      </w:pPr>
      <w:r>
        <w:t>people with disability compared to those without (table</w:t>
      </w:r>
      <w:r w:rsidR="00463329">
        <w:t> </w:t>
      </w:r>
      <w:proofErr w:type="spellStart"/>
      <w:r>
        <w:t>12A.9</w:t>
      </w:r>
      <w:proofErr w:type="spellEnd"/>
      <w:r>
        <w:t>)</w:t>
      </w:r>
    </w:p>
    <w:p w:rsidR="00461255" w:rsidRDefault="00461255" w:rsidP="00EB040E">
      <w:pPr>
        <w:pStyle w:val="ListBullet"/>
      </w:pPr>
      <w:r>
        <w:t>people in lower socioeconomic areas compared to those in higher areas (table</w:t>
      </w:r>
      <w:r w:rsidR="00463329">
        <w:t> </w:t>
      </w:r>
      <w:proofErr w:type="spellStart"/>
      <w:r>
        <w:t>12A.9</w:t>
      </w:r>
      <w:proofErr w:type="spellEnd"/>
      <w:r>
        <w:t>)</w:t>
      </w:r>
    </w:p>
    <w:p w:rsidR="00461255" w:rsidRDefault="00461255" w:rsidP="00EB040E">
      <w:pPr>
        <w:pStyle w:val="ListBullet"/>
      </w:pPr>
      <w:r>
        <w:t>Aboriginal and Torres Strait Islander Australians compared to non</w:t>
      </w:r>
      <w:r w:rsidR="00463329">
        <w:noBreakHyphen/>
      </w:r>
      <w:r>
        <w:t>Indigenous Australians (table</w:t>
      </w:r>
      <w:r w:rsidR="00463329">
        <w:t> </w:t>
      </w:r>
      <w:proofErr w:type="spellStart"/>
      <w:r>
        <w:t>12A.15</w:t>
      </w:r>
      <w:proofErr w:type="spellEnd"/>
      <w:r>
        <w:t>).</w:t>
      </w:r>
    </w:p>
    <w:p w:rsidR="00175597" w:rsidRDefault="00175597" w:rsidP="00067BA2">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75597" w:rsidTr="009D4675">
        <w:tc>
          <w:tcPr>
            <w:tcW w:w="8771" w:type="dxa"/>
            <w:tcBorders>
              <w:top w:val="single" w:sz="6" w:space="0" w:color="78A22F"/>
              <w:left w:val="nil"/>
              <w:bottom w:val="nil"/>
              <w:right w:val="nil"/>
            </w:tcBorders>
            <w:shd w:val="clear" w:color="auto" w:fill="auto"/>
          </w:tcPr>
          <w:p w:rsidR="00175597" w:rsidRPr="00176D3F" w:rsidRDefault="00175597">
            <w:pPr>
              <w:pStyle w:val="FigureTitle"/>
              <w:keepNext w:val="0"/>
              <w:keepLines w:val="0"/>
              <w:widowControl w:val="0"/>
              <w:spacing w:before="80"/>
            </w:pPr>
            <w:r w:rsidRPr="00784A05">
              <w:rPr>
                <w:b w:val="0"/>
              </w:rPr>
              <w:t xml:space="preserve">Figure </w:t>
            </w:r>
            <w:r w:rsidR="0021696B">
              <w:rPr>
                <w:b w:val="0"/>
              </w:rPr>
              <w:t>12.</w:t>
            </w:r>
            <w:r w:rsidR="00833D26">
              <w:rPr>
                <w:b w:val="0"/>
                <w:noProof/>
              </w:rPr>
              <w:t>3</w:t>
            </w:r>
            <w:r>
              <w:tab/>
            </w:r>
            <w:r w:rsidRPr="00175597">
              <w:t xml:space="preserve">Adults with very high levels of psychological distress, by </w:t>
            </w:r>
            <w:r w:rsidR="00513EA7">
              <w:t>gender</w:t>
            </w:r>
            <w:r w:rsidRPr="00175597">
              <w:t>, 2011</w:t>
            </w:r>
            <w:r>
              <w:noBreakHyphen/>
            </w:r>
            <w:r w:rsidRPr="00175597">
              <w:t>12</w:t>
            </w:r>
            <w:r w:rsidRPr="00175597">
              <w:rPr>
                <w:rStyle w:val="NoteLabel"/>
                <w:b/>
              </w:rPr>
              <w:t>a</w:t>
            </w:r>
          </w:p>
        </w:tc>
      </w:tr>
      <w:tr w:rsidR="00175597" w:rsidTr="009D46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75597" w:rsidTr="009D4675">
              <w:trPr>
                <w:jc w:val="center"/>
              </w:trPr>
              <w:tc>
                <w:tcPr>
                  <w:tcW w:w="5000" w:type="pct"/>
                  <w:tcBorders>
                    <w:top w:val="nil"/>
                    <w:bottom w:val="nil"/>
                  </w:tcBorders>
                </w:tcPr>
                <w:p w:rsidR="00175597" w:rsidRDefault="001B7B09" w:rsidP="00E22E4C">
                  <w:pPr>
                    <w:pStyle w:val="Figure"/>
                    <w:keepNext w:val="0"/>
                    <w:widowControl w:val="0"/>
                    <w:spacing w:before="40" w:after="40" w:line="240" w:lineRule="auto"/>
                  </w:pPr>
                  <w:r>
                    <w:rPr>
                      <w:noProof/>
                    </w:rPr>
                    <w:drawing>
                      <wp:inline distT="0" distB="0" distL="0" distR="0">
                        <wp:extent cx="5391150" cy="2686050"/>
                        <wp:effectExtent l="0" t="0" r="0" b="0"/>
                        <wp:docPr id="4" name="Picture 4" descr="Figure 12.3 Adults with very high levels of psychological distress, by gender,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75597" w:rsidRDefault="00175597" w:rsidP="00067BA2">
            <w:pPr>
              <w:pStyle w:val="Figure"/>
              <w:keepNext w:val="0"/>
              <w:widowControl w:val="0"/>
            </w:pPr>
          </w:p>
        </w:tc>
      </w:tr>
      <w:tr w:rsidR="00175597" w:rsidRPr="00176D3F" w:rsidTr="009D4675">
        <w:tc>
          <w:tcPr>
            <w:tcW w:w="8771" w:type="dxa"/>
            <w:tcBorders>
              <w:top w:val="nil"/>
              <w:left w:val="nil"/>
              <w:bottom w:val="nil"/>
              <w:right w:val="nil"/>
            </w:tcBorders>
            <w:shd w:val="clear" w:color="auto" w:fill="auto"/>
          </w:tcPr>
          <w:p w:rsidR="00175597" w:rsidRPr="00176D3F" w:rsidRDefault="00DC2C60" w:rsidP="00F35B20">
            <w:pPr>
              <w:pStyle w:val="Note"/>
              <w:keepLines w:val="0"/>
              <w:widowControl w:val="0"/>
              <w:spacing w:line="200" w:lineRule="exact"/>
              <w:rPr>
                <w:i/>
              </w:rPr>
            </w:pPr>
            <w:r w:rsidRPr="00DC2C60">
              <w:rPr>
                <w:rStyle w:val="NoteLabel"/>
              </w:rPr>
              <w:t>a</w:t>
            </w:r>
            <w:r w:rsidRPr="00E22E4C">
              <w:t xml:space="preserve"> See table</w:t>
            </w:r>
            <w:r w:rsidR="00463329">
              <w:t> </w:t>
            </w:r>
            <w:proofErr w:type="spellStart"/>
            <w:r w:rsidRPr="00E22E4C">
              <w:t>12A.</w:t>
            </w:r>
            <w:r>
              <w:t>8</w:t>
            </w:r>
            <w:proofErr w:type="spellEnd"/>
            <w:r w:rsidRPr="00E22E4C">
              <w:t xml:space="preserve"> for </w:t>
            </w:r>
            <w:r w:rsidR="00871F08">
              <w:t>d</w:t>
            </w:r>
            <w:r w:rsidR="00871F08" w:rsidRPr="00871F08">
              <w:t>etailed footnotes and caveats</w:t>
            </w:r>
            <w:r w:rsidRPr="00E22E4C">
              <w:t>.</w:t>
            </w:r>
            <w:r w:rsidR="00351F02" w:rsidRPr="00DC2C60">
              <w:t xml:space="preserve"> </w:t>
            </w:r>
          </w:p>
        </w:tc>
      </w:tr>
      <w:tr w:rsidR="00175597" w:rsidRPr="00176D3F" w:rsidTr="009D4675">
        <w:tc>
          <w:tcPr>
            <w:tcW w:w="8771" w:type="dxa"/>
            <w:tcBorders>
              <w:top w:val="nil"/>
              <w:left w:val="nil"/>
              <w:bottom w:val="nil"/>
              <w:right w:val="nil"/>
            </w:tcBorders>
            <w:shd w:val="clear" w:color="auto" w:fill="auto"/>
          </w:tcPr>
          <w:p w:rsidR="00175597" w:rsidRPr="00176D3F" w:rsidRDefault="00175597" w:rsidP="008773C0">
            <w:pPr>
              <w:pStyle w:val="Source"/>
              <w:keepLines w:val="0"/>
              <w:widowControl w:val="0"/>
              <w:spacing w:line="200" w:lineRule="exact"/>
            </w:pPr>
            <w:r w:rsidRPr="00175597">
              <w:rPr>
                <w:i/>
              </w:rPr>
              <w:t>Source</w:t>
            </w:r>
            <w:r w:rsidRPr="00175597">
              <w:t>:</w:t>
            </w:r>
            <w:r w:rsidRPr="00175597">
              <w:rPr>
                <w:i/>
              </w:rPr>
              <w:t xml:space="preserve"> </w:t>
            </w:r>
            <w:r w:rsidRPr="00175597">
              <w:t xml:space="preserve">ABS (unpublished) </w:t>
            </w:r>
            <w:r w:rsidRPr="00153FA1">
              <w:rPr>
                <w:i/>
              </w:rPr>
              <w:t xml:space="preserve">Australian Health Survey </w:t>
            </w:r>
            <w:r w:rsidRPr="00F41A8F">
              <w:t>(AHS)</w:t>
            </w:r>
            <w:r w:rsidRPr="00153FA1">
              <w:rPr>
                <w:i/>
              </w:rPr>
              <w:t xml:space="preserve"> 2011–13</w:t>
            </w:r>
            <w:r w:rsidRPr="00175597">
              <w:t xml:space="preserve"> (2011</w:t>
            </w:r>
            <w:r w:rsidR="005C669C">
              <w:noBreakHyphen/>
            </w:r>
            <w:r w:rsidRPr="00175597">
              <w:t xml:space="preserve">12 </w:t>
            </w:r>
            <w:r w:rsidR="008773C0" w:rsidRPr="008773C0">
              <w:t xml:space="preserve">National Health Survey (NHS) </w:t>
            </w:r>
            <w:r w:rsidRPr="00175597">
              <w:t>component)</w:t>
            </w:r>
            <w:r w:rsidR="00BF5E14">
              <w:t xml:space="preserve">, </w:t>
            </w:r>
            <w:r w:rsidR="00BF5E14" w:rsidRPr="00BF5E14">
              <w:t>Cat. no. 4364.0</w:t>
            </w:r>
            <w:r w:rsidRPr="00175597">
              <w:t>; table</w:t>
            </w:r>
            <w:r w:rsidR="0022260C">
              <w:t> </w:t>
            </w:r>
            <w:proofErr w:type="spellStart"/>
            <w:r w:rsidRPr="00175597">
              <w:t>12A.8</w:t>
            </w:r>
            <w:proofErr w:type="spellEnd"/>
            <w:r w:rsidRPr="00175597">
              <w:t>.</w:t>
            </w:r>
          </w:p>
        </w:tc>
      </w:tr>
      <w:tr w:rsidR="00175597" w:rsidTr="009D4675">
        <w:tc>
          <w:tcPr>
            <w:tcW w:w="8771" w:type="dxa"/>
            <w:tcBorders>
              <w:top w:val="nil"/>
              <w:left w:val="nil"/>
              <w:bottom w:val="single" w:sz="6" w:space="0" w:color="78A22F"/>
              <w:right w:val="nil"/>
            </w:tcBorders>
            <w:shd w:val="clear" w:color="auto" w:fill="auto"/>
          </w:tcPr>
          <w:p w:rsidR="00175597" w:rsidRDefault="00175597" w:rsidP="00067BA2">
            <w:pPr>
              <w:pStyle w:val="Figurespace"/>
              <w:keepNext w:val="0"/>
              <w:widowControl w:val="0"/>
            </w:pPr>
          </w:p>
        </w:tc>
      </w:tr>
      <w:tr w:rsidR="00175597" w:rsidRPr="000863A5" w:rsidTr="009D4675">
        <w:tc>
          <w:tcPr>
            <w:tcW w:w="8771" w:type="dxa"/>
            <w:tcBorders>
              <w:top w:val="single" w:sz="6" w:space="0" w:color="78A22F"/>
              <w:left w:val="nil"/>
              <w:bottom w:val="nil"/>
              <w:right w:val="nil"/>
            </w:tcBorders>
          </w:tcPr>
          <w:p w:rsidR="00175597" w:rsidRPr="00626D32" w:rsidRDefault="00175597" w:rsidP="00067BA2">
            <w:pPr>
              <w:pStyle w:val="BoxSpaceBelow"/>
              <w:widowControl w:val="0"/>
            </w:pPr>
          </w:p>
        </w:tc>
      </w:tr>
    </w:tbl>
    <w:p w:rsidR="00461255" w:rsidRDefault="00461255" w:rsidP="00461255">
      <w:pPr>
        <w:pStyle w:val="BodyText"/>
        <w:spacing w:before="200"/>
      </w:pPr>
      <w:r>
        <w:lastRenderedPageBreak/>
        <w:t xml:space="preserve">There is also a strong association between a high/very high </w:t>
      </w:r>
      <w:proofErr w:type="spellStart"/>
      <w:r>
        <w:t>K10</w:t>
      </w:r>
      <w:proofErr w:type="spellEnd"/>
      <w:r>
        <w:t xml:space="preserve"> score and a current diagnosis of anxiety and affective disorders, and people with a mental illness are overrepresented in the population who had high/very high levels of psychological distress (ABS 2012 and</w:t>
      </w:r>
      <w:r w:rsidRPr="00A64331">
        <w:t xml:space="preserve"> </w:t>
      </w:r>
      <w:r>
        <w:t>table </w:t>
      </w:r>
      <w:proofErr w:type="spellStart"/>
      <w:r>
        <w:t>12A.7</w:t>
      </w:r>
      <w:proofErr w:type="spellEnd"/>
      <w:r>
        <w:t>).</w:t>
      </w:r>
    </w:p>
    <w:p w:rsidR="00461255" w:rsidRDefault="00461255" w:rsidP="00461255">
      <w:pPr>
        <w:pStyle w:val="BodyText"/>
        <w:spacing w:before="200"/>
      </w:pPr>
      <w:r>
        <w:t>Tables </w:t>
      </w:r>
      <w:proofErr w:type="spellStart"/>
      <w:r>
        <w:t>12A.8</w:t>
      </w:r>
      <w:proofErr w:type="spellEnd"/>
      <w:r>
        <w:t>–16 contain additional data on high/very high levels of psychological distress.</w:t>
      </w:r>
    </w:p>
    <w:p w:rsidR="00175597" w:rsidRDefault="00175597" w:rsidP="00175597">
      <w:pPr>
        <w:pStyle w:val="Heading4"/>
      </w:pPr>
      <w:r>
        <w:t xml:space="preserve">Mental health services </w:t>
      </w:r>
      <w:r w:rsidR="000A530B">
        <w:rPr>
          <w:rFonts w:ascii="Calibri" w:hAnsi="Calibri"/>
        </w:rPr>
        <w:t>―</w:t>
      </w:r>
      <w:r w:rsidR="000A530B">
        <w:t xml:space="preserve"> overview</w:t>
      </w:r>
    </w:p>
    <w:p w:rsidR="00175597" w:rsidRDefault="00175597" w:rsidP="002315C6">
      <w:pPr>
        <w:pStyle w:val="BodyText"/>
      </w:pPr>
      <w:r>
        <w:t xml:space="preserve">There are a range of </w:t>
      </w:r>
      <w:r w:rsidR="00135AE5">
        <w:t xml:space="preserve">Australian, State or Territory </w:t>
      </w:r>
      <w:r>
        <w:t>government</w:t>
      </w:r>
      <w:r w:rsidR="00135AE5">
        <w:t>s’</w:t>
      </w:r>
      <w:r>
        <w:t xml:space="preserve"> provided or funded services</w:t>
      </w:r>
      <w:r w:rsidR="0000655A" w:rsidRPr="0000655A">
        <w:t xml:space="preserve"> </w:t>
      </w:r>
      <w:r w:rsidR="0000655A">
        <w:t xml:space="preserve">that are specifically </w:t>
      </w:r>
      <w:r w:rsidR="00E332B4">
        <w:t xml:space="preserve">designed </w:t>
      </w:r>
      <w:r w:rsidR="0000655A">
        <w:t>to meet the needs of people with mental health issues</w:t>
      </w:r>
      <w:r>
        <w:t>; the key services are:</w:t>
      </w:r>
    </w:p>
    <w:p w:rsidR="00175597" w:rsidRDefault="00175597" w:rsidP="00175597">
      <w:pPr>
        <w:pStyle w:val="ListBullet"/>
      </w:pPr>
      <w:proofErr w:type="spellStart"/>
      <w:r>
        <w:t>MBS</w:t>
      </w:r>
      <w:proofErr w:type="spellEnd"/>
      <w:r w:rsidR="003978B7">
        <w:t xml:space="preserve"> </w:t>
      </w:r>
      <w:r>
        <w:t xml:space="preserve">subsidised mental health </w:t>
      </w:r>
      <w:r w:rsidR="004A2830">
        <w:t>specific</w:t>
      </w:r>
      <w:r w:rsidR="004A2830" w:rsidDel="004A2830">
        <w:t xml:space="preserve"> </w:t>
      </w:r>
      <w:r>
        <w:t xml:space="preserve">services </w:t>
      </w:r>
      <w:r w:rsidR="001F491C">
        <w:t>that are partially or fully funded under Medicare on a fee for service basis and</w:t>
      </w:r>
      <w:r w:rsidR="003A42DB">
        <w:t xml:space="preserve"> </w:t>
      </w:r>
      <w:r w:rsidR="001F491C">
        <w:t xml:space="preserve">are </w:t>
      </w:r>
      <w:r>
        <w:t xml:space="preserve">provided by GPs, psychiatrists, psychologists or other allied health professionals </w:t>
      </w:r>
      <w:r w:rsidR="001F491C">
        <w:t>under specific mental health items</w:t>
      </w:r>
      <w:r>
        <w:t xml:space="preserve">. </w:t>
      </w:r>
    </w:p>
    <w:p w:rsidR="00175597" w:rsidRDefault="00175597" w:rsidP="00320374">
      <w:pPr>
        <w:pStyle w:val="ListBullet"/>
      </w:pPr>
      <w:r>
        <w:t xml:space="preserve">Admitted patient care in </w:t>
      </w:r>
      <w:r w:rsidR="001F491C">
        <w:t xml:space="preserve">public </w:t>
      </w:r>
      <w:r>
        <w:t xml:space="preserve">hospitals — </w:t>
      </w:r>
      <w:r w:rsidR="00EC49ED">
        <w:t xml:space="preserve">specialised </w:t>
      </w:r>
      <w:r>
        <w:t xml:space="preserve">services provided to </w:t>
      </w:r>
      <w:r w:rsidR="00DC2C60">
        <w:t>in</w:t>
      </w:r>
      <w:r>
        <w:t>patients in stand</w:t>
      </w:r>
      <w:r>
        <w:noBreakHyphen/>
        <w:t xml:space="preserve">alone psychiatric hospitals or psychiatric units in </w:t>
      </w:r>
      <w:r w:rsidR="001F491C">
        <w:t xml:space="preserve">general </w:t>
      </w:r>
      <w:r>
        <w:t>acute hospitals</w:t>
      </w:r>
      <w:r w:rsidR="00320374" w:rsidRPr="00320374">
        <w:t>.</w:t>
      </w:r>
    </w:p>
    <w:p w:rsidR="00175597" w:rsidRDefault="00175597" w:rsidP="00257B3C">
      <w:pPr>
        <w:pStyle w:val="ListBullet"/>
        <w:widowControl w:val="0"/>
      </w:pPr>
      <w:r>
        <w:t>Community</w:t>
      </w:r>
      <w:r w:rsidR="00BD3DAB">
        <w:noBreakHyphen/>
      </w:r>
      <w:r>
        <w:t xml:space="preserve">based </w:t>
      </w:r>
      <w:r w:rsidR="0078244B">
        <w:t xml:space="preserve">public </w:t>
      </w:r>
      <w:r>
        <w:t>mental health services, comprising:</w:t>
      </w:r>
    </w:p>
    <w:p w:rsidR="00175597" w:rsidRDefault="00175597" w:rsidP="00257B3C">
      <w:pPr>
        <w:pStyle w:val="ListBullet2"/>
        <w:widowControl w:val="0"/>
      </w:pPr>
      <w:r>
        <w:t>ambulatory care services provided by outpatient clinics (hospital and clinic based), mobile assessment and treatment teams, day programs and other services dedicated to assessment, treatment, rehabilitation and care</w:t>
      </w:r>
    </w:p>
    <w:p w:rsidR="00175597" w:rsidRDefault="00175597" w:rsidP="00175597">
      <w:pPr>
        <w:pStyle w:val="ListBullet2"/>
      </w:pPr>
      <w:r>
        <w:t xml:space="preserve">residential services that provide beds in the community, staffed onsite by mental health professionals </w:t>
      </w:r>
    </w:p>
    <w:p w:rsidR="0000655A" w:rsidRDefault="0078244B" w:rsidP="0078244B">
      <w:pPr>
        <w:pStyle w:val="ListBullet"/>
        <w:keepNext/>
      </w:pPr>
      <w:r>
        <w:t>N</w:t>
      </w:r>
      <w:r w:rsidR="00175597">
        <w:t>ot</w:t>
      </w:r>
      <w:r w:rsidR="00175597">
        <w:noBreakHyphen/>
        <w:t>for</w:t>
      </w:r>
      <w:r w:rsidR="00175597">
        <w:noBreakHyphen/>
        <w:t xml:space="preserve">profit, </w:t>
      </w:r>
      <w:r w:rsidR="00351F02">
        <w:t>NGO</w:t>
      </w:r>
      <w:r w:rsidR="00175597">
        <w:t xml:space="preserve"> services, funded by the Australian, State and Territory governments to provide community</w:t>
      </w:r>
      <w:r w:rsidR="00463329">
        <w:noBreakHyphen/>
      </w:r>
      <w:r>
        <w:t>based</w:t>
      </w:r>
      <w:r w:rsidR="00175597">
        <w:t xml:space="preserve"> support for people with psychiatric disability, including accommodation, outreach to people living in their own homes, residential rehabilitation units, recreational programs, self</w:t>
      </w:r>
      <w:r w:rsidR="00175597">
        <w:noBreakHyphen/>
        <w:t>help and mutual support groups, carer respite services and system</w:t>
      </w:r>
      <w:r w:rsidR="00175597">
        <w:noBreakHyphen/>
        <w:t xml:space="preserve">wide advocacy (DoHA 2010). </w:t>
      </w:r>
    </w:p>
    <w:p w:rsidR="0000655A" w:rsidRPr="00E332B4" w:rsidRDefault="003A42DB" w:rsidP="00C972B4">
      <w:pPr>
        <w:pStyle w:val="BodyText"/>
      </w:pPr>
      <w:r w:rsidRPr="00E332B4">
        <w:t xml:space="preserve">There are </w:t>
      </w:r>
      <w:r w:rsidR="00BC4259">
        <w:t xml:space="preserve">also </w:t>
      </w:r>
      <w:r w:rsidRPr="00E332B4">
        <w:t>other health service</w:t>
      </w:r>
      <w:r w:rsidR="00C84441">
        <w:t>s</w:t>
      </w:r>
      <w:r w:rsidRPr="00E332B4">
        <w:t xml:space="preserve"> provided and/or funded by governments that make a significant contribution to the mental health treatment of people with a mental illness, but are </w:t>
      </w:r>
      <w:r w:rsidR="00C972B4">
        <w:t>not specialised</w:t>
      </w:r>
      <w:r w:rsidR="009B115C">
        <w:t xml:space="preserve"> or specific</w:t>
      </w:r>
      <w:r w:rsidR="00C972B4" w:rsidRPr="00E332B4">
        <w:t xml:space="preserve"> </w:t>
      </w:r>
      <w:r w:rsidRPr="00E332B4">
        <w:t>mental health</w:t>
      </w:r>
      <w:r w:rsidR="00C972B4">
        <w:t xml:space="preserve"> services</w:t>
      </w:r>
      <w:r w:rsidR="00C62EFB" w:rsidRPr="00E332B4">
        <w:t>.</w:t>
      </w:r>
      <w:r w:rsidR="0000655A" w:rsidRPr="00E332B4">
        <w:t xml:space="preserve"> </w:t>
      </w:r>
      <w:r w:rsidR="00F455BE" w:rsidRPr="00F455BE">
        <w:t>Tables</w:t>
      </w:r>
      <w:r w:rsidR="0022260C">
        <w:t> </w:t>
      </w:r>
      <w:proofErr w:type="spellStart"/>
      <w:r w:rsidR="00F455BE" w:rsidRPr="00F455BE">
        <w:t>12A.30</w:t>
      </w:r>
      <w:proofErr w:type="spellEnd"/>
      <w:r w:rsidR="00F455BE" w:rsidRPr="00F455BE">
        <w:t xml:space="preserve">–32 provide </w:t>
      </w:r>
      <w:r w:rsidR="00F455BE">
        <w:t>information</w:t>
      </w:r>
      <w:r w:rsidR="00F455BE" w:rsidRPr="00F455BE">
        <w:t xml:space="preserve"> on the</w:t>
      </w:r>
      <w:r w:rsidR="00F455BE">
        <w:t xml:space="preserve">se </w:t>
      </w:r>
      <w:r w:rsidR="00F455BE" w:rsidRPr="00F455BE">
        <w:t>non</w:t>
      </w:r>
      <w:r w:rsidR="0022260C">
        <w:noBreakHyphen/>
      </w:r>
      <w:r w:rsidR="00F455BE" w:rsidRPr="00F455BE">
        <w:t xml:space="preserve">specialised </w:t>
      </w:r>
      <w:r w:rsidR="00F455BE">
        <w:t>services</w:t>
      </w:r>
      <w:r w:rsidR="00F455BE" w:rsidRPr="00F455BE">
        <w:t xml:space="preserve"> </w:t>
      </w:r>
      <w:r w:rsidR="00F455BE">
        <w:t xml:space="preserve">provided in hospitals. </w:t>
      </w:r>
    </w:p>
    <w:p w:rsidR="00E332B4" w:rsidRDefault="00C62EFB" w:rsidP="00175597">
      <w:pPr>
        <w:pStyle w:val="Heading4"/>
      </w:pPr>
      <w:proofErr w:type="spellStart"/>
      <w:r w:rsidRPr="00C62EFB">
        <w:t>MBS</w:t>
      </w:r>
      <w:proofErr w:type="spellEnd"/>
      <w:r w:rsidR="003978B7">
        <w:t xml:space="preserve"> </w:t>
      </w:r>
      <w:r w:rsidRPr="00C62EFB">
        <w:t xml:space="preserve">subsidised mental health services </w:t>
      </w:r>
    </w:p>
    <w:p w:rsidR="002404C0" w:rsidRDefault="00175597" w:rsidP="002F6BDB">
      <w:pPr>
        <w:pStyle w:val="BodyText"/>
      </w:pPr>
      <w:r>
        <w:t xml:space="preserve">GPs are often the first type of service accessed by people seeking help when suffering from a mental illness </w:t>
      </w:r>
      <w:r w:rsidRPr="005673E9">
        <w:rPr>
          <w:shd w:val="clear" w:color="auto" w:fill="FFFFFF" w:themeFill="background1"/>
        </w:rPr>
        <w:t>(AIHW 201</w:t>
      </w:r>
      <w:r w:rsidR="00B03D01" w:rsidRPr="005673E9">
        <w:rPr>
          <w:shd w:val="clear" w:color="auto" w:fill="FFFFFF" w:themeFill="background1"/>
        </w:rPr>
        <w:t>4</w:t>
      </w:r>
      <w:r w:rsidRPr="005673E9">
        <w:rPr>
          <w:shd w:val="clear" w:color="auto" w:fill="FFFFFF" w:themeFill="background1"/>
        </w:rPr>
        <w:t>). GPs can</w:t>
      </w:r>
      <w:r>
        <w:t xml:space="preserve"> diagnose, manage and treat mental illnesses and they also refer patients to more specialised service providers such as psychiatrists and psychologists. </w:t>
      </w:r>
    </w:p>
    <w:p w:rsidR="002404C0" w:rsidRDefault="002B57E3" w:rsidP="00EB040E">
      <w:pPr>
        <w:pStyle w:val="BodyText"/>
        <w:rPr>
          <w:shd w:val="clear" w:color="auto" w:fill="FFFFFF" w:themeFill="background1"/>
        </w:rPr>
      </w:pPr>
      <w:r>
        <w:lastRenderedPageBreak/>
        <w:t>In 2013</w:t>
      </w:r>
      <w:r w:rsidR="00463329">
        <w:noBreakHyphen/>
      </w:r>
      <w:r>
        <w:t>14, a</w:t>
      </w:r>
      <w:r w:rsidR="0041464B" w:rsidRPr="002F6BDB">
        <w:t>n estimated</w:t>
      </w:r>
      <w:r w:rsidR="00175597" w:rsidRPr="002F6BDB">
        <w:rPr>
          <w:shd w:val="clear" w:color="auto" w:fill="FFFFFF" w:themeFill="background1"/>
        </w:rPr>
        <w:t xml:space="preserve"> </w:t>
      </w:r>
      <w:r w:rsidR="000A530B" w:rsidRPr="002F6BDB">
        <w:rPr>
          <w:shd w:val="clear" w:color="auto" w:fill="FFFFFF" w:themeFill="background1"/>
        </w:rPr>
        <w:t>12.</w:t>
      </w:r>
      <w:r w:rsidR="004A2830">
        <w:rPr>
          <w:shd w:val="clear" w:color="auto" w:fill="FFFFFF" w:themeFill="background1"/>
        </w:rPr>
        <w:t>8</w:t>
      </w:r>
      <w:r w:rsidR="006062EF">
        <w:rPr>
          <w:shd w:val="clear" w:color="auto" w:fill="FFFFFF" w:themeFill="background1"/>
        </w:rPr>
        <w:t> </w:t>
      </w:r>
      <w:r w:rsidR="00175597" w:rsidRPr="002F6BDB">
        <w:rPr>
          <w:shd w:val="clear" w:color="auto" w:fill="FFFFFF" w:themeFill="background1"/>
        </w:rPr>
        <w:t>per</w:t>
      </w:r>
      <w:r w:rsidR="006062EF">
        <w:rPr>
          <w:shd w:val="clear" w:color="auto" w:fill="FFFFFF" w:themeFill="background1"/>
        </w:rPr>
        <w:t> </w:t>
      </w:r>
      <w:r w:rsidR="00175597" w:rsidRPr="002F6BDB">
        <w:rPr>
          <w:shd w:val="clear" w:color="auto" w:fill="FFFFFF" w:themeFill="background1"/>
        </w:rPr>
        <w:t xml:space="preserve">cent of GP encounters </w:t>
      </w:r>
      <w:r w:rsidR="0041464B" w:rsidRPr="00E22E4C">
        <w:rPr>
          <w:shd w:val="clear" w:color="auto" w:fill="FFFFFF" w:themeFill="background1"/>
        </w:rPr>
        <w:t xml:space="preserve">included management of </w:t>
      </w:r>
      <w:r w:rsidR="0041464B" w:rsidRPr="00E22E4C">
        <w:t>mental health</w:t>
      </w:r>
      <w:r w:rsidR="0041464B" w:rsidRPr="00E22E4C">
        <w:noBreakHyphen/>
        <w:t xml:space="preserve">related problems </w:t>
      </w:r>
      <w:r w:rsidR="002F6BDB">
        <w:t xml:space="preserve">(equivalent to </w:t>
      </w:r>
      <w:r w:rsidR="002F6BDB" w:rsidRPr="002F6BDB">
        <w:t>an estimated 1</w:t>
      </w:r>
      <w:r w:rsidR="004A2830">
        <w:t>7</w:t>
      </w:r>
      <w:r w:rsidR="002F6BDB" w:rsidRPr="002F6BDB">
        <w:t>.</w:t>
      </w:r>
      <w:r w:rsidR="004A2830">
        <w:t>1</w:t>
      </w:r>
      <w:r w:rsidR="006062EF">
        <w:t> </w:t>
      </w:r>
      <w:r w:rsidR="002F6BDB" w:rsidRPr="002F6BDB">
        <w:t xml:space="preserve">million </w:t>
      </w:r>
      <w:r>
        <w:t>encounters</w:t>
      </w:r>
      <w:r w:rsidR="002F6BDB" w:rsidRPr="002F6BDB">
        <w:t xml:space="preserve">) </w:t>
      </w:r>
      <w:r w:rsidR="00175597" w:rsidRPr="002F6BDB">
        <w:t>(</w:t>
      </w:r>
      <w:r w:rsidR="00472E02" w:rsidRPr="00787F92">
        <w:t>ta</w:t>
      </w:r>
      <w:r w:rsidR="00472E02" w:rsidRPr="002F6BDB">
        <w:t>ble</w:t>
      </w:r>
      <w:r w:rsidR="0022260C" w:rsidRPr="00787F92">
        <w:t> </w:t>
      </w:r>
      <w:proofErr w:type="spellStart"/>
      <w:r w:rsidR="00472E02" w:rsidRPr="002F6BDB">
        <w:t>12A.1</w:t>
      </w:r>
      <w:r w:rsidR="00C04D03" w:rsidRPr="002F6BDB">
        <w:t>8</w:t>
      </w:r>
      <w:proofErr w:type="spellEnd"/>
      <w:r w:rsidR="00175597" w:rsidRPr="002F6BDB">
        <w:t xml:space="preserve">). </w:t>
      </w:r>
      <w:r w:rsidR="00BD0933">
        <w:rPr>
          <w:shd w:val="clear" w:color="auto" w:fill="FFFFFF" w:themeFill="background1"/>
        </w:rPr>
        <w:t>Data on GP mental</w:t>
      </w:r>
      <w:r w:rsidR="00463329">
        <w:rPr>
          <w:shd w:val="clear" w:color="auto" w:fill="FFFFFF" w:themeFill="background1"/>
        </w:rPr>
        <w:noBreakHyphen/>
      </w:r>
      <w:r w:rsidR="00BD0933">
        <w:rPr>
          <w:shd w:val="clear" w:color="auto" w:fill="FFFFFF" w:themeFill="background1"/>
        </w:rPr>
        <w:t xml:space="preserve">health related encounters by patient </w:t>
      </w:r>
      <w:r w:rsidR="00BD0933" w:rsidRPr="00BD0933">
        <w:rPr>
          <w:shd w:val="clear" w:color="auto" w:fill="FFFFFF" w:themeFill="background1"/>
        </w:rPr>
        <w:t>demographics</w:t>
      </w:r>
      <w:r w:rsidR="00BD0933">
        <w:rPr>
          <w:shd w:val="clear" w:color="auto" w:fill="FFFFFF" w:themeFill="background1"/>
        </w:rPr>
        <w:t xml:space="preserve"> are in table</w:t>
      </w:r>
      <w:r w:rsidR="00463329">
        <w:rPr>
          <w:shd w:val="clear" w:color="auto" w:fill="FFFFFF" w:themeFill="background1"/>
        </w:rPr>
        <w:t> </w:t>
      </w:r>
      <w:proofErr w:type="spellStart"/>
      <w:r w:rsidR="00BD0933">
        <w:rPr>
          <w:shd w:val="clear" w:color="auto" w:fill="FFFFFF" w:themeFill="background1"/>
        </w:rPr>
        <w:t>12A.19</w:t>
      </w:r>
      <w:proofErr w:type="spellEnd"/>
      <w:r w:rsidR="00BD0933">
        <w:rPr>
          <w:shd w:val="clear" w:color="auto" w:fill="FFFFFF" w:themeFill="background1"/>
        </w:rPr>
        <w:t>.</w:t>
      </w:r>
    </w:p>
    <w:p w:rsidR="00175597" w:rsidRPr="00B34301" w:rsidRDefault="00175597" w:rsidP="00EB040E">
      <w:pPr>
        <w:pStyle w:val="BodyText"/>
      </w:pPr>
      <w:r w:rsidRPr="00B34301">
        <w:t>A GP can manage more than one problem at a single encounter</w:t>
      </w:r>
      <w:r w:rsidR="00801235">
        <w:t xml:space="preserve">, hence the number of mental health problems </w:t>
      </w:r>
      <w:r w:rsidR="002404C0">
        <w:t>can be</w:t>
      </w:r>
      <w:r w:rsidR="00801235">
        <w:t xml:space="preserve"> greater than the number</w:t>
      </w:r>
      <w:r w:rsidR="002404C0">
        <w:t xml:space="preserve"> of mental</w:t>
      </w:r>
      <w:r w:rsidR="002C5790">
        <w:noBreakHyphen/>
      </w:r>
      <w:r w:rsidR="002404C0">
        <w:t>health related encoun</w:t>
      </w:r>
      <w:r w:rsidR="00801235">
        <w:t>ter</w:t>
      </w:r>
      <w:r w:rsidR="002404C0">
        <w:t>s. I</w:t>
      </w:r>
      <w:r w:rsidRPr="00B34301">
        <w:rPr>
          <w:shd w:val="clear" w:color="auto" w:fill="FFFFFF" w:themeFill="background1"/>
        </w:rPr>
        <w:t xml:space="preserve">n </w:t>
      </w:r>
      <w:r w:rsidR="009B115C" w:rsidRPr="00B34301">
        <w:rPr>
          <w:shd w:val="clear" w:color="auto" w:fill="FFFFFF" w:themeFill="background1"/>
        </w:rPr>
        <w:t>2013</w:t>
      </w:r>
      <w:r w:rsidRPr="00B34301">
        <w:rPr>
          <w:shd w:val="clear" w:color="auto" w:fill="FFFFFF" w:themeFill="background1"/>
        </w:rPr>
        <w:noBreakHyphen/>
      </w:r>
      <w:r w:rsidR="009B115C" w:rsidRPr="00B34301">
        <w:rPr>
          <w:shd w:val="clear" w:color="auto" w:fill="FFFFFF" w:themeFill="background1"/>
        </w:rPr>
        <w:t>14</w:t>
      </w:r>
      <w:r w:rsidRPr="00B34301">
        <w:rPr>
          <w:shd w:val="clear" w:color="auto" w:fill="FFFFFF" w:themeFill="background1"/>
        </w:rPr>
        <w:t xml:space="preserve">, </w:t>
      </w:r>
      <w:r w:rsidR="0084243E" w:rsidRPr="00E22E4C">
        <w:rPr>
          <w:shd w:val="clear" w:color="auto" w:fill="FFFFFF" w:themeFill="background1"/>
        </w:rPr>
        <w:t>13.</w:t>
      </w:r>
      <w:r w:rsidR="00B34301" w:rsidRPr="00E22E4C">
        <w:rPr>
          <w:shd w:val="clear" w:color="auto" w:fill="FFFFFF" w:themeFill="background1"/>
        </w:rPr>
        <w:t>7</w:t>
      </w:r>
      <w:r w:rsidR="006062EF">
        <w:rPr>
          <w:shd w:val="clear" w:color="auto" w:fill="FFFFFF" w:themeFill="background1"/>
        </w:rPr>
        <w:t> </w:t>
      </w:r>
      <w:r w:rsidRPr="00B34301">
        <w:rPr>
          <w:shd w:val="clear" w:color="auto" w:fill="FFFFFF" w:themeFill="background1"/>
        </w:rPr>
        <w:t>mental health</w:t>
      </w:r>
      <w:r w:rsidR="00BA15F4" w:rsidRPr="00B34301">
        <w:rPr>
          <w:shd w:val="clear" w:color="auto" w:fill="FFFFFF" w:themeFill="background1"/>
        </w:rPr>
        <w:noBreakHyphen/>
      </w:r>
      <w:r w:rsidRPr="00B34301">
        <w:rPr>
          <w:shd w:val="clear" w:color="auto" w:fill="FFFFFF" w:themeFill="background1"/>
        </w:rPr>
        <w:t>related problems were managed per 100</w:t>
      </w:r>
      <w:r w:rsidR="002C5790">
        <w:rPr>
          <w:shd w:val="clear" w:color="auto" w:fill="FFFFFF" w:themeFill="background1"/>
        </w:rPr>
        <w:t> </w:t>
      </w:r>
      <w:r w:rsidRPr="00B34301">
        <w:rPr>
          <w:shd w:val="clear" w:color="auto" w:fill="FFFFFF" w:themeFill="background1"/>
        </w:rPr>
        <w:t>encounters</w:t>
      </w:r>
      <w:r w:rsidR="002404C0">
        <w:rPr>
          <w:shd w:val="clear" w:color="auto" w:fill="FFFFFF" w:themeFill="background1"/>
        </w:rPr>
        <w:t xml:space="preserve"> </w:t>
      </w:r>
      <w:r w:rsidR="005F2F0F" w:rsidRPr="00B34301">
        <w:rPr>
          <w:shd w:val="clear" w:color="auto" w:fill="FFFFFF" w:themeFill="background1"/>
        </w:rPr>
        <w:t>(table</w:t>
      </w:r>
      <w:r w:rsidR="0022260C" w:rsidRPr="00B34301">
        <w:rPr>
          <w:shd w:val="clear" w:color="auto" w:fill="FFFFFF" w:themeFill="background1"/>
        </w:rPr>
        <w:t> </w:t>
      </w:r>
      <w:proofErr w:type="spellStart"/>
      <w:r w:rsidR="005F2F0F" w:rsidRPr="00B34301">
        <w:rPr>
          <w:shd w:val="clear" w:color="auto" w:fill="FFFFFF" w:themeFill="background1"/>
        </w:rPr>
        <w:t>12A.</w:t>
      </w:r>
      <w:r w:rsidR="00C04D03" w:rsidRPr="00B34301">
        <w:rPr>
          <w:shd w:val="clear" w:color="auto" w:fill="FFFFFF" w:themeFill="background1"/>
        </w:rPr>
        <w:t>20</w:t>
      </w:r>
      <w:proofErr w:type="spellEnd"/>
      <w:r w:rsidR="005F2F0F" w:rsidRPr="00B34301">
        <w:rPr>
          <w:shd w:val="clear" w:color="auto" w:fill="FFFFFF" w:themeFill="background1"/>
        </w:rPr>
        <w:t>)</w:t>
      </w:r>
      <w:r w:rsidRPr="00B34301">
        <w:rPr>
          <w:shd w:val="clear" w:color="auto" w:fill="FFFFFF" w:themeFill="background1"/>
        </w:rPr>
        <w:t>. Depression was the most frequently reported mental health</w:t>
      </w:r>
      <w:r w:rsidR="00BA15F4" w:rsidRPr="00B34301">
        <w:rPr>
          <w:shd w:val="clear" w:color="auto" w:fill="FFFFFF" w:themeFill="background1"/>
        </w:rPr>
        <w:noBreakHyphen/>
      </w:r>
      <w:r w:rsidRPr="00B34301">
        <w:rPr>
          <w:shd w:val="clear" w:color="auto" w:fill="FFFFFF" w:themeFill="background1"/>
        </w:rPr>
        <w:t>related problem managed (</w:t>
      </w:r>
      <w:r w:rsidR="0084243E" w:rsidRPr="00E22E4C">
        <w:rPr>
          <w:shd w:val="clear" w:color="auto" w:fill="FFFFFF" w:themeFill="background1"/>
        </w:rPr>
        <w:t>4.</w:t>
      </w:r>
      <w:r w:rsidR="00B34301" w:rsidRPr="00E22E4C">
        <w:rPr>
          <w:shd w:val="clear" w:color="auto" w:fill="FFFFFF" w:themeFill="background1"/>
        </w:rPr>
        <w:t>3</w:t>
      </w:r>
      <w:r w:rsidR="0078244B">
        <w:rPr>
          <w:shd w:val="clear" w:color="auto" w:fill="FFFFFF" w:themeFill="background1"/>
        </w:rPr>
        <w:t> </w:t>
      </w:r>
      <w:r w:rsidRPr="00B34301">
        <w:rPr>
          <w:shd w:val="clear" w:color="auto" w:fill="FFFFFF" w:themeFill="background1"/>
        </w:rPr>
        <w:t>per</w:t>
      </w:r>
      <w:r w:rsidR="0078244B">
        <w:rPr>
          <w:shd w:val="clear" w:color="auto" w:fill="FFFFFF" w:themeFill="background1"/>
        </w:rPr>
        <w:t> </w:t>
      </w:r>
      <w:r w:rsidR="00EB7BBB" w:rsidRPr="00B34301">
        <w:rPr>
          <w:shd w:val="clear" w:color="auto" w:fill="FFFFFF" w:themeFill="background1"/>
        </w:rPr>
        <w:t>100 </w:t>
      </w:r>
      <w:r w:rsidRPr="00B34301">
        <w:rPr>
          <w:shd w:val="clear" w:color="auto" w:fill="FFFFFF" w:themeFill="background1"/>
        </w:rPr>
        <w:t>GP</w:t>
      </w:r>
      <w:r w:rsidR="00C30E1B" w:rsidRPr="00B34301">
        <w:rPr>
          <w:shd w:val="clear" w:color="auto" w:fill="FFFFFF" w:themeFill="background1"/>
        </w:rPr>
        <w:t> </w:t>
      </w:r>
      <w:r w:rsidR="00050249" w:rsidRPr="00B34301">
        <w:rPr>
          <w:shd w:val="clear" w:color="auto" w:fill="FFFFFF" w:themeFill="background1"/>
        </w:rPr>
        <w:t xml:space="preserve">encounters), representing around one third of </w:t>
      </w:r>
      <w:r w:rsidRPr="00B34301">
        <w:rPr>
          <w:shd w:val="clear" w:color="auto" w:fill="FFFFFF" w:themeFill="background1"/>
        </w:rPr>
        <w:t xml:space="preserve">all </w:t>
      </w:r>
      <w:r w:rsidR="00050249" w:rsidRPr="00B34301">
        <w:rPr>
          <w:shd w:val="clear" w:color="auto" w:fill="FFFFFF" w:themeFill="background1"/>
        </w:rPr>
        <w:t>mental health</w:t>
      </w:r>
      <w:r w:rsidR="00050249" w:rsidRPr="00B34301">
        <w:rPr>
          <w:shd w:val="clear" w:color="auto" w:fill="FFFFFF" w:themeFill="background1"/>
        </w:rPr>
        <w:noBreakHyphen/>
        <w:t xml:space="preserve">related </w:t>
      </w:r>
      <w:r w:rsidRPr="00B34301">
        <w:rPr>
          <w:shd w:val="clear" w:color="auto" w:fill="FFFFFF" w:themeFill="background1"/>
        </w:rPr>
        <w:t>problems managed (</w:t>
      </w:r>
      <w:r w:rsidR="005F2F0F" w:rsidRPr="00B34301">
        <w:rPr>
          <w:shd w:val="clear" w:color="auto" w:fill="FFFFFF" w:themeFill="background1"/>
        </w:rPr>
        <w:t>table</w:t>
      </w:r>
      <w:r w:rsidR="0022260C" w:rsidRPr="00B34301">
        <w:rPr>
          <w:shd w:val="clear" w:color="auto" w:fill="FFFFFF" w:themeFill="background1"/>
        </w:rPr>
        <w:t> </w:t>
      </w:r>
      <w:proofErr w:type="spellStart"/>
      <w:r w:rsidR="005F2F0F" w:rsidRPr="00B34301">
        <w:rPr>
          <w:shd w:val="clear" w:color="auto" w:fill="FFFFFF" w:themeFill="background1"/>
        </w:rPr>
        <w:t>12A.</w:t>
      </w:r>
      <w:r w:rsidR="00C30E1B" w:rsidRPr="00B34301">
        <w:rPr>
          <w:shd w:val="clear" w:color="auto" w:fill="FFFFFF" w:themeFill="background1"/>
        </w:rPr>
        <w:t>20</w:t>
      </w:r>
      <w:proofErr w:type="spellEnd"/>
      <w:r w:rsidRPr="00B34301">
        <w:rPr>
          <w:shd w:val="clear" w:color="auto" w:fill="FFFFFF" w:themeFill="background1"/>
        </w:rPr>
        <w:t>).</w:t>
      </w:r>
      <w:r w:rsidR="00BD0933">
        <w:rPr>
          <w:shd w:val="clear" w:color="auto" w:fill="FFFFFF" w:themeFill="background1"/>
        </w:rPr>
        <w:t xml:space="preserve"> </w:t>
      </w:r>
    </w:p>
    <w:p w:rsidR="00175597" w:rsidRPr="00E22E4C" w:rsidRDefault="002404C0" w:rsidP="00373E3A">
      <w:pPr>
        <w:pStyle w:val="BodyText"/>
      </w:pPr>
      <w:r>
        <w:rPr>
          <w:shd w:val="clear" w:color="auto" w:fill="FFFFFF" w:themeFill="background1"/>
        </w:rPr>
        <w:t>I</w:t>
      </w:r>
      <w:r w:rsidR="00175597" w:rsidRPr="00AB0424">
        <w:rPr>
          <w:shd w:val="clear" w:color="auto" w:fill="FFFFFF" w:themeFill="background1"/>
        </w:rPr>
        <w:t xml:space="preserve">n </w:t>
      </w:r>
      <w:r w:rsidR="00B34301" w:rsidRPr="00AB0424">
        <w:rPr>
          <w:shd w:val="clear" w:color="auto" w:fill="FFFFFF" w:themeFill="background1"/>
        </w:rPr>
        <w:t>201</w:t>
      </w:r>
      <w:r w:rsidR="00B34301" w:rsidRPr="00E22E4C">
        <w:rPr>
          <w:shd w:val="clear" w:color="auto" w:fill="FFFFFF" w:themeFill="background1"/>
        </w:rPr>
        <w:t>3</w:t>
      </w:r>
      <w:r w:rsidR="00175597" w:rsidRPr="00AB0424">
        <w:rPr>
          <w:shd w:val="clear" w:color="auto" w:fill="FFFFFF" w:themeFill="background1"/>
        </w:rPr>
        <w:noBreakHyphen/>
      </w:r>
      <w:r w:rsidR="00B34301" w:rsidRPr="00E22E4C">
        <w:rPr>
          <w:shd w:val="clear" w:color="auto" w:fill="FFFFFF" w:themeFill="background1"/>
        </w:rPr>
        <w:t>14</w:t>
      </w:r>
      <w:r w:rsidR="00175597" w:rsidRPr="00AB0424">
        <w:rPr>
          <w:shd w:val="clear" w:color="auto" w:fill="FFFFFF" w:themeFill="background1"/>
        </w:rPr>
        <w:t xml:space="preserve">, </w:t>
      </w:r>
      <w:r w:rsidR="0078244B" w:rsidRPr="00E22E4C">
        <w:rPr>
          <w:shd w:val="clear" w:color="auto" w:fill="FFFFFF" w:themeFill="background1"/>
        </w:rPr>
        <w:t>GPs</w:t>
      </w:r>
      <w:r w:rsidR="0078244B" w:rsidRPr="00AB0424">
        <w:rPr>
          <w:shd w:val="clear" w:color="auto" w:fill="FFFFFF" w:themeFill="background1"/>
        </w:rPr>
        <w:t xml:space="preserve"> </w:t>
      </w:r>
      <w:r w:rsidR="0078244B" w:rsidRPr="00E22E4C">
        <w:rPr>
          <w:shd w:val="clear" w:color="auto" w:fill="FFFFFF" w:themeFill="background1"/>
        </w:rPr>
        <w:t xml:space="preserve">provided </w:t>
      </w:r>
      <w:r w:rsidR="00C30E1B" w:rsidRPr="00AB0424">
        <w:rPr>
          <w:shd w:val="clear" w:color="auto" w:fill="FFFFFF" w:themeFill="background1"/>
        </w:rPr>
        <w:t>2.</w:t>
      </w:r>
      <w:r w:rsidR="00AB0424" w:rsidRPr="00E22E4C">
        <w:rPr>
          <w:shd w:val="clear" w:color="auto" w:fill="FFFFFF" w:themeFill="background1"/>
        </w:rPr>
        <w:t>7</w:t>
      </w:r>
      <w:r w:rsidR="006062EF">
        <w:rPr>
          <w:shd w:val="clear" w:color="auto" w:fill="FFFFFF" w:themeFill="background1"/>
        </w:rPr>
        <w:t> </w:t>
      </w:r>
      <w:r w:rsidR="00175597" w:rsidRPr="00AB0424">
        <w:rPr>
          <w:shd w:val="clear" w:color="auto" w:fill="FFFFFF" w:themeFill="background1"/>
        </w:rPr>
        <w:t xml:space="preserve">million </w:t>
      </w:r>
      <w:proofErr w:type="spellStart"/>
      <w:r w:rsidR="00175597" w:rsidRPr="00AB0424">
        <w:rPr>
          <w:shd w:val="clear" w:color="auto" w:fill="FFFFFF" w:themeFill="background1"/>
        </w:rPr>
        <w:t>MBS</w:t>
      </w:r>
      <w:proofErr w:type="spellEnd"/>
      <w:r w:rsidR="003978B7" w:rsidRPr="00AB0424">
        <w:rPr>
          <w:shd w:val="clear" w:color="auto" w:fill="FFFFFF" w:themeFill="background1"/>
        </w:rPr>
        <w:t xml:space="preserve"> </w:t>
      </w:r>
      <w:r w:rsidR="00175597" w:rsidRPr="00AB0424">
        <w:rPr>
          <w:shd w:val="clear" w:color="auto" w:fill="FFFFFF" w:themeFill="background1"/>
        </w:rPr>
        <w:t>subsidised specific mental health items</w:t>
      </w:r>
      <w:r w:rsidR="0078244B">
        <w:rPr>
          <w:shd w:val="clear" w:color="auto" w:fill="FFFFFF" w:themeFill="background1"/>
        </w:rPr>
        <w:t>. A</w:t>
      </w:r>
      <w:r w:rsidR="00384DED" w:rsidRPr="00E22E4C">
        <w:rPr>
          <w:shd w:val="clear" w:color="auto" w:fill="FFFFFF" w:themeFill="background1"/>
        </w:rPr>
        <w:t xml:space="preserve"> </w:t>
      </w:r>
      <w:r w:rsidR="00384DED" w:rsidRPr="00E22E4C">
        <w:t xml:space="preserve">further </w:t>
      </w:r>
      <w:r w:rsidR="0084243E" w:rsidRPr="00AB0424">
        <w:t>6.</w:t>
      </w:r>
      <w:r w:rsidR="00AB0424" w:rsidRPr="00E22E4C">
        <w:t>4</w:t>
      </w:r>
      <w:r w:rsidR="006062EF">
        <w:rPr>
          <w:shd w:val="clear" w:color="auto" w:fill="FFFFFF" w:themeFill="background1"/>
        </w:rPr>
        <w:t> </w:t>
      </w:r>
      <w:r w:rsidR="00175597" w:rsidRPr="00AB0424">
        <w:t xml:space="preserve">million </w:t>
      </w:r>
      <w:proofErr w:type="spellStart"/>
      <w:r w:rsidR="00175597" w:rsidRPr="00AB0424">
        <w:t>MBS</w:t>
      </w:r>
      <w:proofErr w:type="spellEnd"/>
      <w:r w:rsidR="003978B7" w:rsidRPr="00AB0424">
        <w:t xml:space="preserve"> </w:t>
      </w:r>
      <w:r w:rsidR="00175597" w:rsidRPr="00AB0424">
        <w:t>subsidised mental health</w:t>
      </w:r>
      <w:r w:rsidR="0041464B" w:rsidRPr="00E22E4C">
        <w:t xml:space="preserve"> </w:t>
      </w:r>
      <w:r w:rsidR="00175597" w:rsidRPr="00AB0424">
        <w:t xml:space="preserve">services </w:t>
      </w:r>
      <w:r w:rsidR="0078244B">
        <w:t xml:space="preserve">were </w:t>
      </w:r>
      <w:r w:rsidR="00175597" w:rsidRPr="00AB0424">
        <w:t>provided by psychiatrists</w:t>
      </w:r>
      <w:r w:rsidR="0084243E" w:rsidRPr="00E22E4C">
        <w:t xml:space="preserve"> (2.</w:t>
      </w:r>
      <w:r w:rsidR="00980134">
        <w:t>2</w:t>
      </w:r>
      <w:r w:rsidR="006062EF">
        <w:rPr>
          <w:shd w:val="clear" w:color="auto" w:fill="FFFFFF" w:themeFill="background1"/>
        </w:rPr>
        <w:t> </w:t>
      </w:r>
      <w:r w:rsidR="0084243E" w:rsidRPr="00E22E4C">
        <w:t>million)</w:t>
      </w:r>
      <w:r w:rsidR="00175597" w:rsidRPr="00AB0424">
        <w:t xml:space="preserve">, psychologists </w:t>
      </w:r>
      <w:r w:rsidR="0084243E" w:rsidRPr="00E22E4C">
        <w:t>(3.</w:t>
      </w:r>
      <w:r w:rsidR="00AB0424" w:rsidRPr="00E22E4C">
        <w:t>9</w:t>
      </w:r>
      <w:r w:rsidR="006062EF">
        <w:rPr>
          <w:shd w:val="clear" w:color="auto" w:fill="FFFFFF" w:themeFill="background1"/>
        </w:rPr>
        <w:t> </w:t>
      </w:r>
      <w:r w:rsidR="0084243E" w:rsidRPr="00E22E4C">
        <w:t xml:space="preserve">million) </w:t>
      </w:r>
      <w:r w:rsidR="00175597" w:rsidRPr="00AB0424">
        <w:t xml:space="preserve">and allied health professionals </w:t>
      </w:r>
      <w:r w:rsidR="0084243E" w:rsidRPr="00E22E4C">
        <w:t>(</w:t>
      </w:r>
      <w:r>
        <w:t>0.3 million</w:t>
      </w:r>
      <w:r w:rsidR="0084243E" w:rsidRPr="00E22E4C">
        <w:t xml:space="preserve">) </w:t>
      </w:r>
      <w:r w:rsidR="00175597" w:rsidRPr="00AB0424">
        <w:t>(</w:t>
      </w:r>
      <w:r w:rsidR="007D3B28" w:rsidRPr="00AB0424">
        <w:t>table</w:t>
      </w:r>
      <w:r w:rsidR="00C84441" w:rsidRPr="00AB0424">
        <w:t> </w:t>
      </w:r>
      <w:proofErr w:type="spellStart"/>
      <w:r w:rsidR="007D3B28" w:rsidRPr="00AB0424">
        <w:t>12A.17</w:t>
      </w:r>
      <w:proofErr w:type="spellEnd"/>
      <w:r w:rsidR="00175597" w:rsidRPr="00AB0424">
        <w:t xml:space="preserve">). </w:t>
      </w:r>
      <w:r>
        <w:t>S</w:t>
      </w:r>
      <w:r w:rsidR="009358ED" w:rsidRPr="00E22E4C">
        <w:t>ervice</w:t>
      </w:r>
      <w:r>
        <w:t xml:space="preserve"> usage</w:t>
      </w:r>
      <w:r w:rsidR="009358ED" w:rsidRPr="00E22E4C">
        <w:t xml:space="preserve"> rates </w:t>
      </w:r>
      <w:r w:rsidR="0084243E" w:rsidRPr="00E22E4C">
        <w:t xml:space="preserve">varied </w:t>
      </w:r>
      <w:r w:rsidR="00B37BE6" w:rsidRPr="00E22E4C">
        <w:t xml:space="preserve">across states and </w:t>
      </w:r>
      <w:r w:rsidR="005D26CF" w:rsidRPr="00E22E4C">
        <w:t>territories</w:t>
      </w:r>
      <w:r w:rsidR="00175597" w:rsidRPr="00AB0424">
        <w:t xml:space="preserve"> (</w:t>
      </w:r>
      <w:r w:rsidR="00C86AB0" w:rsidRPr="00E22E4C">
        <w:t>figure</w:t>
      </w:r>
      <w:r w:rsidR="00463329">
        <w:t> </w:t>
      </w:r>
      <w:r w:rsidR="00C86AB0" w:rsidRPr="00E22E4C">
        <w:t>12.4</w:t>
      </w:r>
      <w:r w:rsidR="00175597" w:rsidRPr="00AB0424">
        <w:t xml:space="preserve">). </w:t>
      </w:r>
    </w:p>
    <w:p w:rsidR="00B37BE6" w:rsidRDefault="00B37BE6" w:rsidP="00B37B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37BE6" w:rsidTr="00533757">
        <w:tc>
          <w:tcPr>
            <w:tcW w:w="8771" w:type="dxa"/>
            <w:tcBorders>
              <w:top w:val="single" w:sz="6" w:space="0" w:color="78A22F"/>
              <w:left w:val="nil"/>
              <w:bottom w:val="nil"/>
              <w:right w:val="nil"/>
            </w:tcBorders>
            <w:shd w:val="clear" w:color="auto" w:fill="FFFFFF" w:themeFill="background1"/>
          </w:tcPr>
          <w:p w:rsidR="00B37BE6" w:rsidRPr="00176D3F" w:rsidRDefault="00B37BE6">
            <w:pPr>
              <w:pStyle w:val="FigureTitle"/>
            </w:pPr>
            <w:r w:rsidRPr="00784A05">
              <w:rPr>
                <w:b w:val="0"/>
              </w:rPr>
              <w:t xml:space="preserve">Figure </w:t>
            </w:r>
            <w:r>
              <w:rPr>
                <w:b w:val="0"/>
              </w:rPr>
              <w:t>12.</w:t>
            </w:r>
            <w:r w:rsidR="00833D26">
              <w:rPr>
                <w:b w:val="0"/>
                <w:noProof/>
              </w:rPr>
              <w:t>4</w:t>
            </w:r>
            <w:r>
              <w:tab/>
            </w:r>
            <w:proofErr w:type="spellStart"/>
            <w:r w:rsidRPr="00B37BE6">
              <w:t>MBS</w:t>
            </w:r>
            <w:proofErr w:type="spellEnd"/>
            <w:r w:rsidRPr="00B37BE6">
              <w:t xml:space="preserve"> subsidised mental</w:t>
            </w:r>
            <w:r w:rsidR="00922EAE">
              <w:noBreakHyphen/>
            </w:r>
            <w:r w:rsidRPr="00B37BE6">
              <w:t>health related services, by provider type</w:t>
            </w:r>
            <w:r w:rsidR="00AB0424">
              <w:t>, 2013</w:t>
            </w:r>
            <w:r w:rsidR="00463329">
              <w:noBreakHyphen/>
            </w:r>
            <w:r w:rsidR="00AB0424">
              <w:t>14</w:t>
            </w:r>
            <w:r w:rsidRPr="00BA0C18">
              <w:rPr>
                <w:rStyle w:val="NoteLabel"/>
                <w:b/>
              </w:rPr>
              <w:t>a</w:t>
            </w:r>
          </w:p>
        </w:tc>
      </w:tr>
      <w:tr w:rsidR="00B37BE6" w:rsidTr="00533757">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B37BE6" w:rsidTr="00533757">
              <w:trPr>
                <w:jc w:val="center"/>
              </w:trPr>
              <w:tc>
                <w:tcPr>
                  <w:tcW w:w="8504" w:type="dxa"/>
                  <w:tcBorders>
                    <w:top w:val="nil"/>
                    <w:bottom w:val="nil"/>
                    <w:right w:val="nil"/>
                  </w:tcBorders>
                  <w:shd w:val="clear" w:color="auto" w:fill="FFFFFF" w:themeFill="background1"/>
                </w:tcPr>
                <w:p w:rsidR="00B37BE6" w:rsidRDefault="001B7B09" w:rsidP="00533757">
                  <w:pPr>
                    <w:pStyle w:val="Figure"/>
                    <w:spacing w:before="60" w:after="60"/>
                  </w:pPr>
                  <w:r>
                    <w:rPr>
                      <w:noProof/>
                    </w:rPr>
                    <w:drawing>
                      <wp:inline distT="0" distB="0" distL="0" distR="0">
                        <wp:extent cx="5210175" cy="2686050"/>
                        <wp:effectExtent l="0" t="0" r="9525" b="0"/>
                        <wp:docPr id="5" name="Picture 5" descr="Figure 12.4 MBS subsidised mental health related services, by provider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B37BE6" w:rsidRDefault="00B37BE6" w:rsidP="00533757">
            <w:pPr>
              <w:pStyle w:val="Figure"/>
            </w:pPr>
          </w:p>
        </w:tc>
      </w:tr>
      <w:tr w:rsidR="00AB0424" w:rsidRPr="00176D3F" w:rsidTr="00533757">
        <w:tc>
          <w:tcPr>
            <w:tcW w:w="8771" w:type="dxa"/>
            <w:tcBorders>
              <w:top w:val="nil"/>
              <w:left w:val="nil"/>
              <w:bottom w:val="nil"/>
              <w:right w:val="nil"/>
            </w:tcBorders>
            <w:shd w:val="clear" w:color="auto" w:fill="auto"/>
          </w:tcPr>
          <w:p w:rsidR="00AB0424" w:rsidRPr="00BA0C18" w:rsidRDefault="00AB0424" w:rsidP="00871F08">
            <w:pPr>
              <w:pStyle w:val="Source"/>
              <w:rPr>
                <w:i/>
              </w:rPr>
            </w:pPr>
            <w:r w:rsidRPr="00DC2C60">
              <w:rPr>
                <w:rStyle w:val="NoteLabel"/>
              </w:rPr>
              <w:t>a</w:t>
            </w:r>
            <w:r w:rsidRPr="00044911">
              <w:t xml:space="preserve"> See table</w:t>
            </w:r>
            <w:r w:rsidR="00463329">
              <w:t> </w:t>
            </w:r>
            <w:proofErr w:type="spellStart"/>
            <w:r w:rsidRPr="00044911">
              <w:t>12A.</w:t>
            </w:r>
            <w:r>
              <w:t>17</w:t>
            </w:r>
            <w:proofErr w:type="spellEnd"/>
            <w:r w:rsidRPr="00044911">
              <w:t xml:space="preserve"> for </w:t>
            </w:r>
            <w:r w:rsidR="00871F08" w:rsidRPr="00871F08">
              <w:t>detailed footnotes and caveats</w:t>
            </w:r>
            <w:r w:rsidRPr="00044911">
              <w:t>.</w:t>
            </w:r>
            <w:r w:rsidR="00463329">
              <w:t xml:space="preserve"> </w:t>
            </w:r>
          </w:p>
        </w:tc>
      </w:tr>
      <w:tr w:rsidR="00B37BE6" w:rsidRPr="00176D3F" w:rsidTr="00533757">
        <w:tc>
          <w:tcPr>
            <w:tcW w:w="8771" w:type="dxa"/>
            <w:tcBorders>
              <w:top w:val="nil"/>
              <w:left w:val="nil"/>
              <w:bottom w:val="nil"/>
              <w:right w:val="nil"/>
            </w:tcBorders>
            <w:shd w:val="clear" w:color="auto" w:fill="auto"/>
          </w:tcPr>
          <w:p w:rsidR="00B37BE6" w:rsidRPr="00176D3F" w:rsidRDefault="00B37BE6" w:rsidP="00373E3A">
            <w:pPr>
              <w:pStyle w:val="Source"/>
            </w:pPr>
            <w:r w:rsidRPr="00BA0C18">
              <w:rPr>
                <w:i/>
              </w:rPr>
              <w:t>Source</w:t>
            </w:r>
            <w:r w:rsidRPr="0022260C">
              <w:t>:</w:t>
            </w:r>
            <w:r w:rsidRPr="00BA0C18">
              <w:rPr>
                <w:i/>
              </w:rPr>
              <w:t xml:space="preserve"> </w:t>
            </w:r>
            <w:r w:rsidR="00EC233F" w:rsidRPr="00EC233F">
              <w:t>AIHW (</w:t>
            </w:r>
            <w:r w:rsidR="00EC233F">
              <w:t>2015</w:t>
            </w:r>
            <w:r w:rsidR="00EC233F" w:rsidRPr="00EC233F">
              <w:t xml:space="preserve">) </w:t>
            </w:r>
            <w:r w:rsidR="00EC233F" w:rsidRPr="00E22E4C">
              <w:rPr>
                <w:i/>
              </w:rPr>
              <w:t>Mental Health Services in Australia</w:t>
            </w:r>
            <w:r w:rsidR="00EC233F" w:rsidRPr="00EC233F">
              <w:t xml:space="preserve"> (available at</w:t>
            </w:r>
            <w:r w:rsidR="00EC233F">
              <w:t xml:space="preserve"> http://</w:t>
            </w:r>
            <w:proofErr w:type="spellStart"/>
            <w:r w:rsidR="00EC233F">
              <w:t>mhsa.aihw.gov.au</w:t>
            </w:r>
            <w:proofErr w:type="spellEnd"/>
            <w:r w:rsidR="00EC233F">
              <w:t>/home/)</w:t>
            </w:r>
            <w:r w:rsidRPr="00BA0C18">
              <w:t>; table</w:t>
            </w:r>
            <w:r>
              <w:t> </w:t>
            </w:r>
            <w:proofErr w:type="spellStart"/>
            <w:r w:rsidRPr="00BA0C18">
              <w:t>12A.</w:t>
            </w:r>
            <w:r w:rsidR="00EC233F">
              <w:t>17</w:t>
            </w:r>
            <w:proofErr w:type="spellEnd"/>
            <w:r w:rsidRPr="00BA0C18">
              <w:t>.</w:t>
            </w:r>
          </w:p>
        </w:tc>
      </w:tr>
      <w:tr w:rsidR="00B37BE6" w:rsidTr="00533757">
        <w:tc>
          <w:tcPr>
            <w:tcW w:w="8771" w:type="dxa"/>
            <w:tcBorders>
              <w:top w:val="nil"/>
              <w:left w:val="nil"/>
              <w:bottom w:val="single" w:sz="6" w:space="0" w:color="78A22F"/>
              <w:right w:val="nil"/>
            </w:tcBorders>
            <w:shd w:val="clear" w:color="auto" w:fill="auto"/>
          </w:tcPr>
          <w:p w:rsidR="00B37BE6" w:rsidRDefault="00B37BE6" w:rsidP="00533757">
            <w:pPr>
              <w:pStyle w:val="Figurespace"/>
            </w:pPr>
          </w:p>
        </w:tc>
      </w:tr>
      <w:tr w:rsidR="00B37BE6" w:rsidRPr="000863A5" w:rsidTr="00533757">
        <w:tc>
          <w:tcPr>
            <w:tcW w:w="8771" w:type="dxa"/>
            <w:tcBorders>
              <w:top w:val="single" w:sz="6" w:space="0" w:color="78A22F"/>
              <w:left w:val="nil"/>
              <w:bottom w:val="nil"/>
              <w:right w:val="nil"/>
            </w:tcBorders>
          </w:tcPr>
          <w:p w:rsidR="00B37BE6" w:rsidRPr="00626D32" w:rsidRDefault="00B37BE6" w:rsidP="00533757">
            <w:pPr>
              <w:pStyle w:val="BoxSpaceBelow"/>
            </w:pPr>
          </w:p>
        </w:tc>
      </w:tr>
    </w:tbl>
    <w:p w:rsidR="00175597" w:rsidRDefault="00C045ED" w:rsidP="00373E3A">
      <w:pPr>
        <w:pStyle w:val="Heading4"/>
        <w:keepNext w:val="0"/>
        <w:widowControl w:val="0"/>
      </w:pPr>
      <w:r>
        <w:t>S</w:t>
      </w:r>
      <w:r w:rsidR="00D61A40">
        <w:t xml:space="preserve">tate and Territory governments’ specialised </w:t>
      </w:r>
      <w:r w:rsidR="00175597">
        <w:t xml:space="preserve">mental health services </w:t>
      </w:r>
    </w:p>
    <w:p w:rsidR="00E112DD" w:rsidRDefault="00EE75BC" w:rsidP="00EB040E">
      <w:pPr>
        <w:pStyle w:val="BodyText"/>
      </w:pPr>
      <w:r>
        <w:t xml:space="preserve">State and Territory governments’ specialised </w:t>
      </w:r>
      <w:r w:rsidRPr="00EE75BC">
        <w:t xml:space="preserve">mental health services </w:t>
      </w:r>
      <w:r>
        <w:t>(</w:t>
      </w:r>
      <w:r w:rsidR="00D61A40">
        <w:t xml:space="preserve">covering the three service types of: </w:t>
      </w:r>
      <w:r>
        <w:t>a</w:t>
      </w:r>
      <w:r w:rsidRPr="00EE75BC">
        <w:t>dmitted patient</w:t>
      </w:r>
      <w:r>
        <w:t xml:space="preserve">, </w:t>
      </w:r>
      <w:r w:rsidRPr="00EE75BC">
        <w:t>community</w:t>
      </w:r>
      <w:r>
        <w:noBreakHyphen/>
      </w:r>
      <w:r w:rsidRPr="00EE75BC">
        <w:t xml:space="preserve">based </w:t>
      </w:r>
      <w:r>
        <w:t xml:space="preserve">ambulatory and </w:t>
      </w:r>
      <w:r w:rsidRPr="00EE75BC">
        <w:t>community</w:t>
      </w:r>
      <w:r>
        <w:noBreakHyphen/>
      </w:r>
      <w:r w:rsidRPr="00EE75BC">
        <w:t xml:space="preserve">based </w:t>
      </w:r>
      <w:r>
        <w:t>residential)</w:t>
      </w:r>
      <w:r w:rsidRPr="00EE75BC">
        <w:t xml:space="preserve"> </w:t>
      </w:r>
      <w:r w:rsidR="001C0539">
        <w:t xml:space="preserve">tend to </w:t>
      </w:r>
      <w:r w:rsidR="008F71B7">
        <w:t xml:space="preserve">treat people with the </w:t>
      </w:r>
      <w:r>
        <w:t>l</w:t>
      </w:r>
      <w:r w:rsidR="008F71B7">
        <w:t>ow</w:t>
      </w:r>
      <w:r w:rsidR="001C0539">
        <w:t>er</w:t>
      </w:r>
      <w:r w:rsidR="008F71B7">
        <w:t xml:space="preserve"> prevalence, but severe, mental illnesses. </w:t>
      </w:r>
      <w:r w:rsidR="0078244B">
        <w:t xml:space="preserve">The </w:t>
      </w:r>
      <w:r w:rsidR="0078244B">
        <w:lastRenderedPageBreak/>
        <w:t xml:space="preserve">proportion of the total Australian population treated in these </w:t>
      </w:r>
      <w:r w:rsidR="00797BA2">
        <w:t xml:space="preserve">public </w:t>
      </w:r>
      <w:r w:rsidR="0078244B">
        <w:t xml:space="preserve">services remained below </w:t>
      </w:r>
      <w:r w:rsidR="0078244B" w:rsidRPr="00150FEC">
        <w:t>2 per cent between 2007</w:t>
      </w:r>
      <w:r w:rsidR="00463329">
        <w:noBreakHyphen/>
      </w:r>
      <w:r w:rsidR="0078244B" w:rsidRPr="00150FEC">
        <w:t>08 and 2013</w:t>
      </w:r>
      <w:r w:rsidR="00463329">
        <w:noBreakHyphen/>
      </w:r>
      <w:r w:rsidR="0078244B" w:rsidRPr="00150FEC">
        <w:t>14</w:t>
      </w:r>
      <w:r w:rsidR="0078244B">
        <w:t xml:space="preserve"> (</w:t>
      </w:r>
      <w:r w:rsidR="00DC5F71">
        <w:t>table</w:t>
      </w:r>
      <w:r w:rsidR="006062EF" w:rsidRPr="00150FEC">
        <w:t> </w:t>
      </w:r>
      <w:proofErr w:type="spellStart"/>
      <w:r w:rsidR="00DC5F71">
        <w:t>12A.42</w:t>
      </w:r>
      <w:proofErr w:type="spellEnd"/>
      <w:r w:rsidR="00DC5F71">
        <w:t xml:space="preserve"> and </w:t>
      </w:r>
      <w:r w:rsidR="0078244B">
        <w:t xml:space="preserve">figure 12.5). </w:t>
      </w:r>
    </w:p>
    <w:p w:rsidR="001C0539" w:rsidRDefault="001C0539" w:rsidP="00135A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C0539" w:rsidTr="00135AE5">
        <w:tc>
          <w:tcPr>
            <w:tcW w:w="8771" w:type="dxa"/>
            <w:tcBorders>
              <w:top w:val="single" w:sz="6" w:space="0" w:color="78A22F"/>
              <w:left w:val="nil"/>
              <w:bottom w:val="nil"/>
              <w:right w:val="nil"/>
            </w:tcBorders>
            <w:shd w:val="clear" w:color="auto" w:fill="auto"/>
          </w:tcPr>
          <w:p w:rsidR="001C0539" w:rsidRPr="00D71789" w:rsidRDefault="001C0539" w:rsidP="000477EA">
            <w:pPr>
              <w:pStyle w:val="FigureTitle"/>
            </w:pPr>
            <w:r w:rsidRPr="000477EA">
              <w:rPr>
                <w:b w:val="0"/>
              </w:rPr>
              <w:t>Figure 12.</w:t>
            </w:r>
            <w:r w:rsidR="00833D26">
              <w:rPr>
                <w:b w:val="0"/>
                <w:noProof/>
              </w:rPr>
              <w:t>5</w:t>
            </w:r>
            <w:r w:rsidRPr="000477EA">
              <w:rPr>
                <w:b w:val="0"/>
              </w:rPr>
              <w:tab/>
            </w:r>
            <w:r w:rsidR="000A422F" w:rsidRPr="000477EA">
              <w:t>Population</w:t>
            </w:r>
            <w:r w:rsidR="000A422F" w:rsidRPr="00D71789">
              <w:t xml:space="preserve"> using State and Territory </w:t>
            </w:r>
            <w:r w:rsidR="008E29B9" w:rsidRPr="008E29B9">
              <w:t>governments’ specialised</w:t>
            </w:r>
            <w:r w:rsidR="008E29B9" w:rsidRPr="00D71789">
              <w:t xml:space="preserve"> </w:t>
            </w:r>
            <w:r w:rsidR="000A422F" w:rsidRPr="00D71789">
              <w:t>mental health services</w:t>
            </w:r>
            <w:r w:rsidR="008E29B9" w:rsidRPr="000477EA">
              <w:rPr>
                <w:rStyle w:val="NoteLabel"/>
                <w:b/>
              </w:rPr>
              <w:t>a, b</w:t>
            </w:r>
          </w:p>
        </w:tc>
      </w:tr>
      <w:tr w:rsidR="001C0539" w:rsidTr="00135AE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C0539" w:rsidTr="00135AE5">
              <w:trPr>
                <w:jc w:val="center"/>
              </w:trPr>
              <w:tc>
                <w:tcPr>
                  <w:tcW w:w="5000" w:type="pct"/>
                  <w:tcBorders>
                    <w:top w:val="nil"/>
                    <w:bottom w:val="nil"/>
                  </w:tcBorders>
                </w:tcPr>
                <w:p w:rsidR="001C0539" w:rsidRDefault="001B7B09" w:rsidP="00135AE5">
                  <w:pPr>
                    <w:pStyle w:val="Figure"/>
                    <w:spacing w:before="60" w:after="60"/>
                  </w:pPr>
                  <w:r>
                    <w:rPr>
                      <w:noProof/>
                    </w:rPr>
                    <w:drawing>
                      <wp:inline distT="0" distB="0" distL="0" distR="0">
                        <wp:extent cx="5286375" cy="2686050"/>
                        <wp:effectExtent l="0" t="0" r="9525" b="0"/>
                        <wp:docPr id="6" name="Picture 6" descr="Figure 12.5 Population using State and Territory governments’ special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6375" cy="2686050"/>
                                </a:xfrm>
                                <a:prstGeom prst="rect">
                                  <a:avLst/>
                                </a:prstGeom>
                                <a:noFill/>
                                <a:ln>
                                  <a:noFill/>
                                </a:ln>
                              </pic:spPr>
                            </pic:pic>
                          </a:graphicData>
                        </a:graphic>
                      </wp:inline>
                    </w:drawing>
                  </w:r>
                </w:p>
              </w:tc>
            </w:tr>
          </w:tbl>
          <w:p w:rsidR="001C0539" w:rsidRDefault="001C0539" w:rsidP="00135AE5">
            <w:pPr>
              <w:pStyle w:val="Figure"/>
            </w:pPr>
          </w:p>
        </w:tc>
      </w:tr>
      <w:tr w:rsidR="001C0539" w:rsidRPr="00176D3F" w:rsidTr="00135AE5">
        <w:tc>
          <w:tcPr>
            <w:tcW w:w="8771" w:type="dxa"/>
            <w:tcBorders>
              <w:top w:val="nil"/>
              <w:left w:val="nil"/>
              <w:bottom w:val="nil"/>
              <w:right w:val="nil"/>
            </w:tcBorders>
            <w:shd w:val="clear" w:color="auto" w:fill="auto"/>
          </w:tcPr>
          <w:p w:rsidR="001C0539" w:rsidRPr="00176D3F" w:rsidRDefault="001C0539" w:rsidP="00D71789">
            <w:pPr>
              <w:pStyle w:val="ListNumber"/>
              <w:keepLines/>
              <w:numPr>
                <w:ilvl w:val="0"/>
                <w:numId w:val="0"/>
              </w:numPr>
              <w:spacing w:before="80" w:line="220" w:lineRule="exact"/>
              <w:rPr>
                <w:i/>
              </w:rPr>
            </w:pPr>
            <w:r>
              <w:rPr>
                <w:rStyle w:val="NoteLabel"/>
              </w:rPr>
              <w:t>a</w:t>
            </w:r>
            <w:r>
              <w:t xml:space="preserve"> </w:t>
            </w:r>
            <w:r w:rsidR="000A422F" w:rsidRPr="000A422F">
              <w:rPr>
                <w:rFonts w:ascii="Arial" w:hAnsi="Arial"/>
                <w:sz w:val="18"/>
              </w:rPr>
              <w:t>Victorian 2011</w:t>
            </w:r>
            <w:r w:rsidR="00463329">
              <w:rPr>
                <w:rFonts w:ascii="Arial" w:hAnsi="Arial"/>
                <w:sz w:val="18"/>
              </w:rPr>
              <w:noBreakHyphen/>
            </w:r>
            <w:r w:rsidR="000A422F" w:rsidRPr="000A422F">
              <w:rPr>
                <w:rFonts w:ascii="Arial" w:hAnsi="Arial"/>
                <w:sz w:val="18"/>
              </w:rPr>
              <w:t>12 and 2012</w:t>
            </w:r>
            <w:r w:rsidR="00463329">
              <w:rPr>
                <w:rFonts w:ascii="Arial" w:hAnsi="Arial"/>
                <w:sz w:val="18"/>
              </w:rPr>
              <w:noBreakHyphen/>
            </w:r>
            <w:r w:rsidR="000A422F" w:rsidRPr="000A422F">
              <w:rPr>
                <w:rFonts w:ascii="Arial" w:hAnsi="Arial"/>
                <w:sz w:val="18"/>
              </w:rPr>
              <w:t>13 data are not available</w:t>
            </w:r>
            <w:r w:rsidRPr="000A422F">
              <w:rPr>
                <w:rFonts w:ascii="Arial" w:hAnsi="Arial"/>
                <w:sz w:val="18"/>
              </w:rPr>
              <w:t>.</w:t>
            </w:r>
            <w:r>
              <w:t xml:space="preserve"> </w:t>
            </w:r>
            <w:r>
              <w:rPr>
                <w:rStyle w:val="NoteLabel"/>
              </w:rPr>
              <w:t>b</w:t>
            </w:r>
            <w:r>
              <w:t xml:space="preserve"> </w:t>
            </w:r>
            <w:r w:rsidR="000A422F" w:rsidRPr="000A422F">
              <w:rPr>
                <w:rFonts w:ascii="Arial" w:hAnsi="Arial"/>
                <w:sz w:val="18"/>
              </w:rPr>
              <w:t>See table</w:t>
            </w:r>
            <w:r w:rsidR="00463329">
              <w:rPr>
                <w:rFonts w:ascii="Arial" w:hAnsi="Arial"/>
                <w:sz w:val="18"/>
              </w:rPr>
              <w:t> </w:t>
            </w:r>
            <w:proofErr w:type="spellStart"/>
            <w:r w:rsidR="000A422F" w:rsidRPr="000A422F">
              <w:rPr>
                <w:rFonts w:ascii="Arial" w:hAnsi="Arial"/>
                <w:sz w:val="18"/>
              </w:rPr>
              <w:t>12A.</w:t>
            </w:r>
            <w:r w:rsidR="000A422F">
              <w:rPr>
                <w:rFonts w:ascii="Arial" w:hAnsi="Arial"/>
                <w:sz w:val="18"/>
              </w:rPr>
              <w:t>42</w:t>
            </w:r>
            <w:proofErr w:type="spellEnd"/>
            <w:r w:rsidR="000A422F" w:rsidRPr="000A422F">
              <w:rPr>
                <w:rFonts w:ascii="Arial" w:hAnsi="Arial"/>
                <w:sz w:val="18"/>
              </w:rPr>
              <w:t xml:space="preserve"> </w:t>
            </w:r>
            <w:r w:rsidR="00871F08" w:rsidRPr="00871F08">
              <w:rPr>
                <w:rFonts w:ascii="Arial" w:hAnsi="Arial"/>
                <w:sz w:val="18"/>
              </w:rPr>
              <w:t>for detailed footnotes and caveats</w:t>
            </w:r>
            <w:r w:rsidR="000A422F">
              <w:t xml:space="preserve">. </w:t>
            </w:r>
          </w:p>
        </w:tc>
      </w:tr>
      <w:tr w:rsidR="001C0539" w:rsidRPr="00176D3F" w:rsidTr="00135AE5">
        <w:tc>
          <w:tcPr>
            <w:tcW w:w="8771" w:type="dxa"/>
            <w:tcBorders>
              <w:top w:val="nil"/>
              <w:left w:val="nil"/>
              <w:bottom w:val="nil"/>
              <w:right w:val="nil"/>
            </w:tcBorders>
            <w:shd w:val="clear" w:color="auto" w:fill="auto"/>
          </w:tcPr>
          <w:p w:rsidR="001C0539" w:rsidRPr="00176D3F" w:rsidRDefault="000A422F" w:rsidP="00D71789">
            <w:pPr>
              <w:pStyle w:val="Source"/>
              <w:rPr>
                <w:i/>
              </w:rPr>
            </w:pPr>
            <w:r w:rsidRPr="000A422F">
              <w:rPr>
                <w:i/>
              </w:rPr>
              <w:t>Source</w:t>
            </w:r>
            <w:r w:rsidRPr="00463329">
              <w:t>:</w:t>
            </w:r>
            <w:r w:rsidRPr="000A422F">
              <w:rPr>
                <w:i/>
              </w:rPr>
              <w:t xml:space="preserve"> </w:t>
            </w:r>
            <w:r w:rsidRPr="00D71789">
              <w:t>AIHW (unpublished), derived from data provided by State and Territory governments;</w:t>
            </w:r>
            <w:r w:rsidR="00BF5E14">
              <w:t xml:space="preserve"> </w:t>
            </w:r>
            <w:r w:rsidR="00BF5E14" w:rsidRPr="00BF5E14">
              <w:t>ABS (unpublished) Estimated Residential Population, 30 June (prior to relevant period)</w:t>
            </w:r>
            <w:r w:rsidRPr="00D71789">
              <w:t>; table</w:t>
            </w:r>
            <w:r w:rsidR="00463329">
              <w:t> </w:t>
            </w:r>
            <w:proofErr w:type="spellStart"/>
            <w:r w:rsidRPr="00D71789">
              <w:t>12A.</w:t>
            </w:r>
            <w:r w:rsidR="001F7910">
              <w:t>42</w:t>
            </w:r>
            <w:proofErr w:type="spellEnd"/>
            <w:r w:rsidRPr="00D71789">
              <w:t>.</w:t>
            </w:r>
          </w:p>
        </w:tc>
      </w:tr>
      <w:tr w:rsidR="001C0539" w:rsidTr="00135AE5">
        <w:tc>
          <w:tcPr>
            <w:tcW w:w="8771" w:type="dxa"/>
            <w:tcBorders>
              <w:top w:val="nil"/>
              <w:left w:val="nil"/>
              <w:bottom w:val="single" w:sz="6" w:space="0" w:color="78A22F"/>
              <w:right w:val="nil"/>
            </w:tcBorders>
            <w:shd w:val="clear" w:color="auto" w:fill="auto"/>
          </w:tcPr>
          <w:p w:rsidR="001C0539" w:rsidRDefault="001C0539" w:rsidP="00135AE5">
            <w:pPr>
              <w:pStyle w:val="Figurespace"/>
            </w:pPr>
          </w:p>
        </w:tc>
      </w:tr>
      <w:tr w:rsidR="001C0539" w:rsidRPr="000863A5" w:rsidTr="00135AE5">
        <w:tc>
          <w:tcPr>
            <w:tcW w:w="8771" w:type="dxa"/>
            <w:tcBorders>
              <w:top w:val="single" w:sz="6" w:space="0" w:color="78A22F"/>
              <w:left w:val="nil"/>
              <w:bottom w:val="nil"/>
              <w:right w:val="nil"/>
            </w:tcBorders>
          </w:tcPr>
          <w:p w:rsidR="001C0539" w:rsidRPr="00626D32" w:rsidRDefault="001C0539" w:rsidP="00135AE5">
            <w:pPr>
              <w:pStyle w:val="BoxSpaceBelow"/>
            </w:pPr>
          </w:p>
        </w:tc>
      </w:tr>
    </w:tbl>
    <w:p w:rsidR="00EB040E" w:rsidRDefault="00EB040E" w:rsidP="00EB040E">
      <w:pPr>
        <w:pStyle w:val="BodyText"/>
        <w:widowControl w:val="0"/>
      </w:pPr>
      <w:r>
        <w:t>Across states and territories, the mix of admitted patient and community</w:t>
      </w:r>
      <w:r w:rsidR="00463329">
        <w:noBreakHyphen/>
      </w:r>
      <w:r>
        <w:t>based services and care types can differ. As the unit of activity varies across these three service types (table </w:t>
      </w:r>
      <w:proofErr w:type="spellStart"/>
      <w:r>
        <w:t>12A.25</w:t>
      </w:r>
      <w:proofErr w:type="spellEnd"/>
      <w:r>
        <w:t xml:space="preserve">), </w:t>
      </w:r>
      <w:r w:rsidRPr="000938E3">
        <w:t xml:space="preserve">service mix </w:t>
      </w:r>
      <w:r>
        <w:t>differences can be partly understood by considering items which have comparable measurement across service types such as expenditure (figure</w:t>
      </w:r>
      <w:r w:rsidR="003E26EB">
        <w:t> </w:t>
      </w:r>
      <w:r>
        <w:t>12.2), numbers of full</w:t>
      </w:r>
      <w:r w:rsidR="00B63E5F">
        <w:t xml:space="preserve"> </w:t>
      </w:r>
      <w:r>
        <w:t>time equivalent (FTE) direct care staff (figure</w:t>
      </w:r>
      <w:r w:rsidR="00463329">
        <w:t> </w:t>
      </w:r>
      <w:r>
        <w:t>12.6), accrued mental health patient days (figure</w:t>
      </w:r>
      <w:r w:rsidR="00463329">
        <w:t> </w:t>
      </w:r>
      <w:r>
        <w:t>12.7) and mental health beds (figure</w:t>
      </w:r>
      <w:r w:rsidR="00463329">
        <w:t> </w:t>
      </w:r>
      <w:r>
        <w:t xml:space="preserve">12.8). </w:t>
      </w:r>
    </w:p>
    <w:p w:rsidR="00257B3C" w:rsidRDefault="006F2D82" w:rsidP="00D71789">
      <w:pPr>
        <w:pStyle w:val="BodyText"/>
        <w:widowControl w:val="0"/>
      </w:pPr>
      <w:r>
        <w:t>Additional data are also available on the most common principal diagnosis for admitted patients (tables</w:t>
      </w:r>
      <w:r w:rsidR="00463329">
        <w:t> </w:t>
      </w:r>
      <w:proofErr w:type="spellStart"/>
      <w:r>
        <w:t>12A.22</w:t>
      </w:r>
      <w:proofErr w:type="spellEnd"/>
      <w:r>
        <w:t xml:space="preserve"> and </w:t>
      </w:r>
      <w:proofErr w:type="spellStart"/>
      <w:r>
        <w:t>12A.33</w:t>
      </w:r>
      <w:proofErr w:type="spellEnd"/>
      <w:r>
        <w:t xml:space="preserve">) and </w:t>
      </w:r>
      <w:r w:rsidR="00257B3C">
        <w:t>community</w:t>
      </w:r>
      <w:r w:rsidR="00463329">
        <w:noBreakHyphen/>
      </w:r>
      <w:r w:rsidR="00257B3C">
        <w:t xml:space="preserve">based ambulatory contacts by age group </w:t>
      </w:r>
      <w:r>
        <w:t>(</w:t>
      </w:r>
      <w:r w:rsidR="00257B3C">
        <w:t>table </w:t>
      </w:r>
      <w:proofErr w:type="spellStart"/>
      <w:r w:rsidR="00257B3C">
        <w:t>12A.24</w:t>
      </w:r>
      <w:proofErr w:type="spellEnd"/>
      <w:r>
        <w:t>)</w:t>
      </w:r>
      <w:r w:rsidR="00257B3C">
        <w:t>.</w:t>
      </w:r>
    </w:p>
    <w:p w:rsidR="002E485F" w:rsidRDefault="002E485F" w:rsidP="002E485F">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485F" w:rsidTr="00135AE5">
        <w:tc>
          <w:tcPr>
            <w:tcW w:w="8771" w:type="dxa"/>
            <w:tcBorders>
              <w:top w:val="single" w:sz="6" w:space="0" w:color="78A22F"/>
              <w:left w:val="nil"/>
              <w:bottom w:val="nil"/>
              <w:right w:val="nil"/>
            </w:tcBorders>
            <w:shd w:val="clear" w:color="auto" w:fill="FFFFFF" w:themeFill="background1"/>
          </w:tcPr>
          <w:p w:rsidR="002E485F" w:rsidRPr="00176D3F" w:rsidRDefault="002E485F">
            <w:pPr>
              <w:pStyle w:val="FigureTitle"/>
            </w:pPr>
            <w:r w:rsidRPr="00784A05">
              <w:rPr>
                <w:b w:val="0"/>
              </w:rPr>
              <w:t xml:space="preserve">Figure </w:t>
            </w:r>
            <w:r>
              <w:rPr>
                <w:b w:val="0"/>
              </w:rPr>
              <w:t>12.</w:t>
            </w:r>
            <w:r w:rsidR="00833D26">
              <w:rPr>
                <w:b w:val="0"/>
                <w:noProof/>
              </w:rPr>
              <w:t>6</w:t>
            </w:r>
            <w:r>
              <w:tab/>
            </w:r>
            <w:r w:rsidRPr="00460879">
              <w:t>FTE health professional direct care staff</w:t>
            </w:r>
            <w:r w:rsidR="00EA0BD3">
              <w:t>, by service type</w:t>
            </w:r>
            <w:r w:rsidR="007173D8">
              <w:t>, 2013</w:t>
            </w:r>
            <w:r w:rsidR="00463329">
              <w:noBreakHyphen/>
            </w:r>
            <w:r w:rsidR="007173D8">
              <w:t>14</w:t>
            </w:r>
            <w:r w:rsidR="00E112DD" w:rsidRPr="00D47EA9">
              <w:rPr>
                <w:rStyle w:val="NoteLabel"/>
                <w:b/>
              </w:rPr>
              <w:t>a</w:t>
            </w:r>
            <w:r w:rsidR="007173D8">
              <w:rPr>
                <w:rStyle w:val="NoteLabel"/>
                <w:b/>
              </w:rPr>
              <w:t>, b</w:t>
            </w:r>
          </w:p>
        </w:tc>
      </w:tr>
      <w:tr w:rsidR="002E485F" w:rsidTr="00427B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E485F" w:rsidTr="00135AE5">
              <w:trPr>
                <w:jc w:val="center"/>
              </w:trPr>
              <w:tc>
                <w:tcPr>
                  <w:tcW w:w="5000" w:type="pct"/>
                  <w:tcBorders>
                    <w:top w:val="nil"/>
                    <w:bottom w:val="nil"/>
                    <w:right w:val="nil"/>
                  </w:tcBorders>
                </w:tcPr>
                <w:p w:rsidR="002E485F" w:rsidRDefault="001B7B09" w:rsidP="00135AE5">
                  <w:pPr>
                    <w:pStyle w:val="Figure"/>
                    <w:keepLines/>
                    <w:spacing w:before="60" w:after="60"/>
                  </w:pPr>
                  <w:r>
                    <w:rPr>
                      <w:noProof/>
                    </w:rPr>
                    <w:drawing>
                      <wp:inline distT="0" distB="0" distL="0" distR="0">
                        <wp:extent cx="5286375" cy="2686050"/>
                        <wp:effectExtent l="0" t="0" r="9525" b="0"/>
                        <wp:docPr id="7" name="Picture 7" descr="Figure 12.6 FTE health professional direct care staff, by servic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6375" cy="2686050"/>
                                </a:xfrm>
                                <a:prstGeom prst="rect">
                                  <a:avLst/>
                                </a:prstGeom>
                                <a:noFill/>
                                <a:ln>
                                  <a:noFill/>
                                </a:ln>
                              </pic:spPr>
                            </pic:pic>
                          </a:graphicData>
                        </a:graphic>
                      </wp:inline>
                    </w:drawing>
                  </w:r>
                </w:p>
              </w:tc>
            </w:tr>
          </w:tbl>
          <w:p w:rsidR="002E485F" w:rsidRDefault="002E485F" w:rsidP="00135AE5">
            <w:pPr>
              <w:pStyle w:val="Figure"/>
              <w:keepLines/>
            </w:pPr>
          </w:p>
        </w:tc>
      </w:tr>
      <w:tr w:rsidR="00E112DD" w:rsidRPr="00176D3F" w:rsidTr="00135AE5">
        <w:tc>
          <w:tcPr>
            <w:tcW w:w="8771" w:type="dxa"/>
            <w:tcBorders>
              <w:top w:val="nil"/>
              <w:left w:val="nil"/>
              <w:bottom w:val="nil"/>
              <w:right w:val="nil"/>
            </w:tcBorders>
            <w:shd w:val="clear" w:color="auto" w:fill="auto"/>
          </w:tcPr>
          <w:p w:rsidR="00E112DD" w:rsidRPr="00460879" w:rsidRDefault="00E112DD" w:rsidP="00871F08">
            <w:pPr>
              <w:pStyle w:val="Source"/>
              <w:keepNext/>
              <w:rPr>
                <w:i/>
              </w:rPr>
            </w:pPr>
            <w:r>
              <w:rPr>
                <w:rStyle w:val="NoteLabel"/>
              </w:rPr>
              <w:t>a</w:t>
            </w:r>
            <w:r w:rsidRPr="00AF57D6">
              <w:t xml:space="preserve"> </w:t>
            </w:r>
            <w:r w:rsidRPr="00EA0BD3">
              <w:t>Queens</w:t>
            </w:r>
            <w:r>
              <w:t xml:space="preserve">land does not have any in scope </w:t>
            </w:r>
            <w:r w:rsidRPr="00EA0BD3">
              <w:t>residential services</w:t>
            </w:r>
            <w:r>
              <w:t>.</w:t>
            </w:r>
            <w:r w:rsidR="007173D8">
              <w:t xml:space="preserve"> </w:t>
            </w:r>
            <w:r w:rsidR="007173D8">
              <w:rPr>
                <w:rStyle w:val="NoteLabel"/>
              </w:rPr>
              <w:t>b</w:t>
            </w:r>
            <w:r w:rsidR="007173D8">
              <w:t xml:space="preserve"> </w:t>
            </w:r>
            <w:r w:rsidR="007173D8" w:rsidRPr="000A422F">
              <w:t>See table</w:t>
            </w:r>
            <w:r w:rsidR="00463329">
              <w:t> </w:t>
            </w:r>
            <w:proofErr w:type="spellStart"/>
            <w:r w:rsidR="007173D8" w:rsidRPr="000A422F">
              <w:t>12A.</w:t>
            </w:r>
            <w:r w:rsidR="007173D8">
              <w:t>28</w:t>
            </w:r>
            <w:proofErr w:type="spellEnd"/>
            <w:r w:rsidR="007173D8" w:rsidRPr="000A422F">
              <w:t xml:space="preserve"> for </w:t>
            </w:r>
            <w:r w:rsidR="00871F08" w:rsidRPr="00871F08">
              <w:t>detailed footnotes and caveats</w:t>
            </w:r>
            <w:r w:rsidR="007173D8">
              <w:t>.</w:t>
            </w:r>
          </w:p>
        </w:tc>
      </w:tr>
      <w:tr w:rsidR="002E485F" w:rsidRPr="00176D3F" w:rsidTr="00135AE5">
        <w:tc>
          <w:tcPr>
            <w:tcW w:w="8771" w:type="dxa"/>
            <w:tcBorders>
              <w:top w:val="nil"/>
              <w:left w:val="nil"/>
              <w:bottom w:val="nil"/>
              <w:right w:val="nil"/>
            </w:tcBorders>
            <w:shd w:val="clear" w:color="auto" w:fill="auto"/>
          </w:tcPr>
          <w:p w:rsidR="002E485F" w:rsidRPr="00176D3F" w:rsidRDefault="002E485F" w:rsidP="00D71789">
            <w:pPr>
              <w:pStyle w:val="Source"/>
              <w:keepNext/>
              <w:rPr>
                <w:i/>
              </w:rPr>
            </w:pPr>
            <w:r w:rsidRPr="00460879">
              <w:rPr>
                <w:i/>
              </w:rPr>
              <w:t>Source</w:t>
            </w:r>
            <w:r w:rsidRPr="00460879">
              <w:t xml:space="preserve">: AIHW (unpublished) </w:t>
            </w:r>
            <w:proofErr w:type="spellStart"/>
            <w:r w:rsidRPr="00460879">
              <w:t>MHE</w:t>
            </w:r>
            <w:proofErr w:type="spellEnd"/>
            <w:r w:rsidRPr="00460879">
              <w:t xml:space="preserve"> </w:t>
            </w:r>
            <w:proofErr w:type="spellStart"/>
            <w:r w:rsidRPr="00460879">
              <w:t>NMDS</w:t>
            </w:r>
            <w:proofErr w:type="spellEnd"/>
            <w:r w:rsidRPr="00460879">
              <w:t>; table</w:t>
            </w:r>
            <w:r>
              <w:t> </w:t>
            </w:r>
            <w:proofErr w:type="spellStart"/>
            <w:r w:rsidRPr="00460879">
              <w:t>12A.2</w:t>
            </w:r>
            <w:r>
              <w:t>8</w:t>
            </w:r>
            <w:proofErr w:type="spellEnd"/>
            <w:r w:rsidRPr="00460879">
              <w:t>.</w:t>
            </w:r>
          </w:p>
        </w:tc>
      </w:tr>
      <w:tr w:rsidR="002E485F" w:rsidTr="00135AE5">
        <w:tc>
          <w:tcPr>
            <w:tcW w:w="8771" w:type="dxa"/>
            <w:tcBorders>
              <w:top w:val="nil"/>
              <w:left w:val="nil"/>
              <w:bottom w:val="single" w:sz="6" w:space="0" w:color="78A22F"/>
              <w:right w:val="nil"/>
            </w:tcBorders>
            <w:shd w:val="clear" w:color="auto" w:fill="auto"/>
          </w:tcPr>
          <w:p w:rsidR="002E485F" w:rsidRDefault="002E485F" w:rsidP="00135AE5">
            <w:pPr>
              <w:pStyle w:val="Figurespace"/>
              <w:keepLines/>
            </w:pPr>
          </w:p>
        </w:tc>
      </w:tr>
      <w:tr w:rsidR="002E485F" w:rsidRPr="000863A5" w:rsidTr="00135AE5">
        <w:tc>
          <w:tcPr>
            <w:tcW w:w="8771" w:type="dxa"/>
            <w:tcBorders>
              <w:top w:val="single" w:sz="6" w:space="0" w:color="78A22F"/>
              <w:left w:val="nil"/>
              <w:bottom w:val="nil"/>
              <w:right w:val="nil"/>
            </w:tcBorders>
          </w:tcPr>
          <w:p w:rsidR="002E485F" w:rsidRPr="00626D32" w:rsidRDefault="002E485F" w:rsidP="00135AE5">
            <w:pPr>
              <w:pStyle w:val="BoxSpaceBelow"/>
              <w:keepNext/>
              <w:keepLines/>
            </w:pPr>
          </w:p>
        </w:tc>
      </w:tr>
    </w:tbl>
    <w:p w:rsidR="00BA0C18" w:rsidRDefault="00BA0C18"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0C18" w:rsidTr="005673E9">
        <w:tc>
          <w:tcPr>
            <w:tcW w:w="8771" w:type="dxa"/>
            <w:tcBorders>
              <w:top w:val="single" w:sz="6" w:space="0" w:color="78A22F"/>
              <w:left w:val="nil"/>
              <w:bottom w:val="nil"/>
              <w:right w:val="nil"/>
            </w:tcBorders>
            <w:shd w:val="clear" w:color="auto" w:fill="FFFFFF" w:themeFill="background1"/>
          </w:tcPr>
          <w:p w:rsidR="00BA0C18" w:rsidRPr="00176D3F" w:rsidRDefault="00BA0C18" w:rsidP="001F1DD0">
            <w:pPr>
              <w:pStyle w:val="FigureTitle"/>
            </w:pPr>
            <w:r w:rsidRPr="00784A05">
              <w:rPr>
                <w:b w:val="0"/>
              </w:rPr>
              <w:t xml:space="preserve">Figure </w:t>
            </w:r>
            <w:r w:rsidR="00AD0EA9">
              <w:rPr>
                <w:b w:val="0"/>
              </w:rPr>
              <w:t>12.</w:t>
            </w:r>
            <w:r w:rsidR="00833D26">
              <w:rPr>
                <w:b w:val="0"/>
                <w:noProof/>
              </w:rPr>
              <w:t>7</w:t>
            </w:r>
            <w:r>
              <w:tab/>
            </w:r>
            <w:r w:rsidRPr="00BA0C18">
              <w:t xml:space="preserve">Accrued mental health patient days, </w:t>
            </w:r>
            <w:r w:rsidR="00206030">
              <w:t xml:space="preserve">by service type, </w:t>
            </w:r>
            <w:r w:rsidR="0027441C" w:rsidRPr="00BA0C18">
              <w:t>201</w:t>
            </w:r>
            <w:r w:rsidR="0027441C">
              <w:t>3</w:t>
            </w:r>
            <w:r>
              <w:noBreakHyphen/>
            </w:r>
            <w:r w:rsidR="0027441C" w:rsidRPr="00BA0C18">
              <w:t>1</w:t>
            </w:r>
            <w:r w:rsidR="0027441C">
              <w:t>4</w:t>
            </w:r>
            <w:r w:rsidR="0027441C" w:rsidRPr="00BA0C18">
              <w:rPr>
                <w:rStyle w:val="NoteLabel"/>
                <w:b/>
              </w:rPr>
              <w:t>a</w:t>
            </w:r>
            <w:r w:rsidRPr="00BA0C18">
              <w:rPr>
                <w:rStyle w:val="NoteLabel"/>
                <w:b/>
              </w:rPr>
              <w:t>, b</w:t>
            </w:r>
            <w:r w:rsidR="007173D8">
              <w:rPr>
                <w:rStyle w:val="NoteLabel"/>
                <w:b/>
              </w:rPr>
              <w:t>, c</w:t>
            </w:r>
          </w:p>
        </w:tc>
      </w:tr>
      <w:tr w:rsidR="00BA0C18" w:rsidTr="00427B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BA0C18" w:rsidTr="00427BDE">
              <w:trPr>
                <w:jc w:val="center"/>
              </w:trPr>
              <w:tc>
                <w:tcPr>
                  <w:tcW w:w="8504" w:type="dxa"/>
                  <w:tcBorders>
                    <w:top w:val="nil"/>
                    <w:bottom w:val="nil"/>
                    <w:right w:val="nil"/>
                  </w:tcBorders>
                  <w:shd w:val="clear" w:color="auto" w:fill="FFFFFF" w:themeFill="background1"/>
                </w:tcPr>
                <w:p w:rsidR="00BA0C18" w:rsidRDefault="001B7B09" w:rsidP="009D4675">
                  <w:pPr>
                    <w:pStyle w:val="Figure"/>
                    <w:spacing w:before="60" w:after="60"/>
                  </w:pPr>
                  <w:r>
                    <w:rPr>
                      <w:noProof/>
                    </w:rPr>
                    <w:drawing>
                      <wp:inline distT="0" distB="0" distL="0" distR="0">
                        <wp:extent cx="5210175" cy="2686050"/>
                        <wp:effectExtent l="0" t="0" r="9525" b="0"/>
                        <wp:docPr id="8" name="Picture 8" descr="Figure 12.7 Accrued mental health patient days, by servic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BA0C18" w:rsidRDefault="00BA0C18" w:rsidP="009D4675">
            <w:pPr>
              <w:pStyle w:val="Figure"/>
            </w:pPr>
          </w:p>
        </w:tc>
      </w:tr>
      <w:tr w:rsidR="00BA0C18" w:rsidRPr="00176D3F" w:rsidTr="005673E9">
        <w:tc>
          <w:tcPr>
            <w:tcW w:w="8771" w:type="dxa"/>
            <w:tcBorders>
              <w:top w:val="nil"/>
              <w:left w:val="nil"/>
              <w:bottom w:val="nil"/>
              <w:right w:val="nil"/>
            </w:tcBorders>
            <w:shd w:val="clear" w:color="auto" w:fill="FFFFFF" w:themeFill="background1"/>
          </w:tcPr>
          <w:p w:rsidR="00BA0C18" w:rsidRPr="00176D3F" w:rsidRDefault="001F7910" w:rsidP="00D71789">
            <w:pPr>
              <w:pStyle w:val="Note"/>
              <w:rPr>
                <w:i/>
              </w:rPr>
            </w:pPr>
            <w:r w:rsidRPr="001F7910">
              <w:rPr>
                <w:rStyle w:val="NoteLabel"/>
              </w:rPr>
              <w:t>a</w:t>
            </w:r>
            <w:r w:rsidRPr="00D71789">
              <w:t xml:space="preserve"> </w:t>
            </w:r>
            <w:r w:rsidR="00E72BA1">
              <w:t>Queensland does not have any in</w:t>
            </w:r>
            <w:r w:rsidR="00463329">
              <w:noBreakHyphen/>
            </w:r>
            <w:r w:rsidRPr="00D71789">
              <w:t>scope residential services.</w:t>
            </w:r>
            <w:r w:rsidR="0027441C">
              <w:t xml:space="preserve"> </w:t>
            </w:r>
            <w:r w:rsidR="00946608">
              <w:rPr>
                <w:rStyle w:val="NoteLabel"/>
              </w:rPr>
              <w:t>b</w:t>
            </w:r>
            <w:r w:rsidR="008F71B7">
              <w:t> </w:t>
            </w:r>
            <w:r w:rsidR="00BA0C18" w:rsidRPr="00BA0C18">
              <w:t>The ACT and the NT do not have non</w:t>
            </w:r>
            <w:r w:rsidR="00BA0C18">
              <w:noBreakHyphen/>
            </w:r>
            <w:r w:rsidR="005F5456">
              <w:t>acute hospital units.</w:t>
            </w:r>
            <w:r w:rsidR="007173D8">
              <w:t xml:space="preserve"> </w:t>
            </w:r>
            <w:r w:rsidR="007173D8" w:rsidRPr="00D71789">
              <w:rPr>
                <w:rStyle w:val="NoteLabel"/>
              </w:rPr>
              <w:t>c</w:t>
            </w:r>
            <w:r w:rsidR="007173D8" w:rsidRPr="007173D8">
              <w:t xml:space="preserve"> See table</w:t>
            </w:r>
            <w:r w:rsidR="00463329">
              <w:t> </w:t>
            </w:r>
            <w:proofErr w:type="spellStart"/>
            <w:r w:rsidR="007173D8" w:rsidRPr="007173D8">
              <w:t>12A.2</w:t>
            </w:r>
            <w:r w:rsidR="00E72BA1">
              <w:t>1</w:t>
            </w:r>
            <w:proofErr w:type="spellEnd"/>
            <w:r w:rsidR="007173D8" w:rsidRPr="007173D8">
              <w:t xml:space="preserve"> </w:t>
            </w:r>
            <w:r w:rsidR="00871F08" w:rsidRPr="00871F08">
              <w:t>for detailed footnotes and caveats</w:t>
            </w:r>
            <w:r w:rsidR="007173D8" w:rsidRPr="007173D8">
              <w:t>.</w:t>
            </w:r>
          </w:p>
        </w:tc>
      </w:tr>
      <w:tr w:rsidR="00BA0C18" w:rsidRPr="00176D3F" w:rsidTr="009D4675">
        <w:tc>
          <w:tcPr>
            <w:tcW w:w="8771" w:type="dxa"/>
            <w:tcBorders>
              <w:top w:val="nil"/>
              <w:left w:val="nil"/>
              <w:bottom w:val="nil"/>
              <w:right w:val="nil"/>
            </w:tcBorders>
            <w:shd w:val="clear" w:color="auto" w:fill="auto"/>
          </w:tcPr>
          <w:p w:rsidR="00BA0C18" w:rsidRPr="00176D3F" w:rsidRDefault="00BA0C18" w:rsidP="00EF13E7">
            <w:pPr>
              <w:pStyle w:val="Source"/>
            </w:pPr>
            <w:r w:rsidRPr="00BA0C18">
              <w:rPr>
                <w:i/>
              </w:rPr>
              <w:t>Source</w:t>
            </w:r>
            <w:r w:rsidRPr="0022260C">
              <w:t>:</w:t>
            </w:r>
            <w:r w:rsidRPr="00BA0C18">
              <w:rPr>
                <w:i/>
              </w:rPr>
              <w:t xml:space="preserve"> </w:t>
            </w:r>
            <w:r w:rsidRPr="00BA0C18">
              <w:t xml:space="preserve">AIHW (unpublished) </w:t>
            </w:r>
            <w:proofErr w:type="spellStart"/>
            <w:r w:rsidRPr="00BA0C18">
              <w:t>MHE</w:t>
            </w:r>
            <w:proofErr w:type="spellEnd"/>
            <w:r w:rsidRPr="00BA0C18">
              <w:t xml:space="preserve"> </w:t>
            </w:r>
            <w:proofErr w:type="spellStart"/>
            <w:r w:rsidRPr="00BA0C18">
              <w:t>NMDS</w:t>
            </w:r>
            <w:proofErr w:type="spellEnd"/>
            <w:r w:rsidRPr="00BA0C18">
              <w:t>; table</w:t>
            </w:r>
            <w:r w:rsidR="0022260C">
              <w:t> </w:t>
            </w:r>
            <w:proofErr w:type="spellStart"/>
            <w:r w:rsidRPr="00BA0C18">
              <w:t>12A.</w:t>
            </w:r>
            <w:r w:rsidR="00EF13E7">
              <w:t>21</w:t>
            </w:r>
            <w:proofErr w:type="spellEnd"/>
            <w:r w:rsidRPr="00BA0C18">
              <w:t>.</w:t>
            </w:r>
          </w:p>
        </w:tc>
      </w:tr>
      <w:tr w:rsidR="00BA0C18" w:rsidTr="009D4675">
        <w:tc>
          <w:tcPr>
            <w:tcW w:w="8771" w:type="dxa"/>
            <w:tcBorders>
              <w:top w:val="nil"/>
              <w:left w:val="nil"/>
              <w:bottom w:val="single" w:sz="6" w:space="0" w:color="78A22F"/>
              <w:right w:val="nil"/>
            </w:tcBorders>
            <w:shd w:val="clear" w:color="auto" w:fill="auto"/>
          </w:tcPr>
          <w:p w:rsidR="00BA0C18" w:rsidRDefault="00BA0C18" w:rsidP="009D4675">
            <w:pPr>
              <w:pStyle w:val="Figurespace"/>
            </w:pPr>
          </w:p>
        </w:tc>
      </w:tr>
      <w:tr w:rsidR="00BA0C18" w:rsidRPr="000863A5" w:rsidTr="009D4675">
        <w:tc>
          <w:tcPr>
            <w:tcW w:w="8771" w:type="dxa"/>
            <w:tcBorders>
              <w:top w:val="single" w:sz="6" w:space="0" w:color="78A22F"/>
              <w:left w:val="nil"/>
              <w:bottom w:val="nil"/>
              <w:right w:val="nil"/>
            </w:tcBorders>
          </w:tcPr>
          <w:p w:rsidR="00BA0C18" w:rsidRPr="00626D32" w:rsidRDefault="00BA0C18" w:rsidP="009D4675">
            <w:pPr>
              <w:pStyle w:val="BoxSpaceBelow"/>
            </w:pPr>
          </w:p>
        </w:tc>
      </w:tr>
    </w:tbl>
    <w:p w:rsidR="00BA0C18" w:rsidRDefault="00BA0C18"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0C18" w:rsidTr="009C522C">
        <w:tc>
          <w:tcPr>
            <w:tcW w:w="8771" w:type="dxa"/>
            <w:tcBorders>
              <w:top w:val="single" w:sz="4" w:space="0" w:color="78A22F" w:themeColor="accent1"/>
              <w:left w:val="nil"/>
              <w:bottom w:val="nil"/>
              <w:right w:val="nil"/>
            </w:tcBorders>
            <w:shd w:val="clear" w:color="auto" w:fill="FFFFFF" w:themeFill="background1"/>
          </w:tcPr>
          <w:p w:rsidR="00BA0C18" w:rsidRPr="00176D3F" w:rsidRDefault="00BA0C18" w:rsidP="00D67541">
            <w:pPr>
              <w:pStyle w:val="FigureTitle"/>
            </w:pPr>
            <w:r w:rsidRPr="00784A05">
              <w:rPr>
                <w:b w:val="0"/>
              </w:rPr>
              <w:t xml:space="preserve">Figure </w:t>
            </w:r>
            <w:r w:rsidR="001B6C2F">
              <w:rPr>
                <w:b w:val="0"/>
              </w:rPr>
              <w:t>12.</w:t>
            </w:r>
            <w:r w:rsidR="00833D26">
              <w:rPr>
                <w:b w:val="0"/>
                <w:noProof/>
              </w:rPr>
              <w:t>8</w:t>
            </w:r>
            <w:r>
              <w:tab/>
            </w:r>
            <w:r w:rsidRPr="00BA0C18">
              <w:t>Mental health beds in public hospitals and community</w:t>
            </w:r>
            <w:r w:rsidR="00C045ED">
              <w:noBreakHyphen/>
            </w:r>
            <w:r w:rsidRPr="00BA0C18">
              <w:t xml:space="preserve">based residential units, </w:t>
            </w:r>
            <w:r w:rsidR="008664ED" w:rsidRPr="00BA0C18">
              <w:t>201</w:t>
            </w:r>
            <w:r w:rsidR="008664ED">
              <w:t>3</w:t>
            </w:r>
            <w:r w:rsidR="00460879">
              <w:noBreakHyphen/>
            </w:r>
            <w:r w:rsidR="008664ED" w:rsidRPr="00BA0C18">
              <w:t>1</w:t>
            </w:r>
            <w:r w:rsidR="008664ED">
              <w:t>4</w:t>
            </w:r>
            <w:r w:rsidR="008664ED" w:rsidRPr="00BA0C18">
              <w:rPr>
                <w:rStyle w:val="NoteLabel"/>
                <w:b/>
              </w:rPr>
              <w:t>a</w:t>
            </w:r>
            <w:r w:rsidRPr="00BA0C18">
              <w:rPr>
                <w:rStyle w:val="NoteLabel"/>
                <w:b/>
              </w:rPr>
              <w:t>, b</w:t>
            </w:r>
            <w:r w:rsidR="002A206D">
              <w:rPr>
                <w:rStyle w:val="NoteLabel"/>
                <w:b/>
              </w:rPr>
              <w:t>, c</w:t>
            </w:r>
          </w:p>
        </w:tc>
      </w:tr>
      <w:tr w:rsidR="00BA0C18" w:rsidTr="00427B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A0C18" w:rsidTr="005673E9">
              <w:trPr>
                <w:jc w:val="center"/>
              </w:trPr>
              <w:tc>
                <w:tcPr>
                  <w:tcW w:w="5000" w:type="pct"/>
                  <w:tcBorders>
                    <w:top w:val="nil"/>
                    <w:bottom w:val="nil"/>
                    <w:right w:val="nil"/>
                  </w:tcBorders>
                </w:tcPr>
                <w:p w:rsidR="00BA0C18" w:rsidRDefault="001B7B09" w:rsidP="009D4675">
                  <w:pPr>
                    <w:pStyle w:val="Figure"/>
                    <w:spacing w:before="60" w:after="60"/>
                  </w:pPr>
                  <w:r>
                    <w:rPr>
                      <w:noProof/>
                    </w:rPr>
                    <w:drawing>
                      <wp:inline distT="0" distB="0" distL="0" distR="0">
                        <wp:extent cx="5324475" cy="2686050"/>
                        <wp:effectExtent l="0" t="0" r="9525" b="0"/>
                        <wp:docPr id="9" name="Picture 9" descr="Figure 12.8 Mental health beds in public hospitals and community- based residential uni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4475" cy="2686050"/>
                                </a:xfrm>
                                <a:prstGeom prst="rect">
                                  <a:avLst/>
                                </a:prstGeom>
                                <a:noFill/>
                                <a:ln>
                                  <a:noFill/>
                                </a:ln>
                              </pic:spPr>
                            </pic:pic>
                          </a:graphicData>
                        </a:graphic>
                      </wp:inline>
                    </w:drawing>
                  </w:r>
                </w:p>
              </w:tc>
            </w:tr>
          </w:tbl>
          <w:p w:rsidR="00BA0C18" w:rsidRDefault="00BA0C18" w:rsidP="009D4675">
            <w:pPr>
              <w:pStyle w:val="Figure"/>
            </w:pPr>
          </w:p>
        </w:tc>
      </w:tr>
      <w:tr w:rsidR="00BA0C18" w:rsidRPr="00176D3F" w:rsidTr="009D4675">
        <w:tc>
          <w:tcPr>
            <w:tcW w:w="8771" w:type="dxa"/>
            <w:tcBorders>
              <w:top w:val="nil"/>
              <w:left w:val="nil"/>
              <w:bottom w:val="nil"/>
              <w:right w:val="nil"/>
            </w:tcBorders>
            <w:shd w:val="clear" w:color="auto" w:fill="auto"/>
          </w:tcPr>
          <w:p w:rsidR="00BA0C18" w:rsidRPr="00176D3F" w:rsidRDefault="007173D8" w:rsidP="00150FEC">
            <w:pPr>
              <w:pStyle w:val="Note"/>
            </w:pPr>
            <w:r w:rsidRPr="00703A2A">
              <w:rPr>
                <w:rStyle w:val="NoteLabel"/>
              </w:rPr>
              <w:t>a</w:t>
            </w:r>
            <w:r w:rsidRPr="00703A2A">
              <w:rPr>
                <w:b/>
              </w:rPr>
              <w:t xml:space="preserve"> </w:t>
            </w:r>
            <w:r w:rsidRPr="00703A2A">
              <w:t>Queensland does n</w:t>
            </w:r>
            <w:r w:rsidR="00150FEC">
              <w:t>ot have any in</w:t>
            </w:r>
            <w:r w:rsidR="00463329">
              <w:noBreakHyphen/>
            </w:r>
            <w:r w:rsidRPr="00703A2A">
              <w:t>scope residential services.</w:t>
            </w:r>
            <w:r w:rsidR="00BA0C18">
              <w:t> </w:t>
            </w:r>
            <w:r w:rsidR="005D63AF">
              <w:rPr>
                <w:rStyle w:val="NoteLabel"/>
              </w:rPr>
              <w:t>b</w:t>
            </w:r>
            <w:r w:rsidR="00946608">
              <w:t> </w:t>
            </w:r>
            <w:r w:rsidR="00BA0C18">
              <w:t>Tasmania, the ACT and the NT do not hav</w:t>
            </w:r>
            <w:r w:rsidR="005F5456">
              <w:t>e public psychiatric hospitals.</w:t>
            </w:r>
            <w:r>
              <w:t xml:space="preserve"> </w:t>
            </w:r>
            <w:r w:rsidRPr="00703A2A">
              <w:rPr>
                <w:rStyle w:val="NoteLabel"/>
              </w:rPr>
              <w:t>c</w:t>
            </w:r>
            <w:r w:rsidRPr="007173D8">
              <w:t xml:space="preserve"> See table</w:t>
            </w:r>
            <w:r w:rsidR="00463329">
              <w:t> </w:t>
            </w:r>
            <w:proofErr w:type="spellStart"/>
            <w:r w:rsidRPr="007173D8">
              <w:t>12A.2</w:t>
            </w:r>
            <w:r>
              <w:t>6</w:t>
            </w:r>
            <w:proofErr w:type="spellEnd"/>
            <w:r w:rsidRPr="007173D8">
              <w:t xml:space="preserve"> </w:t>
            </w:r>
            <w:r w:rsidR="00871F08" w:rsidRPr="00871F08">
              <w:t>for detailed footnotes and caveats</w:t>
            </w:r>
            <w:r w:rsidRPr="007173D8">
              <w:t>.</w:t>
            </w:r>
          </w:p>
        </w:tc>
      </w:tr>
      <w:tr w:rsidR="00BA0C18" w:rsidRPr="00176D3F" w:rsidTr="009D4675">
        <w:tc>
          <w:tcPr>
            <w:tcW w:w="8771" w:type="dxa"/>
            <w:tcBorders>
              <w:top w:val="nil"/>
              <w:left w:val="nil"/>
              <w:bottom w:val="nil"/>
              <w:right w:val="nil"/>
            </w:tcBorders>
            <w:shd w:val="clear" w:color="auto" w:fill="auto"/>
          </w:tcPr>
          <w:p w:rsidR="00BA0C18" w:rsidRPr="00176D3F" w:rsidRDefault="00460879" w:rsidP="00083260">
            <w:pPr>
              <w:pStyle w:val="Source"/>
            </w:pPr>
            <w:r w:rsidRPr="00460879">
              <w:rPr>
                <w:i/>
              </w:rPr>
              <w:t>Source</w:t>
            </w:r>
            <w:r w:rsidRPr="00460879">
              <w:t>:</w:t>
            </w:r>
            <w:r w:rsidRPr="00460879">
              <w:rPr>
                <w:i/>
              </w:rPr>
              <w:t xml:space="preserve"> </w:t>
            </w:r>
            <w:r w:rsidRPr="00460879">
              <w:t xml:space="preserve">AIHW (unpublished) </w:t>
            </w:r>
            <w:proofErr w:type="spellStart"/>
            <w:r w:rsidRPr="00460879">
              <w:t>MHE</w:t>
            </w:r>
            <w:proofErr w:type="spellEnd"/>
            <w:r w:rsidRPr="00460879">
              <w:t xml:space="preserve"> </w:t>
            </w:r>
            <w:proofErr w:type="spellStart"/>
            <w:r w:rsidRPr="00460879">
              <w:t>NMDS</w:t>
            </w:r>
            <w:proofErr w:type="spellEnd"/>
            <w:r w:rsidRPr="00460879">
              <w:t>; table</w:t>
            </w:r>
            <w:r w:rsidR="0022260C">
              <w:t> </w:t>
            </w:r>
            <w:proofErr w:type="spellStart"/>
            <w:r w:rsidRPr="00460879">
              <w:t>12A.2</w:t>
            </w:r>
            <w:r w:rsidR="00083260">
              <w:t>6</w:t>
            </w:r>
            <w:proofErr w:type="spellEnd"/>
            <w:r w:rsidRPr="00460879">
              <w:t>.</w:t>
            </w:r>
          </w:p>
        </w:tc>
      </w:tr>
      <w:tr w:rsidR="00BA0C18" w:rsidTr="009D4675">
        <w:tc>
          <w:tcPr>
            <w:tcW w:w="8771" w:type="dxa"/>
            <w:tcBorders>
              <w:top w:val="nil"/>
              <w:left w:val="nil"/>
              <w:bottom w:val="single" w:sz="6" w:space="0" w:color="78A22F"/>
              <w:right w:val="nil"/>
            </w:tcBorders>
            <w:shd w:val="clear" w:color="auto" w:fill="auto"/>
          </w:tcPr>
          <w:p w:rsidR="00BA0C18" w:rsidRDefault="00BA0C18" w:rsidP="009D4675">
            <w:pPr>
              <w:pStyle w:val="Figurespace"/>
            </w:pPr>
          </w:p>
        </w:tc>
      </w:tr>
      <w:tr w:rsidR="00BA0C18" w:rsidRPr="000863A5" w:rsidTr="009D4675">
        <w:tc>
          <w:tcPr>
            <w:tcW w:w="8771" w:type="dxa"/>
            <w:tcBorders>
              <w:top w:val="single" w:sz="6" w:space="0" w:color="78A22F"/>
              <w:left w:val="nil"/>
              <w:bottom w:val="nil"/>
              <w:right w:val="nil"/>
            </w:tcBorders>
          </w:tcPr>
          <w:p w:rsidR="00BA0C18" w:rsidRPr="00626D32" w:rsidRDefault="00BA0C18" w:rsidP="009D4675">
            <w:pPr>
              <w:pStyle w:val="BoxSpaceBelow"/>
            </w:pPr>
          </w:p>
        </w:tc>
      </w:tr>
    </w:tbl>
    <w:p w:rsidR="00461318" w:rsidRDefault="00461318" w:rsidP="00D71789">
      <w:pPr>
        <w:pStyle w:val="Heading4"/>
        <w:keepNext w:val="0"/>
        <w:widowControl w:val="0"/>
      </w:pPr>
      <w:r>
        <w:t>Government funded not</w:t>
      </w:r>
      <w:r>
        <w:noBreakHyphen/>
        <w:t>for</w:t>
      </w:r>
      <w:r>
        <w:noBreakHyphen/>
        <w:t>profit, NGO services</w:t>
      </w:r>
    </w:p>
    <w:p w:rsidR="00461318" w:rsidRPr="00461318" w:rsidRDefault="00461318" w:rsidP="00D71789">
      <w:pPr>
        <w:pStyle w:val="BodyText"/>
      </w:pPr>
      <w:r>
        <w:t xml:space="preserve">There </w:t>
      </w:r>
      <w:r w:rsidR="0013108A">
        <w:t xml:space="preserve">are </w:t>
      </w:r>
      <w:r>
        <w:t>limited data available on the size and scope of the mental health serv</w:t>
      </w:r>
      <w:r w:rsidR="00257B3C">
        <w:t xml:space="preserve">ices provided by the Australian, </w:t>
      </w:r>
      <w:r>
        <w:t>State and Territory governments’ funded not</w:t>
      </w:r>
      <w:r w:rsidR="00463329">
        <w:noBreakHyphen/>
      </w:r>
      <w:r>
        <w:t>for</w:t>
      </w:r>
      <w:r w:rsidR="00463329">
        <w:noBreakHyphen/>
      </w:r>
      <w:r w:rsidRPr="00461318">
        <w:t xml:space="preserve">profit, </w:t>
      </w:r>
      <w:r>
        <w:t xml:space="preserve">NGO sector. </w:t>
      </w:r>
      <w:r w:rsidR="00A940F4">
        <w:t>The</w:t>
      </w:r>
      <w:r w:rsidRPr="00461318">
        <w:t xml:space="preserve"> targeted community care (Mental Health) program </w:t>
      </w:r>
      <w:r>
        <w:t xml:space="preserve">is one exception. </w:t>
      </w:r>
      <w:r w:rsidRPr="00461318">
        <w:t>In 201</w:t>
      </w:r>
      <w:r>
        <w:t>3</w:t>
      </w:r>
      <w:r w:rsidR="00257B3C">
        <w:noBreakHyphen/>
      </w:r>
      <w:r w:rsidRPr="00461318">
        <w:t>1</w:t>
      </w:r>
      <w:r>
        <w:t>4</w:t>
      </w:r>
      <w:r w:rsidRPr="00461318">
        <w:t xml:space="preserve">, there were </w:t>
      </w:r>
      <w:r w:rsidR="00D67541">
        <w:t>157</w:t>
      </w:r>
      <w:r w:rsidR="0013108A">
        <w:t> </w:t>
      </w:r>
      <w:r w:rsidR="00D67541">
        <w:t>670</w:t>
      </w:r>
      <w:r w:rsidRPr="00461318">
        <w:t xml:space="preserve"> participants in the pro</w:t>
      </w:r>
      <w:r>
        <w:t xml:space="preserve">gram across three service types: </w:t>
      </w:r>
      <w:r w:rsidR="00D67541">
        <w:t>18</w:t>
      </w:r>
      <w:r w:rsidR="0013108A">
        <w:t> </w:t>
      </w:r>
      <w:r w:rsidR="00D67541">
        <w:t>539</w:t>
      </w:r>
      <w:r w:rsidRPr="00461318">
        <w:t xml:space="preserve"> for Personal Helpers and Mentors (</w:t>
      </w:r>
      <w:proofErr w:type="spellStart"/>
      <w:r w:rsidRPr="00461318">
        <w:t>PHaMs</w:t>
      </w:r>
      <w:proofErr w:type="spellEnd"/>
      <w:r w:rsidRPr="00461318">
        <w:t xml:space="preserve">), </w:t>
      </w:r>
      <w:r w:rsidR="00D67541">
        <w:t>98</w:t>
      </w:r>
      <w:r w:rsidR="0013108A">
        <w:t> </w:t>
      </w:r>
      <w:r w:rsidR="00D67541">
        <w:t>664</w:t>
      </w:r>
      <w:r w:rsidRPr="00461318">
        <w:t xml:space="preserve"> for Family Mental Health Support Services and </w:t>
      </w:r>
      <w:r w:rsidR="00D67541">
        <w:t>40</w:t>
      </w:r>
      <w:r w:rsidR="0013108A">
        <w:t> </w:t>
      </w:r>
      <w:r w:rsidR="00D67541">
        <w:t>467</w:t>
      </w:r>
      <w:r w:rsidRPr="00461318">
        <w:t xml:space="preserve"> for Menta</w:t>
      </w:r>
      <w:r w:rsidR="00087685">
        <w:t>l Health Respite: Carer Support</w:t>
      </w:r>
      <w:r w:rsidRPr="00461318">
        <w:t xml:space="preserve"> (table</w:t>
      </w:r>
      <w:r w:rsidR="00463329">
        <w:t> </w:t>
      </w:r>
      <w:proofErr w:type="spellStart"/>
      <w:r w:rsidRPr="00461318">
        <w:t>12A.29</w:t>
      </w:r>
      <w:proofErr w:type="spellEnd"/>
      <w:r w:rsidRPr="00461318">
        <w:t>).</w:t>
      </w:r>
    </w:p>
    <w:p w:rsidR="00460879" w:rsidRDefault="000B69A0" w:rsidP="00460879">
      <w:pPr>
        <w:pStyle w:val="Heading2"/>
      </w:pPr>
      <w:bookmarkStart w:id="9" w:name="_Toc432092255"/>
      <w:r>
        <w:t>12.</w:t>
      </w:r>
      <w:r w:rsidR="00833D26">
        <w:rPr>
          <w:noProof/>
        </w:rPr>
        <w:t>2</w:t>
      </w:r>
      <w:r w:rsidR="00460879">
        <w:tab/>
      </w:r>
      <w:r w:rsidR="00460879" w:rsidRPr="00460879">
        <w:t>Framework of performance indicators</w:t>
      </w:r>
      <w:bookmarkEnd w:id="9"/>
      <w:r w:rsidR="00460879" w:rsidRPr="00460879">
        <w:t xml:space="preserve"> </w:t>
      </w:r>
    </w:p>
    <w:p w:rsidR="00460879" w:rsidRDefault="00460879" w:rsidP="002315C6">
      <w:pPr>
        <w:pStyle w:val="BodyText"/>
      </w:pPr>
      <w:r>
        <w:t xml:space="preserve">The framework of performance indicators for mental health services draws on governments’ broad objectives as </w:t>
      </w:r>
      <w:r w:rsidR="009C7BB1">
        <w:t xml:space="preserve">expressed </w:t>
      </w:r>
      <w:r>
        <w:t xml:space="preserve">in the </w:t>
      </w:r>
      <w:r w:rsidRPr="00B658BD">
        <w:rPr>
          <w:i/>
        </w:rPr>
        <w:t>National Mental Health Policy 2008</w:t>
      </w:r>
      <w:r>
        <w:t xml:space="preserve"> (box</w:t>
      </w:r>
      <w:r w:rsidR="0022260C">
        <w:t> </w:t>
      </w:r>
      <w:r>
        <w:t>12.</w:t>
      </w:r>
      <w:r w:rsidR="000B69A0">
        <w:t>1</w:t>
      </w:r>
      <w:r>
        <w:t xml:space="preserve">). </w:t>
      </w:r>
    </w:p>
    <w:p w:rsidR="006D321E" w:rsidRDefault="006D32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321E" w:rsidTr="009D4675">
        <w:tc>
          <w:tcPr>
            <w:tcW w:w="8771" w:type="dxa"/>
            <w:tcBorders>
              <w:top w:val="single" w:sz="6" w:space="0" w:color="78A22F"/>
              <w:left w:val="nil"/>
              <w:bottom w:val="nil"/>
              <w:right w:val="nil"/>
            </w:tcBorders>
            <w:shd w:val="clear" w:color="auto" w:fill="F2F2F2"/>
          </w:tcPr>
          <w:p w:rsidR="006D321E" w:rsidRDefault="006D321E">
            <w:pPr>
              <w:pStyle w:val="BoxTitle"/>
            </w:pPr>
            <w:r>
              <w:rPr>
                <w:b w:val="0"/>
              </w:rPr>
              <w:t xml:space="preserve">Box </w:t>
            </w:r>
            <w:r w:rsidR="001F1DD0">
              <w:rPr>
                <w:b w:val="0"/>
              </w:rPr>
              <w:t>12.</w:t>
            </w:r>
            <w:r w:rsidR="00833D26">
              <w:rPr>
                <w:b w:val="0"/>
                <w:noProof/>
              </w:rPr>
              <w:t>1</w:t>
            </w:r>
            <w:r>
              <w:tab/>
            </w:r>
            <w:r w:rsidRPr="006D321E">
              <w:t>Broad objectives and policy directions of National Mental Health Policy</w:t>
            </w:r>
          </w:p>
        </w:tc>
      </w:tr>
      <w:tr w:rsidR="006D321E" w:rsidTr="006D321E">
        <w:trPr>
          <w:cantSplit/>
          <w:trHeight w:val="9327"/>
        </w:trPr>
        <w:tc>
          <w:tcPr>
            <w:tcW w:w="8771" w:type="dxa"/>
            <w:tcBorders>
              <w:top w:val="nil"/>
              <w:left w:val="nil"/>
              <w:bottom w:val="nil"/>
              <w:right w:val="nil"/>
            </w:tcBorders>
            <w:shd w:val="clear" w:color="auto" w:fill="F2F2F2"/>
          </w:tcPr>
          <w:p w:rsidR="006D321E" w:rsidRDefault="006D321E" w:rsidP="006D321E">
            <w:pPr>
              <w:pStyle w:val="Box"/>
            </w:pPr>
            <w:r>
              <w:t xml:space="preserve">The </w:t>
            </w:r>
            <w:r w:rsidRPr="006D321E">
              <w:rPr>
                <w:i/>
              </w:rPr>
              <w:t>National Mental Health Policy 2008</w:t>
            </w:r>
            <w:r>
              <w:t xml:space="preserve"> has an emphasis on whole</w:t>
            </w:r>
            <w:r w:rsidR="00463329">
              <w:noBreakHyphen/>
            </w:r>
            <w:r>
              <w:t>of</w:t>
            </w:r>
            <w:r w:rsidR="00463329">
              <w:noBreakHyphen/>
            </w:r>
            <w:r>
              <w:t>government mental health reform and commits the Australian, State and Territory governments to the continual improvement of Australia’s mental health system. The key broad objectives are to:</w:t>
            </w:r>
          </w:p>
          <w:p w:rsidR="006D321E" w:rsidRDefault="006D321E" w:rsidP="006D321E">
            <w:pPr>
              <w:pStyle w:val="BoxListBullet"/>
            </w:pPr>
            <w:r>
              <w:t xml:space="preserve">promote the mental health and </w:t>
            </w:r>
            <w:proofErr w:type="spellStart"/>
            <w:r>
              <w:t>well</w:t>
            </w:r>
            <w:r>
              <w:noBreakHyphen/>
              <w:t>being</w:t>
            </w:r>
            <w:proofErr w:type="spellEnd"/>
            <w:r>
              <w:t xml:space="preserve"> of the Australian community and, where possible, prevent the development of mental health problems and mental illness</w:t>
            </w:r>
          </w:p>
          <w:p w:rsidR="006D321E" w:rsidRDefault="006D321E" w:rsidP="006D321E">
            <w:pPr>
              <w:pStyle w:val="BoxListBullet"/>
            </w:pPr>
            <w:r>
              <w:t>reduce the impact of mental health problems and mental illness, including the effects of stigma on individuals, families and the community</w:t>
            </w:r>
          </w:p>
          <w:p w:rsidR="006D321E" w:rsidRDefault="006D321E" w:rsidP="006D321E">
            <w:pPr>
              <w:pStyle w:val="BoxListBullet"/>
            </w:pPr>
            <w:r>
              <w:t>promote recovery from mental health problems and mental illness</w:t>
            </w:r>
          </w:p>
          <w:p w:rsidR="006D321E" w:rsidRDefault="006D321E" w:rsidP="006D321E">
            <w:pPr>
              <w:pStyle w:val="BoxListBullet"/>
            </w:pPr>
            <w:r>
              <w:t xml:space="preserve">assure the rights of people with mental health problems and mental illness, and enable them to participate meaningfully in society. </w:t>
            </w:r>
          </w:p>
          <w:p w:rsidR="006D321E" w:rsidRDefault="006D321E" w:rsidP="006D321E">
            <w:pPr>
              <w:pStyle w:val="Box"/>
            </w:pPr>
            <w:r>
              <w:t>The key policy directions are summarised as follows:</w:t>
            </w:r>
          </w:p>
          <w:p w:rsidR="006D321E" w:rsidRDefault="006D321E" w:rsidP="006D321E">
            <w:pPr>
              <w:pStyle w:val="BoxListBullet"/>
            </w:pPr>
            <w:r>
              <w:t>Rights and responsibilities of people with mental health problems and mental illness will be acknowledged and respected.</w:t>
            </w:r>
          </w:p>
          <w:p w:rsidR="006D321E" w:rsidRDefault="006D321E" w:rsidP="006D321E">
            <w:pPr>
              <w:pStyle w:val="BoxListBullet"/>
            </w:pPr>
            <w:r>
              <w:t xml:space="preserve">Mental health promotion will support </w:t>
            </w:r>
            <w:proofErr w:type="spellStart"/>
            <w:r>
              <w:t>destigmatisation</w:t>
            </w:r>
            <w:proofErr w:type="spellEnd"/>
            <w:r>
              <w:t xml:space="preserve"> and assist people to be emotionally resilient, cope with negative experiences and participate in the community.</w:t>
            </w:r>
          </w:p>
          <w:p w:rsidR="006D321E" w:rsidRDefault="006D321E" w:rsidP="006D321E">
            <w:pPr>
              <w:pStyle w:val="BoxListBullet"/>
            </w:pPr>
            <w:r>
              <w:t>The proportion of people with mental health problems, mental illness and people at risk of suicide will be reduced.</w:t>
            </w:r>
          </w:p>
          <w:p w:rsidR="006D321E" w:rsidRDefault="006D321E" w:rsidP="006D321E">
            <w:pPr>
              <w:pStyle w:val="BoxListBullet"/>
            </w:pPr>
            <w:r>
              <w:t>Emerging mental health problems or mental illnesses will receive early intervention to minimise the severity and duration of the condition and to reduce its broader impacts.</w:t>
            </w:r>
          </w:p>
          <w:p w:rsidR="006D321E" w:rsidRDefault="006D321E" w:rsidP="006D321E">
            <w:pPr>
              <w:pStyle w:val="BoxListBullet"/>
            </w:pPr>
            <w:r>
              <w:t>People will receive timely access to high quality, coordinated care appropriate to their conditions and circumstances.</w:t>
            </w:r>
          </w:p>
          <w:p w:rsidR="006D321E" w:rsidRDefault="006D321E" w:rsidP="006D321E">
            <w:pPr>
              <w:pStyle w:val="BoxListBullet"/>
            </w:pPr>
            <w:r>
              <w:t>People with mental health problems and mental illness will enjoy full social, political and economic participation in their communities.</w:t>
            </w:r>
          </w:p>
          <w:p w:rsidR="006D321E" w:rsidRDefault="006D321E" w:rsidP="006D321E">
            <w:pPr>
              <w:pStyle w:val="BoxListBullet"/>
            </w:pPr>
            <w:r>
              <w:t>The crucial role of carers will be acknowledged and respected and they will be provided with appropriate support to enable them to fulfil their role.</w:t>
            </w:r>
          </w:p>
          <w:p w:rsidR="006D321E" w:rsidRDefault="006D321E" w:rsidP="006D321E">
            <w:pPr>
              <w:pStyle w:val="BoxListBullet"/>
            </w:pPr>
            <w:r>
              <w:t>The mental health workforce will be appropriately trained and adequate in size and distribution to meet the need for care.</w:t>
            </w:r>
          </w:p>
          <w:p w:rsidR="006D321E" w:rsidRDefault="006D321E" w:rsidP="006D321E">
            <w:pPr>
              <w:pStyle w:val="BoxListBullet"/>
            </w:pPr>
            <w:r>
              <w:t>Across all sectors, mental health services should be monitored and evaluated to ensure they are of high quality and achieving positive outcomes.</w:t>
            </w:r>
          </w:p>
          <w:p w:rsidR="006D321E" w:rsidRDefault="006D321E" w:rsidP="006D321E">
            <w:pPr>
              <w:pStyle w:val="BoxListBullet"/>
            </w:pPr>
            <w:r>
              <w:t>Research and evaluation efforts will generate new knowledge about mental health problems and mental illness that can reduce the impact of these conditions.</w:t>
            </w:r>
          </w:p>
        </w:tc>
      </w:tr>
      <w:tr w:rsidR="006D321E" w:rsidTr="009D4675">
        <w:trPr>
          <w:cantSplit/>
        </w:trPr>
        <w:tc>
          <w:tcPr>
            <w:tcW w:w="8771" w:type="dxa"/>
            <w:tcBorders>
              <w:top w:val="nil"/>
              <w:left w:val="nil"/>
              <w:bottom w:val="single" w:sz="6" w:space="0" w:color="78A22F"/>
              <w:right w:val="nil"/>
            </w:tcBorders>
            <w:shd w:val="clear" w:color="auto" w:fill="F2F2F2"/>
          </w:tcPr>
          <w:p w:rsidR="006D321E" w:rsidRDefault="006D321E">
            <w:pPr>
              <w:pStyle w:val="Box"/>
              <w:spacing w:before="0" w:line="120" w:lineRule="exact"/>
            </w:pPr>
          </w:p>
        </w:tc>
      </w:tr>
      <w:tr w:rsidR="006D321E" w:rsidRPr="000863A5" w:rsidTr="009D4675">
        <w:tc>
          <w:tcPr>
            <w:tcW w:w="8771" w:type="dxa"/>
            <w:tcBorders>
              <w:top w:val="single" w:sz="6" w:space="0" w:color="78A22F"/>
              <w:left w:val="nil"/>
              <w:bottom w:val="nil"/>
              <w:right w:val="nil"/>
            </w:tcBorders>
          </w:tcPr>
          <w:p w:rsidR="006D321E" w:rsidRPr="00626D32" w:rsidRDefault="006D321E" w:rsidP="009D4675">
            <w:pPr>
              <w:pStyle w:val="BoxSpaceBelow"/>
            </w:pPr>
          </w:p>
        </w:tc>
      </w:tr>
    </w:tbl>
    <w:p w:rsidR="009D4675" w:rsidRDefault="009D4675" w:rsidP="002315C6">
      <w:pPr>
        <w:pStyle w:val="BodyText"/>
      </w:pPr>
      <w:r>
        <w:t>The performance indicator framework provides information on equity, efficiency and effectiveness, and distinguishes the outputs and outcomes of mental health management services (figure</w:t>
      </w:r>
      <w:r w:rsidR="0022260C">
        <w:t> </w:t>
      </w:r>
      <w:r>
        <w:t>12.</w:t>
      </w:r>
      <w:r w:rsidR="00A940F4">
        <w:t>9</w:t>
      </w:r>
      <w:r>
        <w:t xml:space="preserve">). </w:t>
      </w:r>
      <w:r w:rsidR="000B69A0" w:rsidRPr="000B69A0">
        <w:t>It covers a number of service delivery types (</w:t>
      </w:r>
      <w:proofErr w:type="spellStart"/>
      <w:r w:rsidR="000B69A0" w:rsidRPr="000B69A0">
        <w:t>MBS</w:t>
      </w:r>
      <w:proofErr w:type="spellEnd"/>
      <w:r w:rsidR="000B69A0" w:rsidRPr="000B69A0">
        <w:t xml:space="preserve"> subsidised, admitted patient and community</w:t>
      </w:r>
      <w:r w:rsidR="000B69A0">
        <w:noBreakHyphen/>
      </w:r>
      <w:r w:rsidR="000B69A0" w:rsidRPr="000B69A0">
        <w:t>based services) and includes outcome indicators of system</w:t>
      </w:r>
      <w:r w:rsidR="000B69A0">
        <w:noBreakHyphen/>
      </w:r>
      <w:r w:rsidR="000B69A0" w:rsidRPr="000B69A0">
        <w:t>wide performance.</w:t>
      </w:r>
      <w:r w:rsidR="000B69A0">
        <w:t xml:space="preserve"> </w:t>
      </w:r>
      <w:r>
        <w:t xml:space="preserve">The performance indicator framework shows which data are complete and comparable in the </w:t>
      </w:r>
      <w:r w:rsidR="006F7DB2">
        <w:t xml:space="preserve">2016 </w:t>
      </w:r>
      <w:r>
        <w:t>Report. Chapter</w:t>
      </w:r>
      <w:r w:rsidR="0022260C">
        <w:t> </w:t>
      </w:r>
      <w:r>
        <w:t xml:space="preserve">1 discusses data comparability from a </w:t>
      </w:r>
      <w:r w:rsidR="000B69A0">
        <w:t>Report</w:t>
      </w:r>
      <w:r w:rsidR="000B69A0">
        <w:noBreakHyphen/>
      </w:r>
      <w:r>
        <w:t>wide perspective (</w:t>
      </w:r>
      <w:r w:rsidR="005F5456">
        <w:t>see chapter</w:t>
      </w:r>
      <w:r w:rsidR="0022260C">
        <w:t> </w:t>
      </w:r>
      <w:r w:rsidR="005F5456">
        <w:t xml:space="preserve">1, </w:t>
      </w:r>
      <w:r>
        <w:t>section</w:t>
      </w:r>
      <w:r w:rsidR="0022260C">
        <w:t> </w:t>
      </w:r>
      <w:r>
        <w:t>1.6).</w:t>
      </w:r>
    </w:p>
    <w:p w:rsidR="009D4675" w:rsidRDefault="000B69A0" w:rsidP="002315C6">
      <w:pPr>
        <w:pStyle w:val="BodyText"/>
      </w:pPr>
      <w:r>
        <w:lastRenderedPageBreak/>
        <w:t>In addition to section</w:t>
      </w:r>
      <w:r w:rsidR="00463329">
        <w:t> </w:t>
      </w:r>
      <w:r w:rsidR="001B3117">
        <w:t>12</w:t>
      </w:r>
      <w:r>
        <w:t>.1, t</w:t>
      </w:r>
      <w:r w:rsidR="009D4675">
        <w:t>he Report’s statistical context chapter contains data that may assist in interpreting the performance indicators presented in this chapter. These data cover a range of demographic and geographic characteristics (chapter</w:t>
      </w:r>
      <w:r w:rsidR="0022260C">
        <w:t> </w:t>
      </w:r>
      <w:r w:rsidR="009D4675">
        <w:t>2).</w:t>
      </w:r>
    </w:p>
    <w:p w:rsidR="009D4675" w:rsidRDefault="009D4675" w:rsidP="009D467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4675" w:rsidTr="009D4675">
        <w:tc>
          <w:tcPr>
            <w:tcW w:w="8771" w:type="dxa"/>
            <w:tcBorders>
              <w:top w:val="single" w:sz="6" w:space="0" w:color="78A22F"/>
              <w:left w:val="nil"/>
              <w:bottom w:val="nil"/>
              <w:right w:val="nil"/>
            </w:tcBorders>
            <w:shd w:val="clear" w:color="auto" w:fill="auto"/>
          </w:tcPr>
          <w:p w:rsidR="009D4675" w:rsidRPr="00176D3F" w:rsidRDefault="009D4675" w:rsidP="009D4675">
            <w:pPr>
              <w:pStyle w:val="FigureTitle"/>
            </w:pPr>
            <w:r w:rsidRPr="00784A05">
              <w:rPr>
                <w:b w:val="0"/>
              </w:rPr>
              <w:t xml:space="preserve">Figure </w:t>
            </w:r>
            <w:r w:rsidR="00E3550C">
              <w:rPr>
                <w:b w:val="0"/>
              </w:rPr>
              <w:t>12.</w:t>
            </w:r>
            <w:r w:rsidR="00833D26">
              <w:rPr>
                <w:b w:val="0"/>
                <w:noProof/>
              </w:rPr>
              <w:t>9</w:t>
            </w:r>
            <w:r>
              <w:tab/>
            </w:r>
            <w:r w:rsidRPr="009D4675">
              <w:t>Mental health management performance indicator framework</w:t>
            </w:r>
          </w:p>
        </w:tc>
      </w:tr>
      <w:tr w:rsidR="009D4675" w:rsidTr="009D467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D4675" w:rsidTr="009D4675">
              <w:trPr>
                <w:jc w:val="center"/>
              </w:trPr>
              <w:tc>
                <w:tcPr>
                  <w:tcW w:w="5000" w:type="pct"/>
                  <w:tcBorders>
                    <w:top w:val="nil"/>
                    <w:bottom w:val="nil"/>
                  </w:tcBorders>
                </w:tcPr>
                <w:p w:rsidR="009D4675" w:rsidRDefault="00C0799C" w:rsidP="009D4675">
                  <w:pPr>
                    <w:pStyle w:val="Figure"/>
                    <w:spacing w:before="60" w:after="60"/>
                  </w:pPr>
                  <w:r>
                    <w:rPr>
                      <w:noProof/>
                    </w:rPr>
                    <w:drawing>
                      <wp:inline distT="0" distB="0" distL="0" distR="0" wp14:anchorId="16518A6C" wp14:editId="513820E2">
                        <wp:extent cx="5369854" cy="6353175"/>
                        <wp:effectExtent l="0" t="0" r="2540" b="0"/>
                        <wp:docPr id="1" name="Picture 1" descr="Figure 12.9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Monitor\05 Current Report - WIP\2016 Report\3. 2016 Final RoGS\1. 2016 Ready for Admin processing\10_PIFs\PNG Final PIFS\Chapter12-mental-health.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9854" cy="6353175"/>
                                </a:xfrm>
                                <a:prstGeom prst="rect">
                                  <a:avLst/>
                                </a:prstGeom>
                                <a:noFill/>
                                <a:ln>
                                  <a:noFill/>
                                </a:ln>
                              </pic:spPr>
                            </pic:pic>
                          </a:graphicData>
                        </a:graphic>
                      </wp:inline>
                    </w:drawing>
                  </w:r>
                </w:p>
              </w:tc>
            </w:tr>
          </w:tbl>
          <w:p w:rsidR="009D4675" w:rsidRDefault="009D4675" w:rsidP="009D4675">
            <w:pPr>
              <w:pStyle w:val="Figure"/>
            </w:pPr>
          </w:p>
        </w:tc>
      </w:tr>
      <w:tr w:rsidR="009D4675" w:rsidTr="009D4675">
        <w:tc>
          <w:tcPr>
            <w:tcW w:w="8771" w:type="dxa"/>
            <w:tcBorders>
              <w:top w:val="nil"/>
              <w:left w:val="nil"/>
              <w:bottom w:val="single" w:sz="6" w:space="0" w:color="78A22F"/>
              <w:right w:val="nil"/>
            </w:tcBorders>
            <w:shd w:val="clear" w:color="auto" w:fill="auto"/>
          </w:tcPr>
          <w:p w:rsidR="009D4675" w:rsidRDefault="009D4675" w:rsidP="009D4675">
            <w:pPr>
              <w:pStyle w:val="Figurespace"/>
            </w:pPr>
          </w:p>
        </w:tc>
      </w:tr>
      <w:tr w:rsidR="009D4675" w:rsidRPr="000863A5" w:rsidTr="009D4675">
        <w:tc>
          <w:tcPr>
            <w:tcW w:w="8771" w:type="dxa"/>
            <w:tcBorders>
              <w:top w:val="single" w:sz="6" w:space="0" w:color="78A22F"/>
              <w:left w:val="nil"/>
              <w:bottom w:val="nil"/>
              <w:right w:val="nil"/>
            </w:tcBorders>
          </w:tcPr>
          <w:p w:rsidR="009D4675" w:rsidRPr="00626D32" w:rsidRDefault="009D4675" w:rsidP="009D4675">
            <w:pPr>
              <w:pStyle w:val="BoxSpaceBelow"/>
            </w:pPr>
          </w:p>
        </w:tc>
      </w:tr>
    </w:tbl>
    <w:p w:rsidR="009D4675" w:rsidRDefault="000B69A0" w:rsidP="009D4675">
      <w:pPr>
        <w:pStyle w:val="Heading2"/>
      </w:pPr>
      <w:bookmarkStart w:id="10" w:name="_Toc432092256"/>
      <w:r>
        <w:lastRenderedPageBreak/>
        <w:t>12.</w:t>
      </w:r>
      <w:r w:rsidR="00833D26">
        <w:rPr>
          <w:noProof/>
        </w:rPr>
        <w:t>3</w:t>
      </w:r>
      <w:r w:rsidR="009D4675">
        <w:tab/>
      </w:r>
      <w:r w:rsidR="009D4675" w:rsidRPr="009D4675">
        <w:t>Key performance indicator</w:t>
      </w:r>
      <w:r w:rsidR="00F01381">
        <w:t xml:space="preserve"> results</w:t>
      </w:r>
      <w:bookmarkEnd w:id="10"/>
    </w:p>
    <w:p w:rsidR="00D875F4" w:rsidRDefault="00D875F4" w:rsidP="00D71789">
      <w:pPr>
        <w:pStyle w:val="BodyText"/>
      </w:pPr>
      <w:r>
        <w:t xml:space="preserve">Different delivery contexts, locations and types of clients can affect the equity, effectiveness and efficiency of mental health management services. </w:t>
      </w:r>
    </w:p>
    <w:p w:rsidR="00D875F4" w:rsidRDefault="00D875F4" w:rsidP="00D71789">
      <w:pPr>
        <w:pStyle w:val="BodyText"/>
      </w:pPr>
      <w:r>
        <w:t>Data Quality Information (</w:t>
      </w:r>
      <w:proofErr w:type="spellStart"/>
      <w:r>
        <w:t>DQI</w:t>
      </w:r>
      <w:proofErr w:type="spellEnd"/>
      <w:r>
        <w:t xml:space="preserve">) is included where available for performance indicators in this Report. The purpose of </w:t>
      </w:r>
      <w:proofErr w:type="spellStart"/>
      <w:r>
        <w:t>DQI</w:t>
      </w:r>
      <w:proofErr w:type="spellEnd"/>
      <w:r>
        <w:t xml:space="preserve"> is to provide structured and consistent information about quality aspects of data used to report on performance indicators, in addition to material in the chapter or sector overview and attachment tables. All </w:t>
      </w:r>
      <w:proofErr w:type="spellStart"/>
      <w:r>
        <w:t>DQI</w:t>
      </w:r>
      <w:proofErr w:type="spellEnd"/>
      <w:r>
        <w:t xml:space="preserve"> for the 2016</w:t>
      </w:r>
      <w:r w:rsidR="006062EF">
        <w:t> </w:t>
      </w:r>
      <w:r>
        <w:t xml:space="preserve">Report can be found at </w:t>
      </w:r>
      <w:proofErr w:type="spellStart"/>
      <w:r>
        <w:t>www.pc.gov.au</w:t>
      </w:r>
      <w:proofErr w:type="spellEnd"/>
      <w:r>
        <w:t>/</w:t>
      </w:r>
      <w:proofErr w:type="spellStart"/>
      <w:r>
        <w:t>rogs</w:t>
      </w:r>
      <w:proofErr w:type="spellEnd"/>
      <w:r>
        <w:t>/2016.</w:t>
      </w:r>
    </w:p>
    <w:p w:rsidR="009D4675" w:rsidRDefault="009D4675" w:rsidP="009D4675">
      <w:pPr>
        <w:pStyle w:val="Heading3"/>
      </w:pPr>
      <w:r>
        <w:t>Outputs</w:t>
      </w:r>
    </w:p>
    <w:p w:rsidR="009D4675" w:rsidRDefault="00D875F4" w:rsidP="002315C6">
      <w:pPr>
        <w:pStyle w:val="BodyText"/>
      </w:pPr>
      <w:r w:rsidRPr="00D875F4">
        <w:t>Outputs are the services delivered (while outcomes are the impact of these services on the status of an individual or group) (see chapter</w:t>
      </w:r>
      <w:r w:rsidR="00463329">
        <w:t> </w:t>
      </w:r>
      <w:r w:rsidRPr="00D875F4">
        <w:t>1, section</w:t>
      </w:r>
      <w:r w:rsidR="00463329">
        <w:t> </w:t>
      </w:r>
      <w:r w:rsidRPr="00D875F4">
        <w:t>1.5). Output information is also critical for equitable, efficient and effective management of government services.</w:t>
      </w:r>
    </w:p>
    <w:p w:rsidR="000B3B63" w:rsidRPr="00D71789" w:rsidRDefault="009D4675" w:rsidP="009D4675">
      <w:pPr>
        <w:pStyle w:val="Heading4"/>
        <w:rPr>
          <w:b/>
          <w:sz w:val="26"/>
        </w:rPr>
      </w:pPr>
      <w:r w:rsidRPr="00D71789">
        <w:rPr>
          <w:b/>
          <w:sz w:val="26"/>
        </w:rPr>
        <w:t xml:space="preserve">Equity </w:t>
      </w:r>
    </w:p>
    <w:p w:rsidR="009D4675" w:rsidRPr="008B23A1" w:rsidRDefault="000B3B63" w:rsidP="009D4675">
      <w:pPr>
        <w:pStyle w:val="Heading4"/>
      </w:pPr>
      <w:r>
        <w:t>A</w:t>
      </w:r>
      <w:r w:rsidR="009D4675" w:rsidRPr="008B23A1">
        <w:t>ccess — new client index</w:t>
      </w:r>
    </w:p>
    <w:p w:rsidR="009D4675" w:rsidRPr="008B23A1" w:rsidRDefault="009D4675" w:rsidP="002315C6">
      <w:pPr>
        <w:pStyle w:val="BodyText"/>
      </w:pPr>
      <w:r w:rsidRPr="008B23A1">
        <w:t>‘New client index’ is an indicator of governments’ objective to provide mental health services in an equitable manner (box</w:t>
      </w:r>
      <w:r w:rsidR="0022260C">
        <w:t> </w:t>
      </w:r>
      <w:r w:rsidRPr="008B23A1">
        <w:t>12.</w:t>
      </w:r>
      <w:r w:rsidR="00CB24B4">
        <w:t>2</w:t>
      </w:r>
      <w:r w:rsidRPr="008B23A1">
        <w:t xml:space="preserve">). </w:t>
      </w:r>
      <w:r w:rsidR="00E3550C">
        <w:t>Where p</w:t>
      </w:r>
      <w:r w:rsidRPr="008B23A1">
        <w:t xml:space="preserve">opulation treatment rates are relatively low it </w:t>
      </w:r>
      <w:r w:rsidR="00235CB4">
        <w:t>may</w:t>
      </w:r>
      <w:r w:rsidRPr="008B23A1">
        <w:t xml:space="preserve"> be difficult for a new client to access services if already </w:t>
      </w:r>
      <w:r w:rsidR="00017BED">
        <w:t>used</w:t>
      </w:r>
      <w:r w:rsidR="00017BED" w:rsidRPr="008B23A1">
        <w:t xml:space="preserve"> </w:t>
      </w:r>
      <w:r w:rsidRPr="008B23A1">
        <w:t>by existing clients.</w:t>
      </w:r>
    </w:p>
    <w:p w:rsidR="008B23A1" w:rsidRDefault="008B23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B23A1" w:rsidTr="0072032B">
        <w:tc>
          <w:tcPr>
            <w:tcW w:w="8771" w:type="dxa"/>
            <w:tcBorders>
              <w:top w:val="single" w:sz="6" w:space="0" w:color="78A22F"/>
              <w:left w:val="nil"/>
              <w:bottom w:val="nil"/>
              <w:right w:val="nil"/>
            </w:tcBorders>
            <w:shd w:val="clear" w:color="auto" w:fill="F2F2F2"/>
          </w:tcPr>
          <w:p w:rsidR="008B23A1" w:rsidRDefault="008B23A1" w:rsidP="008B23A1">
            <w:pPr>
              <w:pStyle w:val="BoxTitle"/>
            </w:pPr>
            <w:r>
              <w:rPr>
                <w:b w:val="0"/>
              </w:rPr>
              <w:t xml:space="preserve">Box </w:t>
            </w:r>
            <w:bookmarkStart w:id="11" w:name="OLE_LINK16"/>
            <w:r w:rsidR="00491144">
              <w:rPr>
                <w:b w:val="0"/>
              </w:rPr>
              <w:t>12.</w:t>
            </w:r>
            <w:r w:rsidR="00833D26">
              <w:rPr>
                <w:b w:val="0"/>
                <w:noProof/>
              </w:rPr>
              <w:t>2</w:t>
            </w:r>
            <w:bookmarkEnd w:id="11"/>
            <w:r>
              <w:tab/>
            </w:r>
            <w:r w:rsidRPr="008B23A1">
              <w:t>New client index</w:t>
            </w:r>
          </w:p>
        </w:tc>
      </w:tr>
      <w:tr w:rsidR="008B23A1" w:rsidTr="005B4543">
        <w:trPr>
          <w:cantSplit/>
        </w:trPr>
        <w:tc>
          <w:tcPr>
            <w:tcW w:w="8771" w:type="dxa"/>
            <w:tcBorders>
              <w:top w:val="nil"/>
              <w:left w:val="nil"/>
              <w:bottom w:val="nil"/>
              <w:right w:val="nil"/>
            </w:tcBorders>
            <w:shd w:val="clear" w:color="auto" w:fill="F2F2F2"/>
          </w:tcPr>
          <w:p w:rsidR="008B23A1" w:rsidRPr="008B23A1" w:rsidRDefault="008B23A1" w:rsidP="008B23A1">
            <w:pPr>
              <w:pStyle w:val="Box"/>
            </w:pPr>
            <w:r w:rsidRPr="007F3961">
              <w:rPr>
                <w:color w:val="0070C0"/>
              </w:rPr>
              <w:t>‘</w:t>
            </w:r>
            <w:r w:rsidRPr="008B23A1">
              <w:t xml:space="preserve">New client index’ is defined by two measures, the proportions of </w:t>
            </w:r>
            <w:r w:rsidR="005B4543">
              <w:t>total clients under the care of:</w:t>
            </w:r>
            <w:r w:rsidRPr="008B23A1">
              <w:t xml:space="preserve"> </w:t>
            </w:r>
          </w:p>
          <w:p w:rsidR="008B23A1" w:rsidRPr="008B23A1" w:rsidRDefault="008B23A1" w:rsidP="0013451D">
            <w:pPr>
              <w:pStyle w:val="BoxListBullet"/>
            </w:pPr>
            <w:r w:rsidRPr="008B23A1">
              <w:t>State and Territory</w:t>
            </w:r>
            <w:r w:rsidR="005B4543">
              <w:t xml:space="preserve"> governments’</w:t>
            </w:r>
            <w:r w:rsidRPr="008B23A1">
              <w:t xml:space="preserve"> specialised </w:t>
            </w:r>
            <w:r w:rsidR="00D61A40">
              <w:t xml:space="preserve">public </w:t>
            </w:r>
            <w:r w:rsidRPr="008B23A1">
              <w:t>mental health services</w:t>
            </w:r>
            <w:r w:rsidR="0084283F">
              <w:t>,</w:t>
            </w:r>
            <w:r w:rsidRPr="008B23A1">
              <w:t xml:space="preserve"> who were new</w:t>
            </w:r>
            <w:r w:rsidR="0013451D">
              <w:t xml:space="preserve"> </w:t>
            </w:r>
            <w:r w:rsidR="0013451D">
              <w:rPr>
                <w:rFonts w:ascii="Calibri" w:hAnsi="Calibri"/>
              </w:rPr>
              <w:t>—</w:t>
            </w:r>
            <w:r w:rsidR="0013451D">
              <w:t xml:space="preserve"> c</w:t>
            </w:r>
            <w:r w:rsidR="0013451D" w:rsidRPr="0013451D">
              <w:t>lients include all people who received one or more community</w:t>
            </w:r>
            <w:r w:rsidR="0013451D">
              <w:noBreakHyphen/>
            </w:r>
            <w:r w:rsidR="0013451D" w:rsidRPr="0013451D">
              <w:t xml:space="preserve">based ambulatory contact or had one or more day of </w:t>
            </w:r>
            <w:r w:rsidR="00E3550C">
              <w:t xml:space="preserve">admitted patient </w:t>
            </w:r>
            <w:r w:rsidR="0013451D" w:rsidRPr="0013451D">
              <w:t>or community</w:t>
            </w:r>
            <w:r w:rsidR="0013451D">
              <w:noBreakHyphen/>
            </w:r>
            <w:r w:rsidR="0013451D" w:rsidRPr="0013451D">
              <w:t>based residential care.</w:t>
            </w:r>
            <w:r w:rsidR="00463329">
              <w:t xml:space="preserve"> </w:t>
            </w:r>
          </w:p>
          <w:p w:rsidR="00CB24B4" w:rsidRDefault="00BD5D96" w:rsidP="007C700D">
            <w:pPr>
              <w:pStyle w:val="BoxListBullet"/>
            </w:pPr>
            <w:proofErr w:type="spellStart"/>
            <w:r>
              <w:t>MBS</w:t>
            </w:r>
            <w:proofErr w:type="spellEnd"/>
            <w:r>
              <w:t xml:space="preserve"> </w:t>
            </w:r>
            <w:r w:rsidR="008B23A1" w:rsidRPr="008B23A1">
              <w:t xml:space="preserve">subsidised mental health services provided by private psychiatrists, </w:t>
            </w:r>
            <w:r w:rsidR="007F3DCA">
              <w:t>GPs</w:t>
            </w:r>
            <w:r w:rsidR="00757344">
              <w:t xml:space="preserve"> </w:t>
            </w:r>
            <w:r w:rsidR="008B23A1" w:rsidRPr="008B23A1">
              <w:t>and allied health providers, who were new.</w:t>
            </w:r>
          </w:p>
          <w:p w:rsidR="00F01381" w:rsidRPr="007D6F85" w:rsidRDefault="00CB24B4" w:rsidP="001745D0">
            <w:pPr>
              <w:pStyle w:val="Box"/>
            </w:pPr>
            <w:r w:rsidRPr="008B23A1">
              <w:t xml:space="preserve">A new client is </w:t>
            </w:r>
            <w:r w:rsidR="006D1AD2">
              <w:t>a consumer who has not rec</w:t>
            </w:r>
            <w:r w:rsidRPr="008B23A1">
              <w:t>eived a mental health service in the five years preceding the initial contact with a service in</w:t>
            </w:r>
            <w:r w:rsidR="00B827D1">
              <w:t xml:space="preserve"> the relevant reference period.</w:t>
            </w:r>
          </w:p>
        </w:tc>
      </w:tr>
      <w:tr w:rsidR="008B23A1" w:rsidTr="005B4543">
        <w:trPr>
          <w:cantSplit/>
        </w:trPr>
        <w:tc>
          <w:tcPr>
            <w:tcW w:w="8771" w:type="dxa"/>
            <w:tcBorders>
              <w:top w:val="nil"/>
              <w:left w:val="nil"/>
              <w:bottom w:val="nil"/>
              <w:right w:val="nil"/>
            </w:tcBorders>
            <w:shd w:val="clear" w:color="auto" w:fill="F2F2F2"/>
          </w:tcPr>
          <w:p w:rsidR="008B23A1" w:rsidRPr="000477EA" w:rsidRDefault="00B776D3" w:rsidP="000477EA">
            <w:pPr>
              <w:pStyle w:val="Continued"/>
            </w:pPr>
            <w:r w:rsidRPr="000477EA">
              <w:t>(c</w:t>
            </w:r>
            <w:r w:rsidR="008B23A1" w:rsidRPr="000477EA">
              <w:t>ontinued next page)</w:t>
            </w:r>
          </w:p>
        </w:tc>
      </w:tr>
      <w:tr w:rsidR="008B23A1" w:rsidTr="005B4543">
        <w:trPr>
          <w:cantSplit/>
        </w:trPr>
        <w:tc>
          <w:tcPr>
            <w:tcW w:w="8771" w:type="dxa"/>
            <w:tcBorders>
              <w:top w:val="nil"/>
              <w:left w:val="nil"/>
              <w:bottom w:val="single" w:sz="6" w:space="0" w:color="78A22F"/>
              <w:right w:val="nil"/>
            </w:tcBorders>
            <w:shd w:val="clear" w:color="auto" w:fill="F2F2F2"/>
          </w:tcPr>
          <w:p w:rsidR="008B23A1" w:rsidRDefault="008B23A1">
            <w:pPr>
              <w:pStyle w:val="Box"/>
              <w:spacing w:before="0" w:line="120" w:lineRule="exact"/>
            </w:pPr>
          </w:p>
        </w:tc>
      </w:tr>
      <w:tr w:rsidR="008B23A1" w:rsidRPr="000863A5" w:rsidTr="0072032B">
        <w:tc>
          <w:tcPr>
            <w:tcW w:w="8771" w:type="dxa"/>
            <w:tcBorders>
              <w:top w:val="single" w:sz="6" w:space="0" w:color="78A22F"/>
              <w:left w:val="nil"/>
              <w:bottom w:val="nil"/>
              <w:right w:val="nil"/>
            </w:tcBorders>
          </w:tcPr>
          <w:p w:rsidR="008B23A1" w:rsidRPr="00626D32" w:rsidRDefault="008B23A1" w:rsidP="0072032B">
            <w:pPr>
              <w:pStyle w:val="BoxSpaceBelow"/>
            </w:pPr>
          </w:p>
        </w:tc>
      </w:tr>
    </w:tbl>
    <w:p w:rsidR="009D4675" w:rsidRPr="008B23A1" w:rsidRDefault="009D4675" w:rsidP="008B23A1">
      <w:pPr>
        <w:pStyle w:val="BoxSpaceBelow"/>
        <w:keepNext/>
        <w:rPr>
          <w:rFonts w:ascii="Times New Roman" w:hAnsi="Times New Roman"/>
          <w:b/>
          <w:vanish/>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4675" w:rsidRPr="007F3961" w:rsidTr="009D4675">
        <w:tc>
          <w:tcPr>
            <w:tcW w:w="8771" w:type="dxa"/>
            <w:tcBorders>
              <w:top w:val="single" w:sz="6" w:space="0" w:color="78A22F"/>
              <w:left w:val="nil"/>
              <w:bottom w:val="nil"/>
              <w:right w:val="nil"/>
            </w:tcBorders>
            <w:shd w:val="clear" w:color="auto" w:fill="F2F2F2"/>
          </w:tcPr>
          <w:p w:rsidR="009D4675" w:rsidRPr="008B23A1" w:rsidRDefault="009D4675" w:rsidP="00D71789">
            <w:pPr>
              <w:pStyle w:val="BoxTitle"/>
              <w:rPr>
                <w:i/>
              </w:rPr>
            </w:pPr>
            <w:r w:rsidRPr="008B23A1">
              <w:rPr>
                <w:b w:val="0"/>
              </w:rPr>
              <w:t>Box</w:t>
            </w:r>
            <w:r w:rsidR="00DA1263">
              <w:rPr>
                <w:b w:val="0"/>
              </w:rPr>
              <w:t xml:space="preserve"> </w:t>
            </w:r>
            <w:r w:rsidR="006E6F6D">
              <w:rPr>
                <w:b w:val="0"/>
              </w:rPr>
              <w:t>12.2</w:t>
            </w:r>
            <w:r w:rsidRPr="008B23A1">
              <w:tab/>
            </w:r>
            <w:r w:rsidR="008B23A1" w:rsidRPr="00B776D3">
              <w:rPr>
                <w:b w:val="0"/>
                <w:sz w:val="18"/>
                <w:szCs w:val="18"/>
              </w:rPr>
              <w:t>(continued)</w:t>
            </w:r>
          </w:p>
        </w:tc>
      </w:tr>
      <w:tr w:rsidR="009D4675" w:rsidRPr="007F3961" w:rsidTr="009D4675">
        <w:trPr>
          <w:cantSplit/>
        </w:trPr>
        <w:tc>
          <w:tcPr>
            <w:tcW w:w="8771" w:type="dxa"/>
            <w:tcBorders>
              <w:top w:val="nil"/>
              <w:left w:val="nil"/>
              <w:bottom w:val="nil"/>
              <w:right w:val="nil"/>
            </w:tcBorders>
            <w:shd w:val="clear" w:color="auto" w:fill="F2F2F2"/>
          </w:tcPr>
          <w:p w:rsidR="001745D0" w:rsidRDefault="00A51A23" w:rsidP="00CB24B4">
            <w:pPr>
              <w:pStyle w:val="Box"/>
            </w:pPr>
            <w:r w:rsidRPr="00B827D1">
              <w:t>A high or increasing proportion of total clients who are new might be desirable, as it can suggest better access for new clients.</w:t>
            </w:r>
            <w:r w:rsidR="001745D0" w:rsidRPr="00B827D1">
              <w:t xml:space="preserve"> However, results are difficult to interpret as the appropriate balance between providing ongoing care to existing clients who have continuing needs and meeting the needs of new clients is unknown.</w:t>
            </w:r>
            <w:r w:rsidR="001745D0">
              <w:t xml:space="preserve"> </w:t>
            </w:r>
            <w:r w:rsidR="00450425">
              <w:t xml:space="preserve">In addition, a </w:t>
            </w:r>
            <w:r w:rsidR="00450425" w:rsidRPr="001745D0">
              <w:t>significant increase in</w:t>
            </w:r>
            <w:r w:rsidR="00F63DDC">
              <w:t xml:space="preserve"> the proportion of</w:t>
            </w:r>
            <w:r w:rsidR="00450425" w:rsidRPr="001745D0">
              <w:t xml:space="preserve"> </w:t>
            </w:r>
            <w:r w:rsidR="00450425">
              <w:t>new clients</w:t>
            </w:r>
            <w:r w:rsidR="00F63DDC">
              <w:t xml:space="preserve"> accessing services </w:t>
            </w:r>
            <w:r w:rsidR="00450425">
              <w:t>might be the result</w:t>
            </w:r>
            <w:r w:rsidR="00450425" w:rsidRPr="001745D0">
              <w:t xml:space="preserve"> of </w:t>
            </w:r>
            <w:r w:rsidR="00450425">
              <w:t xml:space="preserve">an </w:t>
            </w:r>
            <w:r w:rsidR="00450425" w:rsidRPr="001745D0">
              <w:t xml:space="preserve">increase in </w:t>
            </w:r>
            <w:r w:rsidR="00450425">
              <w:t xml:space="preserve">the </w:t>
            </w:r>
            <w:r w:rsidR="00450425" w:rsidRPr="001745D0">
              <w:t>prevalence of mental illness</w:t>
            </w:r>
            <w:r w:rsidR="00450425">
              <w:t>.</w:t>
            </w:r>
          </w:p>
          <w:p w:rsidR="0013451D" w:rsidRDefault="0013451D" w:rsidP="00CB24B4">
            <w:pPr>
              <w:pStyle w:val="Box"/>
            </w:pPr>
            <w:r w:rsidRPr="0013451D">
              <w:t>This indicator does not provide information on whether the services are appropriate or adequate for the needs of the people receiving them (new or existing clients), or correctly targeted to those clients who are most in need.</w:t>
            </w:r>
          </w:p>
          <w:p w:rsidR="00CB24B4" w:rsidRPr="008B23A1" w:rsidRDefault="00CB24B4" w:rsidP="00CB24B4">
            <w:pPr>
              <w:pStyle w:val="Box"/>
            </w:pPr>
            <w:r w:rsidRPr="008B23A1">
              <w:t>Data reported for the proportions of total clients under the care of State and Territory</w:t>
            </w:r>
            <w:r w:rsidR="008B6814">
              <w:t xml:space="preserve"> governments’ </w:t>
            </w:r>
            <w:r w:rsidRPr="008B23A1">
              <w:t>specialised</w:t>
            </w:r>
            <w:r w:rsidR="00756FA2">
              <w:t xml:space="preserve"> public</w:t>
            </w:r>
            <w:r w:rsidRPr="008B23A1">
              <w:t xml:space="preserve"> mental health services who were new are:</w:t>
            </w:r>
          </w:p>
          <w:p w:rsidR="00CB24B4" w:rsidRPr="008B23A1" w:rsidRDefault="00CB24B4">
            <w:pPr>
              <w:pStyle w:val="BoxListBullet"/>
            </w:pPr>
            <w:r w:rsidRPr="008B23A1">
              <w:t>comparable (subject to caveats) with</w:t>
            </w:r>
            <w:r w:rsidR="007F692A">
              <w:t xml:space="preserve">in </w:t>
            </w:r>
            <w:r w:rsidR="00B827D1">
              <w:t>some</w:t>
            </w:r>
            <w:r w:rsidR="007F692A">
              <w:t xml:space="preserve"> jurisdictions over time</w:t>
            </w:r>
            <w:r w:rsidRPr="008B23A1">
              <w:t xml:space="preserve"> but are not comparable across jurisdictions or over time </w:t>
            </w:r>
            <w:r w:rsidR="00B827D1">
              <w:t xml:space="preserve">for </w:t>
            </w:r>
            <w:r w:rsidR="00B827D1" w:rsidRPr="00B827D1">
              <w:t>other jurisdictions (see caveats in attachment tab</w:t>
            </w:r>
            <w:r w:rsidR="00B827D1">
              <w:t>les for specific jurisdictions)</w:t>
            </w:r>
          </w:p>
          <w:p w:rsidR="00CB24B4" w:rsidRDefault="00CB24B4" w:rsidP="00D71789">
            <w:pPr>
              <w:pStyle w:val="BoxListBullet"/>
            </w:pPr>
            <w:r w:rsidRPr="007D6F85">
              <w:t xml:space="preserve">complete </w:t>
            </w:r>
            <w:r w:rsidR="00491144">
              <w:t>(</w:t>
            </w:r>
            <w:r w:rsidR="00491144" w:rsidRPr="00491144">
              <w:t>subject to caveats)</w:t>
            </w:r>
            <w:r w:rsidR="00491144">
              <w:t xml:space="preserve"> </w:t>
            </w:r>
            <w:r w:rsidRPr="007D6F85">
              <w:t>for the current reporting period. All required 201</w:t>
            </w:r>
            <w:r>
              <w:t>3</w:t>
            </w:r>
            <w:r w:rsidRPr="007D6F85">
              <w:noBreakHyphen/>
              <w:t>1</w:t>
            </w:r>
            <w:r>
              <w:t>4</w:t>
            </w:r>
            <w:r w:rsidRPr="007D6F85">
              <w:t xml:space="preserve"> data are available</w:t>
            </w:r>
            <w:r w:rsidR="007F692A">
              <w:t xml:space="preserve"> </w:t>
            </w:r>
            <w:r w:rsidR="007F692A" w:rsidRPr="007F692A">
              <w:t>for all jurisdictions</w:t>
            </w:r>
            <w:r w:rsidRPr="007D6F85">
              <w:t>.</w:t>
            </w:r>
          </w:p>
          <w:p w:rsidR="003A6EEF" w:rsidRPr="008B23A1" w:rsidRDefault="003A6EEF" w:rsidP="003A6EEF">
            <w:pPr>
              <w:pStyle w:val="Box"/>
            </w:pPr>
            <w:r w:rsidRPr="008B23A1">
              <w:t xml:space="preserve">Data reported for the proportions of total clients under the care of </w:t>
            </w:r>
            <w:proofErr w:type="spellStart"/>
            <w:r w:rsidRPr="008B23A1">
              <w:t>MBS</w:t>
            </w:r>
            <w:proofErr w:type="spellEnd"/>
            <w:r w:rsidR="003978B7">
              <w:t xml:space="preserve"> </w:t>
            </w:r>
            <w:r w:rsidRPr="008B23A1">
              <w:t>subsidised mental health services who were new are:</w:t>
            </w:r>
          </w:p>
          <w:p w:rsidR="003A6EEF" w:rsidRPr="008B23A1" w:rsidRDefault="003A6EEF" w:rsidP="003A6EEF">
            <w:pPr>
              <w:pStyle w:val="BoxListBullet"/>
            </w:pPr>
            <w:r w:rsidRPr="008B23A1">
              <w:t>comparable (subject to caveats) across jurisdictions and over time</w:t>
            </w:r>
          </w:p>
          <w:p w:rsidR="003A6EEF" w:rsidRPr="008B23A1" w:rsidRDefault="003A6EEF" w:rsidP="003270B5">
            <w:pPr>
              <w:pStyle w:val="BoxListBullet"/>
            </w:pPr>
            <w:r w:rsidRPr="008B23A1">
              <w:t xml:space="preserve">complete </w:t>
            </w:r>
            <w:r w:rsidR="003270B5" w:rsidRPr="003270B5">
              <w:t>(subject to caveats)</w:t>
            </w:r>
            <w:r w:rsidR="003270B5">
              <w:t xml:space="preserve"> </w:t>
            </w:r>
            <w:r w:rsidRPr="008B23A1">
              <w:t xml:space="preserve">for the current reporting period. All required </w:t>
            </w:r>
            <w:r w:rsidR="006821CD" w:rsidRPr="008B23A1">
              <w:t>201</w:t>
            </w:r>
            <w:r w:rsidR="006821CD">
              <w:t>4</w:t>
            </w:r>
            <w:r w:rsidR="00360224">
              <w:noBreakHyphen/>
            </w:r>
            <w:r w:rsidR="006821CD" w:rsidRPr="008B23A1">
              <w:t>1</w:t>
            </w:r>
            <w:r w:rsidR="006821CD">
              <w:t>5</w:t>
            </w:r>
            <w:r w:rsidR="006821CD" w:rsidRPr="008B23A1">
              <w:t xml:space="preserve"> </w:t>
            </w:r>
            <w:r w:rsidRPr="008B23A1">
              <w:t>data are available</w:t>
            </w:r>
            <w:r w:rsidR="007F692A">
              <w:t xml:space="preserve"> </w:t>
            </w:r>
            <w:r w:rsidR="007F692A" w:rsidRPr="007F692A">
              <w:t>for all jurisdictions.</w:t>
            </w:r>
          </w:p>
          <w:p w:rsidR="009D4675" w:rsidRPr="008B23A1" w:rsidRDefault="009D4675" w:rsidP="006821CD">
            <w:pPr>
              <w:pStyle w:val="Box"/>
            </w:pPr>
            <w:r w:rsidRPr="008B23A1">
              <w:t>Data quality information for this indicator</w:t>
            </w:r>
            <w:r w:rsidR="00777A59">
              <w:t xml:space="preserve"> is at </w:t>
            </w:r>
            <w:proofErr w:type="spellStart"/>
            <w:r w:rsidR="00777A59">
              <w:t>www.pc.gov.au</w:t>
            </w:r>
            <w:proofErr w:type="spellEnd"/>
            <w:r w:rsidRPr="008B23A1">
              <w:t>/</w:t>
            </w:r>
            <w:proofErr w:type="spellStart"/>
            <w:r w:rsidRPr="008B23A1">
              <w:t>rogs</w:t>
            </w:r>
            <w:proofErr w:type="spellEnd"/>
            <w:r w:rsidRPr="008B23A1">
              <w:t>/</w:t>
            </w:r>
            <w:r w:rsidR="006821CD" w:rsidRPr="008B23A1">
              <w:t>201</w:t>
            </w:r>
            <w:r w:rsidR="006821CD">
              <w:t>6</w:t>
            </w:r>
            <w:r w:rsidRPr="008B23A1">
              <w:t>.</w:t>
            </w:r>
          </w:p>
        </w:tc>
      </w:tr>
      <w:tr w:rsidR="009D4675" w:rsidRPr="007F3961" w:rsidTr="009D4675">
        <w:trPr>
          <w:cantSplit/>
        </w:trPr>
        <w:tc>
          <w:tcPr>
            <w:tcW w:w="8771" w:type="dxa"/>
            <w:tcBorders>
              <w:top w:val="nil"/>
              <w:left w:val="nil"/>
              <w:bottom w:val="single" w:sz="6" w:space="0" w:color="78A22F"/>
              <w:right w:val="nil"/>
            </w:tcBorders>
            <w:shd w:val="clear" w:color="auto" w:fill="F2F2F2"/>
          </w:tcPr>
          <w:p w:rsidR="009D4675" w:rsidRPr="007F3961" w:rsidRDefault="009D4675">
            <w:pPr>
              <w:pStyle w:val="Box"/>
              <w:spacing w:before="0" w:line="120" w:lineRule="exact"/>
              <w:rPr>
                <w:color w:val="0070C0"/>
              </w:rPr>
            </w:pPr>
          </w:p>
        </w:tc>
      </w:tr>
      <w:tr w:rsidR="009D4675" w:rsidRPr="007F3961" w:rsidTr="009D4675">
        <w:tc>
          <w:tcPr>
            <w:tcW w:w="8771" w:type="dxa"/>
            <w:tcBorders>
              <w:top w:val="single" w:sz="6" w:space="0" w:color="78A22F"/>
              <w:left w:val="nil"/>
              <w:bottom w:val="nil"/>
              <w:right w:val="nil"/>
            </w:tcBorders>
          </w:tcPr>
          <w:p w:rsidR="009D4675" w:rsidRPr="007F3961" w:rsidRDefault="009D4675" w:rsidP="008B23A1">
            <w:pPr>
              <w:pStyle w:val="BoxSpaceBelow"/>
              <w:keepNext/>
              <w:rPr>
                <w:color w:val="0070C0"/>
              </w:rPr>
            </w:pPr>
          </w:p>
        </w:tc>
      </w:tr>
    </w:tbl>
    <w:p w:rsidR="00235CB4" w:rsidRDefault="00235CB4" w:rsidP="00023358">
      <w:pPr>
        <w:pStyle w:val="BodyText"/>
      </w:pPr>
      <w:r>
        <w:t>Nationally, t</w:t>
      </w:r>
      <w:r w:rsidR="009D4675" w:rsidRPr="00360224">
        <w:t xml:space="preserve">he proportion of </w:t>
      </w:r>
      <w:r w:rsidR="00491144" w:rsidRPr="00360224">
        <w:t>State and Territory</w:t>
      </w:r>
      <w:r w:rsidR="00491144">
        <w:t xml:space="preserve"> governments’ </w:t>
      </w:r>
      <w:r w:rsidR="00491144" w:rsidRPr="00360224">
        <w:t>specialised m</w:t>
      </w:r>
      <w:r w:rsidR="00491144">
        <w:t xml:space="preserve">ental health services </w:t>
      </w:r>
      <w:r>
        <w:t xml:space="preserve">clients </w:t>
      </w:r>
      <w:r w:rsidR="009D4675" w:rsidRPr="00360224">
        <w:t xml:space="preserve">who are new </w:t>
      </w:r>
      <w:r w:rsidR="00491144">
        <w:t>remained relatively stable over time (</w:t>
      </w:r>
      <w:r w:rsidR="009D4675" w:rsidRPr="00360224">
        <w:t>figure</w:t>
      </w:r>
      <w:r w:rsidR="0022260C">
        <w:t> </w:t>
      </w:r>
      <w:r w:rsidR="00DA1263">
        <w:t>12.</w:t>
      </w:r>
      <w:r w:rsidR="00A940F4">
        <w:t>10</w:t>
      </w:r>
      <w:r w:rsidR="00491144">
        <w:t>)</w:t>
      </w:r>
      <w:r w:rsidR="009D4675" w:rsidRPr="00360224">
        <w:t>.</w:t>
      </w:r>
      <w:r w:rsidR="009D4957">
        <w:t xml:space="preserve"> These proportions tend to </w:t>
      </w:r>
      <w:r w:rsidR="00017BED">
        <w:t xml:space="preserve">be </w:t>
      </w:r>
      <w:r w:rsidR="009D4957">
        <w:t xml:space="preserve">higher than for </w:t>
      </w:r>
      <w:r w:rsidR="009D4957" w:rsidRPr="00A940F4">
        <w:t xml:space="preserve">clients of </w:t>
      </w:r>
      <w:proofErr w:type="spellStart"/>
      <w:r w:rsidR="009D4957" w:rsidRPr="00A940F4">
        <w:t>MBS</w:t>
      </w:r>
      <w:proofErr w:type="spellEnd"/>
      <w:r w:rsidR="009D4957" w:rsidRPr="00A940F4">
        <w:t xml:space="preserve"> subsidised mental health services </w:t>
      </w:r>
      <w:r w:rsidR="009D4957">
        <w:t xml:space="preserve">nationally and for </w:t>
      </w:r>
      <w:r w:rsidR="00D877BD">
        <w:t>all j</w:t>
      </w:r>
      <w:r w:rsidR="009D4957">
        <w:t>urisdictions, except the NT</w:t>
      </w:r>
      <w:r w:rsidR="00017BED">
        <w:t xml:space="preserve"> (figure</w:t>
      </w:r>
      <w:r w:rsidR="00463329">
        <w:t> </w:t>
      </w:r>
      <w:r w:rsidR="00017BED">
        <w:t>12.11)</w:t>
      </w:r>
      <w:r w:rsidR="009D4957">
        <w:t xml:space="preserve">. </w:t>
      </w:r>
    </w:p>
    <w:p w:rsidR="00257CA3" w:rsidRPr="00360224" w:rsidRDefault="00F81005" w:rsidP="00023358">
      <w:pPr>
        <w:pStyle w:val="BodyText"/>
      </w:pPr>
      <w:r w:rsidRPr="00B33D98">
        <w:rPr>
          <w:shd w:val="clear" w:color="auto" w:fill="FFFFFF" w:themeFill="background1"/>
        </w:rPr>
        <w:t>For Aboriginal and Torres Strait Islander Australians, the proportion of clients who are new tend to be lower than for non</w:t>
      </w:r>
      <w:r w:rsidR="00463329">
        <w:rPr>
          <w:shd w:val="clear" w:color="auto" w:fill="FFFFFF" w:themeFill="background1"/>
        </w:rPr>
        <w:noBreakHyphen/>
      </w:r>
      <w:r w:rsidRPr="00B33D98">
        <w:rPr>
          <w:shd w:val="clear" w:color="auto" w:fill="FFFFFF" w:themeFill="background1"/>
        </w:rPr>
        <w:t xml:space="preserve">Indigenous Australians for State and Territory governments’ specialised </w:t>
      </w:r>
      <w:r w:rsidR="00E139A4" w:rsidRPr="00B33D98">
        <w:rPr>
          <w:shd w:val="clear" w:color="auto" w:fill="FFFFFF" w:themeFill="background1"/>
        </w:rPr>
        <w:t xml:space="preserve">mental health </w:t>
      </w:r>
      <w:r w:rsidRPr="00B33D98">
        <w:rPr>
          <w:shd w:val="clear" w:color="auto" w:fill="FFFFFF" w:themeFill="background1"/>
        </w:rPr>
        <w:t xml:space="preserve">services. By contrast, for </w:t>
      </w:r>
      <w:proofErr w:type="spellStart"/>
      <w:r w:rsidRPr="00B33D98">
        <w:rPr>
          <w:shd w:val="clear" w:color="auto" w:fill="FFFFFF" w:themeFill="background1"/>
        </w:rPr>
        <w:t>MBS</w:t>
      </w:r>
      <w:proofErr w:type="spellEnd"/>
      <w:r w:rsidRPr="00B33D98">
        <w:rPr>
          <w:shd w:val="clear" w:color="auto" w:fill="FFFFFF" w:themeFill="background1"/>
        </w:rPr>
        <w:t xml:space="preserve"> subsidised mental health services,</w:t>
      </w:r>
      <w:r w:rsidR="00463329">
        <w:rPr>
          <w:shd w:val="clear" w:color="auto" w:fill="FFFFFF" w:themeFill="background1"/>
        </w:rPr>
        <w:t xml:space="preserve"> </w:t>
      </w:r>
      <w:r w:rsidRPr="00B33D98">
        <w:rPr>
          <w:shd w:val="clear" w:color="auto" w:fill="FFFFFF" w:themeFill="background1"/>
        </w:rPr>
        <w:t>the proportion of Aboriginal and Torres Strait Islander Australian clients who are new tends to be slightly higher than for non</w:t>
      </w:r>
      <w:r w:rsidR="00463329">
        <w:rPr>
          <w:shd w:val="clear" w:color="auto" w:fill="FFFFFF" w:themeFill="background1"/>
        </w:rPr>
        <w:noBreakHyphen/>
      </w:r>
      <w:r w:rsidRPr="00B33D98">
        <w:rPr>
          <w:shd w:val="clear" w:color="auto" w:fill="FFFFFF" w:themeFill="background1"/>
        </w:rPr>
        <w:t>Indigenous Australians</w:t>
      </w:r>
      <w:r w:rsidR="00017BED" w:rsidRPr="00B33D98">
        <w:rPr>
          <w:shd w:val="clear" w:color="auto" w:fill="FFFFFF" w:themeFill="background1"/>
        </w:rPr>
        <w:t xml:space="preserve"> (tables</w:t>
      </w:r>
      <w:r w:rsidR="001D1186" w:rsidRPr="00B33D98">
        <w:rPr>
          <w:shd w:val="clear" w:color="auto" w:fill="FFFFFF" w:themeFill="background1"/>
        </w:rPr>
        <w:t> </w:t>
      </w:r>
      <w:proofErr w:type="spellStart"/>
      <w:r w:rsidR="00017BED" w:rsidRPr="00B33D98">
        <w:rPr>
          <w:shd w:val="clear" w:color="auto" w:fill="FFFFFF" w:themeFill="background1"/>
        </w:rPr>
        <w:t>12A.34</w:t>
      </w:r>
      <w:proofErr w:type="spellEnd"/>
      <w:r w:rsidR="001D1186" w:rsidRPr="00B33D98">
        <w:rPr>
          <w:shd w:val="clear" w:color="auto" w:fill="FFFFFF" w:themeFill="background1"/>
        </w:rPr>
        <w:t> </w:t>
      </w:r>
      <w:r w:rsidR="00017BED" w:rsidRPr="00B33D98">
        <w:rPr>
          <w:shd w:val="clear" w:color="auto" w:fill="FFFFFF" w:themeFill="background1"/>
        </w:rPr>
        <w:t xml:space="preserve">and </w:t>
      </w:r>
      <w:proofErr w:type="spellStart"/>
      <w:r w:rsidR="00017BED" w:rsidRPr="00B33D98">
        <w:rPr>
          <w:shd w:val="clear" w:color="auto" w:fill="FFFFFF" w:themeFill="background1"/>
        </w:rPr>
        <w:t>12A.36</w:t>
      </w:r>
      <w:proofErr w:type="spellEnd"/>
      <w:r w:rsidR="00017BED" w:rsidRPr="00B33D98">
        <w:rPr>
          <w:shd w:val="clear" w:color="auto" w:fill="FFFFFF" w:themeFill="background1"/>
        </w:rPr>
        <w:t>).</w:t>
      </w:r>
      <w:r w:rsidR="00023358" w:rsidRPr="00B33D98">
        <w:rPr>
          <w:shd w:val="clear" w:color="auto" w:fill="FFFFFF" w:themeFill="background1"/>
        </w:rPr>
        <w:t xml:space="preserve"> </w:t>
      </w:r>
      <w:r w:rsidR="00221C87" w:rsidRPr="00A940F4">
        <w:t>Data are</w:t>
      </w:r>
      <w:r w:rsidR="00017BED">
        <w:t xml:space="preserve"> also</w:t>
      </w:r>
      <w:r w:rsidR="00221C87" w:rsidRPr="00A940F4">
        <w:t xml:space="preserve"> reported by age, gender and remoteness in </w:t>
      </w:r>
      <w:r w:rsidR="00017BED" w:rsidRPr="00017BED">
        <w:t>tables</w:t>
      </w:r>
      <w:r w:rsidR="00E16CB8">
        <w:t> </w:t>
      </w:r>
      <w:proofErr w:type="spellStart"/>
      <w:r w:rsidR="00017BED" w:rsidRPr="00017BED">
        <w:t>12A.34</w:t>
      </w:r>
      <w:proofErr w:type="spellEnd"/>
      <w:r w:rsidR="00017BED" w:rsidRPr="00017BED">
        <w:t xml:space="preserve"> and </w:t>
      </w:r>
      <w:proofErr w:type="spellStart"/>
      <w:r w:rsidR="00017BED" w:rsidRPr="00017BED">
        <w:t>12A.36</w:t>
      </w:r>
      <w:proofErr w:type="spellEnd"/>
      <w:r w:rsidR="00017BED">
        <w:t xml:space="preserve"> and </w:t>
      </w:r>
      <w:r w:rsidR="007634C0" w:rsidRPr="007634C0">
        <w:t>Socio</w:t>
      </w:r>
      <w:r w:rsidR="00463329">
        <w:noBreakHyphen/>
      </w:r>
      <w:r w:rsidR="007634C0" w:rsidRPr="007634C0">
        <w:t xml:space="preserve">Economic Indexes for Areas (SEIFA) </w:t>
      </w:r>
      <w:r w:rsidR="00017BED">
        <w:t>quintiles in table </w:t>
      </w:r>
      <w:proofErr w:type="spellStart"/>
      <w:r w:rsidR="00017BED">
        <w:t>12A.34</w:t>
      </w:r>
      <w:proofErr w:type="spellEnd"/>
      <w:r w:rsidR="00221C87" w:rsidRPr="00A940F4">
        <w:t>.</w:t>
      </w:r>
    </w:p>
    <w:p w:rsidR="00127C22" w:rsidRPr="00D71789" w:rsidRDefault="00127C22" w:rsidP="006D1A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7C22" w:rsidRPr="007F3961" w:rsidTr="005673E9">
        <w:tc>
          <w:tcPr>
            <w:tcW w:w="8771" w:type="dxa"/>
            <w:tcBorders>
              <w:top w:val="single" w:sz="6" w:space="0" w:color="78A22F"/>
              <w:left w:val="nil"/>
              <w:bottom w:val="nil"/>
              <w:right w:val="nil"/>
            </w:tcBorders>
            <w:shd w:val="clear" w:color="auto" w:fill="FFFFFF" w:themeFill="background1"/>
          </w:tcPr>
          <w:p w:rsidR="00127C22" w:rsidRPr="00431F3B" w:rsidRDefault="00127C22" w:rsidP="00017BED">
            <w:pPr>
              <w:pStyle w:val="FigureTitle"/>
            </w:pPr>
            <w:r w:rsidRPr="00360224">
              <w:rPr>
                <w:b w:val="0"/>
              </w:rPr>
              <w:t xml:space="preserve">Figure </w:t>
            </w:r>
            <w:bookmarkStart w:id="12" w:name="OLE_LINK1"/>
            <w:r w:rsidR="00A940F4">
              <w:rPr>
                <w:b w:val="0"/>
              </w:rPr>
              <w:t>12.</w:t>
            </w:r>
            <w:r w:rsidR="00833D26">
              <w:rPr>
                <w:b w:val="0"/>
                <w:noProof/>
              </w:rPr>
              <w:t>10</w:t>
            </w:r>
            <w:bookmarkEnd w:id="12"/>
            <w:r w:rsidRPr="00360224">
              <w:tab/>
              <w:t>Proportion of State and Territory</w:t>
            </w:r>
            <w:r w:rsidR="00221C87">
              <w:t xml:space="preserve"> </w:t>
            </w:r>
            <w:r w:rsidR="00B827D1">
              <w:t>governments</w:t>
            </w:r>
            <w:r w:rsidR="00491144">
              <w:t>’</w:t>
            </w:r>
            <w:r w:rsidR="00B827D1">
              <w:t xml:space="preserve"> </w:t>
            </w:r>
            <w:r w:rsidRPr="00360224">
              <w:t xml:space="preserve">specialised mental health service </w:t>
            </w:r>
            <w:r w:rsidR="00017BED" w:rsidRPr="00360224">
              <w:t xml:space="preserve">clients </w:t>
            </w:r>
            <w:r w:rsidRPr="00360224">
              <w:t>who are new</w:t>
            </w:r>
            <w:r w:rsidRPr="00360224">
              <w:rPr>
                <w:rStyle w:val="NoteLabel"/>
                <w:b/>
              </w:rPr>
              <w:t>a, b</w:t>
            </w:r>
          </w:p>
        </w:tc>
      </w:tr>
      <w:tr w:rsidR="00127C22" w:rsidRPr="006A71D8"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27C22" w:rsidRPr="006A71D8" w:rsidTr="005673E9">
              <w:trPr>
                <w:jc w:val="center"/>
              </w:trPr>
              <w:tc>
                <w:tcPr>
                  <w:tcW w:w="5000" w:type="pct"/>
                  <w:tcBorders>
                    <w:top w:val="nil"/>
                    <w:bottom w:val="nil"/>
                    <w:right w:val="nil"/>
                  </w:tcBorders>
                </w:tcPr>
                <w:p w:rsidR="00127C22" w:rsidRPr="006A71D8" w:rsidRDefault="001B7B09" w:rsidP="006D1AD2">
                  <w:pPr>
                    <w:pStyle w:val="Figure"/>
                    <w:spacing w:before="60" w:after="60"/>
                  </w:pPr>
                  <w:r>
                    <w:rPr>
                      <w:noProof/>
                    </w:rPr>
                    <w:drawing>
                      <wp:inline distT="0" distB="0" distL="0" distR="0">
                        <wp:extent cx="5391150" cy="2686050"/>
                        <wp:effectExtent l="0" t="0" r="0" b="0"/>
                        <wp:docPr id="10" name="Picture 10" descr="Figure 12.10 Proportion of State and Territory governments’ specialised mental health service clients who are ne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27C22" w:rsidRPr="006A71D8" w:rsidRDefault="00127C22">
            <w:pPr>
              <w:pStyle w:val="Figure"/>
              <w:rPr>
                <w:szCs w:val="24"/>
              </w:rPr>
            </w:pPr>
          </w:p>
        </w:tc>
      </w:tr>
      <w:tr w:rsidR="00127C22" w:rsidRPr="007F3961" w:rsidTr="005A5A21">
        <w:tc>
          <w:tcPr>
            <w:tcW w:w="8771" w:type="dxa"/>
            <w:tcBorders>
              <w:top w:val="nil"/>
              <w:left w:val="nil"/>
              <w:bottom w:val="nil"/>
              <w:right w:val="nil"/>
            </w:tcBorders>
            <w:shd w:val="clear" w:color="auto" w:fill="auto"/>
          </w:tcPr>
          <w:p w:rsidR="00127C22" w:rsidRPr="00360224" w:rsidRDefault="0013451D" w:rsidP="00D71789">
            <w:pPr>
              <w:pStyle w:val="Note"/>
              <w:keepNext/>
              <w:rPr>
                <w:i/>
              </w:rPr>
            </w:pPr>
            <w:r>
              <w:rPr>
                <w:rStyle w:val="NoteLabel"/>
              </w:rPr>
              <w:t>a</w:t>
            </w:r>
            <w:r w:rsidR="00127C22" w:rsidRPr="00B50953">
              <w:t xml:space="preserve"> </w:t>
            </w:r>
            <w:r w:rsidR="00017BED" w:rsidRPr="00360224">
              <w:t>Victorian 2011</w:t>
            </w:r>
            <w:r w:rsidR="00017BED" w:rsidRPr="00360224">
              <w:noBreakHyphen/>
              <w:t>12 and 2012</w:t>
            </w:r>
            <w:r w:rsidR="00017BED">
              <w:noBreakHyphen/>
            </w:r>
            <w:r w:rsidR="00017BED" w:rsidRPr="00360224">
              <w:t>13 data are not available</w:t>
            </w:r>
            <w:r w:rsidR="00017BED">
              <w:t xml:space="preserve">. </w:t>
            </w:r>
            <w:r>
              <w:rPr>
                <w:rStyle w:val="NoteLabel"/>
              </w:rPr>
              <w:t>b</w:t>
            </w:r>
            <w:r w:rsidR="006821CD" w:rsidRPr="00D71789">
              <w:t xml:space="preserve"> </w:t>
            </w:r>
            <w:r w:rsidR="00017BED" w:rsidRPr="00017BED">
              <w:t xml:space="preserve">See </w:t>
            </w:r>
            <w:r w:rsidR="006E6F6D">
              <w:t>box</w:t>
            </w:r>
            <w:r w:rsidR="00463329">
              <w:t> </w:t>
            </w:r>
            <w:r w:rsidR="006E6F6D">
              <w:t xml:space="preserve">12.2 and </w:t>
            </w:r>
            <w:r w:rsidR="00017BED" w:rsidRPr="00017BED">
              <w:t>table</w:t>
            </w:r>
            <w:r w:rsidR="00463329">
              <w:t> </w:t>
            </w:r>
            <w:proofErr w:type="spellStart"/>
            <w:r w:rsidR="00017BED" w:rsidRPr="00017BED">
              <w:t>12A.</w:t>
            </w:r>
            <w:r w:rsidR="00017BED">
              <w:t>33</w:t>
            </w:r>
            <w:proofErr w:type="spellEnd"/>
            <w:r w:rsidR="00017BED" w:rsidRPr="00017BED">
              <w:t xml:space="preserve"> </w:t>
            </w:r>
            <w:r w:rsidR="00871F08" w:rsidRPr="00871F08">
              <w:t>for detailed definitions, footnotes and caveats</w:t>
            </w:r>
            <w:r w:rsidR="00017BED" w:rsidRPr="00017BED">
              <w:t>.</w:t>
            </w:r>
          </w:p>
        </w:tc>
      </w:tr>
      <w:tr w:rsidR="00127C22" w:rsidRPr="007F3961" w:rsidTr="005A5A21">
        <w:tc>
          <w:tcPr>
            <w:tcW w:w="8771" w:type="dxa"/>
            <w:tcBorders>
              <w:top w:val="nil"/>
              <w:left w:val="nil"/>
              <w:bottom w:val="nil"/>
              <w:right w:val="nil"/>
            </w:tcBorders>
            <w:shd w:val="clear" w:color="auto" w:fill="auto"/>
          </w:tcPr>
          <w:p w:rsidR="00127C22" w:rsidRPr="00360224" w:rsidRDefault="00041DCC" w:rsidP="00235CB4">
            <w:pPr>
              <w:pStyle w:val="Source"/>
              <w:keepNext/>
              <w:rPr>
                <w:i/>
              </w:rPr>
            </w:pPr>
            <w:r w:rsidRPr="00360224">
              <w:rPr>
                <w:i/>
              </w:rPr>
              <w:t>Source</w:t>
            </w:r>
            <w:r w:rsidRPr="00360224">
              <w:t xml:space="preserve">: </w:t>
            </w:r>
            <w:r w:rsidR="00BF5E14" w:rsidRPr="00BF5E14">
              <w:t xml:space="preserve">AIHW (unpublished) derived from </w:t>
            </w:r>
            <w:r w:rsidR="00D877BD">
              <w:t>State and Territory governments</w:t>
            </w:r>
            <w:r w:rsidR="003270B5">
              <w:t>’</w:t>
            </w:r>
            <w:r w:rsidR="00235CB4">
              <w:t xml:space="preserve"> data</w:t>
            </w:r>
            <w:r w:rsidRPr="00360224">
              <w:t>; table</w:t>
            </w:r>
            <w:r w:rsidR="0022260C">
              <w:t> </w:t>
            </w:r>
            <w:proofErr w:type="spellStart"/>
            <w:r w:rsidRPr="00360224">
              <w:t>12A.</w:t>
            </w:r>
            <w:r w:rsidR="00360224">
              <w:t>33</w:t>
            </w:r>
            <w:proofErr w:type="spellEnd"/>
            <w:r w:rsidRPr="00360224">
              <w:t>.</w:t>
            </w:r>
          </w:p>
        </w:tc>
      </w:tr>
      <w:tr w:rsidR="00127C22" w:rsidRPr="007F3961" w:rsidTr="005A5A21">
        <w:tc>
          <w:tcPr>
            <w:tcW w:w="8771" w:type="dxa"/>
            <w:tcBorders>
              <w:top w:val="nil"/>
              <w:left w:val="nil"/>
              <w:bottom w:val="single" w:sz="6" w:space="0" w:color="78A22F"/>
              <w:right w:val="nil"/>
            </w:tcBorders>
            <w:shd w:val="clear" w:color="auto" w:fill="auto"/>
          </w:tcPr>
          <w:p w:rsidR="00127C22" w:rsidRPr="00360224" w:rsidRDefault="00127C22" w:rsidP="00D71789">
            <w:pPr>
              <w:pStyle w:val="Figurespace"/>
              <w:keepNext w:val="0"/>
              <w:rPr>
                <w:szCs w:val="24"/>
              </w:rPr>
            </w:pPr>
          </w:p>
        </w:tc>
      </w:tr>
      <w:tr w:rsidR="00127C22" w:rsidRPr="007F3961" w:rsidTr="005A5A21">
        <w:tc>
          <w:tcPr>
            <w:tcW w:w="8771" w:type="dxa"/>
            <w:tcBorders>
              <w:top w:val="single" w:sz="6" w:space="0" w:color="78A22F"/>
              <w:left w:val="nil"/>
              <w:bottom w:val="nil"/>
              <w:right w:val="nil"/>
            </w:tcBorders>
          </w:tcPr>
          <w:p w:rsidR="00127C22" w:rsidRPr="00360224" w:rsidRDefault="00127C22" w:rsidP="00D71789">
            <w:pPr>
              <w:pStyle w:val="BoxSpaceBelow"/>
              <w:rPr>
                <w:i/>
              </w:rPr>
            </w:pPr>
          </w:p>
        </w:tc>
      </w:tr>
    </w:tbl>
    <w:p w:rsidR="00F8020F" w:rsidRPr="00D71789" w:rsidRDefault="00F8020F" w:rsidP="00D71789">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020F" w:rsidRPr="007F3961" w:rsidTr="00DD2C41">
        <w:tc>
          <w:tcPr>
            <w:tcW w:w="8771" w:type="dxa"/>
            <w:tcBorders>
              <w:top w:val="single" w:sz="6" w:space="0" w:color="78A22F"/>
              <w:left w:val="nil"/>
              <w:bottom w:val="nil"/>
              <w:right w:val="nil"/>
            </w:tcBorders>
            <w:shd w:val="clear" w:color="auto" w:fill="auto"/>
          </w:tcPr>
          <w:p w:rsidR="00F8020F" w:rsidRPr="001F3324" w:rsidRDefault="00F8020F" w:rsidP="00D877BD">
            <w:pPr>
              <w:pStyle w:val="FigureTitle"/>
              <w:keepNext w:val="0"/>
              <w:keepLines w:val="0"/>
              <w:widowControl w:val="0"/>
            </w:pPr>
            <w:r w:rsidRPr="001F3324">
              <w:rPr>
                <w:b w:val="0"/>
              </w:rPr>
              <w:t xml:space="preserve">Figure </w:t>
            </w:r>
            <w:bookmarkStart w:id="13" w:name="OLE_LINK2"/>
            <w:r w:rsidR="0084283F">
              <w:rPr>
                <w:b w:val="0"/>
              </w:rPr>
              <w:t>12.</w:t>
            </w:r>
            <w:r w:rsidR="00833D26">
              <w:rPr>
                <w:b w:val="0"/>
                <w:noProof/>
              </w:rPr>
              <w:t>11</w:t>
            </w:r>
            <w:bookmarkEnd w:id="13"/>
            <w:r w:rsidRPr="001F3324">
              <w:tab/>
            </w:r>
            <w:r w:rsidR="000D5A4D" w:rsidRPr="005673E9">
              <w:rPr>
                <w:shd w:val="clear" w:color="auto" w:fill="FFFFFF" w:themeFill="background1"/>
              </w:rPr>
              <w:t xml:space="preserve">Proportion of </w:t>
            </w:r>
            <w:proofErr w:type="spellStart"/>
            <w:r w:rsidR="000D5A4D" w:rsidRPr="005673E9">
              <w:rPr>
                <w:shd w:val="clear" w:color="auto" w:fill="FFFFFF" w:themeFill="background1"/>
              </w:rPr>
              <w:t>MBS</w:t>
            </w:r>
            <w:proofErr w:type="spellEnd"/>
            <w:r w:rsidR="000D5A4D" w:rsidRPr="005673E9">
              <w:rPr>
                <w:shd w:val="clear" w:color="auto" w:fill="FFFFFF" w:themeFill="background1"/>
              </w:rPr>
              <w:t xml:space="preserve"> subsidised mental health service </w:t>
            </w:r>
            <w:r w:rsidR="00017BED" w:rsidRPr="005673E9">
              <w:rPr>
                <w:shd w:val="clear" w:color="auto" w:fill="FFFFFF" w:themeFill="background1"/>
              </w:rPr>
              <w:t xml:space="preserve">clients </w:t>
            </w:r>
            <w:r w:rsidR="000D5A4D" w:rsidRPr="005673E9">
              <w:rPr>
                <w:shd w:val="clear" w:color="auto" w:fill="FFFFFF" w:themeFill="background1"/>
              </w:rPr>
              <w:t xml:space="preserve">who </w:t>
            </w:r>
            <w:r w:rsidR="000E069F" w:rsidRPr="005673E9">
              <w:rPr>
                <w:shd w:val="clear" w:color="auto" w:fill="FFFFFF" w:themeFill="background1"/>
              </w:rPr>
              <w:t>ar</w:t>
            </w:r>
            <w:r w:rsidR="000D5A4D" w:rsidRPr="005673E9">
              <w:rPr>
                <w:shd w:val="clear" w:color="auto" w:fill="FFFFFF" w:themeFill="background1"/>
              </w:rPr>
              <w:t>e new</w:t>
            </w:r>
            <w:r w:rsidRPr="005673E9">
              <w:rPr>
                <w:rStyle w:val="NoteLabel"/>
                <w:b/>
                <w:shd w:val="clear" w:color="auto" w:fill="FFFFFF" w:themeFill="background1"/>
              </w:rPr>
              <w:t>a</w:t>
            </w:r>
          </w:p>
        </w:tc>
      </w:tr>
      <w:tr w:rsidR="00F8020F" w:rsidRPr="007F3961" w:rsidTr="00DD2C4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8020F" w:rsidRPr="001F3324" w:rsidTr="00DD2C41">
              <w:trPr>
                <w:jc w:val="center"/>
              </w:trPr>
              <w:tc>
                <w:tcPr>
                  <w:tcW w:w="5000" w:type="pct"/>
                  <w:tcBorders>
                    <w:top w:val="nil"/>
                    <w:bottom w:val="nil"/>
                  </w:tcBorders>
                </w:tcPr>
                <w:p w:rsidR="00F8020F" w:rsidRPr="001F3324" w:rsidRDefault="001B7B09" w:rsidP="00D71789">
                  <w:pPr>
                    <w:pStyle w:val="Figure"/>
                    <w:keepNext w:val="0"/>
                    <w:widowControl w:val="0"/>
                    <w:spacing w:before="60" w:after="60"/>
                  </w:pPr>
                  <w:r>
                    <w:rPr>
                      <w:noProof/>
                    </w:rPr>
                    <w:drawing>
                      <wp:inline distT="0" distB="0" distL="0" distR="0">
                        <wp:extent cx="5391150" cy="2686050"/>
                        <wp:effectExtent l="0" t="0" r="0" b="0"/>
                        <wp:docPr id="11" name="Picture 11" descr="Figure 12.11 Proportion of MBS subsidised mental health service clients who are ne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F8020F" w:rsidRPr="001F3324" w:rsidRDefault="00F8020F" w:rsidP="00D71789">
            <w:pPr>
              <w:pStyle w:val="Figure"/>
              <w:keepNext w:val="0"/>
              <w:widowControl w:val="0"/>
              <w:rPr>
                <w:szCs w:val="24"/>
              </w:rPr>
            </w:pPr>
          </w:p>
        </w:tc>
      </w:tr>
      <w:tr w:rsidR="00F8020F" w:rsidRPr="007F3961" w:rsidTr="00DD2C41">
        <w:tc>
          <w:tcPr>
            <w:tcW w:w="8771" w:type="dxa"/>
            <w:tcBorders>
              <w:top w:val="nil"/>
              <w:left w:val="nil"/>
              <w:bottom w:val="nil"/>
              <w:right w:val="nil"/>
            </w:tcBorders>
            <w:shd w:val="clear" w:color="auto" w:fill="auto"/>
          </w:tcPr>
          <w:p w:rsidR="00F8020F" w:rsidRPr="001F3324" w:rsidRDefault="006821CD" w:rsidP="00D71789">
            <w:pPr>
              <w:pStyle w:val="Note"/>
              <w:keepLines w:val="0"/>
              <w:widowControl w:val="0"/>
              <w:rPr>
                <w:i/>
              </w:rPr>
            </w:pPr>
            <w:r>
              <w:rPr>
                <w:rStyle w:val="NoteLabel"/>
              </w:rPr>
              <w:t>a</w:t>
            </w:r>
            <w:r w:rsidR="00257CA3" w:rsidRPr="001F3324">
              <w:t xml:space="preserve"> </w:t>
            </w:r>
            <w:r w:rsidR="00017BED" w:rsidRPr="00017BED">
              <w:t xml:space="preserve">See </w:t>
            </w:r>
            <w:r w:rsidR="006E6F6D" w:rsidRPr="006E6F6D">
              <w:t>box</w:t>
            </w:r>
            <w:r w:rsidR="00463329">
              <w:t> </w:t>
            </w:r>
            <w:r w:rsidR="006E6F6D" w:rsidRPr="006E6F6D">
              <w:t xml:space="preserve">12.2 and </w:t>
            </w:r>
            <w:r w:rsidR="00017BED" w:rsidRPr="00017BED">
              <w:t>table</w:t>
            </w:r>
            <w:r w:rsidR="00463329">
              <w:t> </w:t>
            </w:r>
            <w:proofErr w:type="spellStart"/>
            <w:r w:rsidR="00017BED" w:rsidRPr="00017BED">
              <w:t>12A.3</w:t>
            </w:r>
            <w:r w:rsidR="00017BED">
              <w:t>5</w:t>
            </w:r>
            <w:proofErr w:type="spellEnd"/>
            <w:r w:rsidR="00017BED" w:rsidRPr="00017BED">
              <w:t xml:space="preserve"> </w:t>
            </w:r>
            <w:r w:rsidR="00871F08" w:rsidRPr="00871F08">
              <w:t>for detailed definitions, footnotes and caveats</w:t>
            </w:r>
            <w:r w:rsidR="00017BED" w:rsidRPr="00017BED">
              <w:t>.</w:t>
            </w:r>
          </w:p>
        </w:tc>
      </w:tr>
      <w:tr w:rsidR="00F8020F" w:rsidRPr="007F3961" w:rsidTr="00DD2C41">
        <w:tc>
          <w:tcPr>
            <w:tcW w:w="8771" w:type="dxa"/>
            <w:tcBorders>
              <w:top w:val="nil"/>
              <w:left w:val="nil"/>
              <w:bottom w:val="nil"/>
              <w:right w:val="nil"/>
            </w:tcBorders>
            <w:shd w:val="clear" w:color="auto" w:fill="auto"/>
          </w:tcPr>
          <w:p w:rsidR="00F8020F" w:rsidRPr="001F3324" w:rsidRDefault="00B802F4" w:rsidP="00D71789">
            <w:pPr>
              <w:pStyle w:val="Source"/>
              <w:keepLines w:val="0"/>
              <w:widowControl w:val="0"/>
              <w:rPr>
                <w:i/>
              </w:rPr>
            </w:pPr>
            <w:r w:rsidRPr="001F3324">
              <w:rPr>
                <w:i/>
              </w:rPr>
              <w:t>Source</w:t>
            </w:r>
            <w:r w:rsidRPr="00351F02">
              <w:t xml:space="preserve">: </w:t>
            </w:r>
            <w:r w:rsidR="00241393" w:rsidRPr="00241393">
              <w:t>Australian Government Department of Health (unpublished)</w:t>
            </w:r>
            <w:r w:rsidRPr="001F3324">
              <w:t>; table</w:t>
            </w:r>
            <w:r w:rsidR="0022260C">
              <w:t> </w:t>
            </w:r>
            <w:proofErr w:type="spellStart"/>
            <w:r w:rsidRPr="001F3324">
              <w:t>12A.</w:t>
            </w:r>
            <w:r w:rsidR="001F3324">
              <w:t>35</w:t>
            </w:r>
            <w:proofErr w:type="spellEnd"/>
            <w:r w:rsidR="001F3324">
              <w:t>.</w:t>
            </w:r>
          </w:p>
        </w:tc>
      </w:tr>
      <w:tr w:rsidR="00F8020F" w:rsidRPr="007F3961" w:rsidTr="00DD2C41">
        <w:tc>
          <w:tcPr>
            <w:tcW w:w="8771" w:type="dxa"/>
            <w:tcBorders>
              <w:top w:val="nil"/>
              <w:left w:val="nil"/>
              <w:bottom w:val="single" w:sz="6" w:space="0" w:color="78A22F"/>
              <w:right w:val="nil"/>
            </w:tcBorders>
            <w:shd w:val="clear" w:color="auto" w:fill="auto"/>
          </w:tcPr>
          <w:p w:rsidR="00F8020F" w:rsidRPr="001F3324" w:rsidRDefault="00F8020F" w:rsidP="00D71789">
            <w:pPr>
              <w:pStyle w:val="Figurespace"/>
              <w:keepNext w:val="0"/>
              <w:widowControl w:val="0"/>
              <w:rPr>
                <w:szCs w:val="24"/>
              </w:rPr>
            </w:pPr>
          </w:p>
        </w:tc>
      </w:tr>
      <w:tr w:rsidR="00F8020F" w:rsidRPr="007F3961" w:rsidTr="00DD2C41">
        <w:tc>
          <w:tcPr>
            <w:tcW w:w="8771" w:type="dxa"/>
            <w:tcBorders>
              <w:top w:val="single" w:sz="6" w:space="0" w:color="78A22F"/>
              <w:left w:val="nil"/>
              <w:bottom w:val="nil"/>
              <w:right w:val="nil"/>
            </w:tcBorders>
          </w:tcPr>
          <w:p w:rsidR="00F8020F" w:rsidRPr="001F3324" w:rsidRDefault="00F8020F" w:rsidP="00D71789">
            <w:pPr>
              <w:pStyle w:val="BoxSpaceBelow"/>
              <w:widowControl w:val="0"/>
              <w:rPr>
                <w:i/>
              </w:rPr>
            </w:pPr>
          </w:p>
        </w:tc>
      </w:tr>
    </w:tbl>
    <w:p w:rsidR="00041DCC" w:rsidRPr="0005606A" w:rsidRDefault="000B3B63" w:rsidP="00D71789">
      <w:pPr>
        <w:pStyle w:val="Heading4"/>
        <w:keepNext w:val="0"/>
        <w:widowControl w:val="0"/>
      </w:pPr>
      <w:r>
        <w:lastRenderedPageBreak/>
        <w:t>A</w:t>
      </w:r>
      <w:r w:rsidR="00041DCC" w:rsidRPr="0005606A">
        <w:t>ccess — mental health service use by selected community groups</w:t>
      </w:r>
    </w:p>
    <w:p w:rsidR="00C12122" w:rsidRPr="003C3880" w:rsidRDefault="00041DCC" w:rsidP="002315C6">
      <w:pPr>
        <w:pStyle w:val="BodyText"/>
      </w:pPr>
      <w:r w:rsidRPr="0005606A">
        <w:t xml:space="preserve">‘Mental health service use by selected community groups’ is an indicator of governments’ objective to provide mental health services in an equitable manner, including access to services by selected community groups such as </w:t>
      </w:r>
      <w:r w:rsidR="00303B02" w:rsidRPr="0005606A">
        <w:t>Aboriginal and Torres Strait Islander</w:t>
      </w:r>
      <w:r w:rsidRPr="0005606A">
        <w:t xml:space="preserve"> Australians (box</w:t>
      </w:r>
      <w:r w:rsidR="0022260C">
        <w:t> </w:t>
      </w:r>
      <w:r w:rsidRPr="0005606A">
        <w:t>12.</w:t>
      </w:r>
      <w:r w:rsidR="0097779E">
        <w:t>3</w:t>
      </w:r>
      <w:r w:rsidRPr="0005606A">
        <w:t>).</w:t>
      </w:r>
      <w:r w:rsidR="00977572">
        <w:t xml:space="preserve"> </w:t>
      </w:r>
    </w:p>
    <w:p w:rsidR="00041DCC" w:rsidRPr="00563C61" w:rsidRDefault="00041DCC" w:rsidP="00D71789">
      <w:pPr>
        <w:pStyle w:val="BoxSpaceAbove"/>
        <w:keepNext w:val="0"/>
        <w:widowControl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1DCC" w:rsidRPr="00563C61" w:rsidTr="005A5A21">
        <w:tc>
          <w:tcPr>
            <w:tcW w:w="8771" w:type="dxa"/>
            <w:tcBorders>
              <w:top w:val="single" w:sz="6" w:space="0" w:color="78A22F"/>
              <w:left w:val="nil"/>
              <w:bottom w:val="nil"/>
              <w:right w:val="nil"/>
            </w:tcBorders>
            <w:shd w:val="clear" w:color="auto" w:fill="F2F2F2"/>
          </w:tcPr>
          <w:p w:rsidR="00041DCC" w:rsidRPr="00563C61" w:rsidRDefault="00041DCC" w:rsidP="001950CE">
            <w:pPr>
              <w:pStyle w:val="BoxTitle"/>
              <w:keepNext w:val="0"/>
              <w:keepLines w:val="0"/>
              <w:widowControl w:val="0"/>
            </w:pPr>
            <w:r w:rsidRPr="00563C61">
              <w:rPr>
                <w:b w:val="0"/>
              </w:rPr>
              <w:t xml:space="preserve">Box </w:t>
            </w:r>
            <w:r w:rsidR="00906BC4">
              <w:rPr>
                <w:b w:val="0"/>
              </w:rPr>
              <w:t>12.</w:t>
            </w:r>
            <w:r w:rsidR="00833D26">
              <w:rPr>
                <w:b w:val="0"/>
                <w:noProof/>
              </w:rPr>
              <w:t>3</w:t>
            </w:r>
            <w:r w:rsidRPr="00563C61">
              <w:tab/>
              <w:t>Mental health service use by selected community groups</w:t>
            </w:r>
          </w:p>
        </w:tc>
      </w:tr>
      <w:tr w:rsidR="00041DCC" w:rsidRPr="00563C61" w:rsidTr="005A5A21">
        <w:trPr>
          <w:cantSplit/>
        </w:trPr>
        <w:tc>
          <w:tcPr>
            <w:tcW w:w="8771" w:type="dxa"/>
            <w:tcBorders>
              <w:top w:val="nil"/>
              <w:left w:val="nil"/>
              <w:bottom w:val="nil"/>
              <w:right w:val="nil"/>
            </w:tcBorders>
            <w:shd w:val="clear" w:color="auto" w:fill="F2F2F2"/>
          </w:tcPr>
          <w:p w:rsidR="00D61A40" w:rsidRDefault="00041DCC" w:rsidP="00D71789">
            <w:pPr>
              <w:pStyle w:val="Box"/>
              <w:keepNext w:val="0"/>
              <w:widowControl w:val="0"/>
            </w:pPr>
            <w:r w:rsidRPr="00563C61">
              <w:t>‘Mental health service use by selected community groups’ is defined by two measures</w:t>
            </w:r>
            <w:r w:rsidR="00D61A40">
              <w:t>:</w:t>
            </w:r>
          </w:p>
          <w:p w:rsidR="00041DCC" w:rsidRPr="00563C61" w:rsidRDefault="00D61A40" w:rsidP="00EB040E">
            <w:pPr>
              <w:pStyle w:val="BoxListBullet"/>
            </w:pPr>
            <w:r>
              <w:t xml:space="preserve">the </w:t>
            </w:r>
            <w:r w:rsidR="001950CE" w:rsidRPr="00563C61">
              <w:t>proportion of the population in a selected community group using</w:t>
            </w:r>
            <w:r>
              <w:t xml:space="preserve"> the service, compared to the proportion of the population outside the selected community group, for each of</w:t>
            </w:r>
            <w:r w:rsidR="00041DCC" w:rsidRPr="00563C61">
              <w:t>:</w:t>
            </w:r>
          </w:p>
          <w:p w:rsidR="00041DCC" w:rsidRPr="00563C61" w:rsidRDefault="00041DCC" w:rsidP="00EB040E">
            <w:pPr>
              <w:pStyle w:val="BoxListBullet2"/>
            </w:pPr>
            <w:r w:rsidRPr="00563C61">
              <w:t xml:space="preserve">State and Territory </w:t>
            </w:r>
            <w:r w:rsidR="001950CE">
              <w:t xml:space="preserve">governments’ </w:t>
            </w:r>
            <w:r w:rsidRPr="00563C61">
              <w:t xml:space="preserve">specialised </w:t>
            </w:r>
            <w:r w:rsidR="00D61A40">
              <w:t xml:space="preserve">public </w:t>
            </w:r>
            <w:r w:rsidRPr="00563C61">
              <w:t xml:space="preserve">mental health services </w:t>
            </w:r>
          </w:p>
          <w:p w:rsidR="00041DCC" w:rsidRPr="00563C61" w:rsidRDefault="003978B7" w:rsidP="00EB040E">
            <w:pPr>
              <w:pStyle w:val="BoxListBullet2"/>
            </w:pPr>
            <w:proofErr w:type="spellStart"/>
            <w:r>
              <w:t>MBS</w:t>
            </w:r>
            <w:proofErr w:type="spellEnd"/>
            <w:r>
              <w:t xml:space="preserve"> </w:t>
            </w:r>
            <w:r w:rsidR="00041DCC" w:rsidRPr="00563C61">
              <w:t>subsidised mental health services.</w:t>
            </w:r>
          </w:p>
          <w:p w:rsidR="00041DCC" w:rsidRPr="00563C61" w:rsidRDefault="00041DCC" w:rsidP="00D71789">
            <w:pPr>
              <w:pStyle w:val="Box"/>
              <w:keepNext w:val="0"/>
              <w:widowControl w:val="0"/>
            </w:pPr>
            <w:r w:rsidRPr="00563C61">
              <w:t xml:space="preserve">The selected community groups reported are </w:t>
            </w:r>
            <w:r w:rsidR="002F225B" w:rsidRPr="002F225B">
              <w:t>Aboriginal and Torres Strait Islander Australians</w:t>
            </w:r>
            <w:r w:rsidRPr="00563C61">
              <w:t xml:space="preserve">, people from outer regional, remote and very remote locations and people residing in low </w:t>
            </w:r>
            <w:r w:rsidR="00BD5F3E" w:rsidRPr="00563C61">
              <w:t>socioeconomic</w:t>
            </w:r>
            <w:r w:rsidRPr="00563C61">
              <w:t xml:space="preserve"> areas.</w:t>
            </w:r>
          </w:p>
          <w:p w:rsidR="00041DCC" w:rsidRPr="00563C61" w:rsidRDefault="00041DCC" w:rsidP="00D71789">
            <w:pPr>
              <w:pStyle w:val="Box"/>
              <w:keepNext w:val="0"/>
              <w:widowControl w:val="0"/>
            </w:pPr>
            <w:r w:rsidRPr="00563C61">
              <w:t>This indicator is difficult to interpret. Variations in use could be due to variations in access, but could also be a result of differences in the prevalence of mental illness. It also does not provide information on whether the services are appropriate for the needs of the people receiving them, or correctly targeted to those most in need.</w:t>
            </w:r>
          </w:p>
          <w:p w:rsidR="00041DCC" w:rsidRPr="00563C61" w:rsidRDefault="00041DCC" w:rsidP="00D71789">
            <w:pPr>
              <w:pStyle w:val="Box"/>
              <w:keepNext w:val="0"/>
              <w:widowControl w:val="0"/>
            </w:pPr>
            <w:r w:rsidRPr="00563C61">
              <w:t xml:space="preserve">Data reported for the State and Territory </w:t>
            </w:r>
            <w:r w:rsidR="00613479">
              <w:t xml:space="preserve">governments’ </w:t>
            </w:r>
            <w:r w:rsidRPr="00563C61">
              <w:t xml:space="preserve">specialised </w:t>
            </w:r>
            <w:r w:rsidR="00613479">
              <w:t xml:space="preserve">public </w:t>
            </w:r>
            <w:r w:rsidRPr="00563C61">
              <w:t>mental health services measure:</w:t>
            </w:r>
          </w:p>
          <w:p w:rsidR="00041DCC" w:rsidRPr="002241CC" w:rsidRDefault="002241CC">
            <w:pPr>
              <w:pStyle w:val="BoxListBullet"/>
            </w:pPr>
            <w:r w:rsidRPr="002241CC">
              <w:t>may not be comparable (subject to caveats) within jurisdictions over time and may not be comparable across jurisdictions</w:t>
            </w:r>
            <w:r w:rsidR="007634C0" w:rsidRPr="002241CC">
              <w:t xml:space="preserve"> </w:t>
            </w:r>
            <w:r w:rsidR="007F692A" w:rsidRPr="002241CC">
              <w:t xml:space="preserve">(see caveats in </w:t>
            </w:r>
            <w:proofErr w:type="spellStart"/>
            <w:r w:rsidR="007634C0" w:rsidRPr="002241CC">
              <w:t>DQI</w:t>
            </w:r>
            <w:proofErr w:type="spellEnd"/>
            <w:r w:rsidR="007634C0" w:rsidRPr="002241CC">
              <w:t xml:space="preserve"> and </w:t>
            </w:r>
            <w:r w:rsidR="007F692A" w:rsidRPr="002241CC">
              <w:t>attachment tables for details)</w:t>
            </w:r>
          </w:p>
          <w:p w:rsidR="00041DCC" w:rsidRPr="00563C61" w:rsidRDefault="002241CC" w:rsidP="003270B5">
            <w:pPr>
              <w:pStyle w:val="BoxListBullet"/>
              <w:rPr>
                <w:szCs w:val="24"/>
              </w:rPr>
            </w:pPr>
            <w:r w:rsidRPr="00563C61">
              <w:t>are</w:t>
            </w:r>
            <w:r w:rsidRPr="00563C61" w:rsidDel="002857F5">
              <w:t xml:space="preserve"> </w:t>
            </w:r>
            <w:r w:rsidR="00041DCC" w:rsidRPr="00563C61">
              <w:t xml:space="preserve">complete </w:t>
            </w:r>
            <w:r w:rsidR="003270B5" w:rsidRPr="003270B5">
              <w:t>(subject to caveats)</w:t>
            </w:r>
            <w:r w:rsidR="003270B5">
              <w:t xml:space="preserve"> </w:t>
            </w:r>
            <w:r w:rsidR="00041DCC" w:rsidRPr="00563C61">
              <w:t xml:space="preserve">for the current reporting period (subject to caveats). All required </w:t>
            </w:r>
            <w:r w:rsidR="002857F5" w:rsidRPr="00563C61">
              <w:t>201</w:t>
            </w:r>
            <w:r w:rsidR="002857F5">
              <w:t>3</w:t>
            </w:r>
            <w:r w:rsidR="00041DCC" w:rsidRPr="00563C61">
              <w:noBreakHyphen/>
            </w:r>
            <w:r w:rsidR="002857F5" w:rsidRPr="00563C61">
              <w:t>1</w:t>
            </w:r>
            <w:r w:rsidR="002857F5">
              <w:t>4</w:t>
            </w:r>
            <w:r w:rsidR="002857F5" w:rsidRPr="00563C61">
              <w:t xml:space="preserve"> </w:t>
            </w:r>
            <w:r w:rsidR="00041DCC" w:rsidRPr="00563C61">
              <w:t xml:space="preserve">data are available. </w:t>
            </w:r>
          </w:p>
          <w:p w:rsidR="00041DCC" w:rsidRPr="00563C61" w:rsidRDefault="00041DCC" w:rsidP="00D71789">
            <w:pPr>
              <w:pStyle w:val="Box"/>
              <w:keepNext w:val="0"/>
              <w:widowControl w:val="0"/>
              <w:rPr>
                <w:szCs w:val="24"/>
              </w:rPr>
            </w:pPr>
            <w:r w:rsidRPr="00563C61">
              <w:t xml:space="preserve">Data reported for the </w:t>
            </w:r>
            <w:proofErr w:type="spellStart"/>
            <w:r w:rsidRPr="00563C61">
              <w:t>MBS</w:t>
            </w:r>
            <w:proofErr w:type="spellEnd"/>
            <w:r w:rsidR="003978B7">
              <w:t xml:space="preserve"> </w:t>
            </w:r>
            <w:r w:rsidRPr="00563C61">
              <w:t>subsidised mental health services measure are:</w:t>
            </w:r>
          </w:p>
          <w:p w:rsidR="00041DCC" w:rsidRPr="00563C61" w:rsidRDefault="00041DCC" w:rsidP="007634C0">
            <w:pPr>
              <w:pStyle w:val="BoxListBullet"/>
            </w:pPr>
            <w:r w:rsidRPr="00563C61">
              <w:t>comparable (subject to caveats) across jurisdictions but a break in series means that data from 201</w:t>
            </w:r>
            <w:r w:rsidR="007F3961" w:rsidRPr="00563C61">
              <w:t>1</w:t>
            </w:r>
            <w:r w:rsidRPr="00563C61">
              <w:noBreakHyphen/>
              <w:t>1</w:t>
            </w:r>
            <w:r w:rsidR="007F3961" w:rsidRPr="00563C61">
              <w:t>2</w:t>
            </w:r>
            <w:r w:rsidRPr="00563C61">
              <w:t xml:space="preserve"> </w:t>
            </w:r>
            <w:r w:rsidR="00756FA2">
              <w:t xml:space="preserve">onwards </w:t>
            </w:r>
            <w:r w:rsidRPr="00563C61">
              <w:t xml:space="preserve">by geographic location and </w:t>
            </w:r>
            <w:r w:rsidR="000433AF" w:rsidRPr="000433AF">
              <w:t>SEIFA</w:t>
            </w:r>
            <w:r w:rsidRPr="00563C61">
              <w:t xml:space="preserve"> are not comparable to </w:t>
            </w:r>
            <w:r w:rsidR="001950CE" w:rsidRPr="00563C61">
              <w:t>data</w:t>
            </w:r>
            <w:r w:rsidR="00A164F9">
              <w:t xml:space="preserve"> for</w:t>
            </w:r>
            <w:r w:rsidR="001950CE" w:rsidRPr="00563C61">
              <w:t xml:space="preserve"> </w:t>
            </w:r>
            <w:r w:rsidRPr="00563C61">
              <w:t xml:space="preserve">previous years’ </w:t>
            </w:r>
            <w:r w:rsidR="007634C0" w:rsidRPr="007634C0">
              <w:t xml:space="preserve">(see caveats in </w:t>
            </w:r>
            <w:proofErr w:type="spellStart"/>
            <w:r w:rsidR="007634C0" w:rsidRPr="007634C0">
              <w:t>DQI</w:t>
            </w:r>
            <w:proofErr w:type="spellEnd"/>
            <w:r w:rsidR="007634C0" w:rsidRPr="007634C0">
              <w:t xml:space="preserve"> and attachment tables for details)</w:t>
            </w:r>
          </w:p>
          <w:p w:rsidR="00041DCC" w:rsidRPr="00563C61" w:rsidRDefault="00041DCC" w:rsidP="003270B5">
            <w:pPr>
              <w:pStyle w:val="BoxListBullet"/>
              <w:rPr>
                <w:szCs w:val="24"/>
              </w:rPr>
            </w:pPr>
            <w:r w:rsidRPr="00563C61">
              <w:t>complete</w:t>
            </w:r>
            <w:r w:rsidR="003270B5">
              <w:t xml:space="preserve"> </w:t>
            </w:r>
            <w:r w:rsidR="003270B5" w:rsidRPr="003270B5">
              <w:t>(subject to caveats)</w:t>
            </w:r>
            <w:r w:rsidR="003270B5">
              <w:t xml:space="preserve"> </w:t>
            </w:r>
            <w:r w:rsidRPr="00563C61">
              <w:t xml:space="preserve">for the current reporting period (subject to caveats). All required </w:t>
            </w:r>
            <w:r w:rsidR="002857F5" w:rsidRPr="00563C61">
              <w:t>201</w:t>
            </w:r>
            <w:r w:rsidR="002857F5">
              <w:t>3</w:t>
            </w:r>
            <w:r w:rsidRPr="00563C61">
              <w:noBreakHyphen/>
            </w:r>
            <w:r w:rsidR="002857F5" w:rsidRPr="00563C61">
              <w:t>1</w:t>
            </w:r>
            <w:r w:rsidR="002857F5">
              <w:t>4</w:t>
            </w:r>
            <w:r w:rsidR="002857F5" w:rsidRPr="00563C61">
              <w:t xml:space="preserve"> </w:t>
            </w:r>
            <w:r w:rsidRPr="00563C61">
              <w:t xml:space="preserve">data are available for all jurisdictions. </w:t>
            </w:r>
          </w:p>
          <w:p w:rsidR="00041DCC" w:rsidRPr="00563C61" w:rsidRDefault="00041DCC" w:rsidP="00D71789">
            <w:pPr>
              <w:pStyle w:val="Box"/>
              <w:keepNext w:val="0"/>
              <w:widowControl w:val="0"/>
              <w:rPr>
                <w:szCs w:val="24"/>
              </w:rPr>
            </w:pPr>
            <w:r w:rsidRPr="00563C61">
              <w:t xml:space="preserve">Data quality information for this indicator is at </w:t>
            </w:r>
            <w:proofErr w:type="spellStart"/>
            <w:r w:rsidR="00777A59">
              <w:t>www.pc.gov.au</w:t>
            </w:r>
            <w:proofErr w:type="spellEnd"/>
            <w:r w:rsidRPr="00563C61">
              <w:t>/</w:t>
            </w:r>
            <w:proofErr w:type="spellStart"/>
            <w:r w:rsidRPr="00563C61">
              <w:t>rogs</w:t>
            </w:r>
            <w:proofErr w:type="spellEnd"/>
            <w:r w:rsidRPr="00563C61">
              <w:t>/</w:t>
            </w:r>
            <w:r w:rsidR="001950CE" w:rsidRPr="00563C61">
              <w:t>201</w:t>
            </w:r>
            <w:r w:rsidR="001950CE">
              <w:t>6</w:t>
            </w:r>
            <w:r w:rsidRPr="00563C61">
              <w:t>.</w:t>
            </w:r>
          </w:p>
        </w:tc>
      </w:tr>
      <w:tr w:rsidR="00041DCC" w:rsidRPr="00563C61" w:rsidTr="005A5A21">
        <w:trPr>
          <w:cantSplit/>
        </w:trPr>
        <w:tc>
          <w:tcPr>
            <w:tcW w:w="8771" w:type="dxa"/>
            <w:tcBorders>
              <w:top w:val="nil"/>
              <w:left w:val="nil"/>
              <w:bottom w:val="single" w:sz="6" w:space="0" w:color="78A22F"/>
              <w:right w:val="nil"/>
            </w:tcBorders>
            <w:shd w:val="clear" w:color="auto" w:fill="F2F2F2"/>
          </w:tcPr>
          <w:p w:rsidR="00041DCC" w:rsidRPr="00563C61" w:rsidRDefault="00041DCC" w:rsidP="00D71789">
            <w:pPr>
              <w:pStyle w:val="Box"/>
              <w:keepNext w:val="0"/>
              <w:widowControl w:val="0"/>
              <w:spacing w:before="0" w:line="120" w:lineRule="exact"/>
              <w:rPr>
                <w:szCs w:val="24"/>
              </w:rPr>
            </w:pPr>
          </w:p>
        </w:tc>
      </w:tr>
      <w:tr w:rsidR="00041DCC" w:rsidRPr="00563C61" w:rsidTr="005A5A21">
        <w:tc>
          <w:tcPr>
            <w:tcW w:w="8771" w:type="dxa"/>
            <w:tcBorders>
              <w:top w:val="single" w:sz="6" w:space="0" w:color="78A22F"/>
              <w:left w:val="nil"/>
              <w:bottom w:val="nil"/>
              <w:right w:val="nil"/>
            </w:tcBorders>
          </w:tcPr>
          <w:p w:rsidR="00041DCC" w:rsidRPr="00563C61" w:rsidRDefault="00041DCC" w:rsidP="00D71789">
            <w:pPr>
              <w:pStyle w:val="BoxSpaceBelow"/>
              <w:widowControl w:val="0"/>
              <w:rPr>
                <w:i/>
              </w:rPr>
            </w:pPr>
          </w:p>
        </w:tc>
      </w:tr>
    </w:tbl>
    <w:p w:rsidR="00756FA2" w:rsidRDefault="002D2C14" w:rsidP="00D71789">
      <w:pPr>
        <w:pStyle w:val="BodyText"/>
        <w:widowControl w:val="0"/>
      </w:pPr>
      <w:r>
        <w:t xml:space="preserve">While a higher proportion of the population access </w:t>
      </w:r>
      <w:proofErr w:type="spellStart"/>
      <w:r>
        <w:t>MBS</w:t>
      </w:r>
      <w:proofErr w:type="spellEnd"/>
      <w:r>
        <w:t xml:space="preserve"> subsidised mental health services than State and Territory government</w:t>
      </w:r>
      <w:r w:rsidR="00362D44">
        <w:t>s’</w:t>
      </w:r>
      <w:r>
        <w:t xml:space="preserve"> specialised ment</w:t>
      </w:r>
      <w:r w:rsidR="000D68F2">
        <w:t>al health services, the pattern</w:t>
      </w:r>
      <w:r>
        <w:t xml:space="preserve"> of service </w:t>
      </w:r>
      <w:r w:rsidR="00362D44">
        <w:t>use</w:t>
      </w:r>
      <w:r>
        <w:t xml:space="preserve"> across the selected community groups differ</w:t>
      </w:r>
      <w:r w:rsidR="000D68F2">
        <w:t>s</w:t>
      </w:r>
      <w:r>
        <w:t xml:space="preserve">. </w:t>
      </w:r>
    </w:p>
    <w:p w:rsidR="00C17438" w:rsidRDefault="00756FA2" w:rsidP="00D71789">
      <w:pPr>
        <w:pStyle w:val="BodyText"/>
        <w:widowControl w:val="0"/>
      </w:pPr>
      <w:r>
        <w:t xml:space="preserve">For State and Territory governments specialised </w:t>
      </w:r>
      <w:r w:rsidR="00613479">
        <w:t xml:space="preserve">public </w:t>
      </w:r>
      <w:r>
        <w:t>mental health services, a</w:t>
      </w:r>
      <w:r w:rsidR="00222551">
        <w:t>cross all the selected community groups, h</w:t>
      </w:r>
      <w:r w:rsidR="00362D44">
        <w:t xml:space="preserve">igher proportions of people </w:t>
      </w:r>
      <w:r>
        <w:t>within these</w:t>
      </w:r>
      <w:r w:rsidR="00362D44">
        <w:t xml:space="preserve"> group</w:t>
      </w:r>
      <w:r>
        <w:t>s</w:t>
      </w:r>
      <w:r w:rsidR="00362D44">
        <w:t xml:space="preserve"> (</w:t>
      </w:r>
      <w:r w:rsidR="00362D44" w:rsidRPr="00362D44">
        <w:t>Aboriginal and Torres Strait Islander Australians, people from outer regional, remote and very remote</w:t>
      </w:r>
      <w:r w:rsidR="000D68F2">
        <w:t xml:space="preserve"> </w:t>
      </w:r>
      <w:r w:rsidR="003C3880">
        <w:t xml:space="preserve">areas </w:t>
      </w:r>
      <w:r w:rsidR="000D68F2">
        <w:t xml:space="preserve">and </w:t>
      </w:r>
      <w:r w:rsidR="000D68F2" w:rsidRPr="000D68F2">
        <w:t>people residing in low socioeconomic areas</w:t>
      </w:r>
      <w:r w:rsidR="00362D44">
        <w:t>) access the</w:t>
      </w:r>
      <w:r>
        <w:t>se s</w:t>
      </w:r>
      <w:r w:rsidR="008D33DB" w:rsidRPr="00723141">
        <w:t xml:space="preserve">ervices </w:t>
      </w:r>
      <w:r w:rsidR="00362D44">
        <w:lastRenderedPageBreak/>
        <w:t xml:space="preserve">than those outside </w:t>
      </w:r>
      <w:r w:rsidR="00F63973">
        <w:t>t</w:t>
      </w:r>
      <w:r>
        <w:t>he</w:t>
      </w:r>
      <w:r w:rsidR="00F63973">
        <w:t xml:space="preserve">se </w:t>
      </w:r>
      <w:r w:rsidR="00222551">
        <w:t>group</w:t>
      </w:r>
      <w:r w:rsidR="00F63973">
        <w:t>s</w:t>
      </w:r>
      <w:r w:rsidR="000D68F2">
        <w:t xml:space="preserve"> (</w:t>
      </w:r>
      <w:r w:rsidR="008D33DB" w:rsidRPr="00723141">
        <w:t>figure</w:t>
      </w:r>
      <w:r w:rsidR="000D68F2">
        <w:t>s</w:t>
      </w:r>
      <w:r w:rsidR="0022260C" w:rsidRPr="00723141">
        <w:t> </w:t>
      </w:r>
      <w:r w:rsidR="008D33DB" w:rsidRPr="00723141">
        <w:t>12.1</w:t>
      </w:r>
      <w:r w:rsidR="00F168C3" w:rsidRPr="00723141">
        <w:t>2</w:t>
      </w:r>
      <w:r w:rsidR="00463329">
        <w:noBreakHyphen/>
      </w:r>
      <w:r w:rsidR="000D68F2">
        <w:t>13 and table</w:t>
      </w:r>
      <w:r w:rsidR="006062EF">
        <w:t> </w:t>
      </w:r>
      <w:proofErr w:type="spellStart"/>
      <w:r w:rsidR="000D68F2">
        <w:t>12A.39</w:t>
      </w:r>
      <w:proofErr w:type="spellEnd"/>
      <w:r w:rsidR="000D68F2">
        <w:t>)</w:t>
      </w:r>
      <w:r w:rsidR="008D33DB" w:rsidRPr="00723141">
        <w:t xml:space="preserve">. </w:t>
      </w:r>
    </w:p>
    <w:p w:rsidR="00B90FD0" w:rsidRDefault="000C0C8F" w:rsidP="00C005B9">
      <w:pPr>
        <w:pStyle w:val="BodyText"/>
        <w:widowControl w:val="0"/>
      </w:pPr>
      <w:r>
        <w:t xml:space="preserve">For </w:t>
      </w:r>
      <w:proofErr w:type="spellStart"/>
      <w:r>
        <w:t>MBS</w:t>
      </w:r>
      <w:proofErr w:type="spellEnd"/>
      <w:r>
        <w:t xml:space="preserve"> subsidised mental health services the results are mixed. </w:t>
      </w:r>
      <w:r w:rsidR="00756FA2">
        <w:t>Nationally, a</w:t>
      </w:r>
      <w:r>
        <w:t xml:space="preserve"> similar proportion of Aboriginal and Torres Strait Islander Australians accessed these services to non</w:t>
      </w:r>
      <w:r w:rsidR="00E16CB8">
        <w:noBreakHyphen/>
      </w:r>
      <w:r>
        <w:t>Indigenous Australians</w:t>
      </w:r>
      <w:r w:rsidR="00F63973">
        <w:t xml:space="preserve"> </w:t>
      </w:r>
      <w:r>
        <w:t>(</w:t>
      </w:r>
      <w:r w:rsidR="00F63973">
        <w:t>figure</w:t>
      </w:r>
      <w:r w:rsidR="006062EF">
        <w:t> </w:t>
      </w:r>
      <w:r>
        <w:t>12.12)</w:t>
      </w:r>
      <w:r w:rsidR="00756FA2">
        <w:t>, likewise for people across different socioeconomic areas (</w:t>
      </w:r>
      <w:r w:rsidR="00C005B9">
        <w:t>table</w:t>
      </w:r>
      <w:r w:rsidR="006062EF">
        <w:t> </w:t>
      </w:r>
      <w:proofErr w:type="spellStart"/>
      <w:r w:rsidR="00C005B9">
        <w:t>12A.39</w:t>
      </w:r>
      <w:proofErr w:type="spellEnd"/>
      <w:r w:rsidR="00C005B9">
        <w:t xml:space="preserve">). </w:t>
      </w:r>
      <w:r w:rsidR="00756FA2">
        <w:t xml:space="preserve">Results varied across states and territories. </w:t>
      </w:r>
      <w:r w:rsidR="00C005B9">
        <w:t>However, f</w:t>
      </w:r>
      <w:r w:rsidR="00222551">
        <w:t>or people in outer regional, remote and very remote areas</w:t>
      </w:r>
      <w:r w:rsidR="00C005B9">
        <w:t>,</w:t>
      </w:r>
      <w:r w:rsidR="00222551">
        <w:t xml:space="preserve"> </w:t>
      </w:r>
      <w:r w:rsidR="00C005B9">
        <w:t xml:space="preserve">the </w:t>
      </w:r>
      <w:r w:rsidR="00222551">
        <w:t>proportions access</w:t>
      </w:r>
      <w:r w:rsidR="00C005B9">
        <w:t>ing</w:t>
      </w:r>
      <w:r w:rsidR="00222551">
        <w:t xml:space="preserve"> </w:t>
      </w:r>
      <w:proofErr w:type="spellStart"/>
      <w:r w:rsidR="00222551">
        <w:t>MBS</w:t>
      </w:r>
      <w:proofErr w:type="spellEnd"/>
      <w:r w:rsidR="00222551">
        <w:t xml:space="preserve"> subsidised services </w:t>
      </w:r>
      <w:r w:rsidR="00C005B9">
        <w:t xml:space="preserve">were lower </w:t>
      </w:r>
      <w:r w:rsidR="00222551">
        <w:t xml:space="preserve">than </w:t>
      </w:r>
      <w:r w:rsidR="00C005B9">
        <w:t>for people</w:t>
      </w:r>
      <w:r w:rsidR="00222551">
        <w:t xml:space="preserve"> in inner regional and major cities </w:t>
      </w:r>
      <w:r w:rsidR="00C005B9">
        <w:t>both nationally and a</w:t>
      </w:r>
      <w:r w:rsidR="00222551">
        <w:t>cross all states</w:t>
      </w:r>
      <w:r w:rsidR="00756FA2">
        <w:t xml:space="preserve"> </w:t>
      </w:r>
      <w:r w:rsidR="00222551">
        <w:t>(figure</w:t>
      </w:r>
      <w:r w:rsidR="006062EF">
        <w:t> </w:t>
      </w:r>
      <w:r w:rsidR="00222551">
        <w:t>12.13)</w:t>
      </w:r>
      <w:r w:rsidR="00C005B9">
        <w:t xml:space="preserve">. </w:t>
      </w:r>
    </w:p>
    <w:p w:rsidR="00756FA2" w:rsidRPr="00723141" w:rsidRDefault="00756FA2" w:rsidP="00D64AD8">
      <w:pPr>
        <w:pStyle w:val="BodyText"/>
      </w:pPr>
      <w:r>
        <w:t>Additional d</w:t>
      </w:r>
      <w:r w:rsidRPr="00733169">
        <w:t xml:space="preserve">ata on the use of State and Territory </w:t>
      </w:r>
      <w:r>
        <w:t xml:space="preserve">governments’ </w:t>
      </w:r>
      <w:r w:rsidRPr="00733169">
        <w:t xml:space="preserve">specialised and </w:t>
      </w:r>
      <w:proofErr w:type="spellStart"/>
      <w:r w:rsidRPr="00733169">
        <w:t>MBS</w:t>
      </w:r>
      <w:proofErr w:type="spellEnd"/>
      <w:r>
        <w:t> </w:t>
      </w:r>
      <w:r w:rsidRPr="00733169">
        <w:t xml:space="preserve">subsidised mental health services by </w:t>
      </w:r>
      <w:r>
        <w:t>community groups</w:t>
      </w:r>
      <w:r w:rsidRPr="00733169">
        <w:t xml:space="preserve"> are in table</w:t>
      </w:r>
      <w:r>
        <w:t>s </w:t>
      </w:r>
      <w:proofErr w:type="spellStart"/>
      <w:r w:rsidRPr="00733169">
        <w:t>12A.</w:t>
      </w:r>
      <w:r>
        <w:t>40</w:t>
      </w:r>
      <w:proofErr w:type="spellEnd"/>
      <w:r w:rsidR="005625A7" w:rsidRPr="00733169">
        <w:t>–</w:t>
      </w:r>
      <w:r w:rsidRPr="00733169">
        <w:t>4</w:t>
      </w:r>
      <w:r>
        <w:t>1</w:t>
      </w:r>
      <w:r w:rsidRPr="00733169">
        <w:t>. Data on the use of private hospital mental health services are also contained in tables</w:t>
      </w:r>
      <w:r>
        <w:t> </w:t>
      </w:r>
      <w:proofErr w:type="spellStart"/>
      <w:r w:rsidRPr="00733169">
        <w:t>12A.3</w:t>
      </w:r>
      <w:r>
        <w:t>7</w:t>
      </w:r>
      <w:proofErr w:type="spellEnd"/>
      <w:r w:rsidRPr="00733169">
        <w:t>–3</w:t>
      </w:r>
      <w:r>
        <w:t>9</w:t>
      </w:r>
      <w:r w:rsidRPr="00733169">
        <w:t xml:space="preserve"> and </w:t>
      </w:r>
      <w:proofErr w:type="spellStart"/>
      <w:r w:rsidRPr="00733169">
        <w:t>12A.</w:t>
      </w:r>
      <w:r>
        <w:t>41</w:t>
      </w:r>
      <w:proofErr w:type="spellEnd"/>
      <w:r w:rsidR="005625A7" w:rsidRPr="00733169">
        <w:t>–</w:t>
      </w:r>
      <w:r w:rsidRPr="00733169">
        <w:t>4</w:t>
      </w:r>
      <w:r>
        <w:t>2</w:t>
      </w:r>
      <w:r w:rsidRPr="00733169">
        <w:t>.</w:t>
      </w:r>
    </w:p>
    <w:p w:rsidR="008D33DB" w:rsidRPr="00563C61" w:rsidRDefault="008D33DB"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D33DB" w:rsidRPr="00563C61" w:rsidTr="005673E9">
        <w:tc>
          <w:tcPr>
            <w:tcW w:w="8771" w:type="dxa"/>
            <w:tcBorders>
              <w:top w:val="single" w:sz="6" w:space="0" w:color="78A22F"/>
              <w:left w:val="nil"/>
              <w:bottom w:val="nil"/>
              <w:right w:val="nil"/>
            </w:tcBorders>
            <w:shd w:val="clear" w:color="auto" w:fill="FFFFFF" w:themeFill="background1"/>
          </w:tcPr>
          <w:p w:rsidR="008D33DB" w:rsidRPr="00563C61" w:rsidRDefault="008D33DB" w:rsidP="00362D44">
            <w:pPr>
              <w:pStyle w:val="FigureTitle"/>
              <w:spacing w:after="0"/>
            </w:pPr>
            <w:r w:rsidRPr="00563C61">
              <w:rPr>
                <w:b w:val="0"/>
              </w:rPr>
              <w:t xml:space="preserve">Figure </w:t>
            </w:r>
            <w:r w:rsidR="0084283F">
              <w:rPr>
                <w:b w:val="0"/>
              </w:rPr>
              <w:t>12.</w:t>
            </w:r>
            <w:r w:rsidR="00833D26">
              <w:rPr>
                <w:b w:val="0"/>
                <w:noProof/>
              </w:rPr>
              <w:t>12</w:t>
            </w:r>
            <w:r w:rsidRPr="00563C61">
              <w:tab/>
              <w:t xml:space="preserve">Population using mental health services, by </w:t>
            </w:r>
            <w:r w:rsidR="00362D44">
              <w:t>Indigenous status and service type</w:t>
            </w:r>
            <w:r w:rsidRPr="00563C61">
              <w:t xml:space="preserve">, </w:t>
            </w:r>
            <w:r w:rsidR="000B290D" w:rsidRPr="00563C61">
              <w:t>201</w:t>
            </w:r>
            <w:r w:rsidR="000B290D">
              <w:t>3</w:t>
            </w:r>
            <w:r w:rsidRPr="00563C61">
              <w:noBreakHyphen/>
            </w:r>
            <w:r w:rsidR="000B290D" w:rsidRPr="00563C61">
              <w:t>1</w:t>
            </w:r>
            <w:r w:rsidR="000B290D">
              <w:t>4</w:t>
            </w:r>
            <w:r w:rsidR="000B290D" w:rsidRPr="00563C61">
              <w:rPr>
                <w:rStyle w:val="NoteLabel"/>
                <w:b/>
              </w:rPr>
              <w:t>a</w:t>
            </w:r>
          </w:p>
        </w:tc>
      </w:tr>
      <w:tr w:rsidR="008D33DB" w:rsidRPr="00563C61"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D33DB" w:rsidRPr="00563C61" w:rsidTr="005673E9">
              <w:trPr>
                <w:jc w:val="center"/>
              </w:trPr>
              <w:tc>
                <w:tcPr>
                  <w:tcW w:w="5000" w:type="pct"/>
                  <w:tcBorders>
                    <w:top w:val="nil"/>
                    <w:bottom w:val="nil"/>
                  </w:tcBorders>
                </w:tcPr>
                <w:p w:rsidR="008D33DB" w:rsidRPr="00563C61" w:rsidRDefault="000D68F2" w:rsidP="009E3F2F">
                  <w:pPr>
                    <w:pStyle w:val="TableBodyText"/>
                    <w:spacing w:after="0" w:line="240" w:lineRule="auto"/>
                    <w:jc w:val="center"/>
                    <w:rPr>
                      <w:b/>
                    </w:rPr>
                  </w:pPr>
                  <w:r>
                    <w:rPr>
                      <w:b/>
                    </w:rPr>
                    <w:t xml:space="preserve">State and Territory governments’ specialised </w:t>
                  </w:r>
                  <w:r w:rsidR="00613479">
                    <w:rPr>
                      <w:b/>
                    </w:rPr>
                    <w:t xml:space="preserve">public </w:t>
                  </w:r>
                  <w:r>
                    <w:rPr>
                      <w:b/>
                    </w:rPr>
                    <w:t>mental health services</w:t>
                  </w:r>
                </w:p>
              </w:tc>
            </w:tr>
            <w:tr w:rsidR="008D33DB" w:rsidRPr="00563C61" w:rsidTr="005673E9">
              <w:trPr>
                <w:jc w:val="center"/>
              </w:trPr>
              <w:tc>
                <w:tcPr>
                  <w:tcW w:w="5000" w:type="pct"/>
                  <w:tcBorders>
                    <w:top w:val="nil"/>
                    <w:bottom w:val="nil"/>
                    <w:right w:val="nil"/>
                  </w:tcBorders>
                </w:tcPr>
                <w:p w:rsidR="008D33DB" w:rsidRPr="00563C61" w:rsidRDefault="001B7B09" w:rsidP="009E3F2F">
                  <w:pPr>
                    <w:pStyle w:val="Figure"/>
                    <w:spacing w:before="0" w:after="0" w:line="240" w:lineRule="auto"/>
                  </w:pPr>
                  <w:r>
                    <w:rPr>
                      <w:noProof/>
                    </w:rPr>
                    <w:drawing>
                      <wp:inline distT="0" distB="0" distL="0" distR="0">
                        <wp:extent cx="5334000" cy="1724025"/>
                        <wp:effectExtent l="0" t="0" r="0" b="9525"/>
                        <wp:docPr id="12" name="Picture 12" descr="Figure 12.12 Population using mental health services, by Indigenous status and service type, 2013-14&#10;&#10;State and Territory governments’ specialised public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0" cy="1724025"/>
                                </a:xfrm>
                                <a:prstGeom prst="rect">
                                  <a:avLst/>
                                </a:prstGeom>
                                <a:noFill/>
                                <a:ln>
                                  <a:noFill/>
                                </a:ln>
                              </pic:spPr>
                            </pic:pic>
                          </a:graphicData>
                        </a:graphic>
                      </wp:inline>
                    </w:drawing>
                  </w:r>
                </w:p>
              </w:tc>
            </w:tr>
            <w:tr w:rsidR="00305B68" w:rsidRPr="00563C61" w:rsidTr="005673E9">
              <w:trPr>
                <w:jc w:val="center"/>
              </w:trPr>
              <w:tc>
                <w:tcPr>
                  <w:tcW w:w="5000" w:type="pct"/>
                  <w:tcBorders>
                    <w:top w:val="nil"/>
                    <w:bottom w:val="nil"/>
                  </w:tcBorders>
                </w:tcPr>
                <w:p w:rsidR="00305B68" w:rsidRPr="00563C61" w:rsidRDefault="000D68F2" w:rsidP="009E3F2F">
                  <w:pPr>
                    <w:pStyle w:val="TableBodyText"/>
                    <w:spacing w:after="0" w:line="240" w:lineRule="auto"/>
                    <w:jc w:val="center"/>
                  </w:pPr>
                  <w:proofErr w:type="spellStart"/>
                  <w:r w:rsidRPr="00362D44">
                    <w:rPr>
                      <w:b/>
                    </w:rPr>
                    <w:t>MBS</w:t>
                  </w:r>
                  <w:proofErr w:type="spellEnd"/>
                  <w:r w:rsidRPr="00362D44">
                    <w:rPr>
                      <w:b/>
                    </w:rPr>
                    <w:t xml:space="preserve"> </w:t>
                  </w:r>
                  <w:r>
                    <w:rPr>
                      <w:b/>
                    </w:rPr>
                    <w:t>subsidised mental health services</w:t>
                  </w:r>
                </w:p>
              </w:tc>
            </w:tr>
            <w:tr w:rsidR="00305B68" w:rsidRPr="00563C61" w:rsidTr="005673E9">
              <w:trPr>
                <w:jc w:val="center"/>
              </w:trPr>
              <w:tc>
                <w:tcPr>
                  <w:tcW w:w="5000" w:type="pct"/>
                  <w:tcBorders>
                    <w:top w:val="nil"/>
                    <w:bottom w:val="nil"/>
                    <w:right w:val="nil"/>
                  </w:tcBorders>
                </w:tcPr>
                <w:p w:rsidR="00305B68" w:rsidRPr="00563C61" w:rsidRDefault="001B7B09" w:rsidP="009E3F2F">
                  <w:pPr>
                    <w:pStyle w:val="Figure"/>
                    <w:spacing w:before="0" w:after="0" w:line="240" w:lineRule="auto"/>
                  </w:pPr>
                  <w:r>
                    <w:rPr>
                      <w:noProof/>
                    </w:rPr>
                    <w:drawing>
                      <wp:inline distT="0" distB="0" distL="0" distR="0">
                        <wp:extent cx="5391150" cy="1790700"/>
                        <wp:effectExtent l="0" t="0" r="0" b="0"/>
                        <wp:docPr id="13" name="Picture 13" descr="Figure 12.12 Population using mental health services, by Indigenous status and service type, 2013-14&#10;&#10;MBS subsid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bl>
          <w:p w:rsidR="008D33DB" w:rsidRPr="00563C61" w:rsidRDefault="008D33DB" w:rsidP="005A5A21">
            <w:pPr>
              <w:pStyle w:val="Figure"/>
            </w:pPr>
          </w:p>
        </w:tc>
      </w:tr>
      <w:tr w:rsidR="008D33DB" w:rsidRPr="00563C61" w:rsidTr="005A5A21">
        <w:tc>
          <w:tcPr>
            <w:tcW w:w="8771" w:type="dxa"/>
            <w:tcBorders>
              <w:top w:val="nil"/>
              <w:left w:val="nil"/>
              <w:bottom w:val="nil"/>
              <w:right w:val="nil"/>
            </w:tcBorders>
            <w:shd w:val="clear" w:color="auto" w:fill="auto"/>
          </w:tcPr>
          <w:p w:rsidR="008D33DB" w:rsidRPr="00563C61" w:rsidRDefault="00253F05" w:rsidP="00613479">
            <w:pPr>
              <w:pStyle w:val="Note"/>
              <w:rPr>
                <w:i/>
              </w:rPr>
            </w:pPr>
            <w:r w:rsidRPr="009E2922">
              <w:rPr>
                <w:rStyle w:val="NoteLabel"/>
              </w:rPr>
              <w:t xml:space="preserve">a </w:t>
            </w:r>
            <w:r w:rsidRPr="009E2922">
              <w:t>See</w:t>
            </w:r>
            <w:r w:rsidR="00101926">
              <w:t xml:space="preserve"> box</w:t>
            </w:r>
            <w:r w:rsidR="00463329">
              <w:t> </w:t>
            </w:r>
            <w:r w:rsidR="00101926">
              <w:t>12.3 and</w:t>
            </w:r>
            <w:r w:rsidRPr="009E2922">
              <w:t xml:space="preserve"> table</w:t>
            </w:r>
            <w:r w:rsidR="00463329">
              <w:t> </w:t>
            </w:r>
            <w:proofErr w:type="spellStart"/>
            <w:r w:rsidRPr="009E2922">
              <w:t>12A.3</w:t>
            </w:r>
            <w:r w:rsidR="00723141">
              <w:t>7</w:t>
            </w:r>
            <w:proofErr w:type="spellEnd"/>
            <w:r w:rsidR="00613479">
              <w:t xml:space="preserve"> </w:t>
            </w:r>
            <w:r w:rsidR="00871F08" w:rsidRPr="00871F08">
              <w:t>for detailed definitions, footnotes and caveats</w:t>
            </w:r>
            <w:r w:rsidRPr="009E2922">
              <w:t xml:space="preserve">. </w:t>
            </w:r>
          </w:p>
        </w:tc>
      </w:tr>
      <w:tr w:rsidR="008D33DB" w:rsidRPr="00563C61" w:rsidTr="005A5A21">
        <w:tc>
          <w:tcPr>
            <w:tcW w:w="8771" w:type="dxa"/>
            <w:tcBorders>
              <w:top w:val="nil"/>
              <w:left w:val="nil"/>
              <w:bottom w:val="nil"/>
              <w:right w:val="nil"/>
            </w:tcBorders>
            <w:shd w:val="clear" w:color="auto" w:fill="auto"/>
          </w:tcPr>
          <w:p w:rsidR="008D33DB" w:rsidRPr="00563C61" w:rsidRDefault="00305B68" w:rsidP="00613479">
            <w:pPr>
              <w:pStyle w:val="Source"/>
            </w:pPr>
            <w:r w:rsidRPr="00563C61">
              <w:rPr>
                <w:i/>
              </w:rPr>
              <w:t>Source</w:t>
            </w:r>
            <w:r w:rsidRPr="00563C61">
              <w:t xml:space="preserve">: </w:t>
            </w:r>
            <w:r w:rsidR="00A251E8" w:rsidRPr="00A251E8">
              <w:t xml:space="preserve">AIHW </w:t>
            </w:r>
            <w:r w:rsidR="00A251E8">
              <w:t>(unpublished),</w:t>
            </w:r>
            <w:r w:rsidR="00A251E8" w:rsidRPr="00A251E8">
              <w:t xml:space="preserve"> derived from data provided by </w:t>
            </w:r>
            <w:r w:rsidR="00A251E8">
              <w:t>State and Territory governments</w:t>
            </w:r>
            <w:r w:rsidR="00BF5E14">
              <w:t xml:space="preserve"> and the </w:t>
            </w:r>
            <w:r w:rsidR="00BF5E14" w:rsidRPr="00BF5E14">
              <w:t>Australian G</w:t>
            </w:r>
            <w:r w:rsidR="00BF5E14">
              <w:t xml:space="preserve">overnment Department of Health </w:t>
            </w:r>
            <w:r w:rsidR="00BF5E14" w:rsidRPr="00BF5E14">
              <w:t>and D</w:t>
            </w:r>
            <w:r w:rsidR="00BF5E14">
              <w:t xml:space="preserve">epartment of </w:t>
            </w:r>
            <w:r w:rsidR="00BF5E14" w:rsidRPr="00BF5E14">
              <w:t>V</w:t>
            </w:r>
            <w:r w:rsidR="00BF5E14">
              <w:t>eterans</w:t>
            </w:r>
            <w:r w:rsidR="00BF2EB2">
              <w:t>’</w:t>
            </w:r>
            <w:r w:rsidR="00BF5E14">
              <w:t xml:space="preserve"> </w:t>
            </w:r>
            <w:r w:rsidR="00BF5E14" w:rsidRPr="00BF5E14">
              <w:t>A</w:t>
            </w:r>
            <w:r w:rsidR="00BF5E14">
              <w:t>ffairs</w:t>
            </w:r>
            <w:r w:rsidR="00BF2EB2">
              <w:t xml:space="preserve"> (DVA)</w:t>
            </w:r>
            <w:r w:rsidRPr="00563C61">
              <w:t>;</w:t>
            </w:r>
            <w:r w:rsidR="00A251E8">
              <w:t xml:space="preserve"> </w:t>
            </w:r>
            <w:r w:rsidR="00BF5E14" w:rsidRPr="00BF5E14">
              <w:t>ABS (unpublished) Estimated Residential Population, 30</w:t>
            </w:r>
            <w:r w:rsidR="00463329">
              <w:t> </w:t>
            </w:r>
            <w:r w:rsidR="00BF5E14" w:rsidRPr="00BF5E14">
              <w:t>June</w:t>
            </w:r>
            <w:r w:rsidR="00756FA2">
              <w:t xml:space="preserve"> 2013</w:t>
            </w:r>
            <w:r w:rsidR="00BF5E14">
              <w:t xml:space="preserve">; </w:t>
            </w:r>
            <w:r w:rsidR="00613479">
              <w:t>table</w:t>
            </w:r>
            <w:r w:rsidR="00A251E8">
              <w:t> </w:t>
            </w:r>
            <w:proofErr w:type="spellStart"/>
            <w:r w:rsidRPr="00563C61">
              <w:t>12A.</w:t>
            </w:r>
            <w:r w:rsidR="00563C61">
              <w:t>3</w:t>
            </w:r>
            <w:r w:rsidR="00723141">
              <w:t>7</w:t>
            </w:r>
            <w:proofErr w:type="spellEnd"/>
            <w:r w:rsidRPr="00563C61">
              <w:t>.</w:t>
            </w:r>
          </w:p>
        </w:tc>
      </w:tr>
      <w:tr w:rsidR="008D33DB" w:rsidRPr="00563C61" w:rsidTr="005A5A21">
        <w:tc>
          <w:tcPr>
            <w:tcW w:w="8771" w:type="dxa"/>
            <w:tcBorders>
              <w:top w:val="nil"/>
              <w:left w:val="nil"/>
              <w:bottom w:val="single" w:sz="6" w:space="0" w:color="78A22F"/>
              <w:right w:val="nil"/>
            </w:tcBorders>
            <w:shd w:val="clear" w:color="auto" w:fill="auto"/>
          </w:tcPr>
          <w:p w:rsidR="008D33DB" w:rsidRPr="00563C61" w:rsidRDefault="008D33DB" w:rsidP="005A5A21">
            <w:pPr>
              <w:pStyle w:val="Figurespace"/>
            </w:pPr>
          </w:p>
        </w:tc>
      </w:tr>
      <w:tr w:rsidR="008D33DB" w:rsidRPr="00563C61" w:rsidTr="005A5A21">
        <w:tc>
          <w:tcPr>
            <w:tcW w:w="8771" w:type="dxa"/>
            <w:tcBorders>
              <w:top w:val="single" w:sz="6" w:space="0" w:color="78A22F"/>
              <w:left w:val="nil"/>
              <w:bottom w:val="nil"/>
              <w:right w:val="nil"/>
            </w:tcBorders>
          </w:tcPr>
          <w:p w:rsidR="008D33DB" w:rsidRPr="00563C61" w:rsidRDefault="008D33DB" w:rsidP="005A5A21">
            <w:pPr>
              <w:pStyle w:val="BoxSpaceBelow"/>
            </w:pPr>
          </w:p>
        </w:tc>
      </w:tr>
    </w:tbl>
    <w:p w:rsidR="008F11A6" w:rsidRPr="00563C61" w:rsidRDefault="008F11A6"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11A6" w:rsidRPr="00563C61" w:rsidTr="005A5A21">
        <w:tc>
          <w:tcPr>
            <w:tcW w:w="8771" w:type="dxa"/>
            <w:tcBorders>
              <w:top w:val="single" w:sz="6" w:space="0" w:color="78A22F"/>
              <w:left w:val="nil"/>
              <w:bottom w:val="nil"/>
              <w:right w:val="nil"/>
            </w:tcBorders>
            <w:shd w:val="clear" w:color="auto" w:fill="auto"/>
          </w:tcPr>
          <w:p w:rsidR="008F11A6" w:rsidRPr="005566E6" w:rsidRDefault="008F11A6" w:rsidP="002228CF">
            <w:pPr>
              <w:pStyle w:val="FigureTitle"/>
              <w:rPr>
                <w:i/>
              </w:rPr>
            </w:pPr>
            <w:r w:rsidRPr="005566E6">
              <w:rPr>
                <w:b w:val="0"/>
              </w:rPr>
              <w:t xml:space="preserve">Figure </w:t>
            </w:r>
            <w:r w:rsidR="00C17438">
              <w:rPr>
                <w:b w:val="0"/>
              </w:rPr>
              <w:t>12.</w:t>
            </w:r>
            <w:r w:rsidR="00833D26">
              <w:rPr>
                <w:b w:val="0"/>
                <w:noProof/>
              </w:rPr>
              <w:t>13</w:t>
            </w:r>
            <w:r w:rsidRPr="005566E6">
              <w:tab/>
            </w:r>
            <w:r w:rsidR="000D5A4D" w:rsidRPr="00B33D98">
              <w:rPr>
                <w:shd w:val="clear" w:color="auto" w:fill="FFFFFF" w:themeFill="background1"/>
              </w:rPr>
              <w:t>Population using mental health services</w:t>
            </w:r>
            <w:r w:rsidRPr="00B33D98">
              <w:rPr>
                <w:shd w:val="clear" w:color="auto" w:fill="FFFFFF" w:themeFill="background1"/>
              </w:rPr>
              <w:t>,</w:t>
            </w:r>
            <w:r w:rsidRPr="005566E6">
              <w:t xml:space="preserve"> </w:t>
            </w:r>
            <w:r w:rsidR="00362D44" w:rsidRPr="00362D44">
              <w:t xml:space="preserve">by </w:t>
            </w:r>
            <w:r w:rsidR="00362D44">
              <w:t>geographic location</w:t>
            </w:r>
            <w:r w:rsidR="00362D44" w:rsidRPr="00362D44">
              <w:t xml:space="preserve"> and service type</w:t>
            </w:r>
            <w:r w:rsidRPr="005566E6">
              <w:t xml:space="preserve">, </w:t>
            </w:r>
            <w:r w:rsidR="00253F05" w:rsidRPr="005566E6">
              <w:t>201</w:t>
            </w:r>
            <w:r w:rsidR="00253F05">
              <w:t>3</w:t>
            </w:r>
            <w:r w:rsidR="00563C61" w:rsidRPr="005566E6">
              <w:noBreakHyphen/>
            </w:r>
            <w:r w:rsidR="00253F05" w:rsidRPr="005566E6">
              <w:t>1</w:t>
            </w:r>
            <w:r w:rsidR="00253F05">
              <w:t>4</w:t>
            </w:r>
            <w:r w:rsidR="00253F05" w:rsidRPr="000F35C7">
              <w:rPr>
                <w:rStyle w:val="NoteLabel"/>
                <w:b/>
              </w:rPr>
              <w:t>a</w:t>
            </w:r>
            <w:r w:rsidR="00362D44">
              <w:rPr>
                <w:rStyle w:val="NoteLabel"/>
                <w:b/>
              </w:rPr>
              <w:t>, b</w:t>
            </w:r>
            <w:r w:rsidR="00504317">
              <w:rPr>
                <w:rStyle w:val="NoteLabel"/>
                <w:b/>
              </w:rPr>
              <w:t>, c</w:t>
            </w:r>
          </w:p>
        </w:tc>
      </w:tr>
      <w:tr w:rsidR="008F11A6" w:rsidRPr="00563C61" w:rsidTr="005A5A2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4144" w:rsidRPr="00563C61" w:rsidTr="005A5A21">
              <w:trPr>
                <w:jc w:val="center"/>
              </w:trPr>
              <w:tc>
                <w:tcPr>
                  <w:tcW w:w="5000" w:type="pct"/>
                  <w:tcBorders>
                    <w:top w:val="nil"/>
                    <w:bottom w:val="nil"/>
                  </w:tcBorders>
                </w:tcPr>
                <w:p w:rsidR="008F11A6" w:rsidRPr="00563C61" w:rsidRDefault="00362D44" w:rsidP="003D08FE">
                  <w:pPr>
                    <w:pStyle w:val="TableBodyText"/>
                    <w:spacing w:after="0" w:line="240" w:lineRule="auto"/>
                    <w:jc w:val="center"/>
                    <w:rPr>
                      <w:b/>
                    </w:rPr>
                  </w:pPr>
                  <w:r>
                    <w:rPr>
                      <w:b/>
                    </w:rPr>
                    <w:t xml:space="preserve">State and Territory governments’ specialised </w:t>
                  </w:r>
                  <w:r w:rsidR="00613479">
                    <w:rPr>
                      <w:b/>
                    </w:rPr>
                    <w:t xml:space="preserve">public </w:t>
                  </w:r>
                  <w:r>
                    <w:rPr>
                      <w:b/>
                    </w:rPr>
                    <w:t>mental health services</w:t>
                  </w:r>
                </w:p>
              </w:tc>
            </w:tr>
            <w:tr w:rsidR="00AC4144" w:rsidRPr="00563C61" w:rsidTr="005673E9">
              <w:trPr>
                <w:jc w:val="center"/>
              </w:trPr>
              <w:tc>
                <w:tcPr>
                  <w:tcW w:w="5000" w:type="pct"/>
                  <w:tcBorders>
                    <w:top w:val="nil"/>
                    <w:bottom w:val="nil"/>
                  </w:tcBorders>
                </w:tcPr>
                <w:p w:rsidR="008F11A6" w:rsidRPr="00563C61" w:rsidRDefault="001B7B09" w:rsidP="005A5A21">
                  <w:pPr>
                    <w:pStyle w:val="Figure"/>
                    <w:spacing w:before="60" w:after="60"/>
                  </w:pPr>
                  <w:r>
                    <w:rPr>
                      <w:noProof/>
                    </w:rPr>
                    <w:drawing>
                      <wp:inline distT="0" distB="0" distL="0" distR="0">
                        <wp:extent cx="5286375" cy="1762125"/>
                        <wp:effectExtent l="0" t="0" r="9525" b="9525"/>
                        <wp:docPr id="14" name="Picture 14" descr="Figure 12.13 Population using mental health services, by geographic location and service type, 2013-14&#10;&#10;State and Territory governments’ specialised public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6375" cy="1762125"/>
                                </a:xfrm>
                                <a:prstGeom prst="rect">
                                  <a:avLst/>
                                </a:prstGeom>
                                <a:noFill/>
                                <a:ln>
                                  <a:noFill/>
                                </a:ln>
                              </pic:spPr>
                            </pic:pic>
                          </a:graphicData>
                        </a:graphic>
                      </wp:inline>
                    </w:drawing>
                  </w:r>
                </w:p>
              </w:tc>
            </w:tr>
            <w:tr w:rsidR="00AC4144" w:rsidRPr="00563C61" w:rsidTr="005673E9">
              <w:trPr>
                <w:jc w:val="center"/>
              </w:trPr>
              <w:tc>
                <w:tcPr>
                  <w:tcW w:w="5000" w:type="pct"/>
                  <w:tcBorders>
                    <w:top w:val="nil"/>
                    <w:bottom w:val="nil"/>
                  </w:tcBorders>
                  <w:shd w:val="clear" w:color="auto" w:fill="FFFFFF" w:themeFill="background1"/>
                </w:tcPr>
                <w:p w:rsidR="008F11A6" w:rsidRPr="00362D44" w:rsidRDefault="00362D44" w:rsidP="00D71789">
                  <w:pPr>
                    <w:pStyle w:val="TableBodyText"/>
                    <w:spacing w:after="0" w:line="240" w:lineRule="auto"/>
                    <w:jc w:val="center"/>
                    <w:rPr>
                      <w:b/>
                    </w:rPr>
                  </w:pPr>
                  <w:proofErr w:type="spellStart"/>
                  <w:r w:rsidRPr="00362D44">
                    <w:rPr>
                      <w:b/>
                    </w:rPr>
                    <w:t>MBS</w:t>
                  </w:r>
                  <w:proofErr w:type="spellEnd"/>
                  <w:r w:rsidRPr="00362D44">
                    <w:rPr>
                      <w:b/>
                    </w:rPr>
                    <w:t xml:space="preserve"> </w:t>
                  </w:r>
                  <w:r>
                    <w:rPr>
                      <w:b/>
                    </w:rPr>
                    <w:t>subsidised mental health services</w:t>
                  </w:r>
                </w:p>
              </w:tc>
            </w:tr>
            <w:tr w:rsidR="00AC4144" w:rsidRPr="00563C61" w:rsidTr="005673E9">
              <w:trPr>
                <w:jc w:val="center"/>
              </w:trPr>
              <w:tc>
                <w:tcPr>
                  <w:tcW w:w="5000" w:type="pct"/>
                  <w:tcBorders>
                    <w:top w:val="nil"/>
                    <w:bottom w:val="nil"/>
                    <w:right w:val="nil"/>
                  </w:tcBorders>
                  <w:shd w:val="clear" w:color="auto" w:fill="FFFFFF" w:themeFill="background1"/>
                </w:tcPr>
                <w:p w:rsidR="008F11A6" w:rsidRPr="00563C61" w:rsidRDefault="001B7B09" w:rsidP="003D08FE">
                  <w:pPr>
                    <w:pStyle w:val="TableBodyText"/>
                    <w:spacing w:after="0" w:line="240" w:lineRule="auto"/>
                    <w:jc w:val="center"/>
                    <w:rPr>
                      <w:b/>
                    </w:rPr>
                  </w:pPr>
                  <w:r>
                    <w:rPr>
                      <w:b/>
                      <w:noProof/>
                    </w:rPr>
                    <w:drawing>
                      <wp:inline distT="0" distB="0" distL="0" distR="0">
                        <wp:extent cx="5286375" cy="1790700"/>
                        <wp:effectExtent l="0" t="0" r="9525" b="0"/>
                        <wp:docPr id="15" name="Picture 15" descr="Figure 12.13 Population using mental health services, by geographic location and service type, 2013-14&#10;&#10;MBS subsid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86375" cy="1790700"/>
                                </a:xfrm>
                                <a:prstGeom prst="rect">
                                  <a:avLst/>
                                </a:prstGeom>
                                <a:noFill/>
                                <a:ln>
                                  <a:noFill/>
                                </a:ln>
                              </pic:spPr>
                            </pic:pic>
                          </a:graphicData>
                        </a:graphic>
                      </wp:inline>
                    </w:drawing>
                  </w:r>
                </w:p>
              </w:tc>
            </w:tr>
          </w:tbl>
          <w:p w:rsidR="008F11A6" w:rsidRPr="00563C61" w:rsidRDefault="008F11A6" w:rsidP="005A5A21">
            <w:pPr>
              <w:pStyle w:val="Figure"/>
            </w:pPr>
          </w:p>
        </w:tc>
      </w:tr>
      <w:tr w:rsidR="008F11A6" w:rsidRPr="00563C61" w:rsidTr="005A5A21">
        <w:tc>
          <w:tcPr>
            <w:tcW w:w="8771" w:type="dxa"/>
            <w:tcBorders>
              <w:top w:val="nil"/>
              <w:left w:val="nil"/>
              <w:bottom w:val="nil"/>
              <w:right w:val="nil"/>
            </w:tcBorders>
            <w:shd w:val="clear" w:color="auto" w:fill="auto"/>
          </w:tcPr>
          <w:p w:rsidR="008F11A6" w:rsidRPr="00563C61" w:rsidRDefault="00253F05" w:rsidP="005D18BF">
            <w:pPr>
              <w:pStyle w:val="Note"/>
            </w:pPr>
            <w:r w:rsidRPr="005D573B">
              <w:rPr>
                <w:rStyle w:val="NoteLabel"/>
              </w:rPr>
              <w:t xml:space="preserve">a </w:t>
            </w:r>
            <w:r w:rsidRPr="005D573B">
              <w:t>See</w:t>
            </w:r>
            <w:r w:rsidR="00D877BD">
              <w:t xml:space="preserve"> </w:t>
            </w:r>
            <w:r w:rsidR="00D877BD" w:rsidRPr="00D877BD">
              <w:t>box</w:t>
            </w:r>
            <w:r w:rsidR="00463329">
              <w:t> </w:t>
            </w:r>
            <w:r w:rsidR="00D877BD" w:rsidRPr="00D877BD">
              <w:t>12.3 and</w:t>
            </w:r>
            <w:r w:rsidRPr="005D573B">
              <w:t xml:space="preserve"> table</w:t>
            </w:r>
            <w:r w:rsidR="00463329">
              <w:t> </w:t>
            </w:r>
            <w:proofErr w:type="spellStart"/>
            <w:r w:rsidRPr="005D573B">
              <w:t>12A.3</w:t>
            </w:r>
            <w:r w:rsidR="00D877BD">
              <w:t>8</w:t>
            </w:r>
            <w:proofErr w:type="spellEnd"/>
            <w:r w:rsidR="00D877BD">
              <w:t xml:space="preserve"> </w:t>
            </w:r>
            <w:r w:rsidR="00871F08" w:rsidRPr="00871F08">
              <w:t>for detailed definitions, footnotes and caveats</w:t>
            </w:r>
            <w:r w:rsidRPr="005D573B">
              <w:t xml:space="preserve">. </w:t>
            </w:r>
            <w:r w:rsidRPr="005D573B">
              <w:rPr>
                <w:rStyle w:val="NoteLabel"/>
              </w:rPr>
              <w:t>b</w:t>
            </w:r>
            <w:r w:rsidRPr="005D573B">
              <w:t xml:space="preserve"> </w:t>
            </w:r>
            <w:r w:rsidR="00362D44" w:rsidRPr="00362D44">
              <w:t>Victoria does not have very remote areas. Tasmania does not have major cities. The ACT does not have outer regional, remote or very remote locations. The NT does not have major cities or inner regional locations.</w:t>
            </w:r>
            <w:r w:rsidR="00362D44">
              <w:t xml:space="preserve"> </w:t>
            </w:r>
            <w:r w:rsidR="00362D44">
              <w:rPr>
                <w:rStyle w:val="NoteLabel"/>
              </w:rPr>
              <w:t>c</w:t>
            </w:r>
            <w:r w:rsidR="00362D44" w:rsidRPr="00362D44">
              <w:t xml:space="preserve"> ACT data are not published for inner regional areas. </w:t>
            </w:r>
          </w:p>
        </w:tc>
      </w:tr>
      <w:tr w:rsidR="008F11A6" w:rsidRPr="00563C61" w:rsidTr="005A5A21">
        <w:tc>
          <w:tcPr>
            <w:tcW w:w="8771" w:type="dxa"/>
            <w:tcBorders>
              <w:top w:val="nil"/>
              <w:left w:val="nil"/>
              <w:bottom w:val="nil"/>
              <w:right w:val="nil"/>
            </w:tcBorders>
            <w:shd w:val="clear" w:color="auto" w:fill="auto"/>
          </w:tcPr>
          <w:p w:rsidR="008F11A6" w:rsidRPr="00563C61" w:rsidRDefault="008F11A6" w:rsidP="007A4E85">
            <w:pPr>
              <w:pStyle w:val="Source"/>
            </w:pPr>
            <w:r w:rsidRPr="00563C61">
              <w:rPr>
                <w:i/>
              </w:rPr>
              <w:t>Source</w:t>
            </w:r>
            <w:r w:rsidRPr="00563C61">
              <w:t xml:space="preserve">: </w:t>
            </w:r>
            <w:r w:rsidR="00BF5E14" w:rsidRPr="00BF5E14">
              <w:t xml:space="preserve">AIHW (unpublished), derived from data provided by State and Territory governments and the Australian Government Department of Health and </w:t>
            </w:r>
            <w:r w:rsidR="00BF2EB2">
              <w:t>DVA</w:t>
            </w:r>
            <w:r w:rsidR="00BF5E14" w:rsidRPr="00BF5E14">
              <w:t>; ABS (unpublished) Estimated Residential Population, 30 June (prior to relevant period);</w:t>
            </w:r>
            <w:r w:rsidR="00FA3917" w:rsidRPr="00563C61">
              <w:t xml:space="preserve"> </w:t>
            </w:r>
            <w:r w:rsidR="005D18BF">
              <w:t>table</w:t>
            </w:r>
            <w:r w:rsidR="0022260C">
              <w:t> </w:t>
            </w:r>
            <w:proofErr w:type="spellStart"/>
            <w:r w:rsidRPr="00563C61">
              <w:t>12A.</w:t>
            </w:r>
            <w:r w:rsidR="0097779E">
              <w:t>3</w:t>
            </w:r>
            <w:r w:rsidR="00504317">
              <w:t>8</w:t>
            </w:r>
            <w:proofErr w:type="spellEnd"/>
            <w:r w:rsidRPr="00563C61">
              <w:t>.</w:t>
            </w:r>
          </w:p>
        </w:tc>
      </w:tr>
      <w:tr w:rsidR="008F11A6" w:rsidRPr="00563C61" w:rsidTr="005A5A21">
        <w:tc>
          <w:tcPr>
            <w:tcW w:w="8771" w:type="dxa"/>
            <w:tcBorders>
              <w:top w:val="nil"/>
              <w:left w:val="nil"/>
              <w:bottom w:val="single" w:sz="6" w:space="0" w:color="78A22F"/>
              <w:right w:val="nil"/>
            </w:tcBorders>
            <w:shd w:val="clear" w:color="auto" w:fill="auto"/>
          </w:tcPr>
          <w:p w:rsidR="008F11A6" w:rsidRPr="00563C61" w:rsidRDefault="008F11A6" w:rsidP="005A5A21">
            <w:pPr>
              <w:pStyle w:val="Figurespace"/>
            </w:pPr>
          </w:p>
        </w:tc>
      </w:tr>
      <w:tr w:rsidR="008F11A6" w:rsidRPr="00563C61" w:rsidTr="005A5A21">
        <w:tc>
          <w:tcPr>
            <w:tcW w:w="8771" w:type="dxa"/>
            <w:tcBorders>
              <w:top w:val="single" w:sz="6" w:space="0" w:color="78A22F"/>
              <w:left w:val="nil"/>
              <w:bottom w:val="nil"/>
              <w:right w:val="nil"/>
            </w:tcBorders>
          </w:tcPr>
          <w:p w:rsidR="008F11A6" w:rsidRPr="00563C61" w:rsidRDefault="008F11A6" w:rsidP="005A5A21">
            <w:pPr>
              <w:pStyle w:val="BoxSpaceBelow"/>
            </w:pPr>
          </w:p>
        </w:tc>
      </w:tr>
    </w:tbl>
    <w:p w:rsidR="000B3B63" w:rsidRPr="00D71789" w:rsidRDefault="008F11A6" w:rsidP="00D71789">
      <w:pPr>
        <w:pStyle w:val="Heading4"/>
        <w:keepNext w:val="0"/>
        <w:widowControl w:val="0"/>
        <w:rPr>
          <w:b/>
          <w:sz w:val="26"/>
        </w:rPr>
      </w:pPr>
      <w:r w:rsidRPr="00D71789">
        <w:rPr>
          <w:b/>
          <w:sz w:val="26"/>
        </w:rPr>
        <w:t xml:space="preserve">Effectiveness </w:t>
      </w:r>
    </w:p>
    <w:p w:rsidR="008F11A6" w:rsidRPr="00D669ED" w:rsidRDefault="000B3B63" w:rsidP="00D71789">
      <w:pPr>
        <w:pStyle w:val="Heading4"/>
        <w:keepNext w:val="0"/>
        <w:widowControl w:val="0"/>
      </w:pPr>
      <w:r>
        <w:t>A</w:t>
      </w:r>
      <w:r w:rsidR="008F11A6" w:rsidRPr="00D669ED">
        <w:t>ccess — mental health service use by total population</w:t>
      </w:r>
    </w:p>
    <w:p w:rsidR="004E0681" w:rsidRPr="00547C6E" w:rsidRDefault="008F11A6" w:rsidP="00D71789">
      <w:pPr>
        <w:pStyle w:val="BodyText"/>
        <w:widowControl w:val="0"/>
      </w:pPr>
      <w:r w:rsidRPr="00D669ED">
        <w:t>‘Mental health service use by total population’ is an indicator of governments’ objective to provide equitable access to mental health services for all people who need them (box</w:t>
      </w:r>
      <w:r w:rsidR="0022260C">
        <w:t> </w:t>
      </w:r>
      <w:r w:rsidRPr="00D669ED">
        <w:t>12.</w:t>
      </w:r>
      <w:r w:rsidR="00C14136">
        <w:t>4</w:t>
      </w:r>
      <w:r w:rsidRPr="00D669ED">
        <w:t xml:space="preserve">). </w:t>
      </w:r>
    </w:p>
    <w:p w:rsidR="00B90FD0" w:rsidRDefault="00B90FD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0FD0" w:rsidTr="00C14136">
        <w:tc>
          <w:tcPr>
            <w:tcW w:w="8771" w:type="dxa"/>
            <w:tcBorders>
              <w:top w:val="single" w:sz="6" w:space="0" w:color="78A22F"/>
              <w:left w:val="nil"/>
              <w:bottom w:val="nil"/>
              <w:right w:val="nil"/>
            </w:tcBorders>
            <w:shd w:val="clear" w:color="auto" w:fill="F2F2F2"/>
          </w:tcPr>
          <w:p w:rsidR="00B90FD0" w:rsidRDefault="00B90FD0">
            <w:pPr>
              <w:pStyle w:val="BoxTitle"/>
            </w:pPr>
            <w:r>
              <w:rPr>
                <w:b w:val="0"/>
              </w:rPr>
              <w:t xml:space="preserve">Box </w:t>
            </w:r>
            <w:r w:rsidR="005D573B">
              <w:rPr>
                <w:b w:val="0"/>
              </w:rPr>
              <w:t>12.</w:t>
            </w:r>
            <w:r w:rsidR="00833D26">
              <w:rPr>
                <w:b w:val="0"/>
                <w:noProof/>
              </w:rPr>
              <w:t>4</w:t>
            </w:r>
            <w:r>
              <w:tab/>
            </w:r>
            <w:r w:rsidRPr="00D669ED">
              <w:t>Mental health service use by total population</w:t>
            </w:r>
          </w:p>
        </w:tc>
      </w:tr>
      <w:tr w:rsidR="00B90FD0" w:rsidTr="00C14136">
        <w:trPr>
          <w:cantSplit/>
        </w:trPr>
        <w:tc>
          <w:tcPr>
            <w:tcW w:w="8771" w:type="dxa"/>
            <w:tcBorders>
              <w:top w:val="nil"/>
              <w:left w:val="nil"/>
              <w:bottom w:val="nil"/>
              <w:right w:val="nil"/>
            </w:tcBorders>
            <w:shd w:val="clear" w:color="auto" w:fill="F2F2F2"/>
          </w:tcPr>
          <w:p w:rsidR="00B90FD0" w:rsidRPr="00A251E8" w:rsidRDefault="00B90FD0" w:rsidP="00B90FD0">
            <w:pPr>
              <w:pStyle w:val="Box"/>
            </w:pPr>
            <w:r>
              <w:t>‘</w:t>
            </w:r>
            <w:r w:rsidRPr="00A251E8">
              <w:t>Mental health service use by total population’ is defined as the proportion of the population using a State and Territory specialised public</w:t>
            </w:r>
            <w:r>
              <w:t xml:space="preserve"> mental health service or a </w:t>
            </w:r>
            <w:proofErr w:type="spellStart"/>
            <w:r>
              <w:t>MBS</w:t>
            </w:r>
            <w:proofErr w:type="spellEnd"/>
            <w:r>
              <w:t xml:space="preserve"> </w:t>
            </w:r>
            <w:r w:rsidRPr="00A251E8">
              <w:t xml:space="preserve">subsidised </w:t>
            </w:r>
            <w:r>
              <w:t xml:space="preserve">mental health </w:t>
            </w:r>
            <w:r w:rsidRPr="00A251E8">
              <w:t>service. Data are reported separately for State and Territory specialised public</w:t>
            </w:r>
            <w:r>
              <w:t xml:space="preserve"> mental health services and </w:t>
            </w:r>
            <w:proofErr w:type="spellStart"/>
            <w:r>
              <w:t>MBS</w:t>
            </w:r>
            <w:proofErr w:type="spellEnd"/>
            <w:r>
              <w:t xml:space="preserve"> </w:t>
            </w:r>
            <w:r w:rsidRPr="00A251E8">
              <w:t xml:space="preserve">subsidised </w:t>
            </w:r>
            <w:r w:rsidRPr="005566E6">
              <w:t xml:space="preserve">mental health </w:t>
            </w:r>
            <w:r w:rsidRPr="00A251E8">
              <w:t xml:space="preserve">services. </w:t>
            </w:r>
          </w:p>
          <w:p w:rsidR="00B90FD0" w:rsidRPr="00A251E8" w:rsidRDefault="00B90FD0" w:rsidP="00B90FD0">
            <w:pPr>
              <w:pStyle w:val="Box"/>
            </w:pPr>
            <w:r w:rsidRPr="00A251E8">
              <w:t xml:space="preserve">This indicator is difficult to interpret. </w:t>
            </w:r>
            <w:r w:rsidR="00101926" w:rsidRPr="00D669ED">
              <w:t>A</w:t>
            </w:r>
            <w:r w:rsidR="00101926">
              <w:t>s a robust</w:t>
            </w:r>
            <w:r w:rsidR="00101926" w:rsidRPr="00D669ED">
              <w:t xml:space="preserve"> estimate of the population who need mental hea</w:t>
            </w:r>
            <w:r w:rsidR="00101926">
              <w:t xml:space="preserve">lth services is not available, </w:t>
            </w:r>
            <w:r w:rsidR="00101926" w:rsidRPr="00D669ED">
              <w:t>the indicator is reported as a proportion of the total population.</w:t>
            </w:r>
            <w:r w:rsidR="00101926">
              <w:t xml:space="preserve"> </w:t>
            </w:r>
            <w:r w:rsidRPr="00A251E8">
              <w:t xml:space="preserve">Variations in use could be due to variations in access, but could also be a result of differences in the prevalence of mental illness. </w:t>
            </w:r>
          </w:p>
          <w:p w:rsidR="00B90FD0" w:rsidRDefault="00B90FD0" w:rsidP="00C14136">
            <w:pPr>
              <w:pStyle w:val="Box"/>
            </w:pPr>
            <w:r w:rsidRPr="00A251E8">
              <w:t>This indicator does not provide information on whether the services are appropriate for the needs of the people receiving them, or correctly targeted to those most in need. People with a mental illness can have low rates of service use due to them choosing not to access services, appropriate services are unavailable, lack of awareness that services are available and negative experiences associated with the previous use of services (</w:t>
            </w:r>
            <w:proofErr w:type="spellStart"/>
            <w:r w:rsidRPr="00A251E8">
              <w:t>AHMC</w:t>
            </w:r>
            <w:proofErr w:type="spellEnd"/>
            <w:r w:rsidRPr="00A251E8">
              <w:t xml:space="preserve"> 2008). In addition, it might not be appropriate for all people with a mental illness to use a service, for example, some can seek and receive assistance from outside</w:t>
            </w:r>
            <w:r>
              <w:t xml:space="preserve"> the health system (</w:t>
            </w:r>
            <w:proofErr w:type="spellStart"/>
            <w:r>
              <w:t>AHMC</w:t>
            </w:r>
            <w:proofErr w:type="spellEnd"/>
            <w:r>
              <w:t xml:space="preserve"> 2008).</w:t>
            </w:r>
          </w:p>
          <w:p w:rsidR="00B90FD0" w:rsidRPr="00A251E8" w:rsidRDefault="00B90FD0" w:rsidP="00B90FD0">
            <w:pPr>
              <w:pStyle w:val="Box"/>
            </w:pPr>
            <w:r w:rsidRPr="00A251E8">
              <w:t xml:space="preserve">Data reported for the State and Territory </w:t>
            </w:r>
            <w:r w:rsidR="004E0681">
              <w:t xml:space="preserve">governments’ </w:t>
            </w:r>
            <w:r w:rsidRPr="00A251E8">
              <w:t xml:space="preserve">specialised </w:t>
            </w:r>
            <w:r w:rsidR="00D55428">
              <w:t xml:space="preserve">public </w:t>
            </w:r>
            <w:r w:rsidRPr="00A251E8">
              <w:t>mental health services measure are:</w:t>
            </w:r>
          </w:p>
          <w:p w:rsidR="00B90FD0" w:rsidRPr="00A251E8" w:rsidRDefault="00B90FD0">
            <w:pPr>
              <w:pStyle w:val="BoxListBullet"/>
            </w:pPr>
            <w:r w:rsidRPr="00A50703">
              <w:t xml:space="preserve">comparable (subject to caveats) </w:t>
            </w:r>
            <w:r w:rsidR="004E0681" w:rsidRPr="004E0681">
              <w:t xml:space="preserve">within </w:t>
            </w:r>
            <w:r w:rsidR="002241CC">
              <w:t>most</w:t>
            </w:r>
            <w:r w:rsidR="004E0681" w:rsidRPr="004E0681">
              <w:t xml:space="preserve"> jurisdictions over time but are not comparable across jurisdictions or over time for </w:t>
            </w:r>
            <w:r w:rsidR="002241CC">
              <w:t>Tasmania (</w:t>
            </w:r>
            <w:r w:rsidR="004E0681" w:rsidRPr="004E0681">
              <w:t xml:space="preserve">see caveats in </w:t>
            </w:r>
            <w:proofErr w:type="spellStart"/>
            <w:r w:rsidR="004E0681">
              <w:t>DQI</w:t>
            </w:r>
            <w:proofErr w:type="spellEnd"/>
            <w:r w:rsidR="004E0681">
              <w:t xml:space="preserve"> and </w:t>
            </w:r>
            <w:r w:rsidR="004E0681" w:rsidRPr="004E0681">
              <w:t>attachment tab</w:t>
            </w:r>
            <w:r w:rsidR="004E0681">
              <w:t>les for specific jurisdictions)</w:t>
            </w:r>
          </w:p>
          <w:p w:rsidR="006D1AD2" w:rsidRDefault="00B90FD0" w:rsidP="00D71789">
            <w:pPr>
              <w:pStyle w:val="BoxListBullet"/>
            </w:pPr>
            <w:r w:rsidRPr="00A251E8">
              <w:t>complete</w:t>
            </w:r>
            <w:r w:rsidR="003270B5">
              <w:t xml:space="preserve"> </w:t>
            </w:r>
            <w:r w:rsidR="003270B5" w:rsidRPr="00A251E8">
              <w:t>(subject to caveats)</w:t>
            </w:r>
            <w:r w:rsidRPr="00A251E8">
              <w:t xml:space="preserve"> for the current reporting period. All required 201</w:t>
            </w:r>
            <w:r w:rsidR="007F692A">
              <w:t>3</w:t>
            </w:r>
            <w:r w:rsidRPr="00A251E8">
              <w:noBreakHyphen/>
              <w:t>1</w:t>
            </w:r>
            <w:r w:rsidR="007F692A">
              <w:t>4</w:t>
            </w:r>
            <w:r w:rsidRPr="00A251E8">
              <w:t xml:space="preserve"> data a</w:t>
            </w:r>
            <w:r>
              <w:t xml:space="preserve">re available. </w:t>
            </w:r>
          </w:p>
          <w:p w:rsidR="00BD5D96" w:rsidRPr="00A251E8" w:rsidRDefault="00BD5D96" w:rsidP="00BD5D96">
            <w:pPr>
              <w:pStyle w:val="Box"/>
            </w:pPr>
            <w:r w:rsidRPr="00A251E8">
              <w:t xml:space="preserve">Data reported for the </w:t>
            </w:r>
            <w:proofErr w:type="spellStart"/>
            <w:r w:rsidRPr="00A251E8">
              <w:t>MBS</w:t>
            </w:r>
            <w:proofErr w:type="spellEnd"/>
            <w:r>
              <w:t xml:space="preserve"> </w:t>
            </w:r>
            <w:r w:rsidRPr="00A251E8">
              <w:t>subsidised mental health services measure are:</w:t>
            </w:r>
          </w:p>
          <w:p w:rsidR="00BD5D96" w:rsidRDefault="00BD5D96" w:rsidP="00D71789">
            <w:pPr>
              <w:pStyle w:val="BoxListBullet"/>
            </w:pPr>
            <w:r w:rsidRPr="00A251E8">
              <w:t>comparable (subject to caveats) acr</w:t>
            </w:r>
            <w:r>
              <w:t>oss jurisdictions and over time</w:t>
            </w:r>
          </w:p>
          <w:p w:rsidR="00222551" w:rsidRDefault="00222551" w:rsidP="00222551">
            <w:pPr>
              <w:pStyle w:val="BoxListBullet"/>
            </w:pPr>
            <w:r w:rsidRPr="00A251E8">
              <w:t xml:space="preserve">complete </w:t>
            </w:r>
            <w:r w:rsidRPr="00BD5D96">
              <w:t>(subject to caveats)</w:t>
            </w:r>
            <w:r>
              <w:t xml:space="preserve"> </w:t>
            </w:r>
            <w:r w:rsidRPr="00A251E8">
              <w:t>for the current reporting period. All required 201</w:t>
            </w:r>
            <w:r>
              <w:t>3</w:t>
            </w:r>
            <w:r w:rsidRPr="00A251E8">
              <w:noBreakHyphen/>
              <w:t>1</w:t>
            </w:r>
            <w:r>
              <w:t>4</w:t>
            </w:r>
            <w:r w:rsidRPr="00A251E8">
              <w:t xml:space="preserve"> data are av</w:t>
            </w:r>
            <w:r>
              <w:t xml:space="preserve">ailable for all jurisdictions. </w:t>
            </w:r>
          </w:p>
          <w:p w:rsidR="00C17438" w:rsidRDefault="00C17438" w:rsidP="00C17438">
            <w:pPr>
              <w:pStyle w:val="BoxListBullet"/>
              <w:numPr>
                <w:ilvl w:val="0"/>
                <w:numId w:val="0"/>
              </w:numPr>
              <w:ind w:left="284" w:hanging="284"/>
            </w:pPr>
            <w:r w:rsidRPr="00A251E8">
              <w:t>Data quality information for this indicator</w:t>
            </w:r>
            <w:r>
              <w:t xml:space="preserve"> is at </w:t>
            </w:r>
            <w:proofErr w:type="spellStart"/>
            <w:r>
              <w:t>www.pc.gov.au</w:t>
            </w:r>
            <w:proofErr w:type="spellEnd"/>
            <w:r w:rsidRPr="00A251E8">
              <w:t>/</w:t>
            </w:r>
            <w:proofErr w:type="spellStart"/>
            <w:r w:rsidRPr="00A251E8">
              <w:t>rogs</w:t>
            </w:r>
            <w:proofErr w:type="spellEnd"/>
            <w:r w:rsidRPr="00A251E8">
              <w:t>/201</w:t>
            </w:r>
            <w:r>
              <w:t>6</w:t>
            </w:r>
            <w:r w:rsidRPr="00A251E8">
              <w:t>.</w:t>
            </w:r>
          </w:p>
        </w:tc>
      </w:tr>
      <w:tr w:rsidR="00B90FD0" w:rsidTr="00C14136">
        <w:trPr>
          <w:cantSplit/>
        </w:trPr>
        <w:tc>
          <w:tcPr>
            <w:tcW w:w="8771" w:type="dxa"/>
            <w:tcBorders>
              <w:top w:val="nil"/>
              <w:left w:val="nil"/>
              <w:bottom w:val="single" w:sz="6" w:space="0" w:color="78A22F"/>
              <w:right w:val="nil"/>
            </w:tcBorders>
            <w:shd w:val="clear" w:color="auto" w:fill="F2F2F2"/>
          </w:tcPr>
          <w:p w:rsidR="00B90FD0" w:rsidRDefault="00B90FD0">
            <w:pPr>
              <w:pStyle w:val="Box"/>
              <w:spacing w:before="0" w:line="120" w:lineRule="exact"/>
            </w:pPr>
          </w:p>
        </w:tc>
      </w:tr>
      <w:tr w:rsidR="00B90FD0" w:rsidRPr="000863A5" w:rsidTr="00C14136">
        <w:tc>
          <w:tcPr>
            <w:tcW w:w="8771" w:type="dxa"/>
            <w:tcBorders>
              <w:top w:val="single" w:sz="6" w:space="0" w:color="78A22F"/>
              <w:left w:val="nil"/>
              <w:bottom w:val="nil"/>
              <w:right w:val="nil"/>
            </w:tcBorders>
          </w:tcPr>
          <w:p w:rsidR="00B90FD0" w:rsidRPr="00626D32" w:rsidRDefault="00B90FD0" w:rsidP="00C14136">
            <w:pPr>
              <w:pStyle w:val="BoxSpaceBelow"/>
            </w:pPr>
          </w:p>
        </w:tc>
      </w:tr>
    </w:tbl>
    <w:p w:rsidR="008F11A6" w:rsidRPr="00A251E8" w:rsidRDefault="00AD015B" w:rsidP="00582388">
      <w:pPr>
        <w:pStyle w:val="BodyText"/>
      </w:pPr>
      <w:r w:rsidRPr="00A251E8">
        <w:t xml:space="preserve">In </w:t>
      </w:r>
      <w:r w:rsidR="00B90FD0" w:rsidRPr="00A251E8">
        <w:t>201</w:t>
      </w:r>
      <w:r w:rsidR="00B90FD0">
        <w:t>3</w:t>
      </w:r>
      <w:r w:rsidRPr="00A251E8">
        <w:noBreakHyphen/>
      </w:r>
      <w:r w:rsidR="00B90FD0" w:rsidRPr="00A251E8">
        <w:t>1</w:t>
      </w:r>
      <w:r w:rsidR="00B90FD0">
        <w:t>4</w:t>
      </w:r>
      <w:r w:rsidRPr="00A251E8">
        <w:t xml:space="preserve">, </w:t>
      </w:r>
      <w:r w:rsidR="00547C6E" w:rsidRPr="00547C6E">
        <w:t xml:space="preserve">1.8 </w:t>
      </w:r>
      <w:r w:rsidRPr="00A251E8">
        <w:t xml:space="preserve">per cent and </w:t>
      </w:r>
      <w:r w:rsidR="00547C6E" w:rsidRPr="00547C6E">
        <w:t>8.4</w:t>
      </w:r>
      <w:r w:rsidR="001B13F4" w:rsidRPr="00A251E8">
        <w:t xml:space="preserve"> </w:t>
      </w:r>
      <w:r w:rsidRPr="00A251E8">
        <w:t xml:space="preserve">per cent of the total population received State and Territory </w:t>
      </w:r>
      <w:r w:rsidR="00BD5D96">
        <w:t xml:space="preserve">governments’ </w:t>
      </w:r>
      <w:r w:rsidRPr="00A251E8">
        <w:t xml:space="preserve">specialised </w:t>
      </w:r>
      <w:r w:rsidR="003978B7">
        <w:t xml:space="preserve">mental health services and </w:t>
      </w:r>
      <w:proofErr w:type="spellStart"/>
      <w:r w:rsidR="003978B7">
        <w:t>MBS</w:t>
      </w:r>
      <w:proofErr w:type="spellEnd"/>
      <w:r w:rsidR="003978B7">
        <w:t xml:space="preserve"> </w:t>
      </w:r>
      <w:r w:rsidRPr="00A251E8">
        <w:t xml:space="preserve">subsidised </w:t>
      </w:r>
      <w:r w:rsidR="007D6F85">
        <w:t>services</w:t>
      </w:r>
      <w:r w:rsidRPr="00A251E8">
        <w:t>, respectively (figure</w:t>
      </w:r>
      <w:r w:rsidR="0022260C">
        <w:t> </w:t>
      </w:r>
      <w:r w:rsidRPr="00A251E8">
        <w:t>12.1</w:t>
      </w:r>
      <w:r w:rsidR="00F168C3" w:rsidRPr="00A251E8">
        <w:t>4</w:t>
      </w:r>
      <w:r w:rsidRPr="00A251E8">
        <w:t>).</w:t>
      </w:r>
      <w:r w:rsidR="00BD5D96">
        <w:t xml:space="preserve"> </w:t>
      </w:r>
      <w:r w:rsidR="009A16E2">
        <w:t>While the proportion of the population using State and Territory governments’ specialised mental health services has remained relatively constant</w:t>
      </w:r>
      <w:r w:rsidR="00C14122">
        <w:t xml:space="preserve"> (figure</w:t>
      </w:r>
      <w:r w:rsidR="00723141">
        <w:t> </w:t>
      </w:r>
      <w:r w:rsidR="00C14122">
        <w:t>12.5)</w:t>
      </w:r>
      <w:r w:rsidR="009A16E2">
        <w:t xml:space="preserve">, the proportion using </w:t>
      </w:r>
      <w:proofErr w:type="spellStart"/>
      <w:r w:rsidR="009A16E2">
        <w:t>MBS</w:t>
      </w:r>
      <w:proofErr w:type="spellEnd"/>
      <w:r w:rsidR="009A16E2">
        <w:t xml:space="preserve"> subsidised services has increased steadily over time from 4.9 per cent in 2007</w:t>
      </w:r>
      <w:r w:rsidR="00463329">
        <w:noBreakHyphen/>
      </w:r>
      <w:r w:rsidR="009A16E2">
        <w:t xml:space="preserve">08 to </w:t>
      </w:r>
      <w:r w:rsidR="00547C6E" w:rsidRPr="00547C6E">
        <w:t>8</w:t>
      </w:r>
      <w:r w:rsidR="009A16E2" w:rsidRPr="00547C6E">
        <w:t>.</w:t>
      </w:r>
      <w:r w:rsidR="00547C6E" w:rsidRPr="00547C6E">
        <w:t>4</w:t>
      </w:r>
      <w:r w:rsidR="009A16E2">
        <w:t xml:space="preserve"> per cent in 2013</w:t>
      </w:r>
      <w:r w:rsidR="00463329">
        <w:noBreakHyphen/>
      </w:r>
      <w:r w:rsidR="009A16E2">
        <w:t xml:space="preserve">14 </w:t>
      </w:r>
      <w:bookmarkStart w:id="14" w:name="OLE_LINK15"/>
      <w:r w:rsidR="009A16E2">
        <w:t>(table</w:t>
      </w:r>
      <w:r w:rsidR="00C14122">
        <w:t> </w:t>
      </w:r>
      <w:proofErr w:type="spellStart"/>
      <w:r w:rsidR="009A16E2">
        <w:t>12A.42</w:t>
      </w:r>
      <w:proofErr w:type="spellEnd"/>
      <w:r w:rsidR="009A16E2">
        <w:t>)</w:t>
      </w:r>
      <w:bookmarkEnd w:id="14"/>
      <w:r w:rsidR="009A16E2">
        <w:t xml:space="preserve">. Much of this </w:t>
      </w:r>
      <w:r w:rsidR="00723141">
        <w:t>growth</w:t>
      </w:r>
      <w:r w:rsidR="009A16E2">
        <w:t xml:space="preserve"> has come from greater utilisation of GP</w:t>
      </w:r>
      <w:r w:rsidR="00C14122">
        <w:t xml:space="preserve"> </w:t>
      </w:r>
      <w:r w:rsidR="00723141">
        <w:t xml:space="preserve">mental health specific </w:t>
      </w:r>
      <w:r w:rsidR="00C14122">
        <w:t xml:space="preserve">services </w:t>
      </w:r>
      <w:r w:rsidR="009A16E2">
        <w:t xml:space="preserve">(from 3.5 to </w:t>
      </w:r>
      <w:r w:rsidR="009A16E2" w:rsidRPr="00547C6E">
        <w:t>6.</w:t>
      </w:r>
      <w:r w:rsidR="00547C6E" w:rsidRPr="00547C6E">
        <w:t>7</w:t>
      </w:r>
      <w:r w:rsidR="006062EF">
        <w:t> </w:t>
      </w:r>
      <w:r w:rsidR="009A16E2">
        <w:t>per</w:t>
      </w:r>
      <w:r w:rsidR="006062EF">
        <w:t> </w:t>
      </w:r>
      <w:r w:rsidR="009A16E2">
        <w:t>cent) and other allied health services (1.3</w:t>
      </w:r>
      <w:r w:rsidR="006062EF">
        <w:t> </w:t>
      </w:r>
      <w:r w:rsidR="009A16E2">
        <w:t>per</w:t>
      </w:r>
      <w:r w:rsidR="006062EF">
        <w:t> </w:t>
      </w:r>
      <w:r w:rsidR="009A16E2">
        <w:t xml:space="preserve">cent to </w:t>
      </w:r>
      <w:r w:rsidR="009A16E2" w:rsidRPr="00547C6E">
        <w:t>2.</w:t>
      </w:r>
      <w:r w:rsidR="00547C6E" w:rsidRPr="00547C6E">
        <w:t>5</w:t>
      </w:r>
      <w:r w:rsidR="006062EF">
        <w:t> </w:t>
      </w:r>
      <w:r w:rsidR="009A16E2">
        <w:t>per cent) over that period (table</w:t>
      </w:r>
      <w:r w:rsidR="00463329">
        <w:t> </w:t>
      </w:r>
      <w:proofErr w:type="spellStart"/>
      <w:r w:rsidR="009A16E2">
        <w:t>12A.42</w:t>
      </w:r>
      <w:proofErr w:type="spellEnd"/>
      <w:r w:rsidR="009A16E2">
        <w:t>).</w:t>
      </w:r>
      <w:r w:rsidR="008718D9">
        <w:t xml:space="preserve"> Data from the</w:t>
      </w:r>
      <w:r w:rsidR="009A2E2E">
        <w:t xml:space="preserve"> 2007 </w:t>
      </w:r>
      <w:proofErr w:type="spellStart"/>
      <w:r w:rsidR="009A2E2E">
        <w:t>SMHWB</w:t>
      </w:r>
      <w:proofErr w:type="spellEnd"/>
      <w:r w:rsidR="008718D9">
        <w:t xml:space="preserve"> on the proportion of people with an mental illness who did/did not use services for their mental health are reported in table</w:t>
      </w:r>
      <w:r w:rsidR="006062EF">
        <w:t> </w:t>
      </w:r>
      <w:proofErr w:type="spellStart"/>
      <w:r w:rsidR="008718D9">
        <w:t>12A.43</w:t>
      </w:r>
      <w:proofErr w:type="spellEnd"/>
      <w:r w:rsidR="008718D9">
        <w:t>.</w:t>
      </w:r>
    </w:p>
    <w:p w:rsidR="00AD015B" w:rsidRPr="00AE7145" w:rsidRDefault="00AD015B"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015B" w:rsidRPr="00AE7145" w:rsidTr="005673E9">
        <w:tc>
          <w:tcPr>
            <w:tcW w:w="8771" w:type="dxa"/>
            <w:tcBorders>
              <w:top w:val="single" w:sz="6" w:space="0" w:color="78A22F"/>
              <w:left w:val="nil"/>
              <w:bottom w:val="nil"/>
              <w:right w:val="nil"/>
            </w:tcBorders>
            <w:shd w:val="clear" w:color="auto" w:fill="FFFFFF" w:themeFill="background1"/>
          </w:tcPr>
          <w:p w:rsidR="00AD015B" w:rsidRPr="00AE7145" w:rsidRDefault="00AD015B" w:rsidP="009A16E2">
            <w:pPr>
              <w:pStyle w:val="FigureTitle"/>
            </w:pPr>
            <w:r w:rsidRPr="00AE7145">
              <w:rPr>
                <w:b w:val="0"/>
              </w:rPr>
              <w:t xml:space="preserve">Figure </w:t>
            </w:r>
            <w:r w:rsidR="00BD5D96">
              <w:rPr>
                <w:b w:val="0"/>
              </w:rPr>
              <w:t>12.</w:t>
            </w:r>
            <w:r w:rsidR="00833D26">
              <w:rPr>
                <w:b w:val="0"/>
                <w:noProof/>
              </w:rPr>
              <w:t>14</w:t>
            </w:r>
            <w:r w:rsidRPr="00AE7145">
              <w:tab/>
              <w:t xml:space="preserve">Population receiving mental health services, by service type, </w:t>
            </w:r>
            <w:r w:rsidR="00B90FD0" w:rsidRPr="00AE7145">
              <w:t>201</w:t>
            </w:r>
            <w:r w:rsidR="00B90FD0">
              <w:t>3</w:t>
            </w:r>
            <w:r w:rsidR="00D36522" w:rsidRPr="00AE7145">
              <w:noBreakHyphen/>
            </w:r>
            <w:r w:rsidR="00B90FD0" w:rsidRPr="00AE7145">
              <w:t>1</w:t>
            </w:r>
            <w:r w:rsidR="00B90FD0">
              <w:t>4</w:t>
            </w:r>
            <w:r w:rsidR="00B90FD0" w:rsidRPr="00AE7145">
              <w:rPr>
                <w:rStyle w:val="NoteLabel"/>
                <w:b/>
              </w:rPr>
              <w:t>a</w:t>
            </w:r>
            <w:r w:rsidRPr="00AE7145">
              <w:rPr>
                <w:rStyle w:val="NoteLabel"/>
                <w:b/>
              </w:rPr>
              <w:t xml:space="preserve"> </w:t>
            </w:r>
          </w:p>
        </w:tc>
      </w:tr>
      <w:tr w:rsidR="00AD015B" w:rsidRPr="00AE7145"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D015B" w:rsidRPr="00AE7145" w:rsidTr="005673E9">
              <w:trPr>
                <w:jc w:val="center"/>
              </w:trPr>
              <w:tc>
                <w:tcPr>
                  <w:tcW w:w="5000" w:type="pct"/>
                  <w:tcBorders>
                    <w:top w:val="nil"/>
                    <w:bottom w:val="nil"/>
                    <w:right w:val="nil"/>
                  </w:tcBorders>
                </w:tcPr>
                <w:p w:rsidR="00AD015B" w:rsidRPr="00AE7145" w:rsidRDefault="001B7B09" w:rsidP="005A5A21">
                  <w:pPr>
                    <w:pStyle w:val="Figure"/>
                    <w:spacing w:before="60" w:after="60"/>
                  </w:pPr>
                  <w:r>
                    <w:rPr>
                      <w:noProof/>
                    </w:rPr>
                    <w:drawing>
                      <wp:inline distT="0" distB="0" distL="0" distR="0">
                        <wp:extent cx="5391150" cy="2686050"/>
                        <wp:effectExtent l="0" t="0" r="0" b="0"/>
                        <wp:docPr id="16" name="Picture 16" descr="Figure 12.14 Population receiving mental health services, by servic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AD015B" w:rsidRPr="00AE7145" w:rsidRDefault="00AD015B" w:rsidP="005A5A21">
            <w:pPr>
              <w:pStyle w:val="Figure"/>
            </w:pPr>
          </w:p>
        </w:tc>
      </w:tr>
      <w:tr w:rsidR="00AE7145" w:rsidRPr="00AE7145" w:rsidTr="005673E9">
        <w:tc>
          <w:tcPr>
            <w:tcW w:w="8771" w:type="dxa"/>
            <w:tcBorders>
              <w:top w:val="nil"/>
              <w:left w:val="nil"/>
              <w:bottom w:val="nil"/>
              <w:right w:val="nil"/>
            </w:tcBorders>
            <w:shd w:val="clear" w:color="auto" w:fill="FFFFFF" w:themeFill="background1"/>
          </w:tcPr>
          <w:p w:rsidR="00AD015B" w:rsidRPr="00AE7145" w:rsidRDefault="00AD015B" w:rsidP="005310DC">
            <w:pPr>
              <w:pStyle w:val="Note"/>
            </w:pPr>
            <w:r w:rsidRPr="00AE7145">
              <w:rPr>
                <w:rStyle w:val="NoteLabel"/>
              </w:rPr>
              <w:t>a</w:t>
            </w:r>
            <w:r w:rsidRPr="00AE7145">
              <w:t xml:space="preserve"> </w:t>
            </w:r>
            <w:r w:rsidR="00BD5D96" w:rsidRPr="00703A2A">
              <w:t>See</w:t>
            </w:r>
            <w:r w:rsidR="00101926">
              <w:t xml:space="preserve"> box</w:t>
            </w:r>
            <w:r w:rsidR="00463329">
              <w:t> </w:t>
            </w:r>
            <w:r w:rsidR="00101926">
              <w:t>12.4 and</w:t>
            </w:r>
            <w:r w:rsidR="00BD5D96" w:rsidRPr="00703A2A">
              <w:t xml:space="preserve"> table</w:t>
            </w:r>
            <w:r w:rsidR="00463329">
              <w:t> </w:t>
            </w:r>
            <w:proofErr w:type="spellStart"/>
            <w:r w:rsidR="00BD5D96" w:rsidRPr="00703A2A">
              <w:t>12A.</w:t>
            </w:r>
            <w:r w:rsidR="00BD5D96">
              <w:t>42</w:t>
            </w:r>
            <w:proofErr w:type="spellEnd"/>
            <w:r w:rsidR="00BD5D96" w:rsidRPr="00703A2A">
              <w:t xml:space="preserve"> </w:t>
            </w:r>
            <w:r w:rsidR="00871F08" w:rsidRPr="00871F08">
              <w:t>for detailed definitions, footnotes and caveats</w:t>
            </w:r>
            <w:r w:rsidR="00BD5D96" w:rsidRPr="00703A2A">
              <w:t xml:space="preserve">. </w:t>
            </w:r>
          </w:p>
        </w:tc>
      </w:tr>
      <w:tr w:rsidR="00AD015B" w:rsidRPr="00AE7145" w:rsidTr="005A5A21">
        <w:tc>
          <w:tcPr>
            <w:tcW w:w="8771" w:type="dxa"/>
            <w:tcBorders>
              <w:top w:val="nil"/>
              <w:left w:val="nil"/>
              <w:bottom w:val="nil"/>
              <w:right w:val="nil"/>
            </w:tcBorders>
            <w:shd w:val="clear" w:color="auto" w:fill="auto"/>
          </w:tcPr>
          <w:p w:rsidR="00AD015B" w:rsidRPr="00AE7145" w:rsidRDefault="00AD015B" w:rsidP="00D71789">
            <w:pPr>
              <w:pStyle w:val="Source"/>
              <w:rPr>
                <w:i/>
              </w:rPr>
            </w:pPr>
            <w:r w:rsidRPr="00AE7145">
              <w:rPr>
                <w:i/>
              </w:rPr>
              <w:t>Source</w:t>
            </w:r>
            <w:r w:rsidRPr="0022260C">
              <w:t>:</w:t>
            </w:r>
            <w:r w:rsidRPr="00AE7145">
              <w:rPr>
                <w:i/>
              </w:rPr>
              <w:t xml:space="preserve"> </w:t>
            </w:r>
            <w:r w:rsidR="00A251E8" w:rsidRPr="00AE7145">
              <w:t>AIHW (unpublished) derived from data provided by State and Territory governments</w:t>
            </w:r>
            <w:r w:rsidR="00C01131">
              <w:t xml:space="preserve"> and</w:t>
            </w:r>
            <w:r w:rsidRPr="00AE7145">
              <w:t xml:space="preserve"> </w:t>
            </w:r>
            <w:r w:rsidR="00C01131" w:rsidRPr="00C01131">
              <w:t>Australian Government</w:t>
            </w:r>
            <w:r w:rsidR="00C01131">
              <w:t>,</w:t>
            </w:r>
            <w:r w:rsidR="00C01131" w:rsidRPr="00C01131">
              <w:t xml:space="preserve"> Department of Health </w:t>
            </w:r>
            <w:r w:rsidR="00C01131">
              <w:t>and DVA</w:t>
            </w:r>
            <w:r w:rsidR="00C01131" w:rsidRPr="00C01131">
              <w:t xml:space="preserve">; ABS (unpublished) </w:t>
            </w:r>
            <w:r w:rsidR="00C01131" w:rsidRPr="00D71789">
              <w:rPr>
                <w:i/>
              </w:rPr>
              <w:t>Estimated Residential Population</w:t>
            </w:r>
            <w:r w:rsidR="00C01131" w:rsidRPr="00C01131">
              <w:t>, 30 June (prior to relevant period)</w:t>
            </w:r>
            <w:r w:rsidR="005829D5" w:rsidRPr="00AE7145">
              <w:t xml:space="preserve">; </w:t>
            </w:r>
            <w:r w:rsidRPr="00AE7145">
              <w:t>table</w:t>
            </w:r>
            <w:r w:rsidR="0022260C">
              <w:t> </w:t>
            </w:r>
            <w:proofErr w:type="spellStart"/>
            <w:r w:rsidRPr="00AE7145">
              <w:t>12A.</w:t>
            </w:r>
            <w:r w:rsidR="00BD5D96" w:rsidRPr="00AE7145">
              <w:t>4</w:t>
            </w:r>
            <w:r w:rsidR="00BD5D96">
              <w:t>2</w:t>
            </w:r>
            <w:proofErr w:type="spellEnd"/>
            <w:r w:rsidRPr="00AE7145">
              <w:t>.</w:t>
            </w:r>
          </w:p>
        </w:tc>
      </w:tr>
      <w:tr w:rsidR="00AD015B" w:rsidRPr="00AE7145" w:rsidTr="005A5A21">
        <w:tc>
          <w:tcPr>
            <w:tcW w:w="8771" w:type="dxa"/>
            <w:tcBorders>
              <w:top w:val="nil"/>
              <w:left w:val="nil"/>
              <w:bottom w:val="single" w:sz="6" w:space="0" w:color="78A22F"/>
              <w:right w:val="nil"/>
            </w:tcBorders>
            <w:shd w:val="clear" w:color="auto" w:fill="auto"/>
          </w:tcPr>
          <w:p w:rsidR="00AD015B" w:rsidRPr="00AE7145" w:rsidRDefault="00AD015B" w:rsidP="005A5A21">
            <w:pPr>
              <w:pStyle w:val="Figurespace"/>
            </w:pPr>
          </w:p>
        </w:tc>
      </w:tr>
      <w:tr w:rsidR="00AD015B" w:rsidRPr="00AE7145" w:rsidTr="005A5A21">
        <w:tc>
          <w:tcPr>
            <w:tcW w:w="8771" w:type="dxa"/>
            <w:tcBorders>
              <w:top w:val="single" w:sz="6" w:space="0" w:color="78A22F"/>
              <w:left w:val="nil"/>
              <w:bottom w:val="nil"/>
              <w:right w:val="nil"/>
            </w:tcBorders>
          </w:tcPr>
          <w:p w:rsidR="00AD015B" w:rsidRPr="00AE7145" w:rsidRDefault="00AD015B" w:rsidP="005A5A21">
            <w:pPr>
              <w:pStyle w:val="BoxSpaceBelow"/>
            </w:pPr>
          </w:p>
        </w:tc>
      </w:tr>
    </w:tbl>
    <w:p w:rsidR="00D55428" w:rsidRDefault="00D55428" w:rsidP="00D64AD8">
      <w:pPr>
        <w:pStyle w:val="BodyText"/>
      </w:pPr>
      <w:r w:rsidRPr="00D55428">
        <w:t xml:space="preserve">Data from the 2007 </w:t>
      </w:r>
      <w:proofErr w:type="spellStart"/>
      <w:r w:rsidRPr="00D55428">
        <w:t>SMHWB</w:t>
      </w:r>
      <w:proofErr w:type="spellEnd"/>
      <w:r w:rsidRPr="00D55428">
        <w:t xml:space="preserve"> on the proportion of people who had a lifetime mental disorder with symptoms in the 12 months before the survey who used any service for mental health are</w:t>
      </w:r>
      <w:r w:rsidR="009A2E2E">
        <w:t xml:space="preserve"> also reported in tables</w:t>
      </w:r>
      <w:r w:rsidR="00463329">
        <w:t> </w:t>
      </w:r>
      <w:proofErr w:type="spellStart"/>
      <w:r w:rsidR="009A2E2E">
        <w:t>12A.42</w:t>
      </w:r>
      <w:proofErr w:type="spellEnd"/>
      <w:r w:rsidR="005625A7" w:rsidRPr="00733169">
        <w:t>–</w:t>
      </w:r>
      <w:r w:rsidRPr="00D55428">
        <w:t>43.</w:t>
      </w:r>
    </w:p>
    <w:p w:rsidR="00AD015B" w:rsidRPr="00971BA1" w:rsidRDefault="00163190" w:rsidP="00AD015B">
      <w:pPr>
        <w:pStyle w:val="Heading4"/>
      </w:pPr>
      <w:r>
        <w:t>A</w:t>
      </w:r>
      <w:r w:rsidR="00AD015B" w:rsidRPr="00971BA1">
        <w:t>ccess — primary mental health care for children and young people</w:t>
      </w:r>
    </w:p>
    <w:p w:rsidR="009A2E2E" w:rsidRPr="002228CF" w:rsidRDefault="00AD015B" w:rsidP="00D64AD8">
      <w:pPr>
        <w:pStyle w:val="BodyText"/>
      </w:pPr>
      <w:r w:rsidRPr="00971BA1">
        <w:t>‘Primary mental health care for children and young people’ is an indicator of governments’ objective to prevent, where possible, the development of mental health problems and mental illness and undertake early intervention for mental health problems and mental illness (box</w:t>
      </w:r>
      <w:r w:rsidR="0022260C">
        <w:t> </w:t>
      </w:r>
      <w:r w:rsidRPr="00971BA1">
        <w:t>12.</w:t>
      </w:r>
      <w:r w:rsidR="00C14136">
        <w:t>5</w:t>
      </w:r>
      <w:r w:rsidRPr="00971BA1">
        <w:t xml:space="preserve">). </w:t>
      </w:r>
    </w:p>
    <w:p w:rsidR="00D71789" w:rsidRDefault="00D71789" w:rsidP="00D64AD8">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1789" w:rsidTr="007055CE">
        <w:tc>
          <w:tcPr>
            <w:tcW w:w="8771" w:type="dxa"/>
            <w:tcBorders>
              <w:top w:val="single" w:sz="6" w:space="0" w:color="78A22F"/>
              <w:left w:val="nil"/>
              <w:bottom w:val="nil"/>
              <w:right w:val="nil"/>
            </w:tcBorders>
            <w:shd w:val="clear" w:color="auto" w:fill="F2F2F2"/>
          </w:tcPr>
          <w:p w:rsidR="00D71789" w:rsidRDefault="00D71789" w:rsidP="00D71789">
            <w:pPr>
              <w:pStyle w:val="BoxTitle"/>
            </w:pPr>
            <w:r>
              <w:rPr>
                <w:b w:val="0"/>
              </w:rPr>
              <w:t>Box 12.</w:t>
            </w:r>
            <w:r w:rsidR="00833D26">
              <w:rPr>
                <w:b w:val="0"/>
                <w:noProof/>
              </w:rPr>
              <w:t>5</w:t>
            </w:r>
            <w:r>
              <w:tab/>
            </w:r>
            <w:r w:rsidRPr="00971BA1">
              <w:t>Primary mental health care for children and young people</w:t>
            </w:r>
            <w:r>
              <w:t xml:space="preserve"> </w:t>
            </w:r>
          </w:p>
        </w:tc>
      </w:tr>
      <w:tr w:rsidR="00D71789" w:rsidTr="007055CE">
        <w:trPr>
          <w:cantSplit/>
        </w:trPr>
        <w:tc>
          <w:tcPr>
            <w:tcW w:w="8771" w:type="dxa"/>
            <w:tcBorders>
              <w:top w:val="nil"/>
              <w:left w:val="nil"/>
              <w:bottom w:val="nil"/>
              <w:right w:val="nil"/>
            </w:tcBorders>
            <w:shd w:val="clear" w:color="auto" w:fill="F2F2F2"/>
          </w:tcPr>
          <w:p w:rsidR="00D71789" w:rsidRDefault="00D71789" w:rsidP="00D71789">
            <w:pPr>
              <w:pStyle w:val="Box"/>
            </w:pPr>
            <w:r w:rsidRPr="00971BA1">
              <w:t xml:space="preserve">‘Primary mental health care for children and young people’ is defined as the proportion of young people aged under 25 years who received a mental health care service subsidised through the </w:t>
            </w:r>
            <w:proofErr w:type="spellStart"/>
            <w:r w:rsidRPr="00971BA1">
              <w:t>MBS</w:t>
            </w:r>
            <w:proofErr w:type="spellEnd"/>
            <w:r>
              <w:t xml:space="preserve"> from a GP, psychologist or an allied health professional</w:t>
            </w:r>
            <w:r w:rsidRPr="00971BA1">
              <w:t xml:space="preserve">. </w:t>
            </w:r>
          </w:p>
          <w:p w:rsidR="00D71789" w:rsidRDefault="00D71789" w:rsidP="007055CE">
            <w:pPr>
              <w:pStyle w:val="Box"/>
            </w:pPr>
            <w:r w:rsidRPr="00971BA1">
              <w:t xml:space="preserve">High or increasing proportions of young people who had contact with </w:t>
            </w:r>
            <w:proofErr w:type="spellStart"/>
            <w:r>
              <w:t>MBS</w:t>
            </w:r>
            <w:proofErr w:type="spellEnd"/>
            <w:r>
              <w:t xml:space="preserve"> subsidised </w:t>
            </w:r>
            <w:r w:rsidRPr="00971BA1">
              <w:t xml:space="preserve">primary mental health care services </w:t>
            </w:r>
            <w:r>
              <w:t xml:space="preserve">is desirable. </w:t>
            </w:r>
          </w:p>
        </w:tc>
      </w:tr>
      <w:tr w:rsidR="00D71789" w:rsidTr="007055CE">
        <w:trPr>
          <w:cantSplit/>
        </w:trPr>
        <w:tc>
          <w:tcPr>
            <w:tcW w:w="8771" w:type="dxa"/>
            <w:tcBorders>
              <w:top w:val="nil"/>
              <w:left w:val="nil"/>
              <w:bottom w:val="nil"/>
              <w:right w:val="nil"/>
            </w:tcBorders>
            <w:shd w:val="clear" w:color="auto" w:fill="F2F2F2"/>
          </w:tcPr>
          <w:p w:rsidR="00D71789" w:rsidRPr="00D71789" w:rsidRDefault="00B85ED1" w:rsidP="000477EA">
            <w:pPr>
              <w:pStyle w:val="Continued"/>
            </w:pPr>
            <w:r>
              <w:t>(continued next page)</w:t>
            </w:r>
          </w:p>
        </w:tc>
      </w:tr>
      <w:tr w:rsidR="00D71789" w:rsidTr="007055CE">
        <w:trPr>
          <w:cantSplit/>
        </w:trPr>
        <w:tc>
          <w:tcPr>
            <w:tcW w:w="8771" w:type="dxa"/>
            <w:tcBorders>
              <w:top w:val="nil"/>
              <w:left w:val="nil"/>
              <w:bottom w:val="single" w:sz="6" w:space="0" w:color="78A22F"/>
              <w:right w:val="nil"/>
            </w:tcBorders>
            <w:shd w:val="clear" w:color="auto" w:fill="F2F2F2"/>
          </w:tcPr>
          <w:p w:rsidR="00D71789" w:rsidRDefault="00D71789">
            <w:pPr>
              <w:pStyle w:val="Box"/>
              <w:spacing w:before="0" w:line="120" w:lineRule="exact"/>
            </w:pPr>
          </w:p>
        </w:tc>
      </w:tr>
      <w:tr w:rsidR="00D71789" w:rsidRPr="000863A5" w:rsidTr="007055CE">
        <w:tc>
          <w:tcPr>
            <w:tcW w:w="8771" w:type="dxa"/>
            <w:tcBorders>
              <w:top w:val="single" w:sz="6" w:space="0" w:color="78A22F"/>
              <w:left w:val="nil"/>
              <w:bottom w:val="nil"/>
              <w:right w:val="nil"/>
            </w:tcBorders>
          </w:tcPr>
          <w:p w:rsidR="00D71789" w:rsidRPr="00626D32" w:rsidRDefault="00D71789" w:rsidP="007055CE">
            <w:pPr>
              <w:pStyle w:val="BoxSpaceBelow"/>
            </w:pPr>
          </w:p>
        </w:tc>
      </w:tr>
    </w:tbl>
    <w:p w:rsidR="00C17438" w:rsidRDefault="00C174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7438" w:rsidTr="00FC1E0A">
        <w:tc>
          <w:tcPr>
            <w:tcW w:w="8771" w:type="dxa"/>
            <w:tcBorders>
              <w:top w:val="single" w:sz="6" w:space="0" w:color="78A22F"/>
              <w:left w:val="nil"/>
              <w:bottom w:val="nil"/>
              <w:right w:val="nil"/>
            </w:tcBorders>
            <w:shd w:val="clear" w:color="auto" w:fill="F2F2F2"/>
          </w:tcPr>
          <w:p w:rsidR="00C17438" w:rsidRDefault="00C17438" w:rsidP="00D71789">
            <w:pPr>
              <w:pStyle w:val="BoxTitle"/>
            </w:pPr>
            <w:r>
              <w:rPr>
                <w:b w:val="0"/>
              </w:rPr>
              <w:t xml:space="preserve">Box </w:t>
            </w:r>
            <w:r w:rsidR="00D71789">
              <w:rPr>
                <w:b w:val="0"/>
              </w:rPr>
              <w:t>12.5</w:t>
            </w:r>
            <w:r>
              <w:tab/>
            </w:r>
            <w:r w:rsidR="00D71789" w:rsidRPr="00D64AD8">
              <w:rPr>
                <w:b w:val="0"/>
                <w:sz w:val="18"/>
                <w:szCs w:val="18"/>
              </w:rPr>
              <w:t>(continued)</w:t>
            </w:r>
            <w:r>
              <w:t xml:space="preserve"> </w:t>
            </w:r>
          </w:p>
        </w:tc>
      </w:tr>
      <w:tr w:rsidR="00C17438" w:rsidTr="00FC1E0A">
        <w:trPr>
          <w:cantSplit/>
        </w:trPr>
        <w:tc>
          <w:tcPr>
            <w:tcW w:w="8771" w:type="dxa"/>
            <w:tcBorders>
              <w:top w:val="nil"/>
              <w:left w:val="nil"/>
              <w:bottom w:val="nil"/>
              <w:right w:val="nil"/>
            </w:tcBorders>
            <w:shd w:val="clear" w:color="auto" w:fill="F2F2F2"/>
          </w:tcPr>
          <w:p w:rsidR="009A2E2E" w:rsidRDefault="009A2E2E" w:rsidP="00D71789">
            <w:pPr>
              <w:pStyle w:val="Box"/>
            </w:pPr>
            <w:r w:rsidRPr="00971BA1">
              <w:t>This indicator does not provide information on whether the services are appropriate for the needs of the young people receiving them, or correctly targeted to those young people most in need. Variations in use could be due to variations in access, but could also be a result of differences in the prevalence of mental illness.</w:t>
            </w:r>
            <w:r>
              <w:t xml:space="preserve"> </w:t>
            </w:r>
          </w:p>
          <w:p w:rsidR="00D71789" w:rsidRPr="00971BA1" w:rsidRDefault="00D71789" w:rsidP="00D71789">
            <w:pPr>
              <w:pStyle w:val="Box"/>
              <w:rPr>
                <w:szCs w:val="24"/>
              </w:rPr>
            </w:pPr>
            <w:r w:rsidRPr="00971BA1">
              <w:t>Results for this indicator should be interpreted with caution</w:t>
            </w:r>
            <w:r>
              <w:t xml:space="preserve"> as some primary mental health services </w:t>
            </w:r>
            <w:r w:rsidRPr="0092485F">
              <w:t xml:space="preserve">for children and young people </w:t>
            </w:r>
            <w:r>
              <w:t>are excluded; for example,</w:t>
            </w:r>
            <w:r w:rsidRPr="0092485F">
              <w:t xml:space="preserve"> community health centres, school and university counsellors and health nurses and some mental health care provided by State and Territory governments’ specialised mental health services (</w:t>
            </w:r>
            <w:proofErr w:type="spellStart"/>
            <w:r w:rsidRPr="0092485F">
              <w:t>NMHPSC</w:t>
            </w:r>
            <w:proofErr w:type="spellEnd"/>
            <w:r w:rsidRPr="0092485F">
              <w:t xml:space="preserve"> </w:t>
            </w:r>
            <w:proofErr w:type="spellStart"/>
            <w:r w:rsidRPr="0092485F">
              <w:t>2011a</w:t>
            </w:r>
            <w:proofErr w:type="spellEnd"/>
            <w:r w:rsidRPr="0092485F">
              <w:t>)</w:t>
            </w:r>
            <w:r>
              <w:t>.</w:t>
            </w:r>
            <w:r w:rsidRPr="00971BA1">
              <w:t xml:space="preserve"> </w:t>
            </w:r>
          </w:p>
          <w:p w:rsidR="00D71789" w:rsidRPr="00971BA1" w:rsidRDefault="00D71789" w:rsidP="00D71789">
            <w:pPr>
              <w:pStyle w:val="Box"/>
            </w:pPr>
            <w:r w:rsidRPr="00971BA1">
              <w:t>Data reported for this indicator are:</w:t>
            </w:r>
          </w:p>
          <w:p w:rsidR="00D71789" w:rsidRPr="00971BA1" w:rsidRDefault="00D71789" w:rsidP="00D71789">
            <w:pPr>
              <w:pStyle w:val="BoxListBullet"/>
            </w:pPr>
            <w:r w:rsidRPr="00971BA1">
              <w:t>comparable (subject to caveats) across jurisdictions and over time</w:t>
            </w:r>
          </w:p>
          <w:p w:rsidR="00D71789" w:rsidRPr="00971BA1" w:rsidRDefault="00D71789" w:rsidP="003270B5">
            <w:pPr>
              <w:pStyle w:val="BoxListBullet"/>
            </w:pPr>
            <w:r w:rsidRPr="00971BA1">
              <w:t xml:space="preserve">complete </w:t>
            </w:r>
            <w:r w:rsidR="003270B5" w:rsidRPr="003270B5">
              <w:t xml:space="preserve">(subject to caveats) </w:t>
            </w:r>
            <w:r w:rsidRPr="00971BA1">
              <w:t>for the current reporting period</w:t>
            </w:r>
            <w:r w:rsidR="003270B5">
              <w:t>.</w:t>
            </w:r>
            <w:r w:rsidRPr="00971BA1">
              <w:t xml:space="preserve"> All required 201</w:t>
            </w:r>
            <w:r>
              <w:t>4</w:t>
            </w:r>
            <w:r w:rsidRPr="00971BA1">
              <w:noBreakHyphen/>
              <w:t>1</w:t>
            </w:r>
            <w:r>
              <w:t>5</w:t>
            </w:r>
            <w:r w:rsidRPr="00971BA1">
              <w:t xml:space="preserve"> data are available for all jurisdictions.</w:t>
            </w:r>
          </w:p>
          <w:p w:rsidR="00D71789" w:rsidRPr="00C17438" w:rsidRDefault="00D71789" w:rsidP="00D71789">
            <w:pPr>
              <w:pStyle w:val="Box"/>
            </w:pPr>
            <w:r w:rsidRPr="00971BA1">
              <w:t>Data quality information for this indicator</w:t>
            </w:r>
            <w:r>
              <w:t xml:space="preserve"> is at </w:t>
            </w:r>
            <w:proofErr w:type="spellStart"/>
            <w:r>
              <w:t>www.pc.gov.au</w:t>
            </w:r>
            <w:proofErr w:type="spellEnd"/>
            <w:r w:rsidRPr="00971BA1">
              <w:t>/</w:t>
            </w:r>
            <w:proofErr w:type="spellStart"/>
            <w:r w:rsidRPr="00971BA1">
              <w:t>rogs</w:t>
            </w:r>
            <w:proofErr w:type="spellEnd"/>
            <w:r w:rsidRPr="00971BA1">
              <w:t>/201</w:t>
            </w:r>
            <w:r>
              <w:t>6</w:t>
            </w:r>
            <w:r w:rsidRPr="00971BA1">
              <w:t>.</w:t>
            </w:r>
          </w:p>
        </w:tc>
      </w:tr>
      <w:tr w:rsidR="00C17438" w:rsidTr="00FC1E0A">
        <w:trPr>
          <w:cantSplit/>
        </w:trPr>
        <w:tc>
          <w:tcPr>
            <w:tcW w:w="8771" w:type="dxa"/>
            <w:tcBorders>
              <w:top w:val="nil"/>
              <w:left w:val="nil"/>
              <w:bottom w:val="single" w:sz="6" w:space="0" w:color="78A22F"/>
              <w:right w:val="nil"/>
            </w:tcBorders>
            <w:shd w:val="clear" w:color="auto" w:fill="F2F2F2"/>
          </w:tcPr>
          <w:p w:rsidR="00C17438" w:rsidRDefault="00C17438">
            <w:pPr>
              <w:pStyle w:val="Box"/>
              <w:spacing w:before="0" w:line="120" w:lineRule="exact"/>
            </w:pPr>
          </w:p>
        </w:tc>
      </w:tr>
      <w:tr w:rsidR="00C17438" w:rsidRPr="000863A5" w:rsidTr="00FC1E0A">
        <w:tc>
          <w:tcPr>
            <w:tcW w:w="8771" w:type="dxa"/>
            <w:tcBorders>
              <w:top w:val="single" w:sz="6" w:space="0" w:color="78A22F"/>
              <w:left w:val="nil"/>
              <w:bottom w:val="nil"/>
              <w:right w:val="nil"/>
            </w:tcBorders>
          </w:tcPr>
          <w:p w:rsidR="00C17438" w:rsidRPr="00626D32" w:rsidRDefault="00C17438" w:rsidP="00FC1E0A">
            <w:pPr>
              <w:pStyle w:val="BoxSpaceBelow"/>
            </w:pPr>
          </w:p>
        </w:tc>
      </w:tr>
    </w:tbl>
    <w:p w:rsidR="00A302C5" w:rsidRDefault="009428BA" w:rsidP="00D71789">
      <w:pPr>
        <w:pStyle w:val="BodyText"/>
        <w:widowControl w:val="0"/>
      </w:pPr>
      <w:r>
        <w:t>The proportion of all</w:t>
      </w:r>
      <w:r w:rsidR="00AD015B" w:rsidRPr="00085CAE">
        <w:t xml:space="preserve"> </w:t>
      </w:r>
      <w:r w:rsidR="009A2E2E">
        <w:t xml:space="preserve">children and </w:t>
      </w:r>
      <w:r w:rsidR="00AD015B" w:rsidRPr="00085CAE">
        <w:t xml:space="preserve">young people </w:t>
      </w:r>
      <w:r>
        <w:t xml:space="preserve">who </w:t>
      </w:r>
      <w:r w:rsidR="00971BA1" w:rsidRPr="00085CAE">
        <w:t>receive</w:t>
      </w:r>
      <w:r w:rsidR="00AD015B" w:rsidRPr="00085CAE">
        <w:t xml:space="preserve"> </w:t>
      </w:r>
      <w:proofErr w:type="spellStart"/>
      <w:r w:rsidR="00AD015B" w:rsidRPr="00085CAE">
        <w:t>MBS</w:t>
      </w:r>
      <w:proofErr w:type="spellEnd"/>
      <w:r w:rsidR="003978B7">
        <w:t xml:space="preserve"> </w:t>
      </w:r>
      <w:r w:rsidR="00AD015B" w:rsidRPr="00085CAE">
        <w:t xml:space="preserve">subsidised primary mental health care services </w:t>
      </w:r>
      <w:r>
        <w:t>has increased gradually over time (table</w:t>
      </w:r>
      <w:r w:rsidR="008033AF">
        <w:t> </w:t>
      </w:r>
      <w:proofErr w:type="spellStart"/>
      <w:r>
        <w:t>12A.4</w:t>
      </w:r>
      <w:r w:rsidR="00723141">
        <w:t>5</w:t>
      </w:r>
      <w:proofErr w:type="spellEnd"/>
      <w:r>
        <w:t xml:space="preserve">). </w:t>
      </w:r>
      <w:r w:rsidR="001A05B7">
        <w:t>The</w:t>
      </w:r>
      <w:r w:rsidR="00772E2A">
        <w:t xml:space="preserve"> proportion increases as age increases, with the</w:t>
      </w:r>
      <w:r w:rsidR="001A05B7">
        <w:t xml:space="preserve"> highest proportion for young people aged 18</w:t>
      </w:r>
      <w:r w:rsidR="001A05B7">
        <w:sym w:font="Symbol" w:char="F02D"/>
      </w:r>
      <w:r w:rsidR="001A05B7">
        <w:t>24 years</w:t>
      </w:r>
      <w:r w:rsidR="00772E2A">
        <w:t xml:space="preserve"> (</w:t>
      </w:r>
      <w:r w:rsidR="001A05B7">
        <w:t>10</w:t>
      </w:r>
      <w:r w:rsidR="009B4764">
        <w:t>.2</w:t>
      </w:r>
      <w:r w:rsidR="006062EF">
        <w:t> </w:t>
      </w:r>
      <w:r w:rsidR="001A05B7">
        <w:t>per</w:t>
      </w:r>
      <w:r w:rsidR="006062EF">
        <w:t> </w:t>
      </w:r>
      <w:r w:rsidR="001A05B7">
        <w:t xml:space="preserve">cent of this population receiving </w:t>
      </w:r>
      <w:r w:rsidR="005310DC">
        <w:t xml:space="preserve">these </w:t>
      </w:r>
      <w:r w:rsidR="001A05B7" w:rsidRPr="001A05B7">
        <w:t xml:space="preserve">primary mental health care </w:t>
      </w:r>
      <w:r w:rsidR="005310DC">
        <w:t xml:space="preserve">services </w:t>
      </w:r>
      <w:r>
        <w:t xml:space="preserve">nationally </w:t>
      </w:r>
      <w:r w:rsidR="001A05B7">
        <w:t>in 201</w:t>
      </w:r>
      <w:r>
        <w:t>4</w:t>
      </w:r>
      <w:r w:rsidR="00463329">
        <w:noBreakHyphen/>
      </w:r>
      <w:r w:rsidR="001A05B7">
        <w:t>1</w:t>
      </w:r>
      <w:r>
        <w:t>5</w:t>
      </w:r>
      <w:r w:rsidR="00772E2A">
        <w:t>)</w:t>
      </w:r>
      <w:r>
        <w:t xml:space="preserve"> </w:t>
      </w:r>
      <w:r w:rsidRPr="00085CAE">
        <w:t>(figure</w:t>
      </w:r>
      <w:r>
        <w:t> </w:t>
      </w:r>
      <w:r w:rsidRPr="00085CAE">
        <w:t>12.15).</w:t>
      </w:r>
      <w:r w:rsidR="001A05B7">
        <w:t xml:space="preserve"> </w:t>
      </w:r>
    </w:p>
    <w:p w:rsidR="005310DC" w:rsidRDefault="005310DC" w:rsidP="005310D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310DC" w:rsidTr="005310DC">
        <w:tc>
          <w:tcPr>
            <w:tcW w:w="8771" w:type="dxa"/>
            <w:tcBorders>
              <w:top w:val="single" w:sz="6" w:space="0" w:color="78A22F"/>
              <w:left w:val="nil"/>
              <w:bottom w:val="nil"/>
              <w:right w:val="nil"/>
            </w:tcBorders>
            <w:shd w:val="clear" w:color="auto" w:fill="auto"/>
          </w:tcPr>
          <w:p w:rsidR="005310DC" w:rsidRPr="00176D3F" w:rsidRDefault="005310DC" w:rsidP="00D71789">
            <w:pPr>
              <w:pStyle w:val="FigureTitle"/>
              <w:rPr>
                <w:i/>
              </w:rPr>
            </w:pPr>
            <w:r w:rsidRPr="00784A05">
              <w:rPr>
                <w:b w:val="0"/>
              </w:rPr>
              <w:t xml:space="preserve">Figure </w:t>
            </w:r>
            <w:r>
              <w:rPr>
                <w:b w:val="0"/>
              </w:rPr>
              <w:t>12.</w:t>
            </w:r>
            <w:r w:rsidR="00833D26">
              <w:rPr>
                <w:b w:val="0"/>
                <w:noProof/>
              </w:rPr>
              <w:t>15</w:t>
            </w:r>
            <w:r>
              <w:tab/>
            </w:r>
            <w:r w:rsidRPr="005310DC">
              <w:t xml:space="preserve">Children and young people who received </w:t>
            </w:r>
            <w:proofErr w:type="spellStart"/>
            <w:r w:rsidRPr="005310DC">
              <w:t>MBS</w:t>
            </w:r>
            <w:proofErr w:type="spellEnd"/>
            <w:r w:rsidRPr="005310DC">
              <w:t xml:space="preserve"> subsidised primary mental health care,</w:t>
            </w:r>
            <w:r w:rsidR="009A2E2E">
              <w:t xml:space="preserve"> by age group,</w:t>
            </w:r>
            <w:r w:rsidRPr="005310DC">
              <w:t xml:space="preserve"> 2014</w:t>
            </w:r>
            <w:r w:rsidR="00463329">
              <w:noBreakHyphen/>
            </w:r>
            <w:r w:rsidRPr="005310DC">
              <w:t>15</w:t>
            </w:r>
            <w:r w:rsidRPr="00BD3A10">
              <w:rPr>
                <w:rStyle w:val="NoteLabel"/>
                <w:b/>
              </w:rPr>
              <w:t>a</w:t>
            </w:r>
          </w:p>
        </w:tc>
      </w:tr>
      <w:tr w:rsidR="005310DC" w:rsidTr="005310D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310DC" w:rsidTr="005310DC">
              <w:trPr>
                <w:jc w:val="center"/>
              </w:trPr>
              <w:tc>
                <w:tcPr>
                  <w:tcW w:w="5000" w:type="pct"/>
                  <w:tcBorders>
                    <w:top w:val="nil"/>
                    <w:bottom w:val="nil"/>
                  </w:tcBorders>
                </w:tcPr>
                <w:p w:rsidR="005310DC" w:rsidRDefault="001B7B09" w:rsidP="005310DC">
                  <w:pPr>
                    <w:pStyle w:val="Figure"/>
                    <w:spacing w:before="60" w:after="60"/>
                  </w:pPr>
                  <w:r>
                    <w:rPr>
                      <w:noProof/>
                    </w:rPr>
                    <w:drawing>
                      <wp:inline distT="0" distB="0" distL="0" distR="0">
                        <wp:extent cx="5391150" cy="2686050"/>
                        <wp:effectExtent l="0" t="0" r="0" b="0"/>
                        <wp:docPr id="17" name="Picture 17" descr="Figure 12.15 Children and young people who received MBS subsidised primary mental health care, by age group,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310DC" w:rsidRDefault="005310DC" w:rsidP="005310DC">
            <w:pPr>
              <w:pStyle w:val="Figure"/>
            </w:pPr>
          </w:p>
        </w:tc>
      </w:tr>
      <w:tr w:rsidR="005310DC" w:rsidRPr="00176D3F" w:rsidTr="005310DC">
        <w:tc>
          <w:tcPr>
            <w:tcW w:w="8771" w:type="dxa"/>
            <w:tcBorders>
              <w:top w:val="nil"/>
              <w:left w:val="nil"/>
              <w:bottom w:val="nil"/>
              <w:right w:val="nil"/>
            </w:tcBorders>
            <w:shd w:val="clear" w:color="auto" w:fill="auto"/>
          </w:tcPr>
          <w:p w:rsidR="005310DC" w:rsidRPr="00176D3F" w:rsidRDefault="005310DC" w:rsidP="00D71789">
            <w:pPr>
              <w:pStyle w:val="Note"/>
              <w:rPr>
                <w:i/>
              </w:rPr>
            </w:pPr>
            <w:r w:rsidRPr="00AE7145">
              <w:rPr>
                <w:rStyle w:val="NoteLabel"/>
              </w:rPr>
              <w:t>a</w:t>
            </w:r>
            <w:r w:rsidRPr="00AE7145">
              <w:t xml:space="preserve"> </w:t>
            </w:r>
            <w:r w:rsidRPr="00703A2A">
              <w:t>See table</w:t>
            </w:r>
            <w:r w:rsidR="00463329">
              <w:t> </w:t>
            </w:r>
            <w:proofErr w:type="spellStart"/>
            <w:r w:rsidRPr="00703A2A">
              <w:t>12A.</w:t>
            </w:r>
            <w:r>
              <w:t>4</w:t>
            </w:r>
            <w:r w:rsidR="00F86525">
              <w:t>5</w:t>
            </w:r>
            <w:proofErr w:type="spellEnd"/>
            <w:r w:rsidRPr="00703A2A">
              <w:t xml:space="preserve"> </w:t>
            </w:r>
            <w:r w:rsidR="00871F08" w:rsidRPr="00871F08">
              <w:t>for detailed definitions, footnotes and caveats</w:t>
            </w:r>
            <w:r w:rsidRPr="00703A2A">
              <w:t xml:space="preserve">. </w:t>
            </w:r>
            <w:r>
              <w:t xml:space="preserve"> </w:t>
            </w:r>
          </w:p>
        </w:tc>
      </w:tr>
      <w:tr w:rsidR="005310DC" w:rsidRPr="00176D3F" w:rsidTr="005310DC">
        <w:tc>
          <w:tcPr>
            <w:tcW w:w="8771" w:type="dxa"/>
            <w:tcBorders>
              <w:top w:val="nil"/>
              <w:left w:val="nil"/>
              <w:bottom w:val="nil"/>
              <w:right w:val="nil"/>
            </w:tcBorders>
            <w:shd w:val="clear" w:color="auto" w:fill="auto"/>
          </w:tcPr>
          <w:p w:rsidR="005310DC" w:rsidRPr="00176D3F" w:rsidRDefault="005310DC" w:rsidP="00D71789">
            <w:pPr>
              <w:pStyle w:val="Source"/>
              <w:rPr>
                <w:i/>
              </w:rPr>
            </w:pPr>
            <w:r w:rsidRPr="002C5F6A">
              <w:rPr>
                <w:i/>
              </w:rPr>
              <w:t>Source</w:t>
            </w:r>
            <w:r w:rsidRPr="002C5F6A">
              <w:t xml:space="preserve">: </w:t>
            </w:r>
            <w:r w:rsidR="008A4DE9" w:rsidRPr="008A4DE9">
              <w:t>Australian Government Department of Health (unpublished)</w:t>
            </w:r>
            <w:r w:rsidRPr="002C5F6A">
              <w:t>; table</w:t>
            </w:r>
            <w:r>
              <w:t> </w:t>
            </w:r>
            <w:proofErr w:type="spellStart"/>
            <w:r w:rsidRPr="002C5F6A">
              <w:t>12A.</w:t>
            </w:r>
            <w:r>
              <w:t>4</w:t>
            </w:r>
            <w:r w:rsidR="00F86525">
              <w:t>5</w:t>
            </w:r>
            <w:proofErr w:type="spellEnd"/>
            <w:r w:rsidRPr="002C5F6A">
              <w:t>.</w:t>
            </w:r>
          </w:p>
        </w:tc>
      </w:tr>
      <w:tr w:rsidR="005310DC" w:rsidTr="005310DC">
        <w:tc>
          <w:tcPr>
            <w:tcW w:w="8771" w:type="dxa"/>
            <w:tcBorders>
              <w:top w:val="nil"/>
              <w:left w:val="nil"/>
              <w:bottom w:val="single" w:sz="6" w:space="0" w:color="78A22F"/>
              <w:right w:val="nil"/>
            </w:tcBorders>
            <w:shd w:val="clear" w:color="auto" w:fill="auto"/>
          </w:tcPr>
          <w:p w:rsidR="005310DC" w:rsidRDefault="005310DC" w:rsidP="005310DC">
            <w:pPr>
              <w:pStyle w:val="Figurespace"/>
            </w:pPr>
          </w:p>
        </w:tc>
      </w:tr>
      <w:tr w:rsidR="005310DC" w:rsidRPr="000863A5" w:rsidTr="005310DC">
        <w:tc>
          <w:tcPr>
            <w:tcW w:w="8771" w:type="dxa"/>
            <w:tcBorders>
              <w:top w:val="single" w:sz="6" w:space="0" w:color="78A22F"/>
              <w:left w:val="nil"/>
              <w:bottom w:val="nil"/>
              <w:right w:val="nil"/>
            </w:tcBorders>
          </w:tcPr>
          <w:p w:rsidR="005310DC" w:rsidRPr="00626D32" w:rsidRDefault="005310DC" w:rsidP="005310DC">
            <w:pPr>
              <w:pStyle w:val="BoxSpaceBelow"/>
            </w:pPr>
          </w:p>
        </w:tc>
      </w:tr>
    </w:tbl>
    <w:p w:rsidR="00C17438" w:rsidRDefault="00C17438" w:rsidP="00C17438">
      <w:pPr>
        <w:pStyle w:val="BodyText"/>
      </w:pPr>
      <w:r w:rsidRPr="00085CAE">
        <w:lastRenderedPageBreak/>
        <w:t xml:space="preserve">Data on the proportion of young people who had received </w:t>
      </w:r>
      <w:proofErr w:type="spellStart"/>
      <w:r w:rsidRPr="00085CAE">
        <w:t>MBS</w:t>
      </w:r>
      <w:proofErr w:type="spellEnd"/>
      <w:r>
        <w:t xml:space="preserve"> </w:t>
      </w:r>
      <w:r w:rsidRPr="00085CAE">
        <w:t>subsidised primary mental health care services by Indigenous status</w:t>
      </w:r>
      <w:r>
        <w:t>,</w:t>
      </w:r>
      <w:r w:rsidRPr="00085CAE">
        <w:t xml:space="preserve"> SEIFA, gender and service type are </w:t>
      </w:r>
      <w:r>
        <w:t xml:space="preserve">also available </w:t>
      </w:r>
      <w:r w:rsidRPr="00085CAE">
        <w:t>in tables</w:t>
      </w:r>
      <w:r>
        <w:t> </w:t>
      </w:r>
      <w:proofErr w:type="spellStart"/>
      <w:r w:rsidRPr="00085CAE">
        <w:t>12A.4</w:t>
      </w:r>
      <w:r>
        <w:t>6</w:t>
      </w:r>
      <w:proofErr w:type="spellEnd"/>
      <w:r w:rsidR="005625A7" w:rsidRPr="00733169">
        <w:t>–</w:t>
      </w:r>
      <w:r w:rsidRPr="00085CAE">
        <w:t>4</w:t>
      </w:r>
      <w:r>
        <w:t>7</w:t>
      </w:r>
      <w:r w:rsidR="00772E2A">
        <w:t>, with the pattern of results reflecting those for the total population (all ages)</w:t>
      </w:r>
      <w:r w:rsidRPr="00085CAE">
        <w:t>.</w:t>
      </w:r>
    </w:p>
    <w:p w:rsidR="00AD015B" w:rsidRDefault="0066539A" w:rsidP="00AD015B">
      <w:pPr>
        <w:pStyle w:val="Heading4"/>
      </w:pPr>
      <w:r>
        <w:t>A</w:t>
      </w:r>
      <w:r w:rsidR="00AD015B">
        <w:t>ppropriateness — services reviewed against the National Standards</w:t>
      </w:r>
    </w:p>
    <w:p w:rsidR="00AD015B" w:rsidRDefault="00AD015B" w:rsidP="002315C6">
      <w:pPr>
        <w:pStyle w:val="BodyText"/>
        <w:rPr>
          <w:rStyle w:val="BodyTextChar"/>
        </w:rPr>
      </w:pPr>
      <w:r w:rsidRPr="002315C6">
        <w:rPr>
          <w:rStyle w:val="BodyTextChar"/>
        </w:rPr>
        <w:t>‘Services reviewed against the National Standards’ is an indicator of governments’ objective to provide mental health services that are appropriate (box</w:t>
      </w:r>
      <w:r w:rsidR="0022260C">
        <w:rPr>
          <w:rStyle w:val="BodyTextChar"/>
        </w:rPr>
        <w:t> </w:t>
      </w:r>
      <w:r w:rsidRPr="002315C6">
        <w:rPr>
          <w:rStyle w:val="BodyTextChar"/>
        </w:rPr>
        <w:t>12.</w:t>
      </w:r>
      <w:r w:rsidR="00C41B24">
        <w:rPr>
          <w:rStyle w:val="BodyTextChar"/>
        </w:rPr>
        <w:t>6</w:t>
      </w:r>
      <w:r w:rsidRPr="002315C6">
        <w:rPr>
          <w:rStyle w:val="BodyTextChar"/>
        </w:rPr>
        <w:t xml:space="preserve">). </w:t>
      </w:r>
    </w:p>
    <w:p w:rsidR="00F86525" w:rsidRDefault="00F8652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6525" w:rsidTr="00D47EA9">
        <w:tc>
          <w:tcPr>
            <w:tcW w:w="8771" w:type="dxa"/>
            <w:tcBorders>
              <w:top w:val="single" w:sz="6" w:space="0" w:color="78A22F"/>
              <w:left w:val="nil"/>
              <w:bottom w:val="nil"/>
              <w:right w:val="nil"/>
            </w:tcBorders>
            <w:shd w:val="clear" w:color="auto" w:fill="F2F2F2"/>
          </w:tcPr>
          <w:p w:rsidR="00F86525" w:rsidRDefault="00F86525">
            <w:pPr>
              <w:pStyle w:val="BoxTitle"/>
            </w:pPr>
            <w:r>
              <w:rPr>
                <w:b w:val="0"/>
              </w:rPr>
              <w:t>Box 12.</w:t>
            </w:r>
            <w:r w:rsidR="00833D26">
              <w:rPr>
                <w:b w:val="0"/>
                <w:noProof/>
              </w:rPr>
              <w:t>6</w:t>
            </w:r>
            <w:r>
              <w:tab/>
            </w:r>
            <w:r w:rsidRPr="009D30C4">
              <w:t>Services reviewed against the National Standards</w:t>
            </w:r>
          </w:p>
        </w:tc>
      </w:tr>
      <w:tr w:rsidR="00F86525" w:rsidTr="00D47EA9">
        <w:trPr>
          <w:cantSplit/>
        </w:trPr>
        <w:tc>
          <w:tcPr>
            <w:tcW w:w="8771" w:type="dxa"/>
            <w:tcBorders>
              <w:top w:val="nil"/>
              <w:left w:val="nil"/>
              <w:bottom w:val="nil"/>
              <w:right w:val="nil"/>
            </w:tcBorders>
            <w:shd w:val="clear" w:color="auto" w:fill="F2F2F2"/>
          </w:tcPr>
          <w:p w:rsidR="00F86525" w:rsidRDefault="00F86525" w:rsidP="00F86525">
            <w:pPr>
              <w:pStyle w:val="Box"/>
            </w:pPr>
            <w:r>
              <w:t xml:space="preserve">‘Services reviewed against the National Standards’ is defined as the proportion of expenditure on State and Territory governments’ specialised </w:t>
            </w:r>
            <w:r w:rsidR="003A4F0B">
              <w:t xml:space="preserve">public </w:t>
            </w:r>
            <w:r>
              <w:t xml:space="preserve">mental health services that had completed a review by an external accreditation agency against the </w:t>
            </w:r>
            <w:r w:rsidR="006975D4" w:rsidRPr="006975D4">
              <w:t>National Standards for Mental Health Services (</w:t>
            </w:r>
            <w:proofErr w:type="spellStart"/>
            <w:r w:rsidR="006975D4" w:rsidRPr="006975D4">
              <w:t>NSMHS</w:t>
            </w:r>
            <w:proofErr w:type="spellEnd"/>
            <w:r w:rsidR="006975D4" w:rsidRPr="006975D4">
              <w:t>)</w:t>
            </w:r>
            <w:r w:rsidR="00C17438">
              <w:t xml:space="preserve"> and </w:t>
            </w:r>
            <w:r w:rsidR="00066FE7">
              <w:t xml:space="preserve">were </w:t>
            </w:r>
            <w:r w:rsidR="00C17438">
              <w:t>assessed at level 1</w:t>
            </w:r>
            <w:r w:rsidR="00066FE7">
              <w:t>. The assessment levels are defined as</w:t>
            </w:r>
            <w:r>
              <w:t xml:space="preserve">: </w:t>
            </w:r>
          </w:p>
          <w:p w:rsidR="00F86525" w:rsidRDefault="00F86525" w:rsidP="00F86525">
            <w:pPr>
              <w:pStyle w:val="BoxListBullet"/>
            </w:pPr>
            <w:r w:rsidRPr="009D30C4">
              <w:rPr>
                <w:i/>
              </w:rPr>
              <w:t>Services at level 1</w:t>
            </w:r>
            <w:r>
              <w:t xml:space="preserve"> — services reviewed by an external accreditation agency and judged to have met all National Standards.</w:t>
            </w:r>
          </w:p>
          <w:p w:rsidR="00F86525" w:rsidRDefault="00F86525" w:rsidP="00D71789">
            <w:pPr>
              <w:pStyle w:val="BoxListBullet"/>
            </w:pPr>
            <w:r w:rsidRPr="009D30C4">
              <w:rPr>
                <w:i/>
              </w:rPr>
              <w:t>Services at level 2</w:t>
            </w:r>
            <w:r>
              <w:t xml:space="preserve"> — services reviewed by an external accreditation agency and judged to have met some but not all National Standards.</w:t>
            </w:r>
          </w:p>
          <w:p w:rsidR="00052FA5" w:rsidRDefault="00052FA5" w:rsidP="00D71789">
            <w:pPr>
              <w:pStyle w:val="BoxListBullet"/>
            </w:pPr>
            <w:r w:rsidRPr="009D30C4">
              <w:rPr>
                <w:i/>
              </w:rPr>
              <w:t>Services at level 3</w:t>
            </w:r>
            <w:r>
              <w:t xml:space="preserve"> — services (i) in the process of being reviewed by an external accreditation agency but the outcomes are not known, or (ii) booked for review by an external accreditation agency.</w:t>
            </w:r>
          </w:p>
          <w:p w:rsidR="006975D4" w:rsidRDefault="006975D4" w:rsidP="006975D4">
            <w:pPr>
              <w:pStyle w:val="BoxListBullet"/>
            </w:pPr>
            <w:r w:rsidRPr="009D30C4">
              <w:rPr>
                <w:i/>
              </w:rPr>
              <w:t>Services at level 4</w:t>
            </w:r>
            <w:r>
              <w:t xml:space="preserve"> — services that do not meet criteria detailed under levels 1 to 3.</w:t>
            </w:r>
          </w:p>
          <w:p w:rsidR="00C17438" w:rsidRDefault="00C17438" w:rsidP="00C17438">
            <w:pPr>
              <w:pStyle w:val="Box"/>
            </w:pPr>
            <w:r>
              <w:t xml:space="preserve">A high or increasing proportion of expenditure on specialised mental health services that had completed a review by an external accreditation agency </w:t>
            </w:r>
            <w:r w:rsidR="00066FE7">
              <w:t xml:space="preserve">and </w:t>
            </w:r>
            <w:r>
              <w:t xml:space="preserve">had been assessed against the </w:t>
            </w:r>
            <w:proofErr w:type="spellStart"/>
            <w:r>
              <w:t>NSMHS</w:t>
            </w:r>
            <w:proofErr w:type="spellEnd"/>
            <w:r>
              <w:t xml:space="preserve"> as level 1 is desirable.</w:t>
            </w:r>
          </w:p>
          <w:p w:rsidR="00C17438" w:rsidRDefault="00C17438" w:rsidP="00C17438">
            <w:pPr>
              <w:pStyle w:val="Box"/>
            </w:pPr>
            <w:r>
              <w:t xml:space="preserve">This is a process indicator of appropriateness, reflecting progress made in meeting the </w:t>
            </w:r>
            <w:proofErr w:type="spellStart"/>
            <w:r>
              <w:t>NSMHS</w:t>
            </w:r>
            <w:proofErr w:type="spellEnd"/>
            <w:r>
              <w:t>. It does not provide information on whether the standards or assessment process are appropriate. In addition, services that had not been assessed do not necessarily deliver services of lower quality. Some services that had not completed an external review included those that were undergoing a review and those that had booked for review and were engaged in self</w:t>
            </w:r>
            <w:r w:rsidR="00463329">
              <w:noBreakHyphen/>
            </w:r>
            <w:r>
              <w:t>assessment preparation.</w:t>
            </w:r>
          </w:p>
          <w:p w:rsidR="00C17438" w:rsidRDefault="00C17438" w:rsidP="00C17438">
            <w:pPr>
              <w:pStyle w:val="Box"/>
            </w:pPr>
            <w:r>
              <w:t>Data reported for this indicator are:</w:t>
            </w:r>
          </w:p>
          <w:p w:rsidR="00C17438" w:rsidRDefault="00C17438" w:rsidP="00C17438">
            <w:pPr>
              <w:pStyle w:val="BoxListBullet"/>
            </w:pPr>
            <w:r>
              <w:t>comparable (subject to caveats) within jurisdictions over time but are not comparable across jurisdictions</w:t>
            </w:r>
          </w:p>
          <w:p w:rsidR="00C17438" w:rsidRDefault="00C17438" w:rsidP="002245A4">
            <w:pPr>
              <w:pStyle w:val="BoxListBullet"/>
            </w:pPr>
            <w:r>
              <w:t xml:space="preserve">complete </w:t>
            </w:r>
            <w:r w:rsidR="002245A4">
              <w:t>(subject to caveats)</w:t>
            </w:r>
            <w:r w:rsidR="002245A4" w:rsidRPr="002245A4">
              <w:t xml:space="preserve"> </w:t>
            </w:r>
            <w:r>
              <w:t>for the current reporting period. All required 2013</w:t>
            </w:r>
            <w:r>
              <w:noBreakHyphen/>
              <w:t>14 data are available for all jurisdictions.</w:t>
            </w:r>
          </w:p>
          <w:p w:rsidR="00C17438" w:rsidRDefault="00C17438" w:rsidP="00C17438">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F86525" w:rsidTr="00D47EA9">
        <w:trPr>
          <w:cantSplit/>
        </w:trPr>
        <w:tc>
          <w:tcPr>
            <w:tcW w:w="8771" w:type="dxa"/>
            <w:tcBorders>
              <w:top w:val="nil"/>
              <w:left w:val="nil"/>
              <w:bottom w:val="single" w:sz="6" w:space="0" w:color="78A22F"/>
              <w:right w:val="nil"/>
            </w:tcBorders>
            <w:shd w:val="clear" w:color="auto" w:fill="F2F2F2"/>
          </w:tcPr>
          <w:p w:rsidR="00F86525" w:rsidRDefault="00F86525">
            <w:pPr>
              <w:pStyle w:val="Box"/>
              <w:spacing w:before="0" w:line="120" w:lineRule="exact"/>
            </w:pPr>
          </w:p>
        </w:tc>
      </w:tr>
      <w:tr w:rsidR="00F86525" w:rsidRPr="000863A5" w:rsidTr="00D47EA9">
        <w:tc>
          <w:tcPr>
            <w:tcW w:w="8771" w:type="dxa"/>
            <w:tcBorders>
              <w:top w:val="single" w:sz="6" w:space="0" w:color="78A22F"/>
              <w:left w:val="nil"/>
              <w:bottom w:val="nil"/>
              <w:right w:val="nil"/>
            </w:tcBorders>
          </w:tcPr>
          <w:p w:rsidR="00F86525" w:rsidRPr="00626D32" w:rsidRDefault="00F86525" w:rsidP="00D47EA9">
            <w:pPr>
              <w:pStyle w:val="BoxSpaceBelow"/>
            </w:pPr>
          </w:p>
        </w:tc>
      </w:tr>
    </w:tbl>
    <w:p w:rsidR="00AD015B" w:rsidRDefault="00817AAC">
      <w:pPr>
        <w:pStyle w:val="BodyText"/>
      </w:pPr>
      <w:r>
        <w:t xml:space="preserve">The first </w:t>
      </w:r>
      <w:proofErr w:type="spellStart"/>
      <w:r>
        <w:t>NSMHS</w:t>
      </w:r>
      <w:proofErr w:type="spellEnd"/>
      <w:r>
        <w:t xml:space="preserve"> were developed under the </w:t>
      </w:r>
      <w:r w:rsidRPr="00BD3A10">
        <w:rPr>
          <w:i/>
        </w:rPr>
        <w:t xml:space="preserve">First National Mental Health Plan </w:t>
      </w:r>
      <w:r w:rsidR="001163D9">
        <w:rPr>
          <w:i/>
        </w:rPr>
        <w:br/>
      </w:r>
      <w:r w:rsidRPr="00BD3A10">
        <w:rPr>
          <w:i/>
        </w:rPr>
        <w:t>1993–1998</w:t>
      </w:r>
      <w:r w:rsidR="00C17438">
        <w:t xml:space="preserve"> and r</w:t>
      </w:r>
      <w:r>
        <w:t xml:space="preserve">evised </w:t>
      </w:r>
      <w:proofErr w:type="spellStart"/>
      <w:r>
        <w:t>NSMHS</w:t>
      </w:r>
      <w:proofErr w:type="spellEnd"/>
      <w:r>
        <w:t xml:space="preserve"> were released in September 2010 </w:t>
      </w:r>
      <w:r w:rsidR="006975D4">
        <w:t>(b</w:t>
      </w:r>
      <w:r>
        <w:t>ox 12.7</w:t>
      </w:r>
      <w:r w:rsidR="006975D4">
        <w:t>)</w:t>
      </w:r>
      <w:r>
        <w:t xml:space="preserve">. </w:t>
      </w:r>
    </w:p>
    <w:p w:rsidR="00BD3A10" w:rsidRDefault="00BD3A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3A10" w:rsidTr="00EC489B">
        <w:tc>
          <w:tcPr>
            <w:tcW w:w="8771" w:type="dxa"/>
            <w:tcBorders>
              <w:top w:val="single" w:sz="6" w:space="0" w:color="78A22F"/>
              <w:left w:val="nil"/>
              <w:bottom w:val="nil"/>
              <w:right w:val="nil"/>
            </w:tcBorders>
            <w:shd w:val="clear" w:color="auto" w:fill="F2F2F2"/>
          </w:tcPr>
          <w:p w:rsidR="00BD3A10" w:rsidRDefault="00BD3A10" w:rsidP="00D008B5">
            <w:pPr>
              <w:pStyle w:val="BoxTitle"/>
            </w:pPr>
            <w:r>
              <w:rPr>
                <w:b w:val="0"/>
              </w:rPr>
              <w:t xml:space="preserve">Box </w:t>
            </w:r>
            <w:r w:rsidR="00F86525">
              <w:rPr>
                <w:b w:val="0"/>
              </w:rPr>
              <w:t>12.</w:t>
            </w:r>
            <w:r w:rsidR="00833D26">
              <w:rPr>
                <w:b w:val="0"/>
                <w:noProof/>
              </w:rPr>
              <w:t>7</w:t>
            </w:r>
            <w:r>
              <w:tab/>
            </w:r>
            <w:r w:rsidRPr="00BD3A10">
              <w:t xml:space="preserve">The 2010 </w:t>
            </w:r>
            <w:proofErr w:type="spellStart"/>
            <w:r w:rsidR="00D008B5">
              <w:t>NSMHS</w:t>
            </w:r>
            <w:proofErr w:type="spellEnd"/>
          </w:p>
        </w:tc>
      </w:tr>
      <w:tr w:rsidR="00BD3A10" w:rsidTr="00D64AD8">
        <w:trPr>
          <w:cantSplit/>
          <w:trHeight w:val="1838"/>
        </w:trPr>
        <w:tc>
          <w:tcPr>
            <w:tcW w:w="8771" w:type="dxa"/>
            <w:tcBorders>
              <w:top w:val="nil"/>
              <w:left w:val="nil"/>
              <w:bottom w:val="nil"/>
              <w:right w:val="nil"/>
            </w:tcBorders>
            <w:shd w:val="clear" w:color="auto" w:fill="F2F2F2"/>
          </w:tcPr>
          <w:p w:rsidR="00396578" w:rsidRDefault="00BD3A10" w:rsidP="00D64AD8">
            <w:pPr>
              <w:pStyle w:val="Box"/>
            </w:pPr>
            <w:r>
              <w:t xml:space="preserve">The 2010 </w:t>
            </w:r>
            <w:proofErr w:type="spellStart"/>
            <w:r>
              <w:t>NSMHS</w:t>
            </w:r>
            <w:proofErr w:type="spellEnd"/>
            <w:r>
              <w:t xml:space="preserve"> comprise 10 overarching standards:</w:t>
            </w:r>
          </w:p>
          <w:tbl>
            <w:tblPr>
              <w:tblW w:w="5000" w:type="pct"/>
              <w:tblLayout w:type="fixed"/>
              <w:tblCellMar>
                <w:left w:w="0" w:type="dxa"/>
                <w:right w:w="0" w:type="dxa"/>
              </w:tblCellMar>
              <w:tblLook w:val="0000" w:firstRow="0" w:lastRow="0" w:firstColumn="0" w:lastColumn="0" w:noHBand="0" w:noVBand="0"/>
            </w:tblPr>
            <w:tblGrid>
              <w:gridCol w:w="4232"/>
              <w:gridCol w:w="4255"/>
            </w:tblGrid>
            <w:tr w:rsidR="00F049CD" w:rsidTr="00EC489B">
              <w:trPr>
                <w:trHeight w:val="353"/>
              </w:trPr>
              <w:tc>
                <w:tcPr>
                  <w:tcW w:w="2493" w:type="pct"/>
                  <w:shd w:val="clear" w:color="auto" w:fill="auto"/>
                </w:tcPr>
                <w:p w:rsidR="00F049CD" w:rsidRPr="00D64AD8" w:rsidRDefault="00F049CD" w:rsidP="00D64AD8">
                  <w:pPr>
                    <w:pStyle w:val="TableColumnHeading"/>
                    <w:numPr>
                      <w:ilvl w:val="0"/>
                      <w:numId w:val="50"/>
                    </w:numPr>
                    <w:spacing w:line="20" w:lineRule="atLeast"/>
                    <w:jc w:val="left"/>
                    <w:rPr>
                      <w:i w:val="0"/>
                    </w:rPr>
                  </w:pPr>
                  <w:r w:rsidRPr="00D64AD8">
                    <w:rPr>
                      <w:i w:val="0"/>
                    </w:rPr>
                    <w:t>Rights and responsibilities</w:t>
                  </w:r>
                </w:p>
              </w:tc>
              <w:tc>
                <w:tcPr>
                  <w:tcW w:w="2507" w:type="pct"/>
                  <w:shd w:val="clear" w:color="auto" w:fill="auto"/>
                </w:tcPr>
                <w:p w:rsidR="00F049CD" w:rsidRPr="00D64AD8" w:rsidRDefault="00F049CD" w:rsidP="00D64AD8">
                  <w:pPr>
                    <w:pStyle w:val="TableColumnHeading"/>
                    <w:spacing w:line="20" w:lineRule="atLeast"/>
                    <w:ind w:left="-1" w:right="28"/>
                    <w:jc w:val="left"/>
                    <w:rPr>
                      <w:i w:val="0"/>
                    </w:rPr>
                  </w:pPr>
                  <w:r>
                    <w:rPr>
                      <w:i w:val="0"/>
                    </w:rPr>
                    <w:t>6. Consumers</w:t>
                  </w:r>
                </w:p>
              </w:tc>
            </w:tr>
            <w:tr w:rsidR="00F049CD" w:rsidRPr="00737B1D" w:rsidTr="00D64AD8">
              <w:tc>
                <w:tcPr>
                  <w:tcW w:w="2493" w:type="pct"/>
                </w:tcPr>
                <w:p w:rsidR="00F049CD" w:rsidRPr="00F049CD" w:rsidRDefault="00F049CD" w:rsidP="00D64AD8">
                  <w:pPr>
                    <w:pStyle w:val="TableBodyText"/>
                    <w:numPr>
                      <w:ilvl w:val="0"/>
                      <w:numId w:val="50"/>
                    </w:numPr>
                    <w:spacing w:line="20" w:lineRule="atLeast"/>
                    <w:ind w:right="28"/>
                    <w:jc w:val="left"/>
                    <w:rPr>
                      <w:szCs w:val="24"/>
                    </w:rPr>
                  </w:pPr>
                  <w:r w:rsidRPr="00F049CD">
                    <w:t>Safety</w:t>
                  </w:r>
                </w:p>
              </w:tc>
              <w:tc>
                <w:tcPr>
                  <w:tcW w:w="2507" w:type="pct"/>
                </w:tcPr>
                <w:p w:rsidR="00F049CD" w:rsidRPr="00F049CD" w:rsidRDefault="00F049CD" w:rsidP="00D64AD8">
                  <w:pPr>
                    <w:pStyle w:val="TableBodyText"/>
                    <w:spacing w:line="20" w:lineRule="atLeast"/>
                    <w:ind w:right="28"/>
                    <w:jc w:val="left"/>
                    <w:rPr>
                      <w:i/>
                    </w:rPr>
                  </w:pPr>
                  <w:r w:rsidRPr="00F049CD">
                    <w:t>7. Carers</w:t>
                  </w:r>
                </w:p>
              </w:tc>
            </w:tr>
            <w:tr w:rsidR="00F049CD" w:rsidRPr="006B6830" w:rsidTr="00D64AD8">
              <w:tc>
                <w:tcPr>
                  <w:tcW w:w="2493" w:type="pct"/>
                </w:tcPr>
                <w:p w:rsidR="00F049CD" w:rsidRPr="00F049CD" w:rsidRDefault="00F049CD" w:rsidP="00D64AD8">
                  <w:pPr>
                    <w:pStyle w:val="TableBodyText"/>
                    <w:numPr>
                      <w:ilvl w:val="0"/>
                      <w:numId w:val="50"/>
                    </w:numPr>
                    <w:spacing w:line="20" w:lineRule="atLeast"/>
                    <w:ind w:right="28"/>
                    <w:jc w:val="left"/>
                    <w:rPr>
                      <w:szCs w:val="24"/>
                    </w:rPr>
                  </w:pPr>
                  <w:r w:rsidRPr="00F049CD">
                    <w:t>Consumer and carer participation</w:t>
                  </w:r>
                </w:p>
              </w:tc>
              <w:tc>
                <w:tcPr>
                  <w:tcW w:w="2507" w:type="pct"/>
                </w:tcPr>
                <w:p w:rsidR="00F049CD" w:rsidRPr="00F049CD" w:rsidRDefault="00F049CD" w:rsidP="00D64AD8">
                  <w:pPr>
                    <w:pStyle w:val="TableBodyText"/>
                    <w:spacing w:line="20" w:lineRule="atLeast"/>
                    <w:ind w:right="28"/>
                    <w:jc w:val="left"/>
                    <w:rPr>
                      <w:i/>
                    </w:rPr>
                  </w:pPr>
                  <w:r w:rsidRPr="00F049CD">
                    <w:t>8. Governance, leadership and management</w:t>
                  </w:r>
                </w:p>
              </w:tc>
            </w:tr>
            <w:tr w:rsidR="00F049CD" w:rsidRPr="006B6830" w:rsidTr="00D64AD8">
              <w:tc>
                <w:tcPr>
                  <w:tcW w:w="2493" w:type="pct"/>
                </w:tcPr>
                <w:p w:rsidR="00F049CD" w:rsidRPr="00F049CD" w:rsidRDefault="00F049CD" w:rsidP="00D64AD8">
                  <w:pPr>
                    <w:pStyle w:val="TableBodyText"/>
                    <w:numPr>
                      <w:ilvl w:val="0"/>
                      <w:numId w:val="50"/>
                    </w:numPr>
                    <w:spacing w:line="20" w:lineRule="atLeast"/>
                    <w:ind w:right="28"/>
                    <w:jc w:val="left"/>
                    <w:rPr>
                      <w:szCs w:val="24"/>
                    </w:rPr>
                  </w:pPr>
                  <w:r w:rsidRPr="00F049CD">
                    <w:t>Diversity responsiveness</w:t>
                  </w:r>
                </w:p>
              </w:tc>
              <w:tc>
                <w:tcPr>
                  <w:tcW w:w="2507" w:type="pct"/>
                </w:tcPr>
                <w:p w:rsidR="00F049CD" w:rsidRPr="00D64AD8" w:rsidRDefault="00F049CD" w:rsidP="00D64AD8">
                  <w:pPr>
                    <w:pStyle w:val="TableBodyText"/>
                    <w:spacing w:line="20" w:lineRule="atLeast"/>
                    <w:ind w:right="28"/>
                    <w:jc w:val="left"/>
                  </w:pPr>
                  <w:r w:rsidRPr="00D64AD8">
                    <w:t>9. Integration</w:t>
                  </w:r>
                </w:p>
              </w:tc>
            </w:tr>
            <w:tr w:rsidR="00F049CD" w:rsidRPr="006B6830" w:rsidTr="00D64AD8">
              <w:trPr>
                <w:trHeight w:val="346"/>
              </w:trPr>
              <w:tc>
                <w:tcPr>
                  <w:tcW w:w="2493" w:type="pct"/>
                </w:tcPr>
                <w:p w:rsidR="00F049CD" w:rsidRPr="00F049CD" w:rsidRDefault="00F049CD" w:rsidP="00D64AD8">
                  <w:pPr>
                    <w:pStyle w:val="TableBodyText"/>
                    <w:numPr>
                      <w:ilvl w:val="0"/>
                      <w:numId w:val="50"/>
                    </w:numPr>
                    <w:spacing w:line="20" w:lineRule="atLeast"/>
                    <w:ind w:right="28"/>
                    <w:jc w:val="left"/>
                    <w:rPr>
                      <w:szCs w:val="24"/>
                    </w:rPr>
                  </w:pPr>
                  <w:r w:rsidRPr="00F049CD">
                    <w:t>Promotion and prevention</w:t>
                  </w:r>
                </w:p>
              </w:tc>
              <w:tc>
                <w:tcPr>
                  <w:tcW w:w="2507" w:type="pct"/>
                </w:tcPr>
                <w:p w:rsidR="00F049CD" w:rsidRPr="00D64AD8" w:rsidRDefault="00F049CD" w:rsidP="00D64AD8">
                  <w:pPr>
                    <w:pStyle w:val="TableBodyText"/>
                    <w:spacing w:line="20" w:lineRule="atLeast"/>
                    <w:ind w:right="28"/>
                    <w:jc w:val="left"/>
                  </w:pPr>
                  <w:r w:rsidRPr="00D64AD8">
                    <w:t>10. Delivery of care</w:t>
                  </w:r>
                </w:p>
              </w:tc>
            </w:tr>
          </w:tbl>
          <w:p w:rsidR="00BD3A10" w:rsidRDefault="00BD3A10" w:rsidP="00D64AD8">
            <w:pPr>
              <w:pStyle w:val="BoxSpaceBelow"/>
              <w:rPr>
                <w:szCs w:val="24"/>
              </w:rPr>
            </w:pPr>
          </w:p>
        </w:tc>
      </w:tr>
      <w:tr w:rsidR="00BD3A10" w:rsidTr="005A5A21">
        <w:trPr>
          <w:cantSplit/>
        </w:trPr>
        <w:tc>
          <w:tcPr>
            <w:tcW w:w="8771" w:type="dxa"/>
            <w:tcBorders>
              <w:top w:val="nil"/>
              <w:left w:val="nil"/>
              <w:bottom w:val="nil"/>
              <w:right w:val="nil"/>
            </w:tcBorders>
            <w:shd w:val="clear" w:color="auto" w:fill="F2F2F2"/>
          </w:tcPr>
          <w:p w:rsidR="00BD3A10" w:rsidRDefault="00BD3A10" w:rsidP="00E16CB8">
            <w:pPr>
              <w:pStyle w:val="BoxSource"/>
              <w:rPr>
                <w:i/>
              </w:rPr>
            </w:pPr>
            <w:r w:rsidRPr="00BD3A10">
              <w:rPr>
                <w:i/>
              </w:rPr>
              <w:t>Source</w:t>
            </w:r>
            <w:r w:rsidRPr="0022260C">
              <w:t>:</w:t>
            </w:r>
            <w:r w:rsidRPr="00BD3A10">
              <w:rPr>
                <w:i/>
              </w:rPr>
              <w:t xml:space="preserve"> </w:t>
            </w:r>
            <w:r w:rsidR="00540ED4" w:rsidRPr="00540ED4">
              <w:t xml:space="preserve">Australian Health Ministers’ Conference </w:t>
            </w:r>
            <w:r w:rsidR="00540ED4">
              <w:t>(</w:t>
            </w:r>
            <w:r w:rsidR="00540ED4" w:rsidRPr="00540ED4">
              <w:t>2010</w:t>
            </w:r>
            <w:r w:rsidR="00540ED4">
              <w:t>)</w:t>
            </w:r>
            <w:r w:rsidR="00540ED4" w:rsidRPr="00540ED4">
              <w:t xml:space="preserve"> </w:t>
            </w:r>
            <w:r w:rsidR="00540ED4" w:rsidRPr="00540ED4">
              <w:rPr>
                <w:i/>
              </w:rPr>
              <w:t>National Standards for Mental Health Services</w:t>
            </w:r>
            <w:r w:rsidR="00E16CB8">
              <w:rPr>
                <w:i/>
              </w:rPr>
              <w:t> </w:t>
            </w:r>
            <w:r w:rsidR="00540ED4" w:rsidRPr="00540ED4">
              <w:rPr>
                <w:i/>
              </w:rPr>
              <w:t>2010</w:t>
            </w:r>
            <w:r w:rsidR="00540ED4" w:rsidRPr="00540ED4">
              <w:t>, Canberra.</w:t>
            </w:r>
          </w:p>
        </w:tc>
      </w:tr>
      <w:tr w:rsidR="00BD3A10" w:rsidTr="005A5A21">
        <w:trPr>
          <w:cantSplit/>
        </w:trPr>
        <w:tc>
          <w:tcPr>
            <w:tcW w:w="8771" w:type="dxa"/>
            <w:tcBorders>
              <w:top w:val="nil"/>
              <w:left w:val="nil"/>
              <w:bottom w:val="single" w:sz="6" w:space="0" w:color="78A22F"/>
              <w:right w:val="nil"/>
            </w:tcBorders>
            <w:shd w:val="clear" w:color="auto" w:fill="F2F2F2"/>
          </w:tcPr>
          <w:p w:rsidR="00BD3A10" w:rsidRDefault="00BD3A10">
            <w:pPr>
              <w:pStyle w:val="Box"/>
              <w:spacing w:before="0" w:line="120" w:lineRule="exact"/>
            </w:pPr>
          </w:p>
        </w:tc>
      </w:tr>
      <w:tr w:rsidR="00BD3A10" w:rsidRPr="000863A5" w:rsidTr="005A5A21">
        <w:tc>
          <w:tcPr>
            <w:tcW w:w="8771" w:type="dxa"/>
            <w:tcBorders>
              <w:top w:val="single" w:sz="6" w:space="0" w:color="78A22F"/>
              <w:left w:val="nil"/>
              <w:bottom w:val="nil"/>
              <w:right w:val="nil"/>
            </w:tcBorders>
          </w:tcPr>
          <w:p w:rsidR="00BD3A10" w:rsidRPr="00626D32" w:rsidRDefault="00BD3A10" w:rsidP="00D71789">
            <w:pPr>
              <w:pStyle w:val="BoxSpaceBelow"/>
              <w:spacing w:after="0"/>
              <w:rPr>
                <w:i/>
              </w:rPr>
            </w:pPr>
          </w:p>
        </w:tc>
      </w:tr>
    </w:tbl>
    <w:p w:rsidR="00396578" w:rsidRDefault="00396578" w:rsidP="00D64AD8">
      <w:pPr>
        <w:pStyle w:val="BodyText"/>
      </w:pPr>
      <w:r w:rsidRPr="00BD3A10">
        <w:t>Figure</w:t>
      </w:r>
      <w:r>
        <w:t> </w:t>
      </w:r>
      <w:r w:rsidRPr="00BD3A10">
        <w:t>12.1</w:t>
      </w:r>
      <w:r>
        <w:t>6</w:t>
      </w:r>
      <w:r w:rsidRPr="00BD3A10">
        <w:t xml:space="preserve"> shows the proportion of expenditure on specialised public mental health services that had completed an external review against the </w:t>
      </w:r>
      <w:proofErr w:type="spellStart"/>
      <w:r w:rsidRPr="00BD3A10">
        <w:t>NSMHS</w:t>
      </w:r>
      <w:proofErr w:type="spellEnd"/>
      <w:r w:rsidRPr="00BD3A10">
        <w:t xml:space="preserve"> and</w:t>
      </w:r>
      <w:r w:rsidR="00463329">
        <w:t xml:space="preserve"> </w:t>
      </w:r>
      <w:r>
        <w:t xml:space="preserve">met </w:t>
      </w:r>
      <w:r w:rsidRPr="00BD3A10">
        <w:t>‘all standards’ (level 1</w:t>
      </w:r>
      <w:r>
        <w:t>)</w:t>
      </w:r>
      <w:r w:rsidRPr="00BD3A10">
        <w:t>.</w:t>
      </w:r>
    </w:p>
    <w:p w:rsidR="00BD3A10" w:rsidRDefault="00BD3A10" w:rsidP="005A5A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3A10" w:rsidTr="005A5A21">
        <w:tc>
          <w:tcPr>
            <w:tcW w:w="8771" w:type="dxa"/>
            <w:tcBorders>
              <w:top w:val="single" w:sz="6" w:space="0" w:color="78A22F"/>
              <w:left w:val="nil"/>
              <w:bottom w:val="nil"/>
              <w:right w:val="nil"/>
            </w:tcBorders>
            <w:shd w:val="clear" w:color="auto" w:fill="auto"/>
          </w:tcPr>
          <w:p w:rsidR="00BD3A10" w:rsidRPr="00176D3F" w:rsidRDefault="00BD3A10" w:rsidP="00817AAC">
            <w:pPr>
              <w:pStyle w:val="FigureTitle"/>
            </w:pPr>
            <w:r w:rsidRPr="00784A05">
              <w:rPr>
                <w:b w:val="0"/>
              </w:rPr>
              <w:t xml:space="preserve">Figure </w:t>
            </w:r>
            <w:r w:rsidR="006E75F6">
              <w:rPr>
                <w:b w:val="0"/>
              </w:rPr>
              <w:t>12.</w:t>
            </w:r>
            <w:r w:rsidR="00833D26">
              <w:rPr>
                <w:b w:val="0"/>
                <w:noProof/>
              </w:rPr>
              <w:t>16</w:t>
            </w:r>
            <w:r>
              <w:tab/>
              <w:t xml:space="preserve">Share of expenditure on specialised public mental health services reviewed against the </w:t>
            </w:r>
            <w:proofErr w:type="spellStart"/>
            <w:r>
              <w:t>NSMHS</w:t>
            </w:r>
            <w:proofErr w:type="spellEnd"/>
            <w:r>
              <w:t>, by assessment level, 30</w:t>
            </w:r>
            <w:r w:rsidR="00463329">
              <w:t> </w:t>
            </w:r>
            <w:r>
              <w:t xml:space="preserve">June </w:t>
            </w:r>
            <w:r w:rsidR="00D903E8">
              <w:t>2014</w:t>
            </w:r>
            <w:r w:rsidR="00D903E8" w:rsidRPr="00BD3A10">
              <w:rPr>
                <w:rStyle w:val="NoteLabel"/>
                <w:b/>
              </w:rPr>
              <w:t>a</w:t>
            </w:r>
          </w:p>
        </w:tc>
      </w:tr>
      <w:tr w:rsidR="00BD3A10" w:rsidTr="00FB2EE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D3A10" w:rsidTr="005A5A21">
              <w:trPr>
                <w:jc w:val="center"/>
              </w:trPr>
              <w:tc>
                <w:tcPr>
                  <w:tcW w:w="5000" w:type="pct"/>
                  <w:tcBorders>
                    <w:top w:val="nil"/>
                    <w:bottom w:val="nil"/>
                  </w:tcBorders>
                </w:tcPr>
                <w:p w:rsidR="00BD3A10" w:rsidRDefault="001B7B09" w:rsidP="005A5A21">
                  <w:pPr>
                    <w:pStyle w:val="Figure"/>
                    <w:spacing w:before="60" w:after="60"/>
                  </w:pPr>
                  <w:r>
                    <w:rPr>
                      <w:noProof/>
                    </w:rPr>
                    <w:drawing>
                      <wp:inline distT="0" distB="0" distL="0" distR="0">
                        <wp:extent cx="5353050" cy="2695575"/>
                        <wp:effectExtent l="0" t="0" r="0" b="9525"/>
                        <wp:docPr id="18" name="Picture 18" descr="Figure 12.16 Share of expenditure on specialised public mental health services reviewed against the NSMHS, by assessment level, 30 Jun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53050" cy="2695575"/>
                                </a:xfrm>
                                <a:prstGeom prst="rect">
                                  <a:avLst/>
                                </a:prstGeom>
                                <a:noFill/>
                                <a:ln>
                                  <a:noFill/>
                                </a:ln>
                              </pic:spPr>
                            </pic:pic>
                          </a:graphicData>
                        </a:graphic>
                      </wp:inline>
                    </w:drawing>
                  </w:r>
                </w:p>
              </w:tc>
            </w:tr>
          </w:tbl>
          <w:p w:rsidR="00BD3A10" w:rsidRDefault="00BD3A10" w:rsidP="005A5A21">
            <w:pPr>
              <w:pStyle w:val="Figure"/>
            </w:pPr>
          </w:p>
        </w:tc>
      </w:tr>
      <w:tr w:rsidR="00BD3A10" w:rsidRPr="00176D3F" w:rsidTr="005A5A21">
        <w:tc>
          <w:tcPr>
            <w:tcW w:w="8771" w:type="dxa"/>
            <w:tcBorders>
              <w:top w:val="nil"/>
              <w:left w:val="nil"/>
              <w:bottom w:val="nil"/>
              <w:right w:val="nil"/>
            </w:tcBorders>
            <w:shd w:val="clear" w:color="auto" w:fill="auto"/>
          </w:tcPr>
          <w:p w:rsidR="00BD3A10" w:rsidRPr="00176D3F" w:rsidRDefault="00BD3A10" w:rsidP="006975D4">
            <w:pPr>
              <w:pStyle w:val="Note"/>
            </w:pPr>
            <w:r>
              <w:rPr>
                <w:rStyle w:val="NoteLabel"/>
              </w:rPr>
              <w:t>a</w:t>
            </w:r>
            <w:r>
              <w:t xml:space="preserve"> </w:t>
            </w:r>
            <w:r w:rsidR="00F86525" w:rsidRPr="00F86525">
              <w:t>See</w:t>
            </w:r>
            <w:r w:rsidR="00600FB4">
              <w:t xml:space="preserve"> box</w:t>
            </w:r>
            <w:r w:rsidR="00463329">
              <w:t> </w:t>
            </w:r>
            <w:r w:rsidR="00600FB4">
              <w:t>12.6 and</w:t>
            </w:r>
            <w:r w:rsidR="00F86525" w:rsidRPr="00F86525">
              <w:t xml:space="preserve"> table</w:t>
            </w:r>
            <w:r w:rsidR="00463329">
              <w:t> </w:t>
            </w:r>
            <w:proofErr w:type="spellStart"/>
            <w:r w:rsidR="00F86525" w:rsidRPr="00F86525">
              <w:t>12A.4</w:t>
            </w:r>
            <w:r w:rsidR="006975D4">
              <w:t>8</w:t>
            </w:r>
            <w:proofErr w:type="spellEnd"/>
            <w:r w:rsidR="006975D4">
              <w:t xml:space="preserve"> </w:t>
            </w:r>
            <w:r w:rsidR="00871F08" w:rsidRPr="00871F08">
              <w:t>for detailed definitions, footnotes and caveats</w:t>
            </w:r>
            <w:r w:rsidR="00F86525" w:rsidRPr="00F86525">
              <w:t xml:space="preserve">. </w:t>
            </w:r>
          </w:p>
        </w:tc>
      </w:tr>
      <w:tr w:rsidR="00BD3A10" w:rsidRPr="00176D3F" w:rsidTr="005A5A21">
        <w:tc>
          <w:tcPr>
            <w:tcW w:w="8771" w:type="dxa"/>
            <w:tcBorders>
              <w:top w:val="nil"/>
              <w:left w:val="nil"/>
              <w:bottom w:val="nil"/>
              <w:right w:val="nil"/>
            </w:tcBorders>
            <w:shd w:val="clear" w:color="auto" w:fill="auto"/>
          </w:tcPr>
          <w:p w:rsidR="00BD3A10" w:rsidRPr="00176D3F" w:rsidRDefault="002C5F6A" w:rsidP="006975D4">
            <w:pPr>
              <w:pStyle w:val="Source"/>
            </w:pPr>
            <w:r w:rsidRPr="002C5F6A">
              <w:rPr>
                <w:i/>
              </w:rPr>
              <w:t>Source</w:t>
            </w:r>
            <w:r w:rsidRPr="002C5F6A">
              <w:t xml:space="preserve">: AIHW (unpublished) </w:t>
            </w:r>
            <w:proofErr w:type="spellStart"/>
            <w:r w:rsidRPr="002C5F6A">
              <w:t>MHE</w:t>
            </w:r>
            <w:proofErr w:type="spellEnd"/>
            <w:r w:rsidRPr="002C5F6A">
              <w:t xml:space="preserve"> </w:t>
            </w:r>
            <w:proofErr w:type="spellStart"/>
            <w:r w:rsidRPr="002C5F6A">
              <w:t>NMDS</w:t>
            </w:r>
            <w:proofErr w:type="spellEnd"/>
            <w:r w:rsidRPr="002C5F6A">
              <w:t>; table</w:t>
            </w:r>
            <w:r w:rsidR="0022260C">
              <w:t> </w:t>
            </w:r>
            <w:proofErr w:type="spellStart"/>
            <w:r w:rsidRPr="002C5F6A">
              <w:t>12A.</w:t>
            </w:r>
            <w:r w:rsidR="002501B5">
              <w:t>4</w:t>
            </w:r>
            <w:r w:rsidR="006975D4">
              <w:t>8</w:t>
            </w:r>
            <w:proofErr w:type="spellEnd"/>
            <w:r w:rsidRPr="002C5F6A">
              <w:t>.</w:t>
            </w:r>
          </w:p>
        </w:tc>
      </w:tr>
      <w:tr w:rsidR="00BD3A10" w:rsidTr="005A5A21">
        <w:tc>
          <w:tcPr>
            <w:tcW w:w="8771" w:type="dxa"/>
            <w:tcBorders>
              <w:top w:val="nil"/>
              <w:left w:val="nil"/>
              <w:bottom w:val="single" w:sz="6" w:space="0" w:color="78A22F"/>
              <w:right w:val="nil"/>
            </w:tcBorders>
            <w:shd w:val="clear" w:color="auto" w:fill="auto"/>
          </w:tcPr>
          <w:p w:rsidR="00BD3A10" w:rsidRDefault="00BD3A10" w:rsidP="005A5A21">
            <w:pPr>
              <w:pStyle w:val="Figurespace"/>
            </w:pPr>
          </w:p>
        </w:tc>
      </w:tr>
      <w:tr w:rsidR="00BD3A10" w:rsidRPr="000863A5" w:rsidTr="005A5A21">
        <w:tc>
          <w:tcPr>
            <w:tcW w:w="8771" w:type="dxa"/>
            <w:tcBorders>
              <w:top w:val="single" w:sz="6" w:space="0" w:color="78A22F"/>
              <w:left w:val="nil"/>
              <w:bottom w:val="nil"/>
              <w:right w:val="nil"/>
            </w:tcBorders>
          </w:tcPr>
          <w:p w:rsidR="00BD3A10" w:rsidRPr="00626D32" w:rsidRDefault="00BD3A10" w:rsidP="005A5A21">
            <w:pPr>
              <w:pStyle w:val="BoxSpaceBelow"/>
            </w:pPr>
          </w:p>
        </w:tc>
      </w:tr>
    </w:tbl>
    <w:p w:rsidR="005C3013" w:rsidRDefault="0066539A" w:rsidP="005C3013">
      <w:pPr>
        <w:pStyle w:val="Heading4"/>
      </w:pPr>
      <w:r>
        <w:t>A</w:t>
      </w:r>
      <w:r w:rsidR="005C3013">
        <w:t>ppropriateness — services provided in the appropriate setting</w:t>
      </w:r>
    </w:p>
    <w:p w:rsidR="009D30C4" w:rsidRDefault="005C3013" w:rsidP="002315C6">
      <w:pPr>
        <w:pStyle w:val="BodyText"/>
      </w:pPr>
      <w:r>
        <w:t>‘Services provided in the appropriate setting’ is an indicator of governments’ objective to provide mental health services in community</w:t>
      </w:r>
      <w:r w:rsidR="007F3961">
        <w:noBreakHyphen/>
      </w:r>
      <w:r>
        <w:t>based settings wherever possible (box</w:t>
      </w:r>
      <w:r w:rsidR="0022260C">
        <w:t> </w:t>
      </w:r>
      <w:r>
        <w:t>12.</w:t>
      </w:r>
      <w:r w:rsidR="00817AAC">
        <w:t>8</w:t>
      </w:r>
      <w:r>
        <w:t>).</w:t>
      </w:r>
      <w:r w:rsidR="00396578">
        <w:t xml:space="preserve"> </w:t>
      </w:r>
    </w:p>
    <w:p w:rsidR="007862CE" w:rsidRDefault="007862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862CE" w:rsidTr="00D47EA9">
        <w:tc>
          <w:tcPr>
            <w:tcW w:w="8771" w:type="dxa"/>
            <w:tcBorders>
              <w:top w:val="single" w:sz="6" w:space="0" w:color="78A22F"/>
              <w:left w:val="nil"/>
              <w:bottom w:val="nil"/>
              <w:right w:val="nil"/>
            </w:tcBorders>
            <w:shd w:val="clear" w:color="auto" w:fill="F2F2F2"/>
          </w:tcPr>
          <w:p w:rsidR="007862CE" w:rsidRDefault="007862CE" w:rsidP="00D47EA9">
            <w:pPr>
              <w:pStyle w:val="BoxTitle"/>
              <w:rPr>
                <w:i/>
              </w:rPr>
            </w:pPr>
            <w:r>
              <w:rPr>
                <w:b w:val="0"/>
              </w:rPr>
              <w:t xml:space="preserve">Box </w:t>
            </w:r>
            <w:r w:rsidR="00D47EA9">
              <w:rPr>
                <w:b w:val="0"/>
              </w:rPr>
              <w:t>12.</w:t>
            </w:r>
            <w:r w:rsidR="00833D26">
              <w:rPr>
                <w:b w:val="0"/>
                <w:noProof/>
              </w:rPr>
              <w:t>8</w:t>
            </w:r>
            <w:r>
              <w:tab/>
            </w:r>
            <w:r w:rsidRPr="005C3013">
              <w:t>Services provided in the appropriate setting</w:t>
            </w:r>
            <w:r>
              <w:t xml:space="preserve"> </w:t>
            </w:r>
          </w:p>
        </w:tc>
      </w:tr>
      <w:tr w:rsidR="007862CE" w:rsidTr="00D47EA9">
        <w:trPr>
          <w:cantSplit/>
        </w:trPr>
        <w:tc>
          <w:tcPr>
            <w:tcW w:w="8771" w:type="dxa"/>
            <w:tcBorders>
              <w:top w:val="nil"/>
              <w:left w:val="nil"/>
              <w:bottom w:val="nil"/>
              <w:right w:val="nil"/>
            </w:tcBorders>
            <w:shd w:val="clear" w:color="auto" w:fill="F2F2F2"/>
          </w:tcPr>
          <w:p w:rsidR="00263B04" w:rsidRDefault="007862CE">
            <w:pPr>
              <w:pStyle w:val="Box"/>
            </w:pPr>
            <w:r>
              <w:t xml:space="preserve">‘Services provided in the appropriate setting’ is defined as the proportion of State and Territory governments’ recurrent expenditure on specialised </w:t>
            </w:r>
            <w:r w:rsidR="00396578">
              <w:t xml:space="preserve">public </w:t>
            </w:r>
            <w:r>
              <w:t>mental health services that was on community</w:t>
            </w:r>
            <w:r>
              <w:noBreakHyphen/>
              <w:t>based services. Community</w:t>
            </w:r>
            <w:r>
              <w:noBreakHyphen/>
              <w:t xml:space="preserve">based services </w:t>
            </w:r>
            <w:r w:rsidR="006975D4">
              <w:t>expenditure comprises that on</w:t>
            </w:r>
            <w:r>
              <w:t xml:space="preserve"> ambulatory care</w:t>
            </w:r>
            <w:r w:rsidR="006975D4">
              <w:t xml:space="preserve">, </w:t>
            </w:r>
            <w:r>
              <w:t>adult residential services</w:t>
            </w:r>
            <w:r w:rsidR="00600FB4">
              <w:t>,</w:t>
            </w:r>
            <w:r>
              <w:t xml:space="preserve"> and </w:t>
            </w:r>
            <w:r w:rsidR="00A64644">
              <w:t>NGOs</w:t>
            </w:r>
            <w:r>
              <w:t xml:space="preserve">. </w:t>
            </w:r>
            <w:r w:rsidR="00263B04">
              <w:t>Older people’s</w:t>
            </w:r>
            <w:r w:rsidRPr="00DE57F7">
              <w:t xml:space="preserve"> residential expenditure </w:t>
            </w:r>
            <w:r>
              <w:t>is excluded to improve comparability.</w:t>
            </w:r>
          </w:p>
          <w:p w:rsidR="00052FA5" w:rsidRDefault="00052FA5">
            <w:pPr>
              <w:pStyle w:val="Box"/>
            </w:pPr>
            <w:r>
              <w:t>A high or increasing proportion of recurrent expenditure spent on community</w:t>
            </w:r>
            <w:r>
              <w:noBreakHyphen/>
              <w:t>based services is desirable, reflecting a greater reliance on services that are based in community settings.</w:t>
            </w:r>
          </w:p>
          <w:p w:rsidR="006975D4" w:rsidRDefault="006975D4" w:rsidP="006975D4">
            <w:pPr>
              <w:pStyle w:val="Box"/>
            </w:pPr>
            <w:r>
              <w:t>Data reported for this indicator are:</w:t>
            </w:r>
          </w:p>
          <w:p w:rsidR="006975D4" w:rsidRDefault="006975D4" w:rsidP="006975D4">
            <w:pPr>
              <w:pStyle w:val="BoxListBullet"/>
            </w:pPr>
            <w:r>
              <w:t>comparable (subject to caveats) across jurisdictions and over time</w:t>
            </w:r>
          </w:p>
          <w:p w:rsidR="006975D4" w:rsidRDefault="006975D4" w:rsidP="002245A4">
            <w:pPr>
              <w:pStyle w:val="BoxListBullet"/>
            </w:pPr>
            <w:r>
              <w:t xml:space="preserve">complete </w:t>
            </w:r>
            <w:r w:rsidR="002245A4">
              <w:t>(subject to caveats)</w:t>
            </w:r>
            <w:r w:rsidR="002245A4" w:rsidRPr="002245A4">
              <w:t xml:space="preserve"> </w:t>
            </w:r>
            <w:r>
              <w:t>for the current repor</w:t>
            </w:r>
            <w:r w:rsidR="002245A4">
              <w:t>ting period</w:t>
            </w:r>
            <w:r>
              <w:t>. All required 2013</w:t>
            </w:r>
            <w:r>
              <w:noBreakHyphen/>
              <w:t>14 data are available for all jurisdictions</w:t>
            </w:r>
          </w:p>
          <w:p w:rsidR="006975D4" w:rsidRDefault="006975D4">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7862CE" w:rsidTr="00D47EA9">
        <w:trPr>
          <w:cantSplit/>
        </w:trPr>
        <w:tc>
          <w:tcPr>
            <w:tcW w:w="8771" w:type="dxa"/>
            <w:tcBorders>
              <w:top w:val="nil"/>
              <w:left w:val="nil"/>
              <w:bottom w:val="single" w:sz="6" w:space="0" w:color="78A22F"/>
              <w:right w:val="nil"/>
            </w:tcBorders>
            <w:shd w:val="clear" w:color="auto" w:fill="F2F2F2"/>
          </w:tcPr>
          <w:p w:rsidR="007862CE" w:rsidRDefault="007862CE">
            <w:pPr>
              <w:pStyle w:val="Box"/>
              <w:spacing w:before="0" w:line="120" w:lineRule="exact"/>
            </w:pPr>
          </w:p>
        </w:tc>
      </w:tr>
      <w:tr w:rsidR="007862CE" w:rsidRPr="000863A5" w:rsidTr="00D47EA9">
        <w:tc>
          <w:tcPr>
            <w:tcW w:w="8771" w:type="dxa"/>
            <w:tcBorders>
              <w:top w:val="single" w:sz="6" w:space="0" w:color="78A22F"/>
              <w:left w:val="nil"/>
              <w:bottom w:val="nil"/>
              <w:right w:val="nil"/>
            </w:tcBorders>
          </w:tcPr>
          <w:p w:rsidR="007862CE" w:rsidRPr="00626D32" w:rsidRDefault="007862CE" w:rsidP="00D47EA9">
            <w:pPr>
              <w:pStyle w:val="BoxSpaceBelow"/>
            </w:pPr>
          </w:p>
        </w:tc>
      </w:tr>
    </w:tbl>
    <w:p w:rsidR="005C3013" w:rsidRDefault="00396578" w:rsidP="002315C6">
      <w:pPr>
        <w:pStyle w:val="BodyText"/>
      </w:pPr>
      <w:r>
        <w:t>State and Territory governments</w:t>
      </w:r>
      <w:r w:rsidR="007913AF">
        <w:t>’</w:t>
      </w:r>
      <w:r>
        <w:t xml:space="preserve"> expenditure</w:t>
      </w:r>
      <w:r w:rsidR="00263B04">
        <w:t xml:space="preserve"> on community</w:t>
      </w:r>
      <w:r w:rsidR="00263B04">
        <w:noBreakHyphen/>
        <w:t>based services as a proportion of total expenditure on specialised mental health services</w:t>
      </w:r>
      <w:r w:rsidR="006975D4">
        <w:t xml:space="preserve"> has remained stable over time</w:t>
      </w:r>
      <w:r w:rsidR="003566BA">
        <w:t xml:space="preserve"> (figure</w:t>
      </w:r>
      <w:r w:rsidR="007913AF">
        <w:t> </w:t>
      </w:r>
      <w:r w:rsidR="003566BA">
        <w:t>12.17).</w:t>
      </w:r>
    </w:p>
    <w:p w:rsidR="005C3013" w:rsidRDefault="005C3013" w:rsidP="00D71789">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Tr="005673E9">
        <w:tc>
          <w:tcPr>
            <w:tcW w:w="8771" w:type="dxa"/>
            <w:tcBorders>
              <w:top w:val="single" w:sz="6" w:space="0" w:color="78A22F"/>
              <w:left w:val="nil"/>
              <w:bottom w:val="nil"/>
              <w:right w:val="nil"/>
            </w:tcBorders>
            <w:shd w:val="clear" w:color="auto" w:fill="FFFFFF" w:themeFill="background1"/>
          </w:tcPr>
          <w:p w:rsidR="005C3013" w:rsidRPr="00176D3F" w:rsidRDefault="005C3013" w:rsidP="00052FA5">
            <w:pPr>
              <w:pStyle w:val="FigureTitle"/>
            </w:pPr>
            <w:r w:rsidRPr="00784A05">
              <w:rPr>
                <w:b w:val="0"/>
              </w:rPr>
              <w:t xml:space="preserve">Figure </w:t>
            </w:r>
            <w:r w:rsidR="003566BA">
              <w:rPr>
                <w:b w:val="0"/>
              </w:rPr>
              <w:t>12.</w:t>
            </w:r>
            <w:r w:rsidR="00833D26">
              <w:rPr>
                <w:b w:val="0"/>
                <w:noProof/>
              </w:rPr>
              <w:t>17</w:t>
            </w:r>
            <w:r>
              <w:tab/>
            </w:r>
            <w:r w:rsidR="00052FA5" w:rsidRPr="007862CE">
              <w:t xml:space="preserve">State and Territory governments’ </w:t>
            </w:r>
            <w:r w:rsidR="00052FA5">
              <w:t>e</w:t>
            </w:r>
            <w:r w:rsidRPr="005C3013">
              <w:t>xpenditure on community</w:t>
            </w:r>
            <w:r>
              <w:noBreakHyphen/>
            </w:r>
            <w:r w:rsidRPr="005C3013">
              <w:t>based services as a proportion of total expenditure on specialised mental health services</w:t>
            </w:r>
            <w:r w:rsidRPr="005C3013">
              <w:rPr>
                <w:rStyle w:val="NoteLabel"/>
                <w:b/>
              </w:rPr>
              <w:t>a</w:t>
            </w:r>
          </w:p>
        </w:tc>
      </w:tr>
      <w:tr w:rsidR="005C3013" w:rsidTr="00FB2EE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013" w:rsidTr="00FB2EEE">
              <w:trPr>
                <w:jc w:val="center"/>
              </w:trPr>
              <w:tc>
                <w:tcPr>
                  <w:tcW w:w="5000" w:type="pct"/>
                  <w:tcBorders>
                    <w:top w:val="nil"/>
                    <w:bottom w:val="nil"/>
                    <w:right w:val="nil"/>
                  </w:tcBorders>
                  <w:shd w:val="clear" w:color="auto" w:fill="FFFFFF" w:themeFill="background1"/>
                </w:tcPr>
                <w:p w:rsidR="005C3013" w:rsidRDefault="001B7B09" w:rsidP="005A5A21">
                  <w:pPr>
                    <w:pStyle w:val="Figure"/>
                    <w:spacing w:before="60" w:after="60"/>
                  </w:pPr>
                  <w:r>
                    <w:rPr>
                      <w:noProof/>
                    </w:rPr>
                    <w:drawing>
                      <wp:inline distT="0" distB="0" distL="0" distR="0">
                        <wp:extent cx="5276850" cy="2686050"/>
                        <wp:effectExtent l="0" t="0" r="0" b="0"/>
                        <wp:docPr id="19" name="Picture 19" descr="Figure 12.17 State and Territory governments’ expenditure on community-based services as a proportion of total expenditure on specialised mental health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76850" cy="2686050"/>
                                </a:xfrm>
                                <a:prstGeom prst="rect">
                                  <a:avLst/>
                                </a:prstGeom>
                                <a:noFill/>
                                <a:ln>
                                  <a:noFill/>
                                </a:ln>
                              </pic:spPr>
                            </pic:pic>
                          </a:graphicData>
                        </a:graphic>
                      </wp:inline>
                    </w:drawing>
                  </w:r>
                </w:p>
              </w:tc>
            </w:tr>
          </w:tbl>
          <w:p w:rsidR="005C3013" w:rsidRDefault="005C3013" w:rsidP="005A5A21">
            <w:pPr>
              <w:pStyle w:val="Figure"/>
            </w:pPr>
          </w:p>
        </w:tc>
      </w:tr>
      <w:tr w:rsidR="005C3013" w:rsidRPr="00176D3F" w:rsidTr="005673E9">
        <w:tc>
          <w:tcPr>
            <w:tcW w:w="8771" w:type="dxa"/>
            <w:tcBorders>
              <w:top w:val="nil"/>
              <w:left w:val="nil"/>
              <w:bottom w:val="nil"/>
              <w:right w:val="nil"/>
            </w:tcBorders>
            <w:shd w:val="clear" w:color="auto" w:fill="FFFFFF" w:themeFill="background1"/>
          </w:tcPr>
          <w:p w:rsidR="005C3013" w:rsidRPr="00176D3F" w:rsidRDefault="007862CE" w:rsidP="00D71789">
            <w:pPr>
              <w:pStyle w:val="Note"/>
              <w:rPr>
                <w:i/>
              </w:rPr>
            </w:pPr>
            <w:r w:rsidRPr="007862CE">
              <w:rPr>
                <w:rStyle w:val="NoteLabel"/>
              </w:rPr>
              <w:t xml:space="preserve">a </w:t>
            </w:r>
            <w:r w:rsidRPr="00D71789">
              <w:t xml:space="preserve">See </w:t>
            </w:r>
            <w:r w:rsidR="00600FB4">
              <w:t>box</w:t>
            </w:r>
            <w:r w:rsidR="00463329">
              <w:t> </w:t>
            </w:r>
            <w:r w:rsidR="00600FB4">
              <w:t xml:space="preserve">12.8 and </w:t>
            </w:r>
            <w:r w:rsidRPr="00D71789">
              <w:t>table</w:t>
            </w:r>
            <w:r w:rsidR="00463329">
              <w:t> </w:t>
            </w:r>
            <w:proofErr w:type="spellStart"/>
            <w:r w:rsidRPr="00D71789">
              <w:t>12A.4</w:t>
            </w:r>
            <w:r w:rsidR="003566BA">
              <w:t>9</w:t>
            </w:r>
            <w:proofErr w:type="spellEnd"/>
            <w:r w:rsidRPr="00D71789">
              <w:t xml:space="preserve"> </w:t>
            </w:r>
            <w:r w:rsidR="00871F08" w:rsidRPr="00871F08">
              <w:t>for detailed definitions, footnotes and caveats</w:t>
            </w:r>
            <w:r w:rsidR="005C3013" w:rsidRPr="005C3013">
              <w:t xml:space="preserve">. </w:t>
            </w:r>
          </w:p>
        </w:tc>
      </w:tr>
      <w:tr w:rsidR="005C3013" w:rsidRPr="00176D3F" w:rsidTr="005A5A21">
        <w:tc>
          <w:tcPr>
            <w:tcW w:w="8771" w:type="dxa"/>
            <w:tcBorders>
              <w:top w:val="nil"/>
              <w:left w:val="nil"/>
              <w:bottom w:val="nil"/>
              <w:right w:val="nil"/>
            </w:tcBorders>
            <w:shd w:val="clear" w:color="auto" w:fill="auto"/>
          </w:tcPr>
          <w:p w:rsidR="005C3013" w:rsidRPr="00176D3F" w:rsidRDefault="005C3013" w:rsidP="003566BA">
            <w:pPr>
              <w:pStyle w:val="Source"/>
            </w:pPr>
            <w:r w:rsidRPr="005C3013">
              <w:rPr>
                <w:i/>
              </w:rPr>
              <w:t>Source</w:t>
            </w:r>
            <w:r w:rsidRPr="005C3013">
              <w:t xml:space="preserve">: AIHW (unpublished) </w:t>
            </w:r>
            <w:proofErr w:type="spellStart"/>
            <w:r w:rsidRPr="005C3013">
              <w:t>MHE</w:t>
            </w:r>
            <w:proofErr w:type="spellEnd"/>
            <w:r w:rsidRPr="005C3013">
              <w:t xml:space="preserve"> </w:t>
            </w:r>
            <w:proofErr w:type="spellStart"/>
            <w:r w:rsidRPr="005C3013">
              <w:t>NMDS</w:t>
            </w:r>
            <w:proofErr w:type="spellEnd"/>
            <w:r w:rsidRPr="005C3013">
              <w:t>; table</w:t>
            </w:r>
            <w:r w:rsidR="0022260C">
              <w:t> </w:t>
            </w:r>
            <w:proofErr w:type="spellStart"/>
            <w:r w:rsidRPr="005C3013">
              <w:t>12A.</w:t>
            </w:r>
            <w:r w:rsidR="007F3961">
              <w:t>4</w:t>
            </w:r>
            <w:r w:rsidR="003566BA">
              <w:t>9</w:t>
            </w:r>
            <w:proofErr w:type="spellEnd"/>
            <w:r w:rsidRPr="005C3013">
              <w:t>.</w:t>
            </w:r>
          </w:p>
        </w:tc>
      </w:tr>
      <w:tr w:rsidR="005C3013" w:rsidTr="005A5A21">
        <w:tc>
          <w:tcPr>
            <w:tcW w:w="8771" w:type="dxa"/>
            <w:tcBorders>
              <w:top w:val="nil"/>
              <w:left w:val="nil"/>
              <w:bottom w:val="single" w:sz="6" w:space="0" w:color="78A22F"/>
              <w:right w:val="nil"/>
            </w:tcBorders>
            <w:shd w:val="clear" w:color="auto" w:fill="auto"/>
          </w:tcPr>
          <w:p w:rsidR="005C3013" w:rsidRDefault="005C3013" w:rsidP="005A5A21">
            <w:pPr>
              <w:pStyle w:val="Figurespace"/>
            </w:pPr>
          </w:p>
        </w:tc>
      </w:tr>
      <w:tr w:rsidR="005C3013" w:rsidRPr="000863A5" w:rsidTr="005A5A21">
        <w:tc>
          <w:tcPr>
            <w:tcW w:w="8771" w:type="dxa"/>
            <w:tcBorders>
              <w:top w:val="single" w:sz="6" w:space="0" w:color="78A22F"/>
              <w:left w:val="nil"/>
              <w:bottom w:val="nil"/>
              <w:right w:val="nil"/>
            </w:tcBorders>
          </w:tcPr>
          <w:p w:rsidR="005C3013" w:rsidRPr="00626D32" w:rsidRDefault="005C3013" w:rsidP="005A5A21">
            <w:pPr>
              <w:pStyle w:val="BoxSpaceBelow"/>
            </w:pPr>
          </w:p>
        </w:tc>
      </w:tr>
    </w:tbl>
    <w:p w:rsidR="005C3013" w:rsidRPr="00DE57F7" w:rsidRDefault="000B3B63" w:rsidP="00D71789">
      <w:pPr>
        <w:pStyle w:val="Heading4"/>
        <w:keepNext w:val="0"/>
        <w:widowControl w:val="0"/>
      </w:pPr>
      <w:r>
        <w:lastRenderedPageBreak/>
        <w:t>A</w:t>
      </w:r>
      <w:r w:rsidR="005C3013" w:rsidRPr="00DE57F7">
        <w:t>ppropriateness — collection of information on consumers’ outcomes</w:t>
      </w:r>
    </w:p>
    <w:p w:rsidR="005C3013" w:rsidRDefault="005C3013" w:rsidP="00D71789">
      <w:pPr>
        <w:pStyle w:val="BodyText"/>
        <w:widowControl w:val="0"/>
      </w:pPr>
      <w:r w:rsidRPr="00DE57F7">
        <w:t>‘Collection of information on consumers’ outcomes’ is an indicator of governments’ objective that consumer outcomes be monitored (box</w:t>
      </w:r>
      <w:r w:rsidR="0022260C">
        <w:t> </w:t>
      </w:r>
      <w:r w:rsidRPr="00DE57F7">
        <w:t>12.</w:t>
      </w:r>
      <w:r w:rsidR="006E75F6">
        <w:t>9</w:t>
      </w:r>
      <w:r w:rsidRPr="00DE57F7">
        <w:t xml:space="preserve">). </w:t>
      </w:r>
    </w:p>
    <w:p w:rsidR="00313810" w:rsidRDefault="0031381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13810" w:rsidTr="00F93833">
        <w:tc>
          <w:tcPr>
            <w:tcW w:w="8771" w:type="dxa"/>
            <w:tcBorders>
              <w:top w:val="single" w:sz="6" w:space="0" w:color="78A22F"/>
              <w:left w:val="nil"/>
              <w:bottom w:val="nil"/>
              <w:right w:val="nil"/>
            </w:tcBorders>
            <w:shd w:val="clear" w:color="auto" w:fill="F2F2F2"/>
          </w:tcPr>
          <w:p w:rsidR="00313810" w:rsidRDefault="00313810">
            <w:pPr>
              <w:pStyle w:val="BoxTitle"/>
            </w:pPr>
            <w:r>
              <w:rPr>
                <w:b w:val="0"/>
              </w:rPr>
              <w:t xml:space="preserve">Box </w:t>
            </w:r>
            <w:r w:rsidR="00D47EA9">
              <w:rPr>
                <w:b w:val="0"/>
              </w:rPr>
              <w:t>12.</w:t>
            </w:r>
            <w:r w:rsidR="00833D26">
              <w:rPr>
                <w:b w:val="0"/>
                <w:noProof/>
              </w:rPr>
              <w:t>9</w:t>
            </w:r>
            <w:r>
              <w:tab/>
            </w:r>
            <w:r w:rsidRPr="00DE57F7">
              <w:t>Collection of information on consumers’ outcomes</w:t>
            </w:r>
          </w:p>
        </w:tc>
      </w:tr>
      <w:tr w:rsidR="00313810" w:rsidTr="00F93833">
        <w:trPr>
          <w:cantSplit/>
        </w:trPr>
        <w:tc>
          <w:tcPr>
            <w:tcW w:w="8771" w:type="dxa"/>
            <w:tcBorders>
              <w:top w:val="nil"/>
              <w:left w:val="nil"/>
              <w:bottom w:val="nil"/>
              <w:right w:val="nil"/>
            </w:tcBorders>
            <w:shd w:val="clear" w:color="auto" w:fill="F2F2F2"/>
          </w:tcPr>
          <w:p w:rsidR="00BA10E1" w:rsidRDefault="00BA10E1" w:rsidP="00F93833">
            <w:pPr>
              <w:pStyle w:val="Box"/>
            </w:pPr>
            <w:r>
              <w:t>‘</w:t>
            </w:r>
            <w:r w:rsidRPr="00BA10E1">
              <w:t xml:space="preserve">Collection of information on consumers’ outcomes’ is defined as the proportion of </w:t>
            </w:r>
            <w:r w:rsidR="00AB57DF">
              <w:t xml:space="preserve">State and Territory governments’ </w:t>
            </w:r>
            <w:r w:rsidRPr="00BA10E1">
              <w:t xml:space="preserve">specialised public mental health service episodes </w:t>
            </w:r>
            <w:r>
              <w:t xml:space="preserve">(by client type) </w:t>
            </w:r>
            <w:r w:rsidRPr="00BA10E1">
              <w:t>with completed clinical mental health outcome</w:t>
            </w:r>
            <w:r>
              <w:t xml:space="preserve"> measures</w:t>
            </w:r>
            <w:r w:rsidRPr="00BA10E1">
              <w:t>.</w:t>
            </w:r>
          </w:p>
          <w:p w:rsidR="00313810" w:rsidRDefault="00313810" w:rsidP="00F93833">
            <w:pPr>
              <w:pStyle w:val="Box"/>
            </w:pPr>
            <w:r w:rsidRPr="00DE57F7">
              <w:t>High or increasing proportions of episodes for which information on consumers’ mental health outco</w:t>
            </w:r>
            <w:r>
              <w:t xml:space="preserve">mes is collected is desirable. </w:t>
            </w:r>
          </w:p>
          <w:p w:rsidR="00600FB4" w:rsidRPr="00D71789" w:rsidRDefault="00313810" w:rsidP="007862CE">
            <w:pPr>
              <w:pStyle w:val="Box"/>
            </w:pPr>
            <w:r w:rsidRPr="00DE57F7">
              <w:t xml:space="preserve">This </w:t>
            </w:r>
            <w:r w:rsidR="00600FB4">
              <w:t xml:space="preserve">is </w:t>
            </w:r>
            <w:r w:rsidR="00600FB4" w:rsidRPr="00D71789">
              <w:t xml:space="preserve">a process indicator and </w:t>
            </w:r>
            <w:r w:rsidRPr="00DE57F7">
              <w:t xml:space="preserve">monitors the uptake of the routine National Outcomes </w:t>
            </w:r>
            <w:proofErr w:type="spellStart"/>
            <w:r w:rsidRPr="00DE57F7">
              <w:t>Casemix</w:t>
            </w:r>
            <w:proofErr w:type="spellEnd"/>
            <w:r w:rsidRPr="00DE57F7">
              <w:t xml:space="preserve"> Collection. It does not provide information on whether cons</w:t>
            </w:r>
            <w:r>
              <w:t>umers had appropriate outcomes</w:t>
            </w:r>
            <w:r w:rsidRPr="00600FB4">
              <w:t>.</w:t>
            </w:r>
            <w:r w:rsidR="006C2192" w:rsidRPr="00600FB4">
              <w:t xml:space="preserve"> </w:t>
            </w:r>
          </w:p>
          <w:p w:rsidR="007862CE" w:rsidRPr="00DE57F7" w:rsidRDefault="007862CE" w:rsidP="007862CE">
            <w:pPr>
              <w:pStyle w:val="Box"/>
            </w:pPr>
            <w:r w:rsidRPr="00DE57F7">
              <w:t>Data reported for this indicator are:</w:t>
            </w:r>
          </w:p>
          <w:p w:rsidR="007862CE" w:rsidRPr="00DE57F7" w:rsidRDefault="007862CE" w:rsidP="007862CE">
            <w:pPr>
              <w:pStyle w:val="BoxListBullet"/>
            </w:pPr>
            <w:r w:rsidRPr="00DE57F7">
              <w:t xml:space="preserve">comparable (subject to caveats) across jurisdictions and over time </w:t>
            </w:r>
          </w:p>
          <w:p w:rsidR="007862CE" w:rsidRPr="00DE57F7" w:rsidRDefault="007862CE" w:rsidP="002245A4">
            <w:pPr>
              <w:pStyle w:val="BoxListBullet"/>
            </w:pPr>
            <w:r w:rsidRPr="00DE57F7">
              <w:t>complete</w:t>
            </w:r>
            <w:r w:rsidR="002245A4">
              <w:t xml:space="preserve"> </w:t>
            </w:r>
            <w:r w:rsidR="002245A4" w:rsidRPr="002245A4">
              <w:t>(subject to caveats)</w:t>
            </w:r>
            <w:r w:rsidRPr="00DE57F7">
              <w:t xml:space="preserve"> for the current reporting period. All required data for 201</w:t>
            </w:r>
            <w:r>
              <w:t>3</w:t>
            </w:r>
            <w:r w:rsidRPr="00DE57F7">
              <w:noBreakHyphen/>
              <w:t>1</w:t>
            </w:r>
            <w:r>
              <w:t>4</w:t>
            </w:r>
            <w:r w:rsidRPr="00DE57F7">
              <w:t xml:space="preserve"> are available for </w:t>
            </w:r>
            <w:r>
              <w:t>all jurisdictions</w:t>
            </w:r>
            <w:r w:rsidRPr="00DE57F7">
              <w:t>.</w:t>
            </w:r>
          </w:p>
          <w:p w:rsidR="007862CE" w:rsidRDefault="007862CE" w:rsidP="007862CE">
            <w:pPr>
              <w:pStyle w:val="Box"/>
            </w:pPr>
            <w:r w:rsidRPr="00DE57F7">
              <w:t>Data quality information for this indicator</w:t>
            </w:r>
            <w:r>
              <w:t xml:space="preserve"> is at </w:t>
            </w:r>
            <w:proofErr w:type="spellStart"/>
            <w:r>
              <w:t>www.pc.gov.au</w:t>
            </w:r>
            <w:proofErr w:type="spellEnd"/>
            <w:r w:rsidRPr="00DE57F7">
              <w:t>/</w:t>
            </w:r>
            <w:proofErr w:type="spellStart"/>
            <w:r w:rsidRPr="00DE57F7">
              <w:t>rogs</w:t>
            </w:r>
            <w:proofErr w:type="spellEnd"/>
            <w:r w:rsidRPr="00DE57F7">
              <w:t>/201</w:t>
            </w:r>
            <w:r>
              <w:t>6</w:t>
            </w:r>
            <w:r w:rsidRPr="00DE57F7">
              <w:t>.</w:t>
            </w:r>
          </w:p>
        </w:tc>
      </w:tr>
      <w:tr w:rsidR="00313810" w:rsidTr="00F93833">
        <w:trPr>
          <w:cantSplit/>
        </w:trPr>
        <w:tc>
          <w:tcPr>
            <w:tcW w:w="8771" w:type="dxa"/>
            <w:tcBorders>
              <w:top w:val="nil"/>
              <w:left w:val="nil"/>
              <w:bottom w:val="single" w:sz="6" w:space="0" w:color="78A22F"/>
              <w:right w:val="nil"/>
            </w:tcBorders>
            <w:shd w:val="clear" w:color="auto" w:fill="F2F2F2"/>
          </w:tcPr>
          <w:p w:rsidR="00313810" w:rsidRDefault="00313810">
            <w:pPr>
              <w:pStyle w:val="Box"/>
              <w:spacing w:before="0" w:line="120" w:lineRule="exact"/>
            </w:pPr>
          </w:p>
        </w:tc>
      </w:tr>
      <w:tr w:rsidR="00313810" w:rsidRPr="000863A5" w:rsidTr="00F93833">
        <w:tc>
          <w:tcPr>
            <w:tcW w:w="8771" w:type="dxa"/>
            <w:tcBorders>
              <w:top w:val="single" w:sz="6" w:space="0" w:color="78A22F"/>
              <w:left w:val="nil"/>
              <w:bottom w:val="nil"/>
              <w:right w:val="nil"/>
            </w:tcBorders>
          </w:tcPr>
          <w:p w:rsidR="00313810" w:rsidRPr="00626D32" w:rsidRDefault="00313810" w:rsidP="00F93833">
            <w:pPr>
              <w:pStyle w:val="BoxSpaceBelow"/>
            </w:pPr>
          </w:p>
        </w:tc>
      </w:tr>
    </w:tbl>
    <w:p w:rsidR="005C3013" w:rsidRDefault="005C3013" w:rsidP="002315C6">
      <w:pPr>
        <w:pStyle w:val="BodyText"/>
      </w:pPr>
      <w:r w:rsidRPr="00DE57F7">
        <w:t xml:space="preserve">The estimated proportions of specialised mental health service episodes for which </w:t>
      </w:r>
      <w:r w:rsidR="00153F23">
        <w:t>‘complete’</w:t>
      </w:r>
      <w:r w:rsidRPr="00DE57F7">
        <w:t xml:space="preserve"> consumers’ mental health outcomes </w:t>
      </w:r>
      <w:r w:rsidR="00153F23">
        <w:t xml:space="preserve">are </w:t>
      </w:r>
      <w:r w:rsidRPr="00DE57F7">
        <w:t xml:space="preserve">collected </w:t>
      </w:r>
      <w:r w:rsidR="00AB57DF">
        <w:t xml:space="preserve">are shown in </w:t>
      </w:r>
      <w:r w:rsidRPr="00DE57F7">
        <w:t>figure</w:t>
      </w:r>
      <w:r w:rsidR="0022260C">
        <w:t> </w:t>
      </w:r>
      <w:r w:rsidRPr="00DE57F7">
        <w:t>12.1</w:t>
      </w:r>
      <w:r w:rsidR="00F168C3" w:rsidRPr="00DE57F7">
        <w:t>8</w:t>
      </w:r>
      <w:r w:rsidRPr="00DE57F7">
        <w:t xml:space="preserve">. </w:t>
      </w:r>
    </w:p>
    <w:p w:rsidR="005C3013" w:rsidRPr="00DE57F7" w:rsidRDefault="005C3013" w:rsidP="00871F08">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013" w:rsidRPr="00DE57F7" w:rsidTr="005673E9">
        <w:tc>
          <w:tcPr>
            <w:tcW w:w="8771" w:type="dxa"/>
            <w:tcBorders>
              <w:top w:val="single" w:sz="6" w:space="0" w:color="78A22F"/>
              <w:left w:val="nil"/>
              <w:bottom w:val="nil"/>
              <w:right w:val="nil"/>
            </w:tcBorders>
            <w:shd w:val="clear" w:color="auto" w:fill="FFFFFF" w:themeFill="background1"/>
          </w:tcPr>
          <w:p w:rsidR="005C3013" w:rsidRPr="00DE57F7" w:rsidRDefault="005C3013" w:rsidP="00871F08">
            <w:pPr>
              <w:pStyle w:val="FigureTitle"/>
              <w:rPr>
                <w:i/>
              </w:rPr>
            </w:pPr>
            <w:r w:rsidRPr="00DE57F7">
              <w:rPr>
                <w:b w:val="0"/>
              </w:rPr>
              <w:t xml:space="preserve">Figure </w:t>
            </w:r>
            <w:r w:rsidR="00313810">
              <w:rPr>
                <w:b w:val="0"/>
              </w:rPr>
              <w:t>12.</w:t>
            </w:r>
            <w:r w:rsidR="00833D26">
              <w:rPr>
                <w:b w:val="0"/>
                <w:noProof/>
              </w:rPr>
              <w:t>18</w:t>
            </w:r>
            <w:r w:rsidRPr="00DE57F7">
              <w:tab/>
              <w:t xml:space="preserve">Estimated proportion of episodes for which ‘complete’ outcome measures were collected, </w:t>
            </w:r>
            <w:r w:rsidR="00BA10E1">
              <w:t xml:space="preserve">by client type </w:t>
            </w:r>
            <w:r w:rsidR="006E75F6" w:rsidRPr="00DE57F7">
              <w:t>201</w:t>
            </w:r>
            <w:r w:rsidR="006E75F6">
              <w:t>3</w:t>
            </w:r>
            <w:r w:rsidRPr="00DE57F7">
              <w:noBreakHyphen/>
            </w:r>
            <w:r w:rsidR="006E75F6" w:rsidRPr="00DE57F7">
              <w:t>1</w:t>
            </w:r>
            <w:r w:rsidR="006E75F6">
              <w:t>4</w:t>
            </w:r>
            <w:r w:rsidR="006E75F6">
              <w:rPr>
                <w:rStyle w:val="NoteLabel"/>
                <w:b/>
              </w:rPr>
              <w:t>a</w:t>
            </w:r>
            <w:r w:rsidR="000433AF">
              <w:rPr>
                <w:rStyle w:val="NoteLabel"/>
                <w:b/>
              </w:rPr>
              <w:t>, b</w:t>
            </w:r>
          </w:p>
        </w:tc>
      </w:tr>
      <w:tr w:rsidR="005C3013" w:rsidRPr="00DE57F7" w:rsidTr="005673E9">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013" w:rsidRPr="00DE57F7" w:rsidTr="000433AF">
              <w:trPr>
                <w:jc w:val="center"/>
              </w:trPr>
              <w:tc>
                <w:tcPr>
                  <w:tcW w:w="5000" w:type="pct"/>
                  <w:tcBorders>
                    <w:top w:val="nil"/>
                    <w:bottom w:val="nil"/>
                    <w:right w:val="nil"/>
                  </w:tcBorders>
                </w:tcPr>
                <w:p w:rsidR="005C3013" w:rsidRPr="00DE57F7" w:rsidRDefault="001B7B09" w:rsidP="00871F08">
                  <w:pPr>
                    <w:pStyle w:val="Figure"/>
                    <w:keepLines/>
                    <w:spacing w:before="60" w:after="60"/>
                  </w:pPr>
                  <w:r>
                    <w:rPr>
                      <w:noProof/>
                    </w:rPr>
                    <w:drawing>
                      <wp:inline distT="0" distB="0" distL="0" distR="0">
                        <wp:extent cx="5391150" cy="2686050"/>
                        <wp:effectExtent l="0" t="0" r="0" b="0"/>
                        <wp:docPr id="20" name="Picture 20" descr="Figure 12.18 Estimated proportion of episodes for which ‘complete’ outcome measures were collected, by client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C3013" w:rsidRPr="00DE57F7" w:rsidRDefault="005C3013" w:rsidP="00871F08">
            <w:pPr>
              <w:pStyle w:val="Figure"/>
              <w:keepLines/>
              <w:rPr>
                <w:szCs w:val="24"/>
              </w:rPr>
            </w:pPr>
          </w:p>
        </w:tc>
      </w:tr>
      <w:tr w:rsidR="005C3013" w:rsidRPr="00DE57F7" w:rsidTr="005A5A21">
        <w:tc>
          <w:tcPr>
            <w:tcW w:w="8771" w:type="dxa"/>
            <w:tcBorders>
              <w:top w:val="nil"/>
              <w:left w:val="nil"/>
              <w:bottom w:val="nil"/>
              <w:right w:val="nil"/>
            </w:tcBorders>
            <w:shd w:val="clear" w:color="auto" w:fill="auto"/>
          </w:tcPr>
          <w:p w:rsidR="005C3013" w:rsidRPr="00DE57F7" w:rsidRDefault="00206D26" w:rsidP="00871F08">
            <w:pPr>
              <w:pStyle w:val="Note"/>
              <w:keepNext/>
              <w:rPr>
                <w:i/>
              </w:rPr>
            </w:pPr>
            <w:r w:rsidRPr="007862CE">
              <w:rPr>
                <w:rStyle w:val="NoteLabel"/>
              </w:rPr>
              <w:t>a</w:t>
            </w:r>
            <w:r w:rsidRPr="00D71789">
              <w:t xml:space="preserve"> </w:t>
            </w:r>
            <w:r w:rsidRPr="00703A2A">
              <w:t>See</w:t>
            </w:r>
            <w:r w:rsidR="0066539A">
              <w:t xml:space="preserve"> </w:t>
            </w:r>
            <w:r w:rsidR="0066539A" w:rsidRPr="0066539A">
              <w:t>box</w:t>
            </w:r>
            <w:r w:rsidR="00463329">
              <w:t> </w:t>
            </w:r>
            <w:r w:rsidR="0066539A">
              <w:t>12</w:t>
            </w:r>
            <w:r w:rsidR="0066539A" w:rsidRPr="0066539A">
              <w:t>.</w:t>
            </w:r>
            <w:r w:rsidR="0066539A">
              <w:t>9 and</w:t>
            </w:r>
            <w:r w:rsidRPr="00703A2A">
              <w:t xml:space="preserve"> table</w:t>
            </w:r>
            <w:r w:rsidR="00463329">
              <w:t> </w:t>
            </w:r>
            <w:proofErr w:type="spellStart"/>
            <w:r w:rsidRPr="00703A2A">
              <w:t>12A.</w:t>
            </w:r>
            <w:r>
              <w:t>50</w:t>
            </w:r>
            <w:proofErr w:type="spellEnd"/>
            <w:r w:rsidRPr="00703A2A">
              <w:t xml:space="preserve"> </w:t>
            </w:r>
            <w:r w:rsidR="00871F08" w:rsidRPr="00871F08">
              <w:t>for detailed definitions, footnotes and caveats</w:t>
            </w:r>
            <w:r w:rsidRPr="005C3013">
              <w:t xml:space="preserve">. </w:t>
            </w:r>
            <w:r w:rsidR="00D83D9C" w:rsidRPr="00D71789">
              <w:rPr>
                <w:rStyle w:val="NoteLabel"/>
              </w:rPr>
              <w:t>b</w:t>
            </w:r>
            <w:r w:rsidR="00D83D9C">
              <w:t xml:space="preserve"> ACT data for </w:t>
            </w:r>
            <w:r w:rsidR="00871F08">
              <w:t>consumers discharged from ambulatory care</w:t>
            </w:r>
            <w:r w:rsidR="00D83D9C">
              <w:t xml:space="preserve"> are not published.</w:t>
            </w:r>
          </w:p>
        </w:tc>
      </w:tr>
      <w:tr w:rsidR="005C3013" w:rsidRPr="001C220F" w:rsidTr="005A5A21">
        <w:tc>
          <w:tcPr>
            <w:tcW w:w="8771" w:type="dxa"/>
            <w:tcBorders>
              <w:top w:val="nil"/>
              <w:left w:val="nil"/>
              <w:bottom w:val="nil"/>
              <w:right w:val="nil"/>
            </w:tcBorders>
            <w:shd w:val="clear" w:color="auto" w:fill="auto"/>
          </w:tcPr>
          <w:p w:rsidR="005C3013" w:rsidRPr="00DE57F7" w:rsidRDefault="005C3013" w:rsidP="00871F08">
            <w:pPr>
              <w:pStyle w:val="Source"/>
              <w:keepNext/>
              <w:rPr>
                <w:i/>
              </w:rPr>
            </w:pPr>
            <w:r w:rsidRPr="00DE57F7">
              <w:rPr>
                <w:i/>
              </w:rPr>
              <w:t>Source</w:t>
            </w:r>
            <w:r w:rsidRPr="00DE57F7">
              <w:t xml:space="preserve">: </w:t>
            </w:r>
            <w:r w:rsidR="00C01131">
              <w:t xml:space="preserve">AIHW (unpublished) from data provided by the </w:t>
            </w:r>
            <w:r w:rsidRPr="00DE57F7">
              <w:t>Australian Mental Health Outcomes and Classification Network</w:t>
            </w:r>
            <w:r w:rsidR="00EA5C56">
              <w:t>;</w:t>
            </w:r>
            <w:r w:rsidRPr="00DE57F7">
              <w:t xml:space="preserve"> table</w:t>
            </w:r>
            <w:r w:rsidR="0022260C">
              <w:t> </w:t>
            </w:r>
            <w:proofErr w:type="spellStart"/>
            <w:r w:rsidRPr="00DE57F7">
              <w:t>12A.</w:t>
            </w:r>
            <w:r w:rsidR="00206D26">
              <w:t>50</w:t>
            </w:r>
            <w:proofErr w:type="spellEnd"/>
            <w:r w:rsidRPr="00DE57F7">
              <w:t>.</w:t>
            </w:r>
          </w:p>
        </w:tc>
      </w:tr>
      <w:tr w:rsidR="005C3013" w:rsidRPr="001C220F" w:rsidTr="005A5A21">
        <w:tc>
          <w:tcPr>
            <w:tcW w:w="8771" w:type="dxa"/>
            <w:tcBorders>
              <w:top w:val="nil"/>
              <w:left w:val="nil"/>
              <w:bottom w:val="single" w:sz="6" w:space="0" w:color="78A22F"/>
              <w:right w:val="nil"/>
            </w:tcBorders>
            <w:shd w:val="clear" w:color="auto" w:fill="auto"/>
          </w:tcPr>
          <w:p w:rsidR="005C3013" w:rsidRPr="00DE57F7" w:rsidRDefault="005C3013" w:rsidP="00871F08">
            <w:pPr>
              <w:pStyle w:val="Figurespace"/>
              <w:keepLines/>
              <w:rPr>
                <w:szCs w:val="24"/>
              </w:rPr>
            </w:pPr>
          </w:p>
        </w:tc>
      </w:tr>
      <w:tr w:rsidR="005C3013" w:rsidRPr="001C220F" w:rsidTr="005A5A21">
        <w:tc>
          <w:tcPr>
            <w:tcW w:w="8771" w:type="dxa"/>
            <w:tcBorders>
              <w:top w:val="single" w:sz="6" w:space="0" w:color="78A22F"/>
              <w:left w:val="nil"/>
              <w:bottom w:val="nil"/>
              <w:right w:val="nil"/>
            </w:tcBorders>
          </w:tcPr>
          <w:p w:rsidR="005C3013" w:rsidRPr="00DE57F7" w:rsidRDefault="005C3013" w:rsidP="00871F08">
            <w:pPr>
              <w:pStyle w:val="BoxSpaceBelow"/>
              <w:keepNext/>
              <w:keepLines/>
              <w:rPr>
                <w:i/>
              </w:rPr>
            </w:pPr>
          </w:p>
        </w:tc>
      </w:tr>
    </w:tbl>
    <w:p w:rsidR="005C3013" w:rsidRDefault="005C3013" w:rsidP="00153F23">
      <w:pPr>
        <w:pStyle w:val="Heading4"/>
        <w:keepNext w:val="0"/>
        <w:widowControl w:val="0"/>
      </w:pPr>
      <w:r>
        <w:t>Quality — safety — rate of seclusion ― acute inpatient units</w:t>
      </w:r>
    </w:p>
    <w:p w:rsidR="00D434A0" w:rsidRDefault="005C3013" w:rsidP="00153F23">
      <w:pPr>
        <w:pStyle w:val="BodyText"/>
        <w:widowControl w:val="0"/>
      </w:pPr>
      <w:r>
        <w:t xml:space="preserve">‘Rate of seclusion ― acute inpatient units’ is an indicator of governments’ objective that services are </w:t>
      </w:r>
      <w:r w:rsidR="00AB5CBB">
        <w:t xml:space="preserve">safe and of </w:t>
      </w:r>
      <w:r>
        <w:t>a high quality (box</w:t>
      </w:r>
      <w:r w:rsidR="0022260C">
        <w:t> </w:t>
      </w:r>
      <w:r>
        <w:t>12.</w:t>
      </w:r>
      <w:r w:rsidR="00D47EA9">
        <w:t>10</w:t>
      </w:r>
      <w:r>
        <w:t xml:space="preserve">). </w:t>
      </w:r>
      <w:r w:rsidR="00210501" w:rsidRPr="00210501">
        <w:t>The reduction, and where possible elimination of, seclusion in specialised mental health services is a national safety priority.</w:t>
      </w:r>
    </w:p>
    <w:p w:rsidR="001170E1" w:rsidRDefault="001170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0E1" w:rsidTr="001170E1">
        <w:tc>
          <w:tcPr>
            <w:tcW w:w="8771" w:type="dxa"/>
            <w:tcBorders>
              <w:top w:val="single" w:sz="6" w:space="0" w:color="78A22F"/>
              <w:left w:val="nil"/>
              <w:bottom w:val="nil"/>
              <w:right w:val="nil"/>
            </w:tcBorders>
            <w:shd w:val="clear" w:color="auto" w:fill="F2F2F2"/>
          </w:tcPr>
          <w:p w:rsidR="001170E1" w:rsidRDefault="001170E1" w:rsidP="001170E1">
            <w:pPr>
              <w:pStyle w:val="BoxTitle"/>
            </w:pPr>
            <w:r>
              <w:rPr>
                <w:b w:val="0"/>
              </w:rPr>
              <w:t>Box 12.</w:t>
            </w:r>
            <w:r w:rsidR="00833D26">
              <w:rPr>
                <w:b w:val="0"/>
                <w:noProof/>
              </w:rPr>
              <w:t>10</w:t>
            </w:r>
            <w:r>
              <w:tab/>
            </w:r>
            <w:r w:rsidRPr="005C3013">
              <w:t>Rate of seclusion ― acute inpatient units</w:t>
            </w:r>
          </w:p>
        </w:tc>
      </w:tr>
      <w:tr w:rsidR="001170E1" w:rsidTr="001170E1">
        <w:trPr>
          <w:cantSplit/>
        </w:trPr>
        <w:tc>
          <w:tcPr>
            <w:tcW w:w="8771" w:type="dxa"/>
            <w:tcBorders>
              <w:top w:val="nil"/>
              <w:left w:val="nil"/>
              <w:bottom w:val="nil"/>
              <w:right w:val="nil"/>
            </w:tcBorders>
            <w:shd w:val="clear" w:color="auto" w:fill="F2F2F2"/>
          </w:tcPr>
          <w:p w:rsidR="001170E1" w:rsidRDefault="001170E1" w:rsidP="001170E1">
            <w:pPr>
              <w:pStyle w:val="Box"/>
            </w:pPr>
            <w:r>
              <w:t xml:space="preserve">‘Rate of seclusion ― acute inpatient units’ is defined as the number of seclusion events per </w:t>
            </w:r>
            <w:r w:rsidRPr="00C3025D">
              <w:t>1000 bed days</w:t>
            </w:r>
            <w:r>
              <w:t xml:space="preserve"> in State and Territory governments’ specialised mental health acute inpatient units. </w:t>
            </w:r>
          </w:p>
          <w:p w:rsidR="001170E1" w:rsidRDefault="001170E1" w:rsidP="001170E1">
            <w:pPr>
              <w:pStyle w:val="Box"/>
            </w:pPr>
            <w:r>
              <w:t xml:space="preserve">Seclusion involves a patient being confined at any time of the day or night alone in a room or area from which it is not within their control to leave (see section 12.5 for further details on seclusion and ‘seclusion events’). </w:t>
            </w:r>
            <w:r w:rsidRPr="00DF33BC">
              <w:t>Legislation or mandatory policy governs the use of seclusion in each State and Territory</w:t>
            </w:r>
            <w:r>
              <w:t xml:space="preserve"> and </w:t>
            </w:r>
            <w:r w:rsidRPr="00EA5C56">
              <w:t>may result in exceptions to the d</w:t>
            </w:r>
            <w:r>
              <w:t xml:space="preserve">efinition of a seclusion event and variations in the data collected across jurisdictions </w:t>
            </w:r>
            <w:r w:rsidRPr="00DF33BC">
              <w:t>(</w:t>
            </w:r>
            <w:proofErr w:type="spellStart"/>
            <w:r w:rsidRPr="00DF33BC">
              <w:t>NMHPSC</w:t>
            </w:r>
            <w:proofErr w:type="spellEnd"/>
            <w:r w:rsidRPr="00DF33BC">
              <w:t xml:space="preserve"> </w:t>
            </w:r>
            <w:proofErr w:type="spellStart"/>
            <w:r w:rsidRPr="00DF33BC">
              <w:t>2011b</w:t>
            </w:r>
            <w:proofErr w:type="spellEnd"/>
            <w:r w:rsidRPr="00DF33BC">
              <w:t>).</w:t>
            </w:r>
          </w:p>
        </w:tc>
      </w:tr>
      <w:tr w:rsidR="001170E1" w:rsidTr="001170E1">
        <w:trPr>
          <w:cantSplit/>
        </w:trPr>
        <w:tc>
          <w:tcPr>
            <w:tcW w:w="8771" w:type="dxa"/>
            <w:tcBorders>
              <w:top w:val="nil"/>
              <w:left w:val="nil"/>
              <w:bottom w:val="nil"/>
              <w:right w:val="nil"/>
            </w:tcBorders>
            <w:shd w:val="clear" w:color="auto" w:fill="F2F2F2"/>
          </w:tcPr>
          <w:p w:rsidR="001170E1" w:rsidRPr="001170E1" w:rsidRDefault="001170E1" w:rsidP="000477EA">
            <w:pPr>
              <w:pStyle w:val="Continued"/>
            </w:pPr>
            <w:r w:rsidRPr="001170E1">
              <w:t>(continued</w:t>
            </w:r>
            <w:r w:rsidR="00D27822">
              <w:t xml:space="preserve"> next page</w:t>
            </w:r>
            <w:r w:rsidRPr="001170E1">
              <w:t>)</w:t>
            </w:r>
          </w:p>
        </w:tc>
      </w:tr>
      <w:tr w:rsidR="001170E1" w:rsidTr="001170E1">
        <w:trPr>
          <w:cantSplit/>
        </w:trPr>
        <w:tc>
          <w:tcPr>
            <w:tcW w:w="8771" w:type="dxa"/>
            <w:tcBorders>
              <w:top w:val="nil"/>
              <w:left w:val="nil"/>
              <w:bottom w:val="single" w:sz="6" w:space="0" w:color="78A22F"/>
              <w:right w:val="nil"/>
            </w:tcBorders>
            <w:shd w:val="clear" w:color="auto" w:fill="F2F2F2"/>
          </w:tcPr>
          <w:p w:rsidR="001170E1" w:rsidRDefault="001170E1">
            <w:pPr>
              <w:pStyle w:val="Box"/>
              <w:spacing w:before="0" w:line="120" w:lineRule="exact"/>
            </w:pPr>
          </w:p>
        </w:tc>
      </w:tr>
      <w:tr w:rsidR="001170E1" w:rsidRPr="000863A5" w:rsidTr="001170E1">
        <w:tc>
          <w:tcPr>
            <w:tcW w:w="8771" w:type="dxa"/>
            <w:tcBorders>
              <w:top w:val="single" w:sz="6" w:space="0" w:color="78A22F"/>
              <w:left w:val="nil"/>
              <w:bottom w:val="nil"/>
              <w:right w:val="nil"/>
            </w:tcBorders>
          </w:tcPr>
          <w:p w:rsidR="001170E1" w:rsidRPr="00626D32" w:rsidRDefault="001170E1" w:rsidP="001170E1">
            <w:pPr>
              <w:pStyle w:val="BoxSpaceBelow"/>
            </w:pPr>
          </w:p>
        </w:tc>
      </w:tr>
    </w:tbl>
    <w:p w:rsidR="001170E1" w:rsidRDefault="001170E1" w:rsidP="00153F23">
      <w:pPr>
        <w:pStyle w:val="BodyText"/>
        <w:widowControl w:val="0"/>
      </w:pPr>
    </w:p>
    <w:p w:rsidR="00D41A2F" w:rsidRDefault="00D41A2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1A2F" w:rsidTr="00FC1E0A">
        <w:tc>
          <w:tcPr>
            <w:tcW w:w="8771" w:type="dxa"/>
            <w:tcBorders>
              <w:top w:val="single" w:sz="6" w:space="0" w:color="78A22F"/>
              <w:left w:val="nil"/>
              <w:bottom w:val="nil"/>
              <w:right w:val="nil"/>
            </w:tcBorders>
            <w:shd w:val="clear" w:color="auto" w:fill="F2F2F2"/>
          </w:tcPr>
          <w:p w:rsidR="00D41A2F" w:rsidRDefault="00D41A2F" w:rsidP="00576003">
            <w:pPr>
              <w:pStyle w:val="BoxTitle"/>
            </w:pPr>
            <w:r>
              <w:rPr>
                <w:b w:val="0"/>
              </w:rPr>
              <w:t xml:space="preserve">Box </w:t>
            </w:r>
            <w:r w:rsidR="00576003">
              <w:rPr>
                <w:b w:val="0"/>
              </w:rPr>
              <w:t>12.10</w:t>
            </w:r>
            <w:r>
              <w:tab/>
            </w:r>
            <w:r w:rsidR="00576003" w:rsidRPr="00576003">
              <w:rPr>
                <w:b w:val="0"/>
                <w:sz w:val="18"/>
                <w:szCs w:val="20"/>
              </w:rPr>
              <w:t>(continued)</w:t>
            </w:r>
          </w:p>
        </w:tc>
      </w:tr>
      <w:tr w:rsidR="00D41A2F" w:rsidTr="00FC1E0A">
        <w:trPr>
          <w:cantSplit/>
        </w:trPr>
        <w:tc>
          <w:tcPr>
            <w:tcW w:w="8771" w:type="dxa"/>
            <w:tcBorders>
              <w:top w:val="nil"/>
              <w:left w:val="nil"/>
              <w:bottom w:val="nil"/>
              <w:right w:val="nil"/>
            </w:tcBorders>
            <w:shd w:val="clear" w:color="auto" w:fill="F2F2F2"/>
          </w:tcPr>
          <w:p w:rsidR="00424E42" w:rsidRDefault="00424E42" w:rsidP="00424E42">
            <w:pPr>
              <w:pStyle w:val="Box"/>
            </w:pPr>
            <w:r>
              <w:t xml:space="preserve">A low (or nil) or decreasing number of seclusion events per 1000 </w:t>
            </w:r>
            <w:r w:rsidRPr="00C3025D">
              <w:t>bed days</w:t>
            </w:r>
            <w:r>
              <w:t xml:space="preserve"> in specialised public mental health inpatient units is desirable. </w:t>
            </w:r>
          </w:p>
          <w:p w:rsidR="00424E42" w:rsidRDefault="00424E42" w:rsidP="00424E42">
            <w:pPr>
              <w:pStyle w:val="Box"/>
            </w:pPr>
            <w:r>
              <w:t>Data reported for this indicator are:</w:t>
            </w:r>
          </w:p>
          <w:p w:rsidR="00424E42" w:rsidRDefault="00424E42" w:rsidP="00424E42">
            <w:pPr>
              <w:pStyle w:val="BoxListBullet"/>
            </w:pPr>
            <w:r>
              <w:t xml:space="preserve">comparable (subject to caveats) </w:t>
            </w:r>
            <w:r w:rsidRPr="00D66E3D">
              <w:t>within jurisdictions over time but are not comparable across jurisdictions</w:t>
            </w:r>
            <w:r>
              <w:t xml:space="preserve"> </w:t>
            </w:r>
          </w:p>
          <w:p w:rsidR="00424E42" w:rsidRDefault="00424E42" w:rsidP="002245A4">
            <w:pPr>
              <w:pStyle w:val="BoxListBullet"/>
            </w:pPr>
            <w:r>
              <w:t xml:space="preserve">complete </w:t>
            </w:r>
            <w:r w:rsidR="002245A4">
              <w:t>(subject to caveats)</w:t>
            </w:r>
            <w:r w:rsidR="002245A4" w:rsidRPr="002245A4">
              <w:t xml:space="preserve"> </w:t>
            </w:r>
            <w:r>
              <w:t xml:space="preserve">for the current reporting period. All required data for </w:t>
            </w:r>
            <w:r w:rsidRPr="00A72555">
              <w:t>201</w:t>
            </w:r>
            <w:r w:rsidR="009E42E3" w:rsidRPr="00A72555">
              <w:t>4</w:t>
            </w:r>
            <w:r w:rsidRPr="00A72555">
              <w:noBreakHyphen/>
              <w:t>1</w:t>
            </w:r>
            <w:r w:rsidR="009E42E3" w:rsidRPr="00A72555">
              <w:t>5</w:t>
            </w:r>
            <w:r>
              <w:t xml:space="preserve"> are available for all jurisdictions.</w:t>
            </w:r>
          </w:p>
          <w:p w:rsidR="00424E42" w:rsidRDefault="00424E42" w:rsidP="00424E42">
            <w:pPr>
              <w:pStyle w:val="Box"/>
            </w:pPr>
            <w:r w:rsidRPr="00363650">
              <w:t>Data quality information for this indicator</w:t>
            </w:r>
            <w:r>
              <w:t xml:space="preserve"> is at </w:t>
            </w:r>
            <w:proofErr w:type="spellStart"/>
            <w:r w:rsidR="00210501" w:rsidRPr="00D64AD8">
              <w:t>www.pc.gov.au</w:t>
            </w:r>
            <w:proofErr w:type="spellEnd"/>
            <w:r w:rsidR="00210501" w:rsidRPr="00D64AD8">
              <w:t>/</w:t>
            </w:r>
            <w:proofErr w:type="spellStart"/>
            <w:r w:rsidR="00210501" w:rsidRPr="00D64AD8">
              <w:t>rogs</w:t>
            </w:r>
            <w:proofErr w:type="spellEnd"/>
            <w:r w:rsidR="00210501" w:rsidRPr="00D64AD8">
              <w:t>/2016</w:t>
            </w:r>
            <w:r>
              <w:t>.</w:t>
            </w:r>
          </w:p>
          <w:p w:rsidR="00210501" w:rsidRDefault="00210501" w:rsidP="00424E42">
            <w:pPr>
              <w:pStyle w:val="Box"/>
            </w:pPr>
            <w:r>
              <w:t xml:space="preserve">Supporting data on the </w:t>
            </w:r>
            <w:r w:rsidRPr="007B30ED">
              <w:t xml:space="preserve">duration of seclusion events </w:t>
            </w:r>
            <w:r>
              <w:t>are provided</w:t>
            </w:r>
            <w:r w:rsidRPr="007B30ED">
              <w:t xml:space="preserve"> in table</w:t>
            </w:r>
            <w:r w:rsidR="00463329">
              <w:t> </w:t>
            </w:r>
            <w:proofErr w:type="spellStart"/>
            <w:r w:rsidRPr="007B30ED">
              <w:t>12A.5</w:t>
            </w:r>
            <w:r>
              <w:t>1</w:t>
            </w:r>
            <w:proofErr w:type="spellEnd"/>
            <w:r w:rsidRPr="007B30ED">
              <w:t xml:space="preserve">. These data when considered with the rate of seclusion provide information on the use and management of seclusion within each jurisdiction. A low rate of seclusion events </w:t>
            </w:r>
            <w:r>
              <w:t>combined with</w:t>
            </w:r>
            <w:r w:rsidRPr="007B30ED">
              <w:t xml:space="preserve"> shorter average durations is desirable.</w:t>
            </w:r>
          </w:p>
        </w:tc>
      </w:tr>
      <w:tr w:rsidR="00D41A2F" w:rsidTr="00FC1E0A">
        <w:trPr>
          <w:cantSplit/>
        </w:trPr>
        <w:tc>
          <w:tcPr>
            <w:tcW w:w="8771" w:type="dxa"/>
            <w:tcBorders>
              <w:top w:val="nil"/>
              <w:left w:val="nil"/>
              <w:bottom w:val="single" w:sz="6" w:space="0" w:color="78A22F"/>
              <w:right w:val="nil"/>
            </w:tcBorders>
            <w:shd w:val="clear" w:color="auto" w:fill="F2F2F2"/>
          </w:tcPr>
          <w:p w:rsidR="00D41A2F" w:rsidRDefault="00D41A2F">
            <w:pPr>
              <w:pStyle w:val="Box"/>
              <w:spacing w:before="0" w:line="120" w:lineRule="exact"/>
            </w:pPr>
          </w:p>
        </w:tc>
      </w:tr>
      <w:tr w:rsidR="00D41A2F" w:rsidRPr="000863A5" w:rsidTr="00FC1E0A">
        <w:tc>
          <w:tcPr>
            <w:tcW w:w="8771" w:type="dxa"/>
            <w:tcBorders>
              <w:top w:val="single" w:sz="6" w:space="0" w:color="78A22F"/>
              <w:left w:val="nil"/>
              <w:bottom w:val="nil"/>
              <w:right w:val="nil"/>
            </w:tcBorders>
          </w:tcPr>
          <w:p w:rsidR="00D41A2F" w:rsidRPr="00626D32" w:rsidRDefault="00D41A2F" w:rsidP="00FC1E0A">
            <w:pPr>
              <w:pStyle w:val="BoxSpaceBelow"/>
            </w:pPr>
          </w:p>
        </w:tc>
      </w:tr>
    </w:tbl>
    <w:p w:rsidR="005C3013" w:rsidRDefault="00D66E3D" w:rsidP="00A72555">
      <w:pPr>
        <w:pStyle w:val="BodyText"/>
        <w:shd w:val="clear" w:color="auto" w:fill="FFFFFF" w:themeFill="background1"/>
        <w:spacing w:before="200"/>
      </w:pPr>
      <w:r w:rsidRPr="00D66E3D">
        <w:t xml:space="preserve">Nationally, the number of seclusion events per 1000 bed days has decreased steadily from </w:t>
      </w:r>
      <w:r w:rsidRPr="00A72555">
        <w:rPr>
          <w:shd w:val="clear" w:color="auto" w:fill="FFFFFF" w:themeFill="background1"/>
        </w:rPr>
        <w:t>1</w:t>
      </w:r>
      <w:r w:rsidR="007C5D6F" w:rsidRPr="00A72555">
        <w:rPr>
          <w:shd w:val="clear" w:color="auto" w:fill="FFFFFF" w:themeFill="background1"/>
        </w:rPr>
        <w:t>1</w:t>
      </w:r>
      <w:r w:rsidRPr="00A72555">
        <w:rPr>
          <w:shd w:val="clear" w:color="auto" w:fill="FFFFFF" w:themeFill="background1"/>
        </w:rPr>
        <w:t>.</w:t>
      </w:r>
      <w:r w:rsidR="007C5D6F" w:rsidRPr="00A72555">
        <w:rPr>
          <w:shd w:val="clear" w:color="auto" w:fill="FFFFFF" w:themeFill="background1"/>
        </w:rPr>
        <w:t>8</w:t>
      </w:r>
      <w:r w:rsidRPr="00A72555">
        <w:rPr>
          <w:shd w:val="clear" w:color="auto" w:fill="FFFFFF" w:themeFill="background1"/>
        </w:rPr>
        <w:t xml:space="preserve"> </w:t>
      </w:r>
      <w:r w:rsidR="00D41A2F" w:rsidRPr="00A72555">
        <w:rPr>
          <w:shd w:val="clear" w:color="auto" w:fill="FFFFFF" w:themeFill="background1"/>
        </w:rPr>
        <w:t>in 20</w:t>
      </w:r>
      <w:r w:rsidR="007C5D6F" w:rsidRPr="00A72555">
        <w:rPr>
          <w:shd w:val="clear" w:color="auto" w:fill="FFFFFF" w:themeFill="background1"/>
        </w:rPr>
        <w:t>10</w:t>
      </w:r>
      <w:r w:rsidR="00945186" w:rsidRPr="00A72555">
        <w:rPr>
          <w:shd w:val="clear" w:color="auto" w:fill="FFFFFF" w:themeFill="background1"/>
        </w:rPr>
        <w:noBreakHyphen/>
      </w:r>
      <w:r w:rsidR="008E2482" w:rsidRPr="00A72555">
        <w:rPr>
          <w:shd w:val="clear" w:color="auto" w:fill="FFFFFF" w:themeFill="background1"/>
        </w:rPr>
        <w:t>1</w:t>
      </w:r>
      <w:r w:rsidR="007C5D6F" w:rsidRPr="00A72555">
        <w:rPr>
          <w:shd w:val="clear" w:color="auto" w:fill="FFFFFF" w:themeFill="background1"/>
        </w:rPr>
        <w:t>1</w:t>
      </w:r>
      <w:r w:rsidR="00D41A2F" w:rsidRPr="00A72555">
        <w:rPr>
          <w:shd w:val="clear" w:color="auto" w:fill="FFFFFF" w:themeFill="background1"/>
        </w:rPr>
        <w:t xml:space="preserve"> </w:t>
      </w:r>
      <w:r w:rsidRPr="00A72555">
        <w:rPr>
          <w:shd w:val="clear" w:color="auto" w:fill="FFFFFF" w:themeFill="background1"/>
        </w:rPr>
        <w:t xml:space="preserve">to </w:t>
      </w:r>
      <w:r w:rsidR="007C5D6F" w:rsidRPr="00A72555">
        <w:rPr>
          <w:shd w:val="clear" w:color="auto" w:fill="FFFFFF" w:themeFill="background1"/>
        </w:rPr>
        <w:t>7</w:t>
      </w:r>
      <w:r w:rsidRPr="00A72555">
        <w:rPr>
          <w:shd w:val="clear" w:color="auto" w:fill="FFFFFF" w:themeFill="background1"/>
        </w:rPr>
        <w:t>.</w:t>
      </w:r>
      <w:r w:rsidR="007C5D6F" w:rsidRPr="00A72555">
        <w:rPr>
          <w:shd w:val="clear" w:color="auto" w:fill="FFFFFF" w:themeFill="background1"/>
        </w:rPr>
        <w:t>8</w:t>
      </w:r>
      <w:r w:rsidRPr="00A72555">
        <w:rPr>
          <w:shd w:val="clear" w:color="auto" w:fill="FFFFFF" w:themeFill="background1"/>
        </w:rPr>
        <w:t xml:space="preserve"> in 201</w:t>
      </w:r>
      <w:r w:rsidR="00D41651" w:rsidRPr="00A72555">
        <w:rPr>
          <w:shd w:val="clear" w:color="auto" w:fill="FFFFFF" w:themeFill="background1"/>
        </w:rPr>
        <w:t>4</w:t>
      </w:r>
      <w:r w:rsidRPr="00A72555">
        <w:rPr>
          <w:shd w:val="clear" w:color="auto" w:fill="FFFFFF" w:themeFill="background1"/>
        </w:rPr>
        <w:noBreakHyphen/>
        <w:t>1</w:t>
      </w:r>
      <w:r w:rsidR="00D41651" w:rsidRPr="00A72555">
        <w:rPr>
          <w:shd w:val="clear" w:color="auto" w:fill="FFFFFF" w:themeFill="background1"/>
        </w:rPr>
        <w:t>5</w:t>
      </w:r>
      <w:r w:rsidR="00DF33BC" w:rsidRPr="00DF33BC">
        <w:t xml:space="preserve"> </w:t>
      </w:r>
      <w:r>
        <w:t>(</w:t>
      </w:r>
      <w:r w:rsidR="00DF33BC" w:rsidRPr="00DF33BC">
        <w:t>figure</w:t>
      </w:r>
      <w:r w:rsidR="0022260C">
        <w:t> </w:t>
      </w:r>
      <w:r w:rsidR="00DF33BC" w:rsidRPr="00DF33BC">
        <w:t>12.1</w:t>
      </w:r>
      <w:r w:rsidR="00363650">
        <w:t>9</w:t>
      </w:r>
      <w:r>
        <w:t>)</w:t>
      </w:r>
      <w:r w:rsidR="00DF33BC" w:rsidRPr="00DF33BC">
        <w:t>.</w:t>
      </w:r>
      <w:r w:rsidR="00BC0842">
        <w:t xml:space="preserve"> </w:t>
      </w:r>
      <w:r w:rsidRPr="00D66E3D">
        <w:t xml:space="preserve">This downward trend was reflected across </w:t>
      </w:r>
      <w:r w:rsidR="00D41A2F">
        <w:t xml:space="preserve">most </w:t>
      </w:r>
      <w:r w:rsidR="00AB5CBB">
        <w:t xml:space="preserve">jurisdictions </w:t>
      </w:r>
      <w:r w:rsidR="00D41A2F">
        <w:t>(figure</w:t>
      </w:r>
      <w:r w:rsidR="006062EF">
        <w:t> </w:t>
      </w:r>
      <w:r w:rsidR="00D41A2F">
        <w:t xml:space="preserve">12.19) </w:t>
      </w:r>
      <w:r w:rsidR="00AB5CBB">
        <w:t xml:space="preserve">and </w:t>
      </w:r>
      <w:r w:rsidRPr="00D66E3D">
        <w:t>target population groups (table</w:t>
      </w:r>
      <w:r w:rsidR="00463329">
        <w:t> </w:t>
      </w:r>
      <w:proofErr w:type="spellStart"/>
      <w:r w:rsidRPr="00D66E3D">
        <w:t>12A.5</w:t>
      </w:r>
      <w:r w:rsidR="00AB5CBB">
        <w:t>2</w:t>
      </w:r>
      <w:proofErr w:type="spellEnd"/>
      <w:r w:rsidRPr="00D66E3D">
        <w:t xml:space="preserve">). </w:t>
      </w:r>
      <w:r w:rsidR="00D41A2F" w:rsidRPr="00D66E3D">
        <w:t xml:space="preserve">The lowest seclusion rates were in older </w:t>
      </w:r>
      <w:r w:rsidR="00D41A2F">
        <w:t>people</w:t>
      </w:r>
      <w:r w:rsidR="008E2482">
        <w:t>’</w:t>
      </w:r>
      <w:r w:rsidR="00D41A2F">
        <w:t>s</w:t>
      </w:r>
      <w:r w:rsidR="00D41A2F" w:rsidRPr="00D66E3D">
        <w:t xml:space="preserve"> units and the highest were in children and adolescent </w:t>
      </w:r>
      <w:r w:rsidR="00D41A2F">
        <w:t>units</w:t>
      </w:r>
      <w:r w:rsidR="00D41A2F" w:rsidRPr="00D66E3D">
        <w:t xml:space="preserve"> (table</w:t>
      </w:r>
      <w:r w:rsidR="006062EF">
        <w:t> </w:t>
      </w:r>
      <w:proofErr w:type="spellStart"/>
      <w:r w:rsidR="00D41A2F" w:rsidRPr="00D66E3D">
        <w:t>12A.5</w:t>
      </w:r>
      <w:r w:rsidR="00D41A2F">
        <w:t>2</w:t>
      </w:r>
      <w:proofErr w:type="spellEnd"/>
      <w:r w:rsidR="00D41A2F" w:rsidRPr="00D66E3D">
        <w:t>).</w:t>
      </w:r>
    </w:p>
    <w:p w:rsidR="00DF33BC" w:rsidRDefault="00DF33BC" w:rsidP="00D64AD8">
      <w:pPr>
        <w:pStyle w:val="BoxSpaceAbove"/>
        <w:widowControl w:val="0"/>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F33BC" w:rsidTr="00A72555">
        <w:tc>
          <w:tcPr>
            <w:tcW w:w="8771" w:type="dxa"/>
            <w:tcBorders>
              <w:top w:val="single" w:sz="6" w:space="0" w:color="78A22F"/>
              <w:left w:val="nil"/>
              <w:bottom w:val="nil"/>
              <w:right w:val="nil"/>
            </w:tcBorders>
            <w:shd w:val="clear" w:color="auto" w:fill="auto"/>
          </w:tcPr>
          <w:p w:rsidR="00DF33BC" w:rsidRPr="00176D3F" w:rsidRDefault="00DF33BC" w:rsidP="00D41651">
            <w:pPr>
              <w:pStyle w:val="FigureTitle"/>
              <w:keepLines w:val="0"/>
              <w:widowControl w:val="0"/>
            </w:pPr>
            <w:r w:rsidRPr="00784A05">
              <w:rPr>
                <w:b w:val="0"/>
              </w:rPr>
              <w:t xml:space="preserve">Figure </w:t>
            </w:r>
            <w:r w:rsidR="00313810">
              <w:rPr>
                <w:b w:val="0"/>
              </w:rPr>
              <w:t>12.</w:t>
            </w:r>
            <w:r w:rsidR="00833D26">
              <w:rPr>
                <w:b w:val="0"/>
                <w:noProof/>
              </w:rPr>
              <w:t>19</w:t>
            </w:r>
            <w:r>
              <w:tab/>
            </w:r>
            <w:r w:rsidRPr="00DF33BC">
              <w:t xml:space="preserve">Rate of </w:t>
            </w:r>
            <w:r w:rsidR="004F646E">
              <w:t>seclusion</w:t>
            </w:r>
            <w:r w:rsidR="004F646E">
              <w:rPr>
                <w:rStyle w:val="NoteLabel"/>
                <w:b/>
              </w:rPr>
              <w:t>a</w:t>
            </w:r>
          </w:p>
        </w:tc>
      </w:tr>
      <w:tr w:rsidR="00DF33BC" w:rsidTr="00A7255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F33BC" w:rsidTr="005A5A21">
              <w:trPr>
                <w:jc w:val="center"/>
              </w:trPr>
              <w:tc>
                <w:tcPr>
                  <w:tcW w:w="5000" w:type="pct"/>
                  <w:tcBorders>
                    <w:top w:val="nil"/>
                    <w:bottom w:val="nil"/>
                  </w:tcBorders>
                </w:tcPr>
                <w:p w:rsidR="00DF33BC" w:rsidRDefault="001B7B09" w:rsidP="00D41A2F">
                  <w:pPr>
                    <w:pStyle w:val="Figure"/>
                    <w:keepNext w:val="0"/>
                    <w:widowControl w:val="0"/>
                    <w:spacing w:before="60" w:after="60"/>
                  </w:pPr>
                  <w:r>
                    <w:rPr>
                      <w:noProof/>
                    </w:rPr>
                    <w:drawing>
                      <wp:inline distT="0" distB="0" distL="0" distR="0">
                        <wp:extent cx="5391150" cy="2686050"/>
                        <wp:effectExtent l="0" t="0" r="0" b="0"/>
                        <wp:docPr id="21" name="Picture 21" descr="Figure 12.19 Rate of seclus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F33BC" w:rsidRDefault="00DF33BC" w:rsidP="00D41A2F">
            <w:pPr>
              <w:pStyle w:val="Figure"/>
              <w:keepNext w:val="0"/>
              <w:widowControl w:val="0"/>
            </w:pPr>
          </w:p>
        </w:tc>
      </w:tr>
      <w:tr w:rsidR="00DF33BC" w:rsidRPr="00176D3F" w:rsidTr="005A5A21">
        <w:tc>
          <w:tcPr>
            <w:tcW w:w="8771" w:type="dxa"/>
            <w:tcBorders>
              <w:top w:val="nil"/>
              <w:left w:val="nil"/>
              <w:bottom w:val="nil"/>
              <w:right w:val="nil"/>
            </w:tcBorders>
            <w:shd w:val="clear" w:color="auto" w:fill="auto"/>
          </w:tcPr>
          <w:p w:rsidR="00DF33BC" w:rsidRPr="00176D3F" w:rsidRDefault="0081130F" w:rsidP="00EC489B">
            <w:pPr>
              <w:pStyle w:val="Note"/>
              <w:keepLines w:val="0"/>
              <w:widowControl w:val="0"/>
              <w:spacing w:before="60"/>
              <w:rPr>
                <w:i/>
              </w:rPr>
            </w:pPr>
            <w:r>
              <w:rPr>
                <w:rStyle w:val="NoteLabel"/>
              </w:rPr>
              <w:t>a</w:t>
            </w:r>
            <w:r w:rsidR="00C3025D">
              <w:t> </w:t>
            </w:r>
            <w:r w:rsidR="00D66E3D" w:rsidRPr="00D66E3D">
              <w:t xml:space="preserve">See </w:t>
            </w:r>
            <w:r w:rsidR="008132F5">
              <w:t>box</w:t>
            </w:r>
            <w:r w:rsidR="00463329">
              <w:t> </w:t>
            </w:r>
            <w:r w:rsidR="008132F5">
              <w:t xml:space="preserve">12.10 and </w:t>
            </w:r>
            <w:r w:rsidR="00D66E3D" w:rsidRPr="00D66E3D">
              <w:t>table</w:t>
            </w:r>
            <w:r w:rsidR="00463329">
              <w:t> </w:t>
            </w:r>
            <w:proofErr w:type="spellStart"/>
            <w:r w:rsidR="00D66E3D" w:rsidRPr="00D66E3D">
              <w:t>12A.5</w:t>
            </w:r>
            <w:r w:rsidR="00D66E3D">
              <w:t>1</w:t>
            </w:r>
            <w:proofErr w:type="spellEnd"/>
            <w:r w:rsidR="00D66E3D" w:rsidRPr="00D66E3D">
              <w:t xml:space="preserve"> </w:t>
            </w:r>
            <w:r w:rsidR="00871F08" w:rsidRPr="00871F08">
              <w:t>for detailed definitions, footnotes and caveats</w:t>
            </w:r>
            <w:r w:rsidR="00D66E3D" w:rsidRPr="00D66E3D">
              <w:t xml:space="preserve">. </w:t>
            </w:r>
          </w:p>
        </w:tc>
      </w:tr>
      <w:tr w:rsidR="00DF33BC" w:rsidRPr="00176D3F" w:rsidTr="005A5A21">
        <w:tc>
          <w:tcPr>
            <w:tcW w:w="8771" w:type="dxa"/>
            <w:tcBorders>
              <w:top w:val="nil"/>
              <w:left w:val="nil"/>
              <w:bottom w:val="nil"/>
              <w:right w:val="nil"/>
            </w:tcBorders>
            <w:shd w:val="clear" w:color="auto" w:fill="auto"/>
          </w:tcPr>
          <w:p w:rsidR="00DF33BC" w:rsidRPr="00176D3F" w:rsidRDefault="005E71FF" w:rsidP="00D41651">
            <w:pPr>
              <w:pStyle w:val="Source"/>
              <w:keepLines w:val="0"/>
              <w:widowControl w:val="0"/>
              <w:spacing w:before="60"/>
            </w:pPr>
            <w:r w:rsidRPr="005E71FF">
              <w:rPr>
                <w:i/>
              </w:rPr>
              <w:t>Source</w:t>
            </w:r>
            <w:r w:rsidRPr="005E71FF">
              <w:t xml:space="preserve">: </w:t>
            </w:r>
            <w:r w:rsidR="0078628D" w:rsidRPr="00A72555">
              <w:rPr>
                <w:shd w:val="clear" w:color="auto" w:fill="FFFFFF" w:themeFill="background1"/>
              </w:rPr>
              <w:t xml:space="preserve">AIHW </w:t>
            </w:r>
            <w:r w:rsidR="00A66A51" w:rsidRPr="00A72555">
              <w:rPr>
                <w:shd w:val="clear" w:color="auto" w:fill="FFFFFF" w:themeFill="background1"/>
              </w:rPr>
              <w:t>(</w:t>
            </w:r>
            <w:r w:rsidR="0078628D" w:rsidRPr="00A72555">
              <w:rPr>
                <w:shd w:val="clear" w:color="auto" w:fill="FFFFFF" w:themeFill="background1"/>
              </w:rPr>
              <w:t>201</w:t>
            </w:r>
            <w:r w:rsidR="00D41651" w:rsidRPr="00A72555">
              <w:rPr>
                <w:shd w:val="clear" w:color="auto" w:fill="FFFFFF" w:themeFill="background1"/>
              </w:rPr>
              <w:t>5</w:t>
            </w:r>
            <w:r w:rsidR="00A66A51" w:rsidRPr="00A72555">
              <w:rPr>
                <w:shd w:val="clear" w:color="auto" w:fill="FFFFFF" w:themeFill="background1"/>
              </w:rPr>
              <w:t>)</w:t>
            </w:r>
            <w:r w:rsidR="0078628D" w:rsidRPr="00A72555">
              <w:rPr>
                <w:shd w:val="clear" w:color="auto" w:fill="FFFFFF" w:themeFill="background1"/>
              </w:rPr>
              <w:t xml:space="preserve"> </w:t>
            </w:r>
            <w:r w:rsidR="0078628D" w:rsidRPr="00A72555">
              <w:rPr>
                <w:i/>
                <w:shd w:val="clear" w:color="auto" w:fill="FFFFFF" w:themeFill="background1"/>
              </w:rPr>
              <w:t>Mental Health Services in Australia Online</w:t>
            </w:r>
            <w:r w:rsidR="0078628D" w:rsidRPr="00A72555">
              <w:rPr>
                <w:shd w:val="clear" w:color="auto" w:fill="FFFFFF" w:themeFill="background1"/>
              </w:rPr>
              <w:t>, mhsa.aihw.gov.au/home/ (accessed 1</w:t>
            </w:r>
            <w:r w:rsidR="00D41651" w:rsidRPr="00A72555">
              <w:rPr>
                <w:shd w:val="clear" w:color="auto" w:fill="FFFFFF" w:themeFill="background1"/>
              </w:rPr>
              <w:t>6</w:t>
            </w:r>
            <w:r w:rsidR="0078628D" w:rsidRPr="00A72555">
              <w:rPr>
                <w:shd w:val="clear" w:color="auto" w:fill="FFFFFF" w:themeFill="background1"/>
              </w:rPr>
              <w:t> December 201</w:t>
            </w:r>
            <w:r w:rsidR="00D41651" w:rsidRPr="00A72555">
              <w:rPr>
                <w:shd w:val="clear" w:color="auto" w:fill="FFFFFF" w:themeFill="background1"/>
              </w:rPr>
              <w:t>5</w:t>
            </w:r>
            <w:r w:rsidR="0078628D" w:rsidRPr="00A72555">
              <w:rPr>
                <w:shd w:val="clear" w:color="auto" w:fill="FFFFFF" w:themeFill="background1"/>
              </w:rPr>
              <w:t>)</w:t>
            </w:r>
            <w:r w:rsidRPr="00A72555">
              <w:rPr>
                <w:shd w:val="clear" w:color="auto" w:fill="FFFFFF" w:themeFill="background1"/>
              </w:rPr>
              <w:t>; table</w:t>
            </w:r>
            <w:r w:rsidR="0022260C" w:rsidRPr="00A72555">
              <w:rPr>
                <w:shd w:val="clear" w:color="auto" w:fill="FFFFFF" w:themeFill="background1"/>
              </w:rPr>
              <w:t> </w:t>
            </w:r>
            <w:proofErr w:type="spellStart"/>
            <w:r w:rsidRPr="00A72555">
              <w:rPr>
                <w:shd w:val="clear" w:color="auto" w:fill="FFFFFF" w:themeFill="background1"/>
              </w:rPr>
              <w:t>12A.</w:t>
            </w:r>
            <w:r w:rsidR="00EA5C56" w:rsidRPr="00A72555">
              <w:rPr>
                <w:shd w:val="clear" w:color="auto" w:fill="FFFFFF" w:themeFill="background1"/>
              </w:rPr>
              <w:t>51</w:t>
            </w:r>
            <w:proofErr w:type="spellEnd"/>
            <w:r w:rsidRPr="00A72555">
              <w:rPr>
                <w:shd w:val="clear" w:color="auto" w:fill="FFFFFF" w:themeFill="background1"/>
              </w:rPr>
              <w:t>.</w:t>
            </w:r>
          </w:p>
        </w:tc>
      </w:tr>
      <w:tr w:rsidR="00DF33BC" w:rsidTr="005A5A21">
        <w:tc>
          <w:tcPr>
            <w:tcW w:w="8771" w:type="dxa"/>
            <w:tcBorders>
              <w:top w:val="nil"/>
              <w:left w:val="nil"/>
              <w:bottom w:val="single" w:sz="6" w:space="0" w:color="78A22F"/>
              <w:right w:val="nil"/>
            </w:tcBorders>
            <w:shd w:val="clear" w:color="auto" w:fill="auto"/>
          </w:tcPr>
          <w:p w:rsidR="00DF33BC" w:rsidRDefault="00DF33BC" w:rsidP="00D41A2F">
            <w:pPr>
              <w:pStyle w:val="Figurespace"/>
              <w:keepNext w:val="0"/>
              <w:widowControl w:val="0"/>
            </w:pPr>
          </w:p>
        </w:tc>
      </w:tr>
      <w:tr w:rsidR="00DF33BC" w:rsidRPr="000863A5" w:rsidTr="005A5A21">
        <w:tc>
          <w:tcPr>
            <w:tcW w:w="8771" w:type="dxa"/>
            <w:tcBorders>
              <w:top w:val="single" w:sz="6" w:space="0" w:color="78A22F"/>
              <w:left w:val="nil"/>
              <w:bottom w:val="nil"/>
              <w:right w:val="nil"/>
            </w:tcBorders>
          </w:tcPr>
          <w:p w:rsidR="00DF33BC" w:rsidRPr="00626D32" w:rsidRDefault="00DF33BC" w:rsidP="00D41A2F">
            <w:pPr>
              <w:pStyle w:val="BoxSpaceBelow"/>
              <w:widowControl w:val="0"/>
            </w:pPr>
          </w:p>
        </w:tc>
      </w:tr>
    </w:tbl>
    <w:p w:rsidR="009E169A" w:rsidRDefault="009E169A" w:rsidP="008E2482">
      <w:pPr>
        <w:pStyle w:val="Heading4"/>
      </w:pPr>
      <w:r>
        <w:lastRenderedPageBreak/>
        <w:t>Quality — responsiveness — consumer and carer experiences of services</w:t>
      </w:r>
    </w:p>
    <w:p w:rsidR="00DF33BC" w:rsidRDefault="009E169A" w:rsidP="002315C6">
      <w:pPr>
        <w:pStyle w:val="BodyText"/>
      </w:pPr>
      <w:r>
        <w:t>‘Consumer and carer experiences of services’ is an indicator of governments’ objective that services are of a high quality and responsive to the needs of consumers and their carers (box</w:t>
      </w:r>
      <w:r w:rsidR="0022260C">
        <w:t> </w:t>
      </w:r>
      <w:r>
        <w:t>12.</w:t>
      </w:r>
      <w:r w:rsidR="00D47EA9">
        <w:t>11</w:t>
      </w:r>
      <w:r>
        <w:t xml:space="preserve">). </w:t>
      </w:r>
    </w:p>
    <w:p w:rsidR="00576076" w:rsidRDefault="005760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6076" w:rsidTr="005A5A21">
        <w:tc>
          <w:tcPr>
            <w:tcW w:w="8771" w:type="dxa"/>
            <w:tcBorders>
              <w:top w:val="single" w:sz="6" w:space="0" w:color="78A22F"/>
              <w:left w:val="nil"/>
              <w:bottom w:val="nil"/>
              <w:right w:val="nil"/>
            </w:tcBorders>
            <w:shd w:val="clear" w:color="auto" w:fill="F2F2F2"/>
          </w:tcPr>
          <w:p w:rsidR="00576076" w:rsidRDefault="00576076">
            <w:pPr>
              <w:pStyle w:val="BoxTitle"/>
            </w:pPr>
            <w:r>
              <w:rPr>
                <w:b w:val="0"/>
              </w:rPr>
              <w:t xml:space="preserve">Box </w:t>
            </w:r>
            <w:r w:rsidR="00D47EA9">
              <w:rPr>
                <w:b w:val="0"/>
              </w:rPr>
              <w:t>12.</w:t>
            </w:r>
            <w:r w:rsidR="00833D26">
              <w:rPr>
                <w:b w:val="0"/>
                <w:noProof/>
              </w:rPr>
              <w:t>11</w:t>
            </w:r>
            <w:r>
              <w:tab/>
            </w:r>
            <w:r w:rsidRPr="00576076">
              <w:t>Consumer and carer experiences of services</w:t>
            </w:r>
          </w:p>
        </w:tc>
      </w:tr>
      <w:tr w:rsidR="00576076" w:rsidTr="005A5A21">
        <w:trPr>
          <w:cantSplit/>
        </w:trPr>
        <w:tc>
          <w:tcPr>
            <w:tcW w:w="8771" w:type="dxa"/>
            <w:tcBorders>
              <w:top w:val="nil"/>
              <w:left w:val="nil"/>
              <w:bottom w:val="nil"/>
              <w:right w:val="nil"/>
            </w:tcBorders>
            <w:shd w:val="clear" w:color="auto" w:fill="F2F2F2"/>
          </w:tcPr>
          <w:p w:rsidR="00AC4803" w:rsidRDefault="00AC4803" w:rsidP="00AC4803">
            <w:pPr>
              <w:pStyle w:val="Box"/>
            </w:pPr>
            <w:r>
              <w:t>‘Consumer and carer experiences of services’ is yet to be defined.</w:t>
            </w:r>
          </w:p>
          <w:p w:rsidR="00576076" w:rsidRDefault="00AC4803">
            <w:pPr>
              <w:pStyle w:val="Box"/>
            </w:pPr>
            <w:r>
              <w:t xml:space="preserve">Data for this indicator were not available for the </w:t>
            </w:r>
            <w:r w:rsidR="0081130F">
              <w:t xml:space="preserve">2016 </w:t>
            </w:r>
            <w:r>
              <w:t>Report.</w:t>
            </w:r>
          </w:p>
        </w:tc>
      </w:tr>
      <w:tr w:rsidR="00576076" w:rsidTr="005A5A21">
        <w:trPr>
          <w:cantSplit/>
        </w:trPr>
        <w:tc>
          <w:tcPr>
            <w:tcW w:w="8771" w:type="dxa"/>
            <w:tcBorders>
              <w:top w:val="nil"/>
              <w:left w:val="nil"/>
              <w:bottom w:val="single" w:sz="6" w:space="0" w:color="78A22F"/>
              <w:right w:val="nil"/>
            </w:tcBorders>
            <w:shd w:val="clear" w:color="auto" w:fill="F2F2F2"/>
          </w:tcPr>
          <w:p w:rsidR="00576076" w:rsidRDefault="00576076">
            <w:pPr>
              <w:pStyle w:val="Box"/>
              <w:spacing w:before="0" w:line="120" w:lineRule="exact"/>
            </w:pPr>
          </w:p>
        </w:tc>
      </w:tr>
      <w:tr w:rsidR="00576076" w:rsidRPr="000863A5" w:rsidTr="005A5A21">
        <w:tc>
          <w:tcPr>
            <w:tcW w:w="8771" w:type="dxa"/>
            <w:tcBorders>
              <w:top w:val="single" w:sz="6" w:space="0" w:color="78A22F"/>
              <w:left w:val="nil"/>
              <w:bottom w:val="nil"/>
              <w:right w:val="nil"/>
            </w:tcBorders>
          </w:tcPr>
          <w:p w:rsidR="00576076" w:rsidRPr="00626D32" w:rsidRDefault="00576076" w:rsidP="005A5A21">
            <w:pPr>
              <w:pStyle w:val="BoxSpaceBelow"/>
            </w:pPr>
          </w:p>
        </w:tc>
      </w:tr>
    </w:tbl>
    <w:p w:rsidR="009E169A" w:rsidRDefault="009E169A" w:rsidP="009E169A">
      <w:pPr>
        <w:pStyle w:val="Heading4"/>
      </w:pPr>
      <w:r>
        <w:t>Quality — responsiveness — consumer and carer involvement in decision making</w:t>
      </w:r>
    </w:p>
    <w:p w:rsidR="004F646E" w:rsidRDefault="009E169A" w:rsidP="002315C6">
      <w:pPr>
        <w:pStyle w:val="BodyText"/>
      </w:pPr>
      <w:r>
        <w:t>‘Consumer and carer involvement in decision making’ is an indicator of governments’ objective that consumers and carers are involved at the service delivery level, where they have the opportunity to influence the services they receive (box</w:t>
      </w:r>
      <w:r w:rsidR="0022260C">
        <w:t> </w:t>
      </w:r>
      <w:r>
        <w:t>12.</w:t>
      </w:r>
      <w:r w:rsidR="0081130F">
        <w:t>1</w:t>
      </w:r>
      <w:r w:rsidR="00D47EA9">
        <w:t>2</w:t>
      </w:r>
      <w:r>
        <w:t xml:space="preserve">). </w:t>
      </w:r>
    </w:p>
    <w:p w:rsidR="00AC4803" w:rsidRDefault="00AC4803" w:rsidP="00576003">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4803" w:rsidTr="005E05C9">
        <w:tc>
          <w:tcPr>
            <w:tcW w:w="8771" w:type="dxa"/>
            <w:tcBorders>
              <w:top w:val="single" w:sz="6" w:space="0" w:color="78A22F"/>
              <w:left w:val="nil"/>
              <w:bottom w:val="nil"/>
              <w:right w:val="nil"/>
            </w:tcBorders>
            <w:shd w:val="clear" w:color="auto" w:fill="F2F2F2"/>
          </w:tcPr>
          <w:p w:rsidR="00AC4803" w:rsidRDefault="00AC4803">
            <w:pPr>
              <w:pStyle w:val="BoxTitle"/>
            </w:pPr>
            <w:r>
              <w:rPr>
                <w:b w:val="0"/>
              </w:rPr>
              <w:t xml:space="preserve">Box </w:t>
            </w:r>
            <w:r w:rsidR="00D47EA9">
              <w:rPr>
                <w:b w:val="0"/>
              </w:rPr>
              <w:t>12.</w:t>
            </w:r>
            <w:r w:rsidR="00833D26">
              <w:rPr>
                <w:b w:val="0"/>
                <w:noProof/>
              </w:rPr>
              <w:t>12</w:t>
            </w:r>
            <w:r>
              <w:tab/>
            </w:r>
            <w:r w:rsidRPr="00AC4803">
              <w:t>Consumer and carer involvement in decision making</w:t>
            </w:r>
          </w:p>
        </w:tc>
      </w:tr>
      <w:tr w:rsidR="00AC4803" w:rsidTr="005E05C9">
        <w:trPr>
          <w:cantSplit/>
        </w:trPr>
        <w:tc>
          <w:tcPr>
            <w:tcW w:w="8771" w:type="dxa"/>
            <w:tcBorders>
              <w:top w:val="nil"/>
              <w:left w:val="nil"/>
              <w:bottom w:val="nil"/>
              <w:right w:val="nil"/>
            </w:tcBorders>
            <w:shd w:val="clear" w:color="auto" w:fill="F2F2F2"/>
          </w:tcPr>
          <w:p w:rsidR="00AC4803" w:rsidRDefault="00AC4803" w:rsidP="00AC4803">
            <w:pPr>
              <w:pStyle w:val="Box"/>
            </w:pPr>
            <w:r>
              <w:t>‘Consumer and carer involvement in decision making’ is defined by two measures</w:t>
            </w:r>
            <w:r w:rsidR="003C3880">
              <w:t>,</w:t>
            </w:r>
            <w:r w:rsidR="00916303">
              <w:t xml:space="preserve"> the number of paid FTE</w:t>
            </w:r>
            <w:r>
              <w:t>:</w:t>
            </w:r>
          </w:p>
          <w:p w:rsidR="00AC4803" w:rsidRDefault="00AC4803" w:rsidP="00AC4803">
            <w:pPr>
              <w:pStyle w:val="BoxListBullet"/>
            </w:pPr>
            <w:r>
              <w:t xml:space="preserve">consumer staff per 1000 FTE direct care staff </w:t>
            </w:r>
          </w:p>
          <w:p w:rsidR="00AC4803" w:rsidRDefault="00AC4803" w:rsidP="00AC4803">
            <w:pPr>
              <w:pStyle w:val="BoxListBullet"/>
            </w:pPr>
            <w:r>
              <w:t xml:space="preserve">carer staff per 1000 FTE direct care staff. </w:t>
            </w:r>
          </w:p>
          <w:p w:rsidR="00AC4803" w:rsidRDefault="00AC4803" w:rsidP="00AC4803">
            <w:pPr>
              <w:pStyle w:val="Box"/>
            </w:pPr>
            <w:r>
              <w:t>High or increasing proportions of paid FTE direct care staff who are consumer</w:t>
            </w:r>
            <w:r w:rsidR="004F646E">
              <w:t>s</w:t>
            </w:r>
            <w:r w:rsidR="00221C87">
              <w:t xml:space="preserve"> or </w:t>
            </w:r>
            <w:r>
              <w:t>carer</w:t>
            </w:r>
            <w:r w:rsidR="004F646E">
              <w:t xml:space="preserve">s </w:t>
            </w:r>
            <w:r>
              <w:t>implies better opportunities for consumers and carers to be involved at the service delivery level, where they can influence the services received.</w:t>
            </w:r>
          </w:p>
          <w:p w:rsidR="00AC4803" w:rsidRDefault="00AC4803" w:rsidP="00AC4803">
            <w:pPr>
              <w:pStyle w:val="Box"/>
            </w:pPr>
            <w:r>
              <w:t>Data reported for this indicator are:</w:t>
            </w:r>
          </w:p>
          <w:p w:rsidR="00AC4803" w:rsidRDefault="00AC4803" w:rsidP="00AC4803">
            <w:pPr>
              <w:pStyle w:val="BoxListBullet"/>
            </w:pPr>
            <w:r>
              <w:t xml:space="preserve">comparable (subject to caveats) across jurisdictions but a break in series means that data </w:t>
            </w:r>
            <w:r w:rsidR="001D727E">
              <w:t xml:space="preserve">from </w:t>
            </w:r>
            <w:r>
              <w:t>2010</w:t>
            </w:r>
            <w:r>
              <w:noBreakHyphen/>
              <w:t xml:space="preserve">11 are not comparable to data </w:t>
            </w:r>
            <w:r w:rsidR="00D66E3D">
              <w:t xml:space="preserve">for </w:t>
            </w:r>
            <w:r w:rsidR="001D727E">
              <w:t>previous years</w:t>
            </w:r>
            <w:r w:rsidR="002F5428">
              <w:t xml:space="preserve"> </w:t>
            </w:r>
          </w:p>
          <w:p w:rsidR="00AC4803" w:rsidRDefault="00AC4803" w:rsidP="00AC4803">
            <w:pPr>
              <w:pStyle w:val="BoxListBullet"/>
            </w:pPr>
            <w:r>
              <w:t xml:space="preserve">complete </w:t>
            </w:r>
            <w:r w:rsidR="004F646E">
              <w:t xml:space="preserve">(subject to caveats) </w:t>
            </w:r>
            <w:r>
              <w:t xml:space="preserve">for the current reporting period. All required data for </w:t>
            </w:r>
            <w:r w:rsidR="0081130F">
              <w:t>2013</w:t>
            </w:r>
            <w:r>
              <w:noBreakHyphen/>
            </w:r>
            <w:r w:rsidR="0081130F">
              <w:t xml:space="preserve">14 </w:t>
            </w:r>
            <w:r>
              <w:t>are available for all jurisdictions.</w:t>
            </w:r>
          </w:p>
          <w:p w:rsidR="00AC4803" w:rsidRDefault="00AC4803" w:rsidP="0081130F">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81130F">
              <w:t>2016</w:t>
            </w:r>
            <w:r>
              <w:t>.</w:t>
            </w:r>
          </w:p>
        </w:tc>
      </w:tr>
      <w:tr w:rsidR="00AC4803" w:rsidTr="005E05C9">
        <w:trPr>
          <w:cantSplit/>
        </w:trPr>
        <w:tc>
          <w:tcPr>
            <w:tcW w:w="8771" w:type="dxa"/>
            <w:tcBorders>
              <w:top w:val="nil"/>
              <w:left w:val="nil"/>
              <w:bottom w:val="single" w:sz="6" w:space="0" w:color="78A22F"/>
              <w:right w:val="nil"/>
            </w:tcBorders>
            <w:shd w:val="clear" w:color="auto" w:fill="F2F2F2"/>
          </w:tcPr>
          <w:p w:rsidR="00AC4803" w:rsidRDefault="00AC4803">
            <w:pPr>
              <w:pStyle w:val="Box"/>
              <w:spacing w:before="0" w:line="120" w:lineRule="exact"/>
            </w:pPr>
          </w:p>
        </w:tc>
      </w:tr>
      <w:tr w:rsidR="00AC4803" w:rsidRPr="000863A5" w:rsidTr="005E05C9">
        <w:tc>
          <w:tcPr>
            <w:tcW w:w="8771" w:type="dxa"/>
            <w:tcBorders>
              <w:top w:val="single" w:sz="6" w:space="0" w:color="78A22F"/>
              <w:left w:val="nil"/>
              <w:bottom w:val="nil"/>
              <w:right w:val="nil"/>
            </w:tcBorders>
          </w:tcPr>
          <w:p w:rsidR="00AC4803" w:rsidRPr="00626D32" w:rsidRDefault="00AC4803" w:rsidP="005E05C9">
            <w:pPr>
              <w:pStyle w:val="BoxSpaceBelow"/>
            </w:pPr>
          </w:p>
        </w:tc>
      </w:tr>
    </w:tbl>
    <w:p w:rsidR="00AC4803" w:rsidRPr="00576003" w:rsidRDefault="004F646E" w:rsidP="002315C6">
      <w:pPr>
        <w:pStyle w:val="BodyText"/>
      </w:pPr>
      <w:r>
        <w:t>T</w:t>
      </w:r>
      <w:r w:rsidR="00AC4803" w:rsidRPr="00AC4803">
        <w:t xml:space="preserve">he number of paid FTE consumer </w:t>
      </w:r>
      <w:r w:rsidR="00753547">
        <w:t xml:space="preserve">and carer </w:t>
      </w:r>
      <w:r w:rsidR="00AC4803" w:rsidRPr="00AC4803">
        <w:t>staff per</w:t>
      </w:r>
      <w:r w:rsidR="006062EF">
        <w:t> </w:t>
      </w:r>
      <w:r w:rsidR="00AC4803" w:rsidRPr="00AC4803">
        <w:t>1000 paid FTE direct care</w:t>
      </w:r>
      <w:r w:rsidR="00916303">
        <w:t xml:space="preserve"> </w:t>
      </w:r>
      <w:r w:rsidR="00AC4803" w:rsidRPr="00AC4803">
        <w:t>staff</w:t>
      </w:r>
      <w:r>
        <w:t xml:space="preserve"> are reported in f</w:t>
      </w:r>
      <w:r w:rsidRPr="00AC4803">
        <w:t>igure</w:t>
      </w:r>
      <w:r>
        <w:t xml:space="preserve">s 12.20 and 12.21 </w:t>
      </w:r>
      <w:r w:rsidR="00753547">
        <w:t>respectively</w:t>
      </w:r>
      <w:r w:rsidR="00AC4803" w:rsidRPr="00AC4803">
        <w:t>.</w:t>
      </w:r>
      <w:r w:rsidR="002B1784" w:rsidRPr="002B1784">
        <w:t xml:space="preserve"> </w:t>
      </w:r>
    </w:p>
    <w:p w:rsidR="00753547" w:rsidRDefault="00753547" w:rsidP="00AB1C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3547" w:rsidTr="00AB1CAB">
        <w:tc>
          <w:tcPr>
            <w:tcW w:w="8771" w:type="dxa"/>
            <w:tcBorders>
              <w:top w:val="single" w:sz="6" w:space="0" w:color="78A22F"/>
              <w:left w:val="nil"/>
              <w:bottom w:val="nil"/>
              <w:right w:val="nil"/>
            </w:tcBorders>
            <w:shd w:val="clear" w:color="auto" w:fill="auto"/>
          </w:tcPr>
          <w:p w:rsidR="00753547" w:rsidRPr="00176D3F" w:rsidRDefault="00753547" w:rsidP="00753547">
            <w:pPr>
              <w:pStyle w:val="FigureTitle"/>
            </w:pPr>
            <w:r w:rsidRPr="00784A05">
              <w:rPr>
                <w:b w:val="0"/>
              </w:rPr>
              <w:t xml:space="preserve">Figure </w:t>
            </w:r>
            <w:r w:rsidR="00586CEA">
              <w:rPr>
                <w:b w:val="0"/>
              </w:rPr>
              <w:t>12.</w:t>
            </w:r>
            <w:r w:rsidR="00833D26">
              <w:rPr>
                <w:b w:val="0"/>
                <w:noProof/>
              </w:rPr>
              <w:t>20</w:t>
            </w:r>
            <w:r>
              <w:tab/>
            </w:r>
            <w:r w:rsidRPr="00753547">
              <w:t>Paid FTE consumer staff per 1000 paid FTE direct care staff</w:t>
            </w:r>
            <w:r>
              <w:br/>
            </w:r>
            <w:r w:rsidRPr="00AC4803">
              <w:rPr>
                <w:rStyle w:val="NoteLabel"/>
                <w:b/>
              </w:rPr>
              <w:t>a, b, c, d</w:t>
            </w:r>
          </w:p>
        </w:tc>
      </w:tr>
      <w:tr w:rsidR="00753547" w:rsidTr="00AB1CA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53547" w:rsidTr="00AB1CAB">
              <w:trPr>
                <w:jc w:val="center"/>
              </w:trPr>
              <w:tc>
                <w:tcPr>
                  <w:tcW w:w="5000" w:type="pct"/>
                  <w:tcBorders>
                    <w:top w:val="nil"/>
                    <w:bottom w:val="nil"/>
                  </w:tcBorders>
                </w:tcPr>
                <w:p w:rsidR="00753547" w:rsidRDefault="001B7B09" w:rsidP="00AB1CAB">
                  <w:pPr>
                    <w:pStyle w:val="Figure"/>
                    <w:spacing w:before="60" w:after="60"/>
                  </w:pPr>
                  <w:r>
                    <w:rPr>
                      <w:noProof/>
                    </w:rPr>
                    <w:drawing>
                      <wp:inline distT="0" distB="0" distL="0" distR="0">
                        <wp:extent cx="5353050" cy="2686050"/>
                        <wp:effectExtent l="0" t="0" r="0" b="0"/>
                        <wp:docPr id="22" name="Picture 22" descr="Figure 12.20 Paid FTE consumer staff per 1000 paid FTE direct care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53050" cy="2686050"/>
                                </a:xfrm>
                                <a:prstGeom prst="rect">
                                  <a:avLst/>
                                </a:prstGeom>
                                <a:noFill/>
                                <a:ln>
                                  <a:noFill/>
                                </a:ln>
                              </pic:spPr>
                            </pic:pic>
                          </a:graphicData>
                        </a:graphic>
                      </wp:inline>
                    </w:drawing>
                  </w:r>
                </w:p>
              </w:tc>
            </w:tr>
          </w:tbl>
          <w:p w:rsidR="00753547" w:rsidRDefault="00753547" w:rsidP="00AB1CAB">
            <w:pPr>
              <w:pStyle w:val="Figure"/>
            </w:pPr>
          </w:p>
        </w:tc>
      </w:tr>
      <w:tr w:rsidR="00753547" w:rsidRPr="00176D3F" w:rsidTr="00AB1CAB">
        <w:tc>
          <w:tcPr>
            <w:tcW w:w="8771" w:type="dxa"/>
            <w:tcBorders>
              <w:top w:val="nil"/>
              <w:left w:val="nil"/>
              <w:bottom w:val="nil"/>
              <w:right w:val="nil"/>
            </w:tcBorders>
            <w:shd w:val="clear" w:color="auto" w:fill="auto"/>
          </w:tcPr>
          <w:p w:rsidR="00753547" w:rsidRPr="00176D3F" w:rsidRDefault="00753547" w:rsidP="00CF2E50">
            <w:pPr>
              <w:pStyle w:val="Note"/>
            </w:pPr>
            <w:r>
              <w:rPr>
                <w:rStyle w:val="NoteLabel"/>
              </w:rPr>
              <w:t>a</w:t>
            </w:r>
            <w:r>
              <w:t xml:space="preserve"> </w:t>
            </w:r>
            <w:r w:rsidRPr="002F5428">
              <w:t>See box</w:t>
            </w:r>
            <w:r w:rsidR="00463329">
              <w:t> </w:t>
            </w:r>
            <w:r w:rsidRPr="002F5428">
              <w:t>12.1</w:t>
            </w:r>
            <w:r>
              <w:t>2</w:t>
            </w:r>
            <w:r w:rsidRPr="002F5428">
              <w:t xml:space="preserve"> and</w:t>
            </w:r>
            <w:r w:rsidRPr="00D71789">
              <w:t xml:space="preserve"> table</w:t>
            </w:r>
            <w:r w:rsidR="00463329">
              <w:t> </w:t>
            </w:r>
            <w:proofErr w:type="spellStart"/>
            <w:r w:rsidRPr="00D71789">
              <w:t>12A.5</w:t>
            </w:r>
            <w:r>
              <w:t>3</w:t>
            </w:r>
            <w:proofErr w:type="spellEnd"/>
            <w:r w:rsidRPr="00D71789">
              <w:t xml:space="preserve"> </w:t>
            </w:r>
            <w:r w:rsidR="00576003" w:rsidRPr="00576003">
              <w:t>for detailed definitions, footnotes and caveats</w:t>
            </w:r>
            <w:r w:rsidRPr="00D71789">
              <w:t xml:space="preserve">. </w:t>
            </w:r>
            <w:r w:rsidRPr="008A756C">
              <w:rPr>
                <w:rStyle w:val="NoteLabel"/>
              </w:rPr>
              <w:t>b</w:t>
            </w:r>
            <w:r w:rsidRPr="00185B0D">
              <w:t> </w:t>
            </w:r>
            <w:r w:rsidRPr="001D727E">
              <w:t>Tasmania did not employ consumer</w:t>
            </w:r>
            <w:r w:rsidR="00BA10E1">
              <w:t xml:space="preserve"> staff</w:t>
            </w:r>
            <w:r w:rsidR="004F646E">
              <w:t xml:space="preserve"> </w:t>
            </w:r>
            <w:r w:rsidRPr="001D727E">
              <w:t>in 2012</w:t>
            </w:r>
            <w:r>
              <w:noBreakHyphen/>
            </w:r>
            <w:r w:rsidRPr="001D727E">
              <w:t>13.</w:t>
            </w:r>
            <w:r w:rsidRPr="008A756C">
              <w:t xml:space="preserve"> </w:t>
            </w:r>
            <w:r>
              <w:rPr>
                <w:rStyle w:val="NoteLabel"/>
              </w:rPr>
              <w:t xml:space="preserve">c </w:t>
            </w:r>
            <w:r w:rsidRPr="008A756C">
              <w:t>The ACT d</w:t>
            </w:r>
            <w:r>
              <w:t>o</w:t>
            </w:r>
            <w:r w:rsidRPr="008A756C">
              <w:t xml:space="preserve"> not employ consumer</w:t>
            </w:r>
            <w:r w:rsidR="00BA10E1">
              <w:t xml:space="preserve"> staff</w:t>
            </w:r>
            <w:r w:rsidRPr="008A756C">
              <w:t>.</w:t>
            </w:r>
            <w:r>
              <w:t xml:space="preserve"> </w:t>
            </w:r>
            <w:r>
              <w:rPr>
                <w:rStyle w:val="NoteLabel"/>
              </w:rPr>
              <w:t>d</w:t>
            </w:r>
            <w:r>
              <w:t xml:space="preserve"> The NT </w:t>
            </w:r>
            <w:r w:rsidR="004F646E">
              <w:t xml:space="preserve">did not </w:t>
            </w:r>
            <w:r>
              <w:t>employ consumer</w:t>
            </w:r>
            <w:r w:rsidR="00BA10E1">
              <w:t xml:space="preserve"> staff</w:t>
            </w:r>
            <w:r>
              <w:t xml:space="preserve"> </w:t>
            </w:r>
            <w:r w:rsidR="00CF2E50">
              <w:t>in</w:t>
            </w:r>
            <w:r w:rsidR="004F646E">
              <w:t xml:space="preserve"> 20</w:t>
            </w:r>
            <w:r w:rsidR="005D3A47">
              <w:t>10</w:t>
            </w:r>
            <w:r w:rsidR="00463329">
              <w:noBreakHyphen/>
            </w:r>
            <w:r w:rsidR="004F646E">
              <w:t>1</w:t>
            </w:r>
            <w:r w:rsidR="005D3A47">
              <w:t>1</w:t>
            </w:r>
            <w:r w:rsidR="004F646E">
              <w:t xml:space="preserve"> </w:t>
            </w:r>
            <w:r w:rsidR="00CF2E50">
              <w:t>and</w:t>
            </w:r>
            <w:r w:rsidR="004F646E">
              <w:t xml:space="preserve"> 2011</w:t>
            </w:r>
            <w:r w:rsidR="00463329">
              <w:noBreakHyphen/>
            </w:r>
            <w:r w:rsidR="004F646E">
              <w:t>12</w:t>
            </w:r>
            <w:r>
              <w:t>.</w:t>
            </w:r>
          </w:p>
        </w:tc>
      </w:tr>
      <w:tr w:rsidR="00753547" w:rsidRPr="00176D3F" w:rsidTr="00AB1CAB">
        <w:tc>
          <w:tcPr>
            <w:tcW w:w="8771" w:type="dxa"/>
            <w:tcBorders>
              <w:top w:val="nil"/>
              <w:left w:val="nil"/>
              <w:bottom w:val="nil"/>
              <w:right w:val="nil"/>
            </w:tcBorders>
            <w:shd w:val="clear" w:color="auto" w:fill="auto"/>
          </w:tcPr>
          <w:p w:rsidR="00753547" w:rsidRPr="00176D3F" w:rsidRDefault="00753547" w:rsidP="00AB1CAB">
            <w:pPr>
              <w:pStyle w:val="Source"/>
            </w:pPr>
            <w:r w:rsidRPr="008A756C">
              <w:rPr>
                <w:i/>
              </w:rPr>
              <w:t>Source</w:t>
            </w:r>
            <w:r w:rsidRPr="00F40E83">
              <w:t>:</w:t>
            </w:r>
            <w:r w:rsidRPr="008A756C">
              <w:rPr>
                <w:i/>
              </w:rPr>
              <w:t xml:space="preserve"> </w:t>
            </w:r>
            <w:r w:rsidRPr="008A756C">
              <w:t xml:space="preserve">AIHW (unpublished) </w:t>
            </w:r>
            <w:proofErr w:type="spellStart"/>
            <w:r w:rsidRPr="008A756C">
              <w:t>MHE</w:t>
            </w:r>
            <w:proofErr w:type="spellEnd"/>
            <w:r w:rsidRPr="008A756C">
              <w:t xml:space="preserve"> </w:t>
            </w:r>
            <w:proofErr w:type="spellStart"/>
            <w:r w:rsidRPr="008A756C">
              <w:t>NMDS</w:t>
            </w:r>
            <w:proofErr w:type="spellEnd"/>
            <w:r w:rsidRPr="008A756C">
              <w:t>; table</w:t>
            </w:r>
            <w:r>
              <w:t> </w:t>
            </w:r>
            <w:proofErr w:type="spellStart"/>
            <w:r w:rsidRPr="008A756C">
              <w:t>12A.</w:t>
            </w:r>
            <w:r>
              <w:t>53</w:t>
            </w:r>
            <w:proofErr w:type="spellEnd"/>
            <w:r w:rsidRPr="008A756C">
              <w:t>.</w:t>
            </w:r>
          </w:p>
        </w:tc>
      </w:tr>
      <w:tr w:rsidR="00753547" w:rsidTr="00AB1CAB">
        <w:tc>
          <w:tcPr>
            <w:tcW w:w="8771" w:type="dxa"/>
            <w:tcBorders>
              <w:top w:val="nil"/>
              <w:left w:val="nil"/>
              <w:bottom w:val="single" w:sz="6" w:space="0" w:color="78A22F"/>
              <w:right w:val="nil"/>
            </w:tcBorders>
            <w:shd w:val="clear" w:color="auto" w:fill="auto"/>
          </w:tcPr>
          <w:p w:rsidR="00753547" w:rsidRDefault="00753547" w:rsidP="00AB1CAB">
            <w:pPr>
              <w:pStyle w:val="Figurespace"/>
            </w:pPr>
          </w:p>
        </w:tc>
      </w:tr>
      <w:tr w:rsidR="00753547" w:rsidRPr="000863A5" w:rsidTr="00AB1CAB">
        <w:tc>
          <w:tcPr>
            <w:tcW w:w="8771" w:type="dxa"/>
            <w:tcBorders>
              <w:top w:val="single" w:sz="6" w:space="0" w:color="78A22F"/>
              <w:left w:val="nil"/>
              <w:bottom w:val="nil"/>
              <w:right w:val="nil"/>
            </w:tcBorders>
          </w:tcPr>
          <w:p w:rsidR="00753547" w:rsidRPr="00626D32" w:rsidRDefault="00753547" w:rsidP="00AB1CAB">
            <w:pPr>
              <w:pStyle w:val="BoxSpaceBelow"/>
            </w:pPr>
          </w:p>
        </w:tc>
      </w:tr>
    </w:tbl>
    <w:p w:rsidR="00AC4803" w:rsidRDefault="00AC4803"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4803" w:rsidTr="005E05C9">
        <w:tc>
          <w:tcPr>
            <w:tcW w:w="8771" w:type="dxa"/>
            <w:tcBorders>
              <w:top w:val="single" w:sz="6" w:space="0" w:color="78A22F"/>
              <w:left w:val="nil"/>
              <w:bottom w:val="nil"/>
              <w:right w:val="nil"/>
            </w:tcBorders>
            <w:shd w:val="clear" w:color="auto" w:fill="auto"/>
          </w:tcPr>
          <w:p w:rsidR="00AC4803" w:rsidRPr="00176D3F" w:rsidRDefault="00AC4803" w:rsidP="00753547">
            <w:pPr>
              <w:pStyle w:val="FigureTitle"/>
            </w:pPr>
            <w:r w:rsidRPr="00784A05">
              <w:rPr>
                <w:b w:val="0"/>
              </w:rPr>
              <w:t xml:space="preserve">Figure </w:t>
            </w:r>
            <w:bookmarkStart w:id="15" w:name="OLE_LINK4"/>
            <w:r w:rsidR="00586CEA">
              <w:rPr>
                <w:b w:val="0"/>
              </w:rPr>
              <w:t>12.</w:t>
            </w:r>
            <w:r w:rsidR="00833D26">
              <w:rPr>
                <w:b w:val="0"/>
                <w:noProof/>
              </w:rPr>
              <w:t>21</w:t>
            </w:r>
            <w:bookmarkEnd w:id="15"/>
            <w:r>
              <w:tab/>
            </w:r>
            <w:r w:rsidRPr="00AC4803">
              <w:t>Paid FTE carer staff per 1000 paid FTE direct care staff</w:t>
            </w:r>
            <w:r w:rsidRPr="00AC4803">
              <w:rPr>
                <w:rStyle w:val="NoteLabel"/>
                <w:b/>
              </w:rPr>
              <w:t>a, b</w:t>
            </w:r>
          </w:p>
        </w:tc>
      </w:tr>
      <w:tr w:rsidR="00AC4803" w:rsidTr="005E05C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C4803" w:rsidTr="005E05C9">
              <w:trPr>
                <w:jc w:val="center"/>
              </w:trPr>
              <w:tc>
                <w:tcPr>
                  <w:tcW w:w="5000" w:type="pct"/>
                  <w:tcBorders>
                    <w:top w:val="nil"/>
                    <w:bottom w:val="nil"/>
                  </w:tcBorders>
                </w:tcPr>
                <w:p w:rsidR="00AC4803" w:rsidRDefault="001B7B09" w:rsidP="005E05C9">
                  <w:pPr>
                    <w:pStyle w:val="Figure"/>
                    <w:spacing w:before="60" w:after="60"/>
                  </w:pPr>
                  <w:r>
                    <w:rPr>
                      <w:noProof/>
                    </w:rPr>
                    <w:drawing>
                      <wp:inline distT="0" distB="0" distL="0" distR="0">
                        <wp:extent cx="5391150" cy="2695575"/>
                        <wp:effectExtent l="0" t="0" r="0" b="9525"/>
                        <wp:docPr id="23" name="Picture 23" descr="Figure 12.21 Paid FTE carer staff per 1000 paid FTE direct care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AC4803" w:rsidRDefault="00AC4803" w:rsidP="005E05C9">
            <w:pPr>
              <w:pStyle w:val="Figure"/>
            </w:pPr>
          </w:p>
        </w:tc>
      </w:tr>
      <w:tr w:rsidR="00AC4803" w:rsidRPr="00176D3F" w:rsidTr="005E05C9">
        <w:tc>
          <w:tcPr>
            <w:tcW w:w="8771" w:type="dxa"/>
            <w:tcBorders>
              <w:top w:val="nil"/>
              <w:left w:val="nil"/>
              <w:bottom w:val="nil"/>
              <w:right w:val="nil"/>
            </w:tcBorders>
            <w:shd w:val="clear" w:color="auto" w:fill="auto"/>
          </w:tcPr>
          <w:p w:rsidR="00AC4803" w:rsidRPr="0029420D" w:rsidRDefault="008A756C" w:rsidP="00D71789">
            <w:pPr>
              <w:pStyle w:val="Note"/>
              <w:rPr>
                <w:i/>
              </w:rPr>
            </w:pPr>
            <w:r w:rsidRPr="008A756C">
              <w:rPr>
                <w:rStyle w:val="NoteLabel"/>
              </w:rPr>
              <w:t>a</w:t>
            </w:r>
            <w:r w:rsidR="002B1784">
              <w:t xml:space="preserve"> </w:t>
            </w:r>
            <w:r w:rsidR="002F5428" w:rsidRPr="002F5428">
              <w:t>See box</w:t>
            </w:r>
            <w:r w:rsidR="00463329">
              <w:t> </w:t>
            </w:r>
            <w:r w:rsidR="002F5428" w:rsidRPr="002F5428">
              <w:t>12.1</w:t>
            </w:r>
            <w:r w:rsidR="002F5428">
              <w:t>2</w:t>
            </w:r>
            <w:r w:rsidR="002F5428" w:rsidRPr="002F5428">
              <w:t xml:space="preserve"> and</w:t>
            </w:r>
            <w:r w:rsidR="002B1784" w:rsidRPr="00D71789">
              <w:t xml:space="preserve"> table</w:t>
            </w:r>
            <w:r w:rsidR="00463329">
              <w:t> </w:t>
            </w:r>
            <w:proofErr w:type="spellStart"/>
            <w:r w:rsidR="002B1784" w:rsidRPr="00D71789">
              <w:t>12A.5</w:t>
            </w:r>
            <w:r w:rsidR="002B1784">
              <w:t>3</w:t>
            </w:r>
            <w:proofErr w:type="spellEnd"/>
            <w:r w:rsidR="002B1784" w:rsidRPr="00D71789">
              <w:t xml:space="preserve"> </w:t>
            </w:r>
            <w:r w:rsidR="00C9207F" w:rsidRPr="00C9207F">
              <w:t>for detailed definitions, footnotes and caveats</w:t>
            </w:r>
            <w:r w:rsidR="002B1784" w:rsidRPr="00D71789">
              <w:t>.</w:t>
            </w:r>
            <w:r w:rsidRPr="00D71789">
              <w:t xml:space="preserve"> </w:t>
            </w:r>
            <w:r w:rsidRPr="008A756C">
              <w:rPr>
                <w:rStyle w:val="NoteLabel"/>
              </w:rPr>
              <w:t>b</w:t>
            </w:r>
            <w:r w:rsidR="00221C87" w:rsidRPr="00185B0D">
              <w:t> </w:t>
            </w:r>
            <w:r w:rsidR="00753547" w:rsidRPr="00753547">
              <w:t>WA did not employ carer</w:t>
            </w:r>
            <w:r w:rsidR="00BA10E1">
              <w:t xml:space="preserve"> staff</w:t>
            </w:r>
            <w:r w:rsidR="004F646E">
              <w:t xml:space="preserve"> </w:t>
            </w:r>
            <w:r w:rsidR="00753547" w:rsidRPr="00753547">
              <w:t>in 2013</w:t>
            </w:r>
            <w:r w:rsidR="00463329">
              <w:noBreakHyphen/>
            </w:r>
            <w:r w:rsidR="00753547" w:rsidRPr="00753547">
              <w:t xml:space="preserve">14 </w:t>
            </w:r>
            <w:r w:rsidR="00753547">
              <w:t>and t</w:t>
            </w:r>
            <w:r w:rsidRPr="00753547">
              <w:t xml:space="preserve">he ACT </w:t>
            </w:r>
            <w:r w:rsidR="00753547" w:rsidRPr="00753547">
              <w:t xml:space="preserve">and the NT </w:t>
            </w:r>
            <w:r w:rsidRPr="00753547">
              <w:t>d</w:t>
            </w:r>
            <w:r w:rsidR="0029420D" w:rsidRPr="00753547">
              <w:t>o</w:t>
            </w:r>
            <w:r w:rsidRPr="00753547">
              <w:t xml:space="preserve"> not employ carer</w:t>
            </w:r>
            <w:r w:rsidR="00BA10E1">
              <w:t xml:space="preserve"> staff</w:t>
            </w:r>
            <w:r w:rsidRPr="00753547">
              <w:t>.</w:t>
            </w:r>
            <w:r w:rsidR="0029420D">
              <w:t xml:space="preserve"> </w:t>
            </w:r>
          </w:p>
        </w:tc>
      </w:tr>
      <w:tr w:rsidR="00AC4803" w:rsidRPr="00176D3F" w:rsidTr="005E05C9">
        <w:tc>
          <w:tcPr>
            <w:tcW w:w="8771" w:type="dxa"/>
            <w:tcBorders>
              <w:top w:val="nil"/>
              <w:left w:val="nil"/>
              <w:bottom w:val="nil"/>
              <w:right w:val="nil"/>
            </w:tcBorders>
            <w:shd w:val="clear" w:color="auto" w:fill="auto"/>
          </w:tcPr>
          <w:p w:rsidR="00AC4803" w:rsidRPr="00176D3F" w:rsidRDefault="008A756C" w:rsidP="002B1784">
            <w:pPr>
              <w:pStyle w:val="Source"/>
            </w:pPr>
            <w:r w:rsidRPr="008A756C">
              <w:rPr>
                <w:i/>
              </w:rPr>
              <w:t>Source</w:t>
            </w:r>
            <w:r w:rsidRPr="00F40E83">
              <w:t>:</w:t>
            </w:r>
            <w:r w:rsidRPr="008A756C">
              <w:rPr>
                <w:i/>
              </w:rPr>
              <w:t xml:space="preserve"> </w:t>
            </w:r>
            <w:r w:rsidRPr="008A756C">
              <w:t xml:space="preserve">AIHW (unpublished) </w:t>
            </w:r>
            <w:proofErr w:type="spellStart"/>
            <w:r w:rsidRPr="008A756C">
              <w:t>MHE</w:t>
            </w:r>
            <w:proofErr w:type="spellEnd"/>
            <w:r w:rsidRPr="008A756C">
              <w:t xml:space="preserve"> </w:t>
            </w:r>
            <w:proofErr w:type="spellStart"/>
            <w:r w:rsidRPr="008A756C">
              <w:t>NMDS</w:t>
            </w:r>
            <w:proofErr w:type="spellEnd"/>
            <w:r w:rsidRPr="008A756C">
              <w:t>; table</w:t>
            </w:r>
            <w:r w:rsidR="0022260C">
              <w:t> </w:t>
            </w:r>
            <w:proofErr w:type="spellStart"/>
            <w:r w:rsidRPr="008A756C">
              <w:t>12A.</w:t>
            </w:r>
            <w:r w:rsidR="002B1784">
              <w:t>53</w:t>
            </w:r>
            <w:proofErr w:type="spellEnd"/>
            <w:r w:rsidRPr="008A756C">
              <w:t>.</w:t>
            </w:r>
          </w:p>
        </w:tc>
      </w:tr>
      <w:tr w:rsidR="00AC4803" w:rsidTr="005E05C9">
        <w:tc>
          <w:tcPr>
            <w:tcW w:w="8771" w:type="dxa"/>
            <w:tcBorders>
              <w:top w:val="nil"/>
              <w:left w:val="nil"/>
              <w:bottom w:val="single" w:sz="6" w:space="0" w:color="78A22F"/>
              <w:right w:val="nil"/>
            </w:tcBorders>
            <w:shd w:val="clear" w:color="auto" w:fill="auto"/>
          </w:tcPr>
          <w:p w:rsidR="00AC4803" w:rsidRDefault="00AC4803" w:rsidP="005E05C9">
            <w:pPr>
              <w:pStyle w:val="Figurespace"/>
            </w:pPr>
          </w:p>
        </w:tc>
      </w:tr>
      <w:tr w:rsidR="00AC4803" w:rsidRPr="000863A5" w:rsidTr="005E05C9">
        <w:tc>
          <w:tcPr>
            <w:tcW w:w="8771" w:type="dxa"/>
            <w:tcBorders>
              <w:top w:val="single" w:sz="6" w:space="0" w:color="78A22F"/>
              <w:left w:val="nil"/>
              <w:bottom w:val="nil"/>
              <w:right w:val="nil"/>
            </w:tcBorders>
          </w:tcPr>
          <w:p w:rsidR="00AC4803" w:rsidRPr="00626D32" w:rsidRDefault="00AC4803" w:rsidP="005E05C9">
            <w:pPr>
              <w:pStyle w:val="BoxSpaceBelow"/>
            </w:pPr>
          </w:p>
        </w:tc>
      </w:tr>
    </w:tbl>
    <w:p w:rsidR="008A756C" w:rsidRDefault="008A756C" w:rsidP="008A756C">
      <w:pPr>
        <w:pStyle w:val="Heading4"/>
      </w:pPr>
      <w:r>
        <w:lastRenderedPageBreak/>
        <w:t>Quality — continuity — specialised public mental health service consumers with nominated GP</w:t>
      </w:r>
    </w:p>
    <w:p w:rsidR="00AC4803" w:rsidRDefault="008A756C" w:rsidP="002315C6">
      <w:pPr>
        <w:pStyle w:val="BodyText"/>
      </w:pPr>
      <w:r>
        <w:t>‘Specialised public mental health service consumers with nominated GP’ is an indicator of governments’ objective to provide continuity of care in the delivery of mental health services. GPs can be an important point of contact for those with a mental illness (box 12.</w:t>
      </w:r>
      <w:r w:rsidR="00185B0D">
        <w:t>1</w:t>
      </w:r>
      <w:r w:rsidR="00D47EA9">
        <w:t>3</w:t>
      </w:r>
      <w:r>
        <w:t>).</w:t>
      </w:r>
    </w:p>
    <w:p w:rsidR="008A756C" w:rsidRDefault="008A75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756C" w:rsidTr="005E05C9">
        <w:tc>
          <w:tcPr>
            <w:tcW w:w="8771" w:type="dxa"/>
            <w:tcBorders>
              <w:top w:val="single" w:sz="6" w:space="0" w:color="78A22F"/>
              <w:left w:val="nil"/>
              <w:bottom w:val="nil"/>
              <w:right w:val="nil"/>
            </w:tcBorders>
            <w:shd w:val="clear" w:color="auto" w:fill="F2F2F2"/>
          </w:tcPr>
          <w:p w:rsidR="008A756C" w:rsidRDefault="008A756C">
            <w:pPr>
              <w:pStyle w:val="BoxTitle"/>
            </w:pPr>
            <w:r>
              <w:rPr>
                <w:b w:val="0"/>
              </w:rPr>
              <w:t xml:space="preserve">Box </w:t>
            </w:r>
            <w:r w:rsidR="00D47EA9">
              <w:rPr>
                <w:b w:val="0"/>
              </w:rPr>
              <w:t>12.</w:t>
            </w:r>
            <w:r w:rsidR="00833D26">
              <w:rPr>
                <w:b w:val="0"/>
                <w:noProof/>
              </w:rPr>
              <w:t>13</w:t>
            </w:r>
            <w:r>
              <w:tab/>
            </w:r>
            <w:r w:rsidRPr="008A756C">
              <w:t>Specialised public mental health service consumers with nominated GP</w:t>
            </w:r>
          </w:p>
        </w:tc>
      </w:tr>
      <w:tr w:rsidR="008A756C" w:rsidTr="005E05C9">
        <w:trPr>
          <w:cantSplit/>
        </w:trPr>
        <w:tc>
          <w:tcPr>
            <w:tcW w:w="8771" w:type="dxa"/>
            <w:tcBorders>
              <w:top w:val="nil"/>
              <w:left w:val="nil"/>
              <w:bottom w:val="nil"/>
              <w:right w:val="nil"/>
            </w:tcBorders>
            <w:shd w:val="clear" w:color="auto" w:fill="F2F2F2"/>
          </w:tcPr>
          <w:p w:rsidR="008A756C" w:rsidRDefault="008A756C" w:rsidP="008A756C">
            <w:pPr>
              <w:pStyle w:val="Box"/>
            </w:pPr>
            <w:r>
              <w:t>‘Proportion of specialised public mental health service consumers with nominated GP’ is yet to be defined.</w:t>
            </w:r>
          </w:p>
          <w:p w:rsidR="008A756C" w:rsidRDefault="008A756C">
            <w:pPr>
              <w:pStyle w:val="Box"/>
            </w:pPr>
            <w:r>
              <w:t xml:space="preserve">Data for this indicator were not available for the </w:t>
            </w:r>
            <w:r w:rsidR="00F93833">
              <w:t xml:space="preserve">2016 </w:t>
            </w:r>
            <w:r>
              <w:t>Report.</w:t>
            </w:r>
          </w:p>
        </w:tc>
      </w:tr>
      <w:tr w:rsidR="008A756C" w:rsidTr="005E05C9">
        <w:trPr>
          <w:cantSplit/>
        </w:trPr>
        <w:tc>
          <w:tcPr>
            <w:tcW w:w="8771" w:type="dxa"/>
            <w:tcBorders>
              <w:top w:val="nil"/>
              <w:left w:val="nil"/>
              <w:bottom w:val="single" w:sz="6" w:space="0" w:color="78A22F"/>
              <w:right w:val="nil"/>
            </w:tcBorders>
            <w:shd w:val="clear" w:color="auto" w:fill="F2F2F2"/>
          </w:tcPr>
          <w:p w:rsidR="008A756C" w:rsidRDefault="008A756C">
            <w:pPr>
              <w:pStyle w:val="Box"/>
              <w:spacing w:before="0" w:line="120" w:lineRule="exact"/>
            </w:pPr>
          </w:p>
        </w:tc>
      </w:tr>
      <w:tr w:rsidR="008A756C" w:rsidRPr="000863A5" w:rsidTr="005E05C9">
        <w:tc>
          <w:tcPr>
            <w:tcW w:w="8771" w:type="dxa"/>
            <w:tcBorders>
              <w:top w:val="single" w:sz="6" w:space="0" w:color="78A22F"/>
              <w:left w:val="nil"/>
              <w:bottom w:val="nil"/>
              <w:right w:val="nil"/>
            </w:tcBorders>
          </w:tcPr>
          <w:p w:rsidR="008A756C" w:rsidRPr="00626D32" w:rsidRDefault="008A756C" w:rsidP="005E05C9">
            <w:pPr>
              <w:pStyle w:val="BoxSpaceBelow"/>
            </w:pPr>
          </w:p>
        </w:tc>
      </w:tr>
    </w:tbl>
    <w:p w:rsidR="008A756C" w:rsidRDefault="008A756C" w:rsidP="00B33D98">
      <w:pPr>
        <w:pStyle w:val="Heading4"/>
        <w:shd w:val="clear" w:color="auto" w:fill="FFFFFF" w:themeFill="background1"/>
      </w:pPr>
      <w:r>
        <w:t xml:space="preserve">Quality — continuity — </w:t>
      </w:r>
      <w:r w:rsidR="00254F5F" w:rsidRPr="00B33D98">
        <w:rPr>
          <w:shd w:val="clear" w:color="auto" w:fill="FFFFFF" w:themeFill="background1"/>
        </w:rPr>
        <w:t>community follow</w:t>
      </w:r>
      <w:r w:rsidR="00DC0E09">
        <w:rPr>
          <w:shd w:val="clear" w:color="auto" w:fill="FFFFFF" w:themeFill="background1"/>
        </w:rPr>
        <w:t>-</w:t>
      </w:r>
      <w:r w:rsidR="00254F5F" w:rsidRPr="00B33D98">
        <w:rPr>
          <w:shd w:val="clear" w:color="auto" w:fill="FFFFFF" w:themeFill="background1"/>
        </w:rPr>
        <w:t>up after psychiatric admission/hospitalisation</w:t>
      </w:r>
    </w:p>
    <w:p w:rsidR="008A756C" w:rsidRDefault="008A756C" w:rsidP="0008223D">
      <w:pPr>
        <w:pStyle w:val="BodyText"/>
      </w:pPr>
      <w:r w:rsidRPr="00B33D98">
        <w:rPr>
          <w:shd w:val="clear" w:color="auto" w:fill="FFFFFF" w:themeFill="background1"/>
        </w:rPr>
        <w:t>‘</w:t>
      </w:r>
      <w:r w:rsidR="00DC0E09">
        <w:rPr>
          <w:shd w:val="clear" w:color="auto" w:fill="FFFFFF" w:themeFill="background1"/>
        </w:rPr>
        <w:t>Community follow-</w:t>
      </w:r>
      <w:r w:rsidR="00254F5F" w:rsidRPr="00B33D98">
        <w:rPr>
          <w:shd w:val="clear" w:color="auto" w:fill="FFFFFF" w:themeFill="background1"/>
        </w:rPr>
        <w:t>up after psychiatric admission/hospitalisation</w:t>
      </w:r>
      <w:r w:rsidRPr="00B33D98">
        <w:rPr>
          <w:shd w:val="clear" w:color="auto" w:fill="FFFFFF" w:themeFill="background1"/>
        </w:rPr>
        <w:t>’</w:t>
      </w:r>
      <w:r>
        <w:t xml:space="preserve"> is an indicator of governments’ objective to provide continuity of care in the delivery of mental health services (box</w:t>
      </w:r>
      <w:r w:rsidR="0022260C">
        <w:t> </w:t>
      </w:r>
      <w:r>
        <w:t>12.</w:t>
      </w:r>
      <w:r w:rsidR="00185B0D">
        <w:t>1</w:t>
      </w:r>
      <w:r w:rsidR="00D47EA9">
        <w:t>4</w:t>
      </w:r>
      <w:r>
        <w:t>).</w:t>
      </w:r>
      <w:r w:rsidR="006865C8" w:rsidRPr="006865C8">
        <w:t xml:space="preserve"> </w:t>
      </w:r>
    </w:p>
    <w:p w:rsidR="008A756C" w:rsidRDefault="008A75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756C" w:rsidTr="005E05C9">
        <w:tc>
          <w:tcPr>
            <w:tcW w:w="8771" w:type="dxa"/>
            <w:tcBorders>
              <w:top w:val="single" w:sz="6" w:space="0" w:color="78A22F"/>
              <w:left w:val="nil"/>
              <w:bottom w:val="nil"/>
              <w:right w:val="nil"/>
            </w:tcBorders>
            <w:shd w:val="clear" w:color="auto" w:fill="F2F2F2"/>
          </w:tcPr>
          <w:p w:rsidR="008A756C" w:rsidRDefault="008A756C" w:rsidP="00254F5F">
            <w:pPr>
              <w:pStyle w:val="BoxTitle"/>
            </w:pPr>
            <w:r>
              <w:rPr>
                <w:b w:val="0"/>
              </w:rPr>
              <w:t xml:space="preserve">Box </w:t>
            </w:r>
            <w:r w:rsidR="00D47EA9">
              <w:rPr>
                <w:b w:val="0"/>
              </w:rPr>
              <w:t>12.</w:t>
            </w:r>
            <w:r w:rsidR="00833D26">
              <w:rPr>
                <w:b w:val="0"/>
                <w:noProof/>
              </w:rPr>
              <w:t>14</w:t>
            </w:r>
            <w:r>
              <w:tab/>
            </w:r>
            <w:r w:rsidR="00DC0E09">
              <w:t>Community follow-</w:t>
            </w:r>
            <w:r w:rsidR="00254F5F" w:rsidRPr="00B33D98">
              <w:t>up after psychiatric admission/hospitalisation</w:t>
            </w:r>
          </w:p>
        </w:tc>
      </w:tr>
      <w:tr w:rsidR="008A756C" w:rsidTr="005E05C9">
        <w:trPr>
          <w:cantSplit/>
        </w:trPr>
        <w:tc>
          <w:tcPr>
            <w:tcW w:w="8771" w:type="dxa"/>
            <w:tcBorders>
              <w:top w:val="nil"/>
              <w:left w:val="nil"/>
              <w:bottom w:val="nil"/>
              <w:right w:val="nil"/>
            </w:tcBorders>
            <w:shd w:val="clear" w:color="auto" w:fill="F2F2F2"/>
          </w:tcPr>
          <w:p w:rsidR="008A756C" w:rsidRDefault="008A756C" w:rsidP="008A756C">
            <w:pPr>
              <w:pStyle w:val="Box"/>
            </w:pPr>
            <w:r>
              <w:t>‘</w:t>
            </w:r>
            <w:r w:rsidR="00DC0E09">
              <w:t>Community follow-</w:t>
            </w:r>
            <w:r w:rsidR="00254F5F" w:rsidRPr="00B33D98">
              <w:t>up after psychiatric admission/hospitalisation</w:t>
            </w:r>
            <w:r w:rsidRPr="00B33D98">
              <w:t xml:space="preserve">’ is defined as the proportion of </w:t>
            </w:r>
            <w:r w:rsidR="002B1784" w:rsidRPr="00B33D98">
              <w:t>State and Territory governments’ specialised</w:t>
            </w:r>
            <w:r w:rsidR="00F34F73" w:rsidRPr="00B33D98">
              <w:t xml:space="preserve"> public</w:t>
            </w:r>
            <w:r w:rsidR="002B1784" w:rsidRPr="00B33D98">
              <w:t xml:space="preserve"> </w:t>
            </w:r>
            <w:r w:rsidRPr="00B33D98">
              <w:t xml:space="preserve">admitted patient overnight acute separations from psychiatric </w:t>
            </w:r>
            <w:r w:rsidR="002B1784" w:rsidRPr="00B33D98">
              <w:t>units</w:t>
            </w:r>
            <w:r w:rsidRPr="00B33D98">
              <w:t xml:space="preserve"> for which a community</w:t>
            </w:r>
            <w:r w:rsidR="00E63FAB" w:rsidRPr="00B33D98">
              <w:noBreakHyphen/>
            </w:r>
            <w:r w:rsidRPr="00B33D98">
              <w:t>based</w:t>
            </w:r>
            <w:r>
              <w:t xml:space="preserve"> ambulatory contact was recorded in the seven days following separation. </w:t>
            </w:r>
          </w:p>
          <w:p w:rsidR="008A756C" w:rsidRDefault="008A756C" w:rsidP="008A756C">
            <w:pPr>
              <w:pStyle w:val="Box"/>
            </w:pPr>
            <w:r>
              <w:t>A high or incr</w:t>
            </w:r>
            <w:r w:rsidR="00DC0E09">
              <w:t>easing rate of community follow-</w:t>
            </w:r>
            <w:r>
              <w:t>up within the first seven days of discharge from hospital is desirable.</w:t>
            </w:r>
          </w:p>
          <w:p w:rsidR="008A756C" w:rsidRDefault="008A756C" w:rsidP="008A756C">
            <w:pPr>
              <w:pStyle w:val="Box"/>
            </w:pPr>
            <w:r>
              <w:t>This indicator does not measure the frequency of contacts recorded in the seven days following separation. It also does not distinguish qualitative dif</w:t>
            </w:r>
            <w:r w:rsidR="001D727E">
              <w:t xml:space="preserve">ferences between </w:t>
            </w:r>
            <w:r w:rsidR="00F34F73">
              <w:t>the mode of</w:t>
            </w:r>
            <w:r>
              <w:t xml:space="preserve"> contact. Only </w:t>
            </w:r>
            <w:r w:rsidR="00DC0E09">
              <w:t>follow-</w:t>
            </w:r>
            <w:r w:rsidR="00F34F73">
              <w:t xml:space="preserve">up </w:t>
            </w:r>
            <w:r>
              <w:t>contact</w:t>
            </w:r>
            <w:r w:rsidR="002B1784">
              <w:t>s</w:t>
            </w:r>
            <w:r>
              <w:t xml:space="preserve"> made by State and Territory </w:t>
            </w:r>
            <w:r w:rsidR="00A704F8" w:rsidRPr="00A704F8">
              <w:t>governments’</w:t>
            </w:r>
            <w:r w:rsidR="00A704F8">
              <w:t xml:space="preserve"> </w:t>
            </w:r>
            <w:r>
              <w:t xml:space="preserve">specialised public mental health services are included. </w:t>
            </w:r>
          </w:p>
          <w:p w:rsidR="008A756C" w:rsidRDefault="008A756C" w:rsidP="008A756C">
            <w:pPr>
              <w:pStyle w:val="Box"/>
            </w:pPr>
            <w:r>
              <w:t>Data reported for this indicator are:</w:t>
            </w:r>
          </w:p>
          <w:p w:rsidR="008A756C" w:rsidRDefault="008A756C" w:rsidP="008A756C">
            <w:pPr>
              <w:pStyle w:val="BoxListBullet"/>
            </w:pPr>
            <w:r>
              <w:t xml:space="preserve">comparable (subject to caveats) </w:t>
            </w:r>
            <w:r w:rsidR="002B1784" w:rsidRPr="002B1784">
              <w:t xml:space="preserve">within some jurisdictions over time but are not comparable across jurisdictions or over time for other jurisdictions (see caveats in </w:t>
            </w:r>
            <w:proofErr w:type="spellStart"/>
            <w:r w:rsidR="002B1784">
              <w:t>DQI</w:t>
            </w:r>
            <w:proofErr w:type="spellEnd"/>
            <w:r w:rsidR="002B1784">
              <w:t xml:space="preserve"> and </w:t>
            </w:r>
            <w:r w:rsidR="002B1784" w:rsidRPr="002B1784">
              <w:t>attachment tab</w:t>
            </w:r>
            <w:r w:rsidR="002B1784">
              <w:t>les for specific jurisdictions)</w:t>
            </w:r>
          </w:p>
          <w:p w:rsidR="008A756C" w:rsidRDefault="008A756C" w:rsidP="002245A4">
            <w:pPr>
              <w:pStyle w:val="BoxListBullet"/>
            </w:pPr>
            <w:r>
              <w:t>complete</w:t>
            </w:r>
            <w:r w:rsidR="002245A4">
              <w:t xml:space="preserve"> </w:t>
            </w:r>
            <w:r w:rsidR="002245A4" w:rsidRPr="002245A4">
              <w:t>(subject to caveats)</w:t>
            </w:r>
            <w:r>
              <w:t xml:space="preserve"> for the current reporting period. All required </w:t>
            </w:r>
            <w:r w:rsidR="00185B0D">
              <w:t>2013</w:t>
            </w:r>
            <w:r>
              <w:noBreakHyphen/>
            </w:r>
            <w:r w:rsidR="00185B0D">
              <w:t xml:space="preserve">14 </w:t>
            </w:r>
            <w:r>
              <w:t xml:space="preserve">data are available for </w:t>
            </w:r>
            <w:r w:rsidR="002B1784">
              <w:t>all jurisdictions</w:t>
            </w:r>
            <w:r>
              <w:t>.</w:t>
            </w:r>
          </w:p>
          <w:p w:rsidR="008A756C" w:rsidRDefault="008A756C" w:rsidP="00185B0D">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185B0D">
              <w:t>2016</w:t>
            </w:r>
            <w:r>
              <w:t>.</w:t>
            </w:r>
          </w:p>
        </w:tc>
      </w:tr>
      <w:tr w:rsidR="008A756C" w:rsidTr="005E05C9">
        <w:trPr>
          <w:cantSplit/>
        </w:trPr>
        <w:tc>
          <w:tcPr>
            <w:tcW w:w="8771" w:type="dxa"/>
            <w:tcBorders>
              <w:top w:val="nil"/>
              <w:left w:val="nil"/>
              <w:bottom w:val="single" w:sz="6" w:space="0" w:color="78A22F"/>
              <w:right w:val="nil"/>
            </w:tcBorders>
            <w:shd w:val="clear" w:color="auto" w:fill="F2F2F2"/>
          </w:tcPr>
          <w:p w:rsidR="008A756C" w:rsidRDefault="008A756C">
            <w:pPr>
              <w:pStyle w:val="Box"/>
              <w:spacing w:before="0" w:line="120" w:lineRule="exact"/>
            </w:pPr>
          </w:p>
        </w:tc>
      </w:tr>
      <w:tr w:rsidR="008A756C" w:rsidRPr="000863A5" w:rsidTr="005E05C9">
        <w:tc>
          <w:tcPr>
            <w:tcW w:w="8771" w:type="dxa"/>
            <w:tcBorders>
              <w:top w:val="single" w:sz="6" w:space="0" w:color="78A22F"/>
              <w:left w:val="nil"/>
              <w:bottom w:val="nil"/>
              <w:right w:val="nil"/>
            </w:tcBorders>
          </w:tcPr>
          <w:p w:rsidR="008A756C" w:rsidRPr="00626D32" w:rsidRDefault="008A756C" w:rsidP="005E05C9">
            <w:pPr>
              <w:pStyle w:val="BoxSpaceBelow"/>
            </w:pPr>
          </w:p>
        </w:tc>
      </w:tr>
    </w:tbl>
    <w:p w:rsidR="008A756C" w:rsidRDefault="006865C8" w:rsidP="002315C6">
      <w:pPr>
        <w:pStyle w:val="BodyText"/>
      </w:pPr>
      <w:r>
        <w:lastRenderedPageBreak/>
        <w:t>For people who are discharged from hospital after an acute psychiatric episode</w:t>
      </w:r>
      <w:r w:rsidR="00E42C5F">
        <w:t>, it</w:t>
      </w:r>
      <w:r>
        <w:t xml:space="preserve"> is essential to have </w:t>
      </w:r>
      <w:r w:rsidR="00DC0E09">
        <w:t>prompt community follow-</w:t>
      </w:r>
      <w:r w:rsidR="00E42C5F">
        <w:t>up in the vulnerable period following discharge in order to</w:t>
      </w:r>
      <w:r>
        <w:t xml:space="preserve"> maintain clinical and functional stability and minimise the need for hospital readmission (</w:t>
      </w:r>
      <w:proofErr w:type="spellStart"/>
      <w:r>
        <w:t>NMHPSC</w:t>
      </w:r>
      <w:proofErr w:type="spellEnd"/>
      <w:r>
        <w:t xml:space="preserve"> </w:t>
      </w:r>
      <w:proofErr w:type="spellStart"/>
      <w:r>
        <w:t>2011a</w:t>
      </w:r>
      <w:proofErr w:type="spellEnd"/>
      <w:r>
        <w:t xml:space="preserve">). </w:t>
      </w:r>
      <w:r w:rsidR="002E77D5">
        <w:t>Nationally</w:t>
      </w:r>
      <w:r w:rsidR="00F34F73">
        <w:t>,</w:t>
      </w:r>
      <w:r w:rsidR="00E63FAB">
        <w:t xml:space="preserve"> the rate of community follow</w:t>
      </w:r>
      <w:r w:rsidR="005A48BD">
        <w:noBreakHyphen/>
      </w:r>
      <w:r w:rsidR="00E63FAB">
        <w:t xml:space="preserve">up for people within the first seven days of discharge from an acute inpatient psychiatric unit </w:t>
      </w:r>
      <w:r w:rsidR="002E77D5">
        <w:t>ha</w:t>
      </w:r>
      <w:r w:rsidR="002B1784">
        <w:t>s</w:t>
      </w:r>
      <w:r w:rsidR="002E77D5">
        <w:t xml:space="preserve"> increased </w:t>
      </w:r>
      <w:r w:rsidR="00F34F73">
        <w:t>from 49.6 per cent in</w:t>
      </w:r>
      <w:r w:rsidR="002E77D5">
        <w:t xml:space="preserve"> 2009</w:t>
      </w:r>
      <w:r w:rsidR="00463329">
        <w:noBreakHyphen/>
      </w:r>
      <w:r w:rsidR="002E77D5">
        <w:t xml:space="preserve">10 </w:t>
      </w:r>
      <w:r w:rsidR="002E77D5" w:rsidRPr="007F41C8">
        <w:t xml:space="preserve">to </w:t>
      </w:r>
      <w:r w:rsidR="007F41C8" w:rsidRPr="007F41C8">
        <w:t>66.4</w:t>
      </w:r>
      <w:r w:rsidR="002E77D5">
        <w:t xml:space="preserve"> in 2013</w:t>
      </w:r>
      <w:r w:rsidR="00463329">
        <w:noBreakHyphen/>
      </w:r>
      <w:r w:rsidR="002E77D5">
        <w:t>14</w:t>
      </w:r>
      <w:r w:rsidR="00E63FAB">
        <w:t xml:space="preserve"> </w:t>
      </w:r>
      <w:r w:rsidR="00081EAC">
        <w:t>(</w:t>
      </w:r>
      <w:r w:rsidR="00E63FAB">
        <w:t>figure</w:t>
      </w:r>
      <w:r w:rsidR="0022260C">
        <w:t> </w:t>
      </w:r>
      <w:r w:rsidR="00946EDA">
        <w:t>12.2</w:t>
      </w:r>
      <w:r w:rsidR="00586CEA">
        <w:t>2</w:t>
      </w:r>
      <w:r w:rsidR="00081EAC">
        <w:t>)</w:t>
      </w:r>
      <w:r w:rsidR="00E63FAB">
        <w:t>.</w:t>
      </w:r>
      <w:r w:rsidR="005A48BD">
        <w:t xml:space="preserve"> C</w:t>
      </w:r>
      <w:r w:rsidR="005A48BD" w:rsidRPr="005A48BD">
        <w:t>ommunity follow</w:t>
      </w:r>
      <w:r w:rsidR="005A48BD">
        <w:noBreakHyphen/>
      </w:r>
      <w:r w:rsidR="005A48BD" w:rsidRPr="005A48BD">
        <w:t xml:space="preserve">up rates </w:t>
      </w:r>
      <w:r w:rsidR="009A66BC">
        <w:t xml:space="preserve">data </w:t>
      </w:r>
      <w:r w:rsidR="005A48BD">
        <w:t>by Indigenous status, remoteness areas, SEIFA, age groups and gender are in tables</w:t>
      </w:r>
      <w:r w:rsidR="0022260C">
        <w:t> </w:t>
      </w:r>
      <w:proofErr w:type="spellStart"/>
      <w:r w:rsidR="005A48BD">
        <w:t>12A.5</w:t>
      </w:r>
      <w:r w:rsidR="00E42C5F">
        <w:t>5</w:t>
      </w:r>
      <w:proofErr w:type="spellEnd"/>
      <w:r w:rsidR="007A7F8D" w:rsidRPr="007A7F8D">
        <w:t>–</w:t>
      </w:r>
      <w:r w:rsidR="005A48BD">
        <w:t>5</w:t>
      </w:r>
      <w:r w:rsidR="00E42C5F">
        <w:t>6</w:t>
      </w:r>
      <w:r w:rsidR="005A48BD">
        <w:t>.</w:t>
      </w:r>
      <w:r w:rsidR="00E42C5F">
        <w:t xml:space="preserve"> </w:t>
      </w:r>
    </w:p>
    <w:p w:rsidR="00E63FAB" w:rsidRDefault="00E63FAB"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FAB" w:rsidTr="009E765C">
        <w:tc>
          <w:tcPr>
            <w:tcW w:w="8771" w:type="dxa"/>
            <w:tcBorders>
              <w:top w:val="single" w:sz="6" w:space="0" w:color="78A22F"/>
              <w:left w:val="nil"/>
              <w:bottom w:val="nil"/>
              <w:right w:val="nil"/>
            </w:tcBorders>
            <w:shd w:val="clear" w:color="auto" w:fill="FFFFFF" w:themeFill="background1"/>
          </w:tcPr>
          <w:p w:rsidR="00E63FAB" w:rsidRPr="00176D3F" w:rsidRDefault="00E63FAB" w:rsidP="00E42C5F">
            <w:pPr>
              <w:pStyle w:val="FigureTitle"/>
            </w:pPr>
            <w:r w:rsidRPr="00784A05">
              <w:rPr>
                <w:b w:val="0"/>
              </w:rPr>
              <w:t xml:space="preserve">Figure </w:t>
            </w:r>
            <w:bookmarkStart w:id="16" w:name="OLE_LINK5"/>
            <w:r w:rsidR="00586CEA">
              <w:rPr>
                <w:b w:val="0"/>
              </w:rPr>
              <w:t>12.</w:t>
            </w:r>
            <w:r w:rsidR="00833D26">
              <w:rPr>
                <w:b w:val="0"/>
                <w:noProof/>
              </w:rPr>
              <w:t>22</w:t>
            </w:r>
            <w:bookmarkEnd w:id="16"/>
            <w:r>
              <w:tab/>
            </w:r>
            <w:r w:rsidR="005A48BD">
              <w:t>Community follow</w:t>
            </w:r>
            <w:r w:rsidR="00DC0E09">
              <w:t>-</w:t>
            </w:r>
            <w:r w:rsidRPr="00E63FAB">
              <w:t>up for people within the first seven days of discharge from acute inpatient psychiatric units</w:t>
            </w:r>
            <w:r w:rsidRPr="00E63FAB">
              <w:rPr>
                <w:rStyle w:val="NoteLabel"/>
                <w:b/>
              </w:rPr>
              <w:t>a, b</w:t>
            </w:r>
          </w:p>
        </w:tc>
      </w:tr>
      <w:tr w:rsidR="00E63FAB"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63FAB" w:rsidTr="009E765C">
              <w:trPr>
                <w:jc w:val="center"/>
              </w:trPr>
              <w:tc>
                <w:tcPr>
                  <w:tcW w:w="5000" w:type="pct"/>
                  <w:tcBorders>
                    <w:top w:val="nil"/>
                    <w:bottom w:val="nil"/>
                    <w:right w:val="nil"/>
                  </w:tcBorders>
                  <w:shd w:val="clear" w:color="auto" w:fill="FFFFFF" w:themeFill="background1"/>
                </w:tcPr>
                <w:p w:rsidR="00E63FAB" w:rsidRDefault="001B7B09" w:rsidP="005E05C9">
                  <w:pPr>
                    <w:pStyle w:val="Figure"/>
                    <w:spacing w:before="60" w:after="60"/>
                  </w:pPr>
                  <w:r>
                    <w:rPr>
                      <w:noProof/>
                    </w:rPr>
                    <w:drawing>
                      <wp:inline distT="0" distB="0" distL="0" distR="0">
                        <wp:extent cx="5391150" cy="2686050"/>
                        <wp:effectExtent l="0" t="0" r="0" b="0"/>
                        <wp:docPr id="24" name="Picture 24" descr="Figure 12.22 Community follow-up for people within the first seven days of discharge from acute inpatient psychiatric uni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E63FAB" w:rsidRDefault="00E63FAB" w:rsidP="005E05C9">
            <w:pPr>
              <w:pStyle w:val="Figure"/>
            </w:pPr>
          </w:p>
        </w:tc>
      </w:tr>
      <w:tr w:rsidR="00E63FAB" w:rsidRPr="00176D3F" w:rsidTr="005E05C9">
        <w:tc>
          <w:tcPr>
            <w:tcW w:w="8771" w:type="dxa"/>
            <w:tcBorders>
              <w:top w:val="nil"/>
              <w:left w:val="nil"/>
              <w:bottom w:val="nil"/>
              <w:right w:val="nil"/>
            </w:tcBorders>
            <w:shd w:val="clear" w:color="auto" w:fill="auto"/>
          </w:tcPr>
          <w:p w:rsidR="00E63FAB" w:rsidRPr="00176D3F" w:rsidRDefault="00E63FAB" w:rsidP="00D71789">
            <w:pPr>
              <w:pStyle w:val="Note"/>
              <w:rPr>
                <w:i/>
              </w:rPr>
            </w:pPr>
            <w:r w:rsidRPr="006865C8">
              <w:rPr>
                <w:rStyle w:val="NoteLabel"/>
              </w:rPr>
              <w:t>a</w:t>
            </w:r>
            <w:r w:rsidRPr="006865C8">
              <w:t xml:space="preserve"> </w:t>
            </w:r>
            <w:r w:rsidR="002F5428" w:rsidRPr="002F5428">
              <w:t>See box</w:t>
            </w:r>
            <w:r w:rsidR="00463329">
              <w:t> </w:t>
            </w:r>
            <w:r w:rsidR="002F5428" w:rsidRPr="002F5428">
              <w:t>12.1</w:t>
            </w:r>
            <w:r w:rsidR="002F5428">
              <w:t>4</w:t>
            </w:r>
            <w:r w:rsidR="002F5428" w:rsidRPr="002F5428">
              <w:t xml:space="preserve"> and</w:t>
            </w:r>
            <w:r w:rsidR="006865C8" w:rsidRPr="00D71789">
              <w:t xml:space="preserve"> table</w:t>
            </w:r>
            <w:r w:rsidR="00463329">
              <w:t> </w:t>
            </w:r>
            <w:proofErr w:type="spellStart"/>
            <w:r w:rsidR="006865C8" w:rsidRPr="00D71789">
              <w:t>12A.54</w:t>
            </w:r>
            <w:proofErr w:type="spellEnd"/>
            <w:r w:rsidR="006865C8" w:rsidRPr="00D71789">
              <w:t xml:space="preserve"> </w:t>
            </w:r>
            <w:r w:rsidR="00C9207F" w:rsidRPr="00C9207F">
              <w:t>for detailed definitions, footnotes and caveats</w:t>
            </w:r>
            <w:r w:rsidR="006865C8" w:rsidRPr="00D71789">
              <w:t>.</w:t>
            </w:r>
            <w:r w:rsidRPr="006865C8">
              <w:t xml:space="preserve"> </w:t>
            </w:r>
            <w:r w:rsidR="00185B0D" w:rsidRPr="006865C8">
              <w:rPr>
                <w:rStyle w:val="NoteLabel"/>
              </w:rPr>
              <w:t>b</w:t>
            </w:r>
            <w:r w:rsidR="00185B0D" w:rsidRPr="006865C8">
              <w:t> </w:t>
            </w:r>
            <w:r w:rsidRPr="006865C8">
              <w:t xml:space="preserve">Victorian data are not available </w:t>
            </w:r>
            <w:r w:rsidR="005A48BD" w:rsidRPr="006865C8">
              <w:t>for 2011</w:t>
            </w:r>
            <w:r w:rsidR="0022260C" w:rsidRPr="006865C8">
              <w:noBreakHyphen/>
            </w:r>
            <w:r w:rsidR="005A48BD" w:rsidRPr="006865C8">
              <w:t>12 and 2012</w:t>
            </w:r>
            <w:r w:rsidR="0022260C" w:rsidRPr="006865C8">
              <w:noBreakHyphen/>
            </w:r>
            <w:r w:rsidR="005A48BD" w:rsidRPr="006865C8">
              <w:t>13</w:t>
            </w:r>
            <w:r w:rsidRPr="006865C8">
              <w:t xml:space="preserve">. </w:t>
            </w:r>
          </w:p>
        </w:tc>
      </w:tr>
      <w:tr w:rsidR="00E63FAB" w:rsidRPr="00176D3F" w:rsidTr="005E05C9">
        <w:tc>
          <w:tcPr>
            <w:tcW w:w="8771" w:type="dxa"/>
            <w:tcBorders>
              <w:top w:val="nil"/>
              <w:left w:val="nil"/>
              <w:bottom w:val="nil"/>
              <w:right w:val="nil"/>
            </w:tcBorders>
            <w:shd w:val="clear" w:color="auto" w:fill="auto"/>
          </w:tcPr>
          <w:p w:rsidR="00E63FAB" w:rsidRPr="00176D3F" w:rsidRDefault="00E63FAB" w:rsidP="00C01131">
            <w:pPr>
              <w:pStyle w:val="Source"/>
            </w:pPr>
            <w:r w:rsidRPr="00F40E83">
              <w:rPr>
                <w:i/>
              </w:rPr>
              <w:t>Source</w:t>
            </w:r>
            <w:r w:rsidRPr="00E63FAB">
              <w:t xml:space="preserve">: </w:t>
            </w:r>
            <w:r w:rsidR="00335B81" w:rsidRPr="00335B81">
              <w:t xml:space="preserve">AIHW </w:t>
            </w:r>
            <w:r w:rsidR="001D727E">
              <w:t>(</w:t>
            </w:r>
            <w:r w:rsidR="00335B81" w:rsidRPr="00335B81">
              <w:t>unpublished</w:t>
            </w:r>
            <w:r w:rsidR="001D727E">
              <w:t>)</w:t>
            </w:r>
            <w:r w:rsidR="00335B81" w:rsidRPr="00335B81">
              <w:t>, from data provided by State and Territory governments</w:t>
            </w:r>
            <w:r w:rsidRPr="00E63FAB">
              <w:t>; table</w:t>
            </w:r>
            <w:r>
              <w:t> </w:t>
            </w:r>
            <w:proofErr w:type="spellStart"/>
            <w:r w:rsidRPr="00E63FAB">
              <w:t>12A.</w:t>
            </w:r>
            <w:r w:rsidR="006865C8">
              <w:t>54</w:t>
            </w:r>
            <w:proofErr w:type="spellEnd"/>
            <w:r w:rsidRPr="00E63FAB">
              <w:t>.</w:t>
            </w:r>
          </w:p>
        </w:tc>
      </w:tr>
      <w:tr w:rsidR="00E63FAB" w:rsidTr="005E05C9">
        <w:tc>
          <w:tcPr>
            <w:tcW w:w="8771" w:type="dxa"/>
            <w:tcBorders>
              <w:top w:val="nil"/>
              <w:left w:val="nil"/>
              <w:bottom w:val="single" w:sz="6" w:space="0" w:color="78A22F"/>
              <w:right w:val="nil"/>
            </w:tcBorders>
            <w:shd w:val="clear" w:color="auto" w:fill="auto"/>
          </w:tcPr>
          <w:p w:rsidR="00E63FAB" w:rsidRDefault="00E63FAB" w:rsidP="005E05C9">
            <w:pPr>
              <w:pStyle w:val="Figurespace"/>
            </w:pPr>
          </w:p>
        </w:tc>
      </w:tr>
      <w:tr w:rsidR="00E63FAB" w:rsidRPr="000863A5" w:rsidTr="005E05C9">
        <w:tc>
          <w:tcPr>
            <w:tcW w:w="8771" w:type="dxa"/>
            <w:tcBorders>
              <w:top w:val="single" w:sz="6" w:space="0" w:color="78A22F"/>
              <w:left w:val="nil"/>
              <w:bottom w:val="nil"/>
              <w:right w:val="nil"/>
            </w:tcBorders>
          </w:tcPr>
          <w:p w:rsidR="00E63FAB" w:rsidRPr="00626D32" w:rsidRDefault="00E63FAB" w:rsidP="005E05C9">
            <w:pPr>
              <w:pStyle w:val="BoxSpaceBelow"/>
            </w:pPr>
          </w:p>
        </w:tc>
      </w:tr>
    </w:tbl>
    <w:p w:rsidR="00BF3E92" w:rsidRDefault="00BF3E92" w:rsidP="00BF3E92">
      <w:pPr>
        <w:pStyle w:val="Heading4"/>
      </w:pPr>
      <w:r>
        <w:t>Quality — continuity — readmissions to hospital within 28 days of discharge</w:t>
      </w:r>
    </w:p>
    <w:p w:rsidR="00E63FAB" w:rsidRDefault="00BF3E92" w:rsidP="002315C6">
      <w:pPr>
        <w:pStyle w:val="BodyText"/>
      </w:pPr>
      <w:r>
        <w:t xml:space="preserve">‘Readmissions to hospital within 28 days of discharge’ is an indicator of governments’ objective to provide effective </w:t>
      </w:r>
      <w:r w:rsidR="00E42C5F">
        <w:t>and</w:t>
      </w:r>
      <w:r>
        <w:t xml:space="preserve"> </w:t>
      </w:r>
      <w:r w:rsidR="00E42C5F">
        <w:t>continuous</w:t>
      </w:r>
      <w:r>
        <w:t xml:space="preserve"> care in mental health services (box</w:t>
      </w:r>
      <w:r w:rsidR="0022260C">
        <w:t> </w:t>
      </w:r>
      <w:r>
        <w:t>12.</w:t>
      </w:r>
      <w:r w:rsidR="00081EAC">
        <w:t>1</w:t>
      </w:r>
      <w:r w:rsidR="00D47EA9">
        <w:t>5</w:t>
      </w:r>
      <w:r>
        <w:t>).</w:t>
      </w:r>
    </w:p>
    <w:p w:rsidR="00D47EA9" w:rsidRDefault="00D47EA9" w:rsidP="00B95A51">
      <w:pPr>
        <w:pStyle w:val="BoxSpaceAbove"/>
        <w:keepNext w:val="0"/>
        <w:widowControl w:val="0"/>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7EA9" w:rsidTr="00D47EA9">
        <w:tc>
          <w:tcPr>
            <w:tcW w:w="8771" w:type="dxa"/>
            <w:tcBorders>
              <w:top w:val="single" w:sz="6" w:space="0" w:color="78A22F"/>
              <w:left w:val="nil"/>
              <w:bottom w:val="nil"/>
              <w:right w:val="nil"/>
            </w:tcBorders>
            <w:shd w:val="clear" w:color="auto" w:fill="F2F2F2"/>
          </w:tcPr>
          <w:p w:rsidR="00D47EA9" w:rsidRDefault="00D47EA9" w:rsidP="00D71789">
            <w:pPr>
              <w:pStyle w:val="BoxTitle"/>
              <w:keepNext w:val="0"/>
              <w:keepLines w:val="0"/>
              <w:widowControl w:val="0"/>
              <w:rPr>
                <w:i/>
              </w:rPr>
            </w:pPr>
            <w:r>
              <w:rPr>
                <w:b w:val="0"/>
              </w:rPr>
              <w:t>Box 12.</w:t>
            </w:r>
            <w:r w:rsidR="00833D26">
              <w:rPr>
                <w:b w:val="0"/>
                <w:noProof/>
              </w:rPr>
              <w:t>15</w:t>
            </w:r>
            <w:r>
              <w:tab/>
            </w:r>
            <w:r w:rsidRPr="00BF3E92">
              <w:t>Readmissions to hospital within 28 days of discharge</w:t>
            </w:r>
          </w:p>
        </w:tc>
      </w:tr>
      <w:tr w:rsidR="00D47EA9" w:rsidTr="00D47EA9">
        <w:trPr>
          <w:cantSplit/>
        </w:trPr>
        <w:tc>
          <w:tcPr>
            <w:tcW w:w="8771" w:type="dxa"/>
            <w:tcBorders>
              <w:top w:val="nil"/>
              <w:left w:val="nil"/>
              <w:bottom w:val="nil"/>
              <w:right w:val="nil"/>
            </w:tcBorders>
            <w:shd w:val="clear" w:color="auto" w:fill="F2F2F2"/>
          </w:tcPr>
          <w:p w:rsidR="00F34F73" w:rsidRDefault="00D47EA9" w:rsidP="00576003">
            <w:pPr>
              <w:pStyle w:val="Box"/>
              <w:keepNext w:val="0"/>
              <w:widowControl w:val="0"/>
            </w:pPr>
            <w:r>
              <w:t xml:space="preserve">‘Readmissions to hospital within 28 days of discharge’ is defined as the proportion of </w:t>
            </w:r>
            <w:r w:rsidRPr="006865C8">
              <w:t xml:space="preserve">State and Territory governments’ </w:t>
            </w:r>
            <w:r>
              <w:t>admitted patient overnight separations from</w:t>
            </w:r>
            <w:r w:rsidR="008004E1">
              <w:t xml:space="preserve"> </w:t>
            </w:r>
            <w:r>
              <w:t xml:space="preserve">psychiatric acute </w:t>
            </w:r>
            <w:r w:rsidR="008004E1">
              <w:t xml:space="preserve">inpatient </w:t>
            </w:r>
            <w:r>
              <w:t xml:space="preserve">units that were followed by readmission to a </w:t>
            </w:r>
            <w:r w:rsidRPr="00A006BC">
              <w:t>State and Territory governments’</w:t>
            </w:r>
            <w:r>
              <w:t xml:space="preserve"> psychiatric acute inpatient uni</w:t>
            </w:r>
            <w:r w:rsidR="00576003">
              <w:t xml:space="preserve">t within 28 days of discharge. </w:t>
            </w:r>
          </w:p>
        </w:tc>
      </w:tr>
      <w:tr w:rsidR="00D47EA9" w:rsidTr="00D47EA9">
        <w:trPr>
          <w:cantSplit/>
        </w:trPr>
        <w:tc>
          <w:tcPr>
            <w:tcW w:w="8771" w:type="dxa"/>
            <w:tcBorders>
              <w:top w:val="nil"/>
              <w:left w:val="nil"/>
              <w:bottom w:val="nil"/>
              <w:right w:val="nil"/>
            </w:tcBorders>
            <w:shd w:val="clear" w:color="auto" w:fill="F2F2F2"/>
          </w:tcPr>
          <w:p w:rsidR="00D47EA9" w:rsidRPr="00D71789" w:rsidRDefault="00B85ED1" w:rsidP="000477EA">
            <w:pPr>
              <w:pStyle w:val="Continued"/>
              <w:spacing w:before="120"/>
            </w:pPr>
            <w:r>
              <w:t>(continued next page)</w:t>
            </w:r>
          </w:p>
        </w:tc>
      </w:tr>
      <w:tr w:rsidR="00D47EA9" w:rsidTr="00D47EA9">
        <w:trPr>
          <w:cantSplit/>
        </w:trPr>
        <w:tc>
          <w:tcPr>
            <w:tcW w:w="8771" w:type="dxa"/>
            <w:tcBorders>
              <w:top w:val="nil"/>
              <w:left w:val="nil"/>
              <w:bottom w:val="single" w:sz="6" w:space="0" w:color="78A22F"/>
              <w:right w:val="nil"/>
            </w:tcBorders>
            <w:shd w:val="clear" w:color="auto" w:fill="F2F2F2"/>
          </w:tcPr>
          <w:p w:rsidR="00D47EA9" w:rsidRDefault="00D47EA9" w:rsidP="00B95A51">
            <w:pPr>
              <w:pStyle w:val="Box"/>
              <w:keepNext w:val="0"/>
              <w:widowControl w:val="0"/>
              <w:spacing w:before="0" w:line="120" w:lineRule="exact"/>
            </w:pPr>
          </w:p>
        </w:tc>
      </w:tr>
      <w:tr w:rsidR="00D47EA9" w:rsidRPr="000863A5" w:rsidTr="00D47EA9">
        <w:tc>
          <w:tcPr>
            <w:tcW w:w="8771" w:type="dxa"/>
            <w:tcBorders>
              <w:top w:val="single" w:sz="6" w:space="0" w:color="78A22F"/>
              <w:left w:val="nil"/>
              <w:bottom w:val="nil"/>
              <w:right w:val="nil"/>
            </w:tcBorders>
          </w:tcPr>
          <w:p w:rsidR="00D47EA9" w:rsidRPr="00626D32" w:rsidRDefault="00D47EA9" w:rsidP="00B95A51">
            <w:pPr>
              <w:pStyle w:val="BoxSpaceBelow"/>
              <w:widowControl w:val="0"/>
            </w:pPr>
          </w:p>
        </w:tc>
      </w:tr>
    </w:tbl>
    <w:p w:rsidR="00BF3E92" w:rsidRDefault="00BF3E9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E92" w:rsidTr="005E05C9">
        <w:tc>
          <w:tcPr>
            <w:tcW w:w="8771" w:type="dxa"/>
            <w:tcBorders>
              <w:top w:val="single" w:sz="6" w:space="0" w:color="78A22F"/>
              <w:left w:val="nil"/>
              <w:bottom w:val="nil"/>
              <w:right w:val="nil"/>
            </w:tcBorders>
            <w:shd w:val="clear" w:color="auto" w:fill="F2F2F2"/>
          </w:tcPr>
          <w:p w:rsidR="00BF3E92" w:rsidRDefault="00BF3E92" w:rsidP="007127ED">
            <w:pPr>
              <w:pStyle w:val="BoxTitle"/>
            </w:pPr>
            <w:r>
              <w:rPr>
                <w:b w:val="0"/>
              </w:rPr>
              <w:t xml:space="preserve">Box </w:t>
            </w:r>
            <w:r w:rsidR="007127ED">
              <w:rPr>
                <w:b w:val="0"/>
              </w:rPr>
              <w:t>12.15</w:t>
            </w:r>
            <w:r>
              <w:tab/>
            </w:r>
            <w:r w:rsidR="00D47EA9" w:rsidRPr="00D64AD8">
              <w:rPr>
                <w:b w:val="0"/>
                <w:sz w:val="18"/>
                <w:szCs w:val="18"/>
              </w:rPr>
              <w:t>(continued)</w:t>
            </w:r>
          </w:p>
        </w:tc>
      </w:tr>
      <w:tr w:rsidR="00BF3E92" w:rsidTr="005E05C9">
        <w:trPr>
          <w:cantSplit/>
        </w:trPr>
        <w:tc>
          <w:tcPr>
            <w:tcW w:w="8771" w:type="dxa"/>
            <w:tcBorders>
              <w:top w:val="nil"/>
              <w:left w:val="nil"/>
              <w:bottom w:val="nil"/>
              <w:right w:val="nil"/>
            </w:tcBorders>
            <w:shd w:val="clear" w:color="auto" w:fill="F2F2F2"/>
          </w:tcPr>
          <w:p w:rsidR="00576003" w:rsidRDefault="00576003" w:rsidP="00576003">
            <w:pPr>
              <w:pStyle w:val="Box"/>
            </w:pPr>
            <w:r>
              <w:t>A low or decreasing rate of readmissions to hospital within 28 days of discharge is desirable. Readmissions following a recent discharge can indicate that inpatient treatment was either incomplete</w:t>
            </w:r>
            <w:r w:rsidR="00DC0E09">
              <w:t xml:space="preserve"> or ineffective, or that follow-</w:t>
            </w:r>
            <w:r>
              <w:t>up community care was inadequate to maintain people out of hospital (</w:t>
            </w:r>
            <w:proofErr w:type="spellStart"/>
            <w:r>
              <w:t>NMHPSC</w:t>
            </w:r>
            <w:proofErr w:type="spellEnd"/>
            <w:r>
              <w:t xml:space="preserve"> </w:t>
            </w:r>
            <w:proofErr w:type="spellStart"/>
            <w:r>
              <w:t>2011a</w:t>
            </w:r>
            <w:proofErr w:type="spellEnd"/>
            <w:r>
              <w:t>).</w:t>
            </w:r>
          </w:p>
          <w:p w:rsidR="00576003" w:rsidRDefault="00576003" w:rsidP="00576003">
            <w:pPr>
              <w:pStyle w:val="Box"/>
            </w:pPr>
            <w:r>
              <w:t>Readmission rates can be affected by factors other than deficiencies in specialised public mental health services, such as the cyclic and episodic nature of some illnesses (</w:t>
            </w:r>
            <w:r w:rsidRPr="00FB3BDA">
              <w:t>National Mental Health Working Group</w:t>
            </w:r>
            <w:r>
              <w:t xml:space="preserve"> Information Strategy Committee Performance Indicator Drafting Group 2005).</w:t>
            </w:r>
          </w:p>
          <w:p w:rsidR="00BF3E92" w:rsidRDefault="00BF3E92" w:rsidP="00BF3E92">
            <w:pPr>
              <w:pStyle w:val="Box"/>
            </w:pPr>
            <w:r>
              <w:t>Data reported for this indicator are:</w:t>
            </w:r>
          </w:p>
          <w:p w:rsidR="00BF3E92" w:rsidRDefault="00BF3E92" w:rsidP="00BF3E92">
            <w:pPr>
              <w:pStyle w:val="BoxListBullet"/>
            </w:pPr>
            <w:r>
              <w:t xml:space="preserve">comparable (subject to caveats) </w:t>
            </w:r>
            <w:r w:rsidR="00A006BC" w:rsidRPr="00A006BC">
              <w:t xml:space="preserve">within some jurisdictions over time but are not comparable across jurisdictions or over time for other jurisdictions (see caveats in </w:t>
            </w:r>
            <w:proofErr w:type="spellStart"/>
            <w:r w:rsidR="00A006BC">
              <w:t>DQI</w:t>
            </w:r>
            <w:proofErr w:type="spellEnd"/>
            <w:r w:rsidR="00A006BC">
              <w:t xml:space="preserve"> or </w:t>
            </w:r>
            <w:r w:rsidR="00A006BC" w:rsidRPr="00A006BC">
              <w:t>attachment tab</w:t>
            </w:r>
            <w:r w:rsidR="00A006BC">
              <w:t>les for specific jurisdictions)</w:t>
            </w:r>
          </w:p>
          <w:p w:rsidR="00BF3E92" w:rsidRDefault="00BF3E92" w:rsidP="002245A4">
            <w:pPr>
              <w:pStyle w:val="BoxListBullet"/>
            </w:pPr>
            <w:r>
              <w:t xml:space="preserve">complete </w:t>
            </w:r>
            <w:r w:rsidR="002245A4" w:rsidRPr="002245A4">
              <w:t>(subject to caveats)</w:t>
            </w:r>
            <w:r w:rsidR="002245A4">
              <w:t xml:space="preserve"> </w:t>
            </w:r>
            <w:r>
              <w:t>fo</w:t>
            </w:r>
            <w:r w:rsidR="002245A4">
              <w:t>r the current reporting period</w:t>
            </w:r>
            <w:r>
              <w:t xml:space="preserve">. All required </w:t>
            </w:r>
            <w:r w:rsidR="00081EAC">
              <w:t>2013</w:t>
            </w:r>
            <w:r>
              <w:noBreakHyphen/>
            </w:r>
            <w:r w:rsidR="00081EAC">
              <w:t xml:space="preserve">14 </w:t>
            </w:r>
            <w:r>
              <w:t xml:space="preserve">data are available for all jurisdictions. </w:t>
            </w:r>
          </w:p>
          <w:p w:rsidR="00BF3E92" w:rsidRDefault="00BF3E92" w:rsidP="00081EAC">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081EAC">
              <w:t>2016</w:t>
            </w:r>
            <w:r>
              <w:t>.</w:t>
            </w:r>
          </w:p>
        </w:tc>
      </w:tr>
      <w:tr w:rsidR="00BF3E92" w:rsidTr="005E05C9">
        <w:trPr>
          <w:cantSplit/>
        </w:trPr>
        <w:tc>
          <w:tcPr>
            <w:tcW w:w="8771" w:type="dxa"/>
            <w:tcBorders>
              <w:top w:val="nil"/>
              <w:left w:val="nil"/>
              <w:bottom w:val="single" w:sz="6" w:space="0" w:color="78A22F"/>
              <w:right w:val="nil"/>
            </w:tcBorders>
            <w:shd w:val="clear" w:color="auto" w:fill="F2F2F2"/>
          </w:tcPr>
          <w:p w:rsidR="00BF3E92" w:rsidRDefault="00BF3E92">
            <w:pPr>
              <w:pStyle w:val="Box"/>
              <w:spacing w:before="0" w:line="120" w:lineRule="exact"/>
            </w:pPr>
          </w:p>
        </w:tc>
      </w:tr>
      <w:tr w:rsidR="00BF3E92" w:rsidRPr="000863A5" w:rsidTr="005E05C9">
        <w:tc>
          <w:tcPr>
            <w:tcW w:w="8771" w:type="dxa"/>
            <w:tcBorders>
              <w:top w:val="single" w:sz="6" w:space="0" w:color="78A22F"/>
              <w:left w:val="nil"/>
              <w:bottom w:val="nil"/>
              <w:right w:val="nil"/>
            </w:tcBorders>
          </w:tcPr>
          <w:p w:rsidR="00BF3E92" w:rsidRPr="00626D32" w:rsidRDefault="00BF3E92" w:rsidP="005E05C9">
            <w:pPr>
              <w:pStyle w:val="BoxSpaceBelow"/>
            </w:pPr>
          </w:p>
        </w:tc>
      </w:tr>
    </w:tbl>
    <w:p w:rsidR="00BF3E92" w:rsidRDefault="00C92DEA" w:rsidP="002315C6">
      <w:pPr>
        <w:pStyle w:val="BodyText"/>
      </w:pPr>
      <w:r>
        <w:t>Nationally</w:t>
      </w:r>
      <w:r w:rsidR="008004E1">
        <w:t>,</w:t>
      </w:r>
      <w:r>
        <w:t xml:space="preserve"> the</w:t>
      </w:r>
      <w:r w:rsidR="00BF3E92" w:rsidRPr="00BF3E92">
        <w:t xml:space="preserve"> rates of readmission to hospital </w:t>
      </w:r>
      <w:r w:rsidR="00A006BC" w:rsidRPr="00A006BC">
        <w:t>acute psychiatric units</w:t>
      </w:r>
      <w:r w:rsidR="00A006BC">
        <w:t xml:space="preserve"> </w:t>
      </w:r>
      <w:r w:rsidR="00BF3E92" w:rsidRPr="00BF3E92">
        <w:t xml:space="preserve">within 28 days of discharge </w:t>
      </w:r>
      <w:r>
        <w:t>have remained relatively stable</w:t>
      </w:r>
      <w:r w:rsidR="00BF3E92" w:rsidRPr="00BF3E92">
        <w:t xml:space="preserve"> </w:t>
      </w:r>
      <w:r w:rsidR="00B95A51">
        <w:t>since 2009</w:t>
      </w:r>
      <w:r w:rsidR="00463329">
        <w:noBreakHyphen/>
      </w:r>
      <w:r w:rsidR="00B95A51">
        <w:t xml:space="preserve">10 </w:t>
      </w:r>
      <w:r>
        <w:t>(</w:t>
      </w:r>
      <w:r w:rsidR="00BF3E92" w:rsidRPr="00BF3E92">
        <w:t>figure</w:t>
      </w:r>
      <w:r w:rsidR="0022260C">
        <w:t> </w:t>
      </w:r>
      <w:r w:rsidR="00081EAC">
        <w:t>12.2</w:t>
      </w:r>
      <w:r w:rsidR="00586CEA">
        <w:t>3</w:t>
      </w:r>
      <w:r>
        <w:t>)</w:t>
      </w:r>
      <w:r w:rsidR="00BF3E92" w:rsidRPr="00BF3E92">
        <w:t>.</w:t>
      </w:r>
      <w:r w:rsidR="009A66BC">
        <w:t xml:space="preserve"> R</w:t>
      </w:r>
      <w:r w:rsidR="009A66BC" w:rsidRPr="009A66BC">
        <w:t xml:space="preserve">ates of readmission to hospital within 28 days of discharge </w:t>
      </w:r>
      <w:r w:rsidR="009A66BC">
        <w:t xml:space="preserve">by Indigenous status, remoteness areas, SEIFA, age group and </w:t>
      </w:r>
      <w:r w:rsidR="00F34F73">
        <w:t xml:space="preserve">sex </w:t>
      </w:r>
      <w:r w:rsidR="009A66BC">
        <w:t>are in table</w:t>
      </w:r>
      <w:r w:rsidR="0022260C">
        <w:t> </w:t>
      </w:r>
      <w:proofErr w:type="spellStart"/>
      <w:r w:rsidR="009A66BC">
        <w:t>12A.</w:t>
      </w:r>
      <w:r>
        <w:t>58</w:t>
      </w:r>
      <w:proofErr w:type="spellEnd"/>
      <w:r w:rsidR="009A66BC">
        <w:t>.</w:t>
      </w:r>
    </w:p>
    <w:p w:rsidR="00BF3E92" w:rsidRDefault="00BF3E92" w:rsidP="00D71789">
      <w:pPr>
        <w:pStyle w:val="BoxSpaceAbove"/>
        <w:keepNext w:val="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E92" w:rsidTr="009E765C">
        <w:tc>
          <w:tcPr>
            <w:tcW w:w="8771" w:type="dxa"/>
            <w:tcBorders>
              <w:top w:val="single" w:sz="6" w:space="0" w:color="78A22F"/>
              <w:left w:val="nil"/>
              <w:bottom w:val="nil"/>
              <w:right w:val="nil"/>
            </w:tcBorders>
            <w:shd w:val="clear" w:color="auto" w:fill="FFFFFF" w:themeFill="background1"/>
          </w:tcPr>
          <w:p w:rsidR="00BF3E92" w:rsidRPr="00176D3F" w:rsidRDefault="00BF3E92" w:rsidP="00D71789">
            <w:pPr>
              <w:pStyle w:val="FigureTitle"/>
              <w:keepNext w:val="0"/>
              <w:keepLines w:val="0"/>
            </w:pPr>
            <w:r w:rsidRPr="00784A05">
              <w:rPr>
                <w:b w:val="0"/>
              </w:rPr>
              <w:t xml:space="preserve">Figure </w:t>
            </w:r>
            <w:bookmarkStart w:id="17" w:name="OLE_LINK6"/>
            <w:r w:rsidR="00586CEA">
              <w:rPr>
                <w:b w:val="0"/>
              </w:rPr>
              <w:t>12.</w:t>
            </w:r>
            <w:r w:rsidR="00833D26">
              <w:rPr>
                <w:b w:val="0"/>
                <w:noProof/>
              </w:rPr>
              <w:t>23</w:t>
            </w:r>
            <w:bookmarkEnd w:id="17"/>
            <w:r>
              <w:tab/>
            </w:r>
            <w:r w:rsidRPr="00BF3E92">
              <w:t xml:space="preserve">Readmissions to hospital </w:t>
            </w:r>
            <w:r w:rsidR="00A006BC" w:rsidRPr="00A006BC">
              <w:t>acute psychiatric units</w:t>
            </w:r>
            <w:r w:rsidR="00A006BC">
              <w:t xml:space="preserve"> </w:t>
            </w:r>
            <w:r w:rsidRPr="00BF3E92">
              <w:t>within 28 days</w:t>
            </w:r>
            <w:r w:rsidRPr="00BF3E92">
              <w:rPr>
                <w:rStyle w:val="NoteLabel"/>
                <w:b/>
              </w:rPr>
              <w:t>a</w:t>
            </w:r>
          </w:p>
        </w:tc>
      </w:tr>
      <w:tr w:rsidR="00BF3E92"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F3E92" w:rsidTr="009E765C">
              <w:trPr>
                <w:jc w:val="center"/>
              </w:trPr>
              <w:tc>
                <w:tcPr>
                  <w:tcW w:w="5000" w:type="pct"/>
                  <w:tcBorders>
                    <w:top w:val="nil"/>
                    <w:bottom w:val="nil"/>
                    <w:right w:val="nil"/>
                  </w:tcBorders>
                </w:tcPr>
                <w:p w:rsidR="00BF3E92" w:rsidRDefault="001B7B09" w:rsidP="00D71789">
                  <w:pPr>
                    <w:pStyle w:val="Figure"/>
                    <w:keepNext w:val="0"/>
                    <w:spacing w:before="60" w:after="60"/>
                  </w:pPr>
                  <w:r>
                    <w:rPr>
                      <w:noProof/>
                    </w:rPr>
                    <w:drawing>
                      <wp:inline distT="0" distB="0" distL="0" distR="0">
                        <wp:extent cx="5353050" cy="2695575"/>
                        <wp:effectExtent l="0" t="0" r="0" b="9525"/>
                        <wp:docPr id="25" name="Picture 25" descr="Figure 12.23 Readmissions to hospital acute psychiatric units within 28 day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53050" cy="2695575"/>
                                </a:xfrm>
                                <a:prstGeom prst="rect">
                                  <a:avLst/>
                                </a:prstGeom>
                                <a:noFill/>
                                <a:ln>
                                  <a:noFill/>
                                </a:ln>
                              </pic:spPr>
                            </pic:pic>
                          </a:graphicData>
                        </a:graphic>
                      </wp:inline>
                    </w:drawing>
                  </w:r>
                </w:p>
              </w:tc>
            </w:tr>
          </w:tbl>
          <w:p w:rsidR="00BF3E92" w:rsidRDefault="00BF3E92" w:rsidP="00D71789">
            <w:pPr>
              <w:pStyle w:val="Figure"/>
              <w:keepNext w:val="0"/>
              <w:rPr>
                <w:szCs w:val="24"/>
              </w:rPr>
            </w:pPr>
          </w:p>
        </w:tc>
      </w:tr>
      <w:tr w:rsidR="00BF3E92" w:rsidRPr="00176D3F" w:rsidTr="005E05C9">
        <w:tc>
          <w:tcPr>
            <w:tcW w:w="8771" w:type="dxa"/>
            <w:tcBorders>
              <w:top w:val="nil"/>
              <w:left w:val="nil"/>
              <w:bottom w:val="nil"/>
              <w:right w:val="nil"/>
            </w:tcBorders>
            <w:shd w:val="clear" w:color="auto" w:fill="auto"/>
          </w:tcPr>
          <w:p w:rsidR="00BF3E92" w:rsidRPr="00176D3F" w:rsidRDefault="00A006BC" w:rsidP="00D71789">
            <w:pPr>
              <w:pStyle w:val="Note"/>
              <w:keepLines w:val="0"/>
              <w:rPr>
                <w:i/>
              </w:rPr>
            </w:pPr>
            <w:r w:rsidRPr="00A006BC">
              <w:rPr>
                <w:rStyle w:val="NoteLabel"/>
              </w:rPr>
              <w:t xml:space="preserve">a </w:t>
            </w:r>
            <w:r w:rsidR="002F5428" w:rsidRPr="002F5428">
              <w:t>See box</w:t>
            </w:r>
            <w:r w:rsidR="00463329">
              <w:t> </w:t>
            </w:r>
            <w:r w:rsidR="002F5428" w:rsidRPr="002F5428">
              <w:t>12.1</w:t>
            </w:r>
            <w:r w:rsidR="002F5428">
              <w:t>5</w:t>
            </w:r>
            <w:r w:rsidR="002F5428" w:rsidRPr="002F5428">
              <w:t xml:space="preserve"> and</w:t>
            </w:r>
            <w:r w:rsidRPr="00D71789">
              <w:t xml:space="preserve"> table</w:t>
            </w:r>
            <w:r w:rsidR="00463329">
              <w:t> </w:t>
            </w:r>
            <w:proofErr w:type="spellStart"/>
            <w:r w:rsidRPr="00D71789">
              <w:t>12A.5</w:t>
            </w:r>
            <w:r>
              <w:t>7</w:t>
            </w:r>
            <w:proofErr w:type="spellEnd"/>
            <w:r w:rsidRPr="00D71789">
              <w:t xml:space="preserve"> </w:t>
            </w:r>
            <w:r w:rsidR="00C9207F" w:rsidRPr="00C9207F">
              <w:t>for detailed definitions, footnotes and caveats</w:t>
            </w:r>
            <w:r w:rsidRPr="00D71789">
              <w:t>.</w:t>
            </w:r>
          </w:p>
        </w:tc>
      </w:tr>
      <w:tr w:rsidR="00BF3E92" w:rsidRPr="00176D3F" w:rsidTr="005E05C9">
        <w:tc>
          <w:tcPr>
            <w:tcW w:w="8771" w:type="dxa"/>
            <w:tcBorders>
              <w:top w:val="nil"/>
              <w:left w:val="nil"/>
              <w:bottom w:val="nil"/>
              <w:right w:val="nil"/>
            </w:tcBorders>
            <w:shd w:val="clear" w:color="auto" w:fill="auto"/>
          </w:tcPr>
          <w:p w:rsidR="00BF3E92" w:rsidRPr="00176D3F" w:rsidRDefault="00BF3E92" w:rsidP="00D71789">
            <w:pPr>
              <w:pStyle w:val="Source"/>
              <w:keepLines w:val="0"/>
              <w:rPr>
                <w:i/>
              </w:rPr>
            </w:pPr>
            <w:r w:rsidRPr="00BF3E92">
              <w:rPr>
                <w:i/>
              </w:rPr>
              <w:t>Source</w:t>
            </w:r>
            <w:r w:rsidRPr="00F40E83">
              <w:t>:</w:t>
            </w:r>
            <w:r w:rsidRPr="00BF3E92">
              <w:rPr>
                <w:i/>
              </w:rPr>
              <w:t xml:space="preserve"> </w:t>
            </w:r>
            <w:r>
              <w:t>AIHW</w:t>
            </w:r>
            <w:r w:rsidRPr="00BF3E92">
              <w:t xml:space="preserve"> </w:t>
            </w:r>
            <w:r w:rsidR="001D727E">
              <w:t>(</w:t>
            </w:r>
            <w:r w:rsidRPr="00BF3E92">
              <w:t>unpublished</w:t>
            </w:r>
            <w:r w:rsidR="001D727E">
              <w:t>)</w:t>
            </w:r>
            <w:r w:rsidRPr="00BF3E92">
              <w:t xml:space="preserve">, from data provided by </w:t>
            </w:r>
            <w:r w:rsidR="00B95A51">
              <w:t>State and Territory governments</w:t>
            </w:r>
            <w:r w:rsidRPr="00BF3E92">
              <w:t>; table</w:t>
            </w:r>
            <w:r w:rsidR="0022260C">
              <w:t> </w:t>
            </w:r>
            <w:proofErr w:type="spellStart"/>
            <w:r w:rsidRPr="00BF3E92">
              <w:t>12A.</w:t>
            </w:r>
            <w:r w:rsidR="00A006BC">
              <w:t>57</w:t>
            </w:r>
            <w:proofErr w:type="spellEnd"/>
            <w:r w:rsidRPr="00BF3E92">
              <w:t>.</w:t>
            </w:r>
          </w:p>
        </w:tc>
      </w:tr>
      <w:tr w:rsidR="00BF3E92" w:rsidTr="005E05C9">
        <w:tc>
          <w:tcPr>
            <w:tcW w:w="8771" w:type="dxa"/>
            <w:tcBorders>
              <w:top w:val="nil"/>
              <w:left w:val="nil"/>
              <w:bottom w:val="single" w:sz="6" w:space="0" w:color="78A22F"/>
              <w:right w:val="nil"/>
            </w:tcBorders>
            <w:shd w:val="clear" w:color="auto" w:fill="auto"/>
          </w:tcPr>
          <w:p w:rsidR="00BF3E92" w:rsidRDefault="00BF3E92" w:rsidP="00D71789">
            <w:pPr>
              <w:pStyle w:val="Figurespace"/>
              <w:keepNext w:val="0"/>
              <w:rPr>
                <w:szCs w:val="24"/>
              </w:rPr>
            </w:pPr>
          </w:p>
        </w:tc>
      </w:tr>
      <w:tr w:rsidR="00BF3E92" w:rsidRPr="000863A5" w:rsidTr="005E05C9">
        <w:tc>
          <w:tcPr>
            <w:tcW w:w="8771" w:type="dxa"/>
            <w:tcBorders>
              <w:top w:val="single" w:sz="6" w:space="0" w:color="78A22F"/>
              <w:left w:val="nil"/>
              <w:bottom w:val="nil"/>
              <w:right w:val="nil"/>
            </w:tcBorders>
          </w:tcPr>
          <w:p w:rsidR="00BF3E92" w:rsidRPr="00626D32" w:rsidRDefault="00BF3E92" w:rsidP="00D71789">
            <w:pPr>
              <w:pStyle w:val="BoxSpaceBelow"/>
              <w:rPr>
                <w:i/>
              </w:rPr>
            </w:pPr>
          </w:p>
        </w:tc>
      </w:tr>
    </w:tbl>
    <w:p w:rsidR="00100ED0" w:rsidRDefault="00100ED0" w:rsidP="00D71789">
      <w:pPr>
        <w:pStyle w:val="Heading3"/>
      </w:pPr>
      <w:r>
        <w:lastRenderedPageBreak/>
        <w:t>Efficiency</w:t>
      </w:r>
    </w:p>
    <w:p w:rsidR="00100ED0" w:rsidRPr="003D4AC1" w:rsidRDefault="00136F58" w:rsidP="00D71789">
      <w:pPr>
        <w:pStyle w:val="BodyText"/>
      </w:pPr>
      <w:r>
        <w:t xml:space="preserve">The efficiency indicators reported are for State </w:t>
      </w:r>
      <w:r w:rsidR="00B95A51">
        <w:t>a</w:t>
      </w:r>
      <w:r>
        <w:t xml:space="preserve">nd </w:t>
      </w:r>
      <w:r w:rsidR="00B95A51">
        <w:t>t</w:t>
      </w:r>
      <w:r>
        <w:t xml:space="preserve">erritory governments’ specialised mental health services. </w:t>
      </w:r>
      <w:r w:rsidR="00100ED0" w:rsidRPr="00D71789">
        <w:t xml:space="preserve">Mainstreaming has occurred at different rates across </w:t>
      </w:r>
      <w:r>
        <w:t>state</w:t>
      </w:r>
      <w:r w:rsidR="000F67C1">
        <w:t>s</w:t>
      </w:r>
      <w:r>
        <w:t xml:space="preserve"> and territories</w:t>
      </w:r>
      <w:r w:rsidR="003D4AC1" w:rsidRPr="00D71789">
        <w:t xml:space="preserve">, with some treating </w:t>
      </w:r>
      <w:r w:rsidR="003D4AC1">
        <w:t xml:space="preserve">a greater proportion of </w:t>
      </w:r>
      <w:r w:rsidR="003D4AC1" w:rsidRPr="00D71789">
        <w:t>clients with severe mental illnesses in community</w:t>
      </w:r>
      <w:r w:rsidR="00463329">
        <w:noBreakHyphen/>
      </w:r>
      <w:r w:rsidR="003D4AC1" w:rsidRPr="00D71789">
        <w:t>based services than other jurisdictions. This can create differences</w:t>
      </w:r>
      <w:r w:rsidR="00830B8E">
        <w:t xml:space="preserve"> across </w:t>
      </w:r>
      <w:r w:rsidRPr="00136F58">
        <w:t>state</w:t>
      </w:r>
      <w:r w:rsidR="000F67C1">
        <w:t>s</w:t>
      </w:r>
      <w:r w:rsidRPr="00136F58">
        <w:t xml:space="preserve"> and territories</w:t>
      </w:r>
      <w:r w:rsidR="003D4AC1" w:rsidRPr="00D71789">
        <w:t xml:space="preserve"> in the mix of client</w:t>
      </w:r>
      <w:r w:rsidR="00830B8E">
        <w:t>s,</w:t>
      </w:r>
      <w:r w:rsidR="003D4AC1" w:rsidRPr="00D71789">
        <w:t xml:space="preserve"> and </w:t>
      </w:r>
      <w:r w:rsidR="00830B8E">
        <w:t xml:space="preserve">therefore </w:t>
      </w:r>
      <w:r w:rsidR="003D4AC1" w:rsidRPr="00D71789">
        <w:t xml:space="preserve">the </w:t>
      </w:r>
      <w:r w:rsidR="003D4AC1">
        <w:t>costs</w:t>
      </w:r>
      <w:r w:rsidR="00830B8E">
        <w:t>,</w:t>
      </w:r>
      <w:r w:rsidR="003D4AC1" w:rsidRPr="00D71789">
        <w:t xml:space="preserve"> within service types. </w:t>
      </w:r>
    </w:p>
    <w:p w:rsidR="000B3B63" w:rsidRDefault="000B3B63" w:rsidP="000B3B63">
      <w:pPr>
        <w:pStyle w:val="Heading4"/>
      </w:pPr>
      <w:r>
        <w:t>Efficiency — Sustainability</w:t>
      </w:r>
    </w:p>
    <w:p w:rsidR="000B3B63" w:rsidRDefault="000B3B63" w:rsidP="000B3B63">
      <w:pPr>
        <w:pStyle w:val="BodyText"/>
      </w:pPr>
      <w:r>
        <w:t>The Steering Committee has identified sustainability as an area for reporting but no indicators have yet been identified.</w:t>
      </w:r>
    </w:p>
    <w:p w:rsidR="00703679" w:rsidRDefault="00703679" w:rsidP="00703679">
      <w:pPr>
        <w:pStyle w:val="Heading4"/>
      </w:pPr>
      <w:r>
        <w:t>Efficiency — cost of inpatient care</w:t>
      </w:r>
    </w:p>
    <w:p w:rsidR="00BF3E92" w:rsidRDefault="00703679" w:rsidP="002315C6">
      <w:pPr>
        <w:pStyle w:val="BodyText"/>
      </w:pPr>
      <w:r>
        <w:t>‘Cost of inpatient care’ is an indicator</w:t>
      </w:r>
      <w:r w:rsidR="00262C26">
        <w:t xml:space="preserve"> of governments’ objective that </w:t>
      </w:r>
      <w:r>
        <w:t>mental health services are delivered in an efficient manner (box</w:t>
      </w:r>
      <w:r w:rsidR="0022260C">
        <w:t> </w:t>
      </w:r>
      <w:r>
        <w:t>12.</w:t>
      </w:r>
      <w:r w:rsidR="001424C4">
        <w:t>1</w:t>
      </w:r>
      <w:r w:rsidR="007127ED">
        <w:t>6</w:t>
      </w:r>
      <w:r>
        <w:t>).</w:t>
      </w:r>
    </w:p>
    <w:p w:rsidR="00576003" w:rsidRDefault="0057600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6003" w:rsidTr="00536CCF">
        <w:tc>
          <w:tcPr>
            <w:tcW w:w="8771" w:type="dxa"/>
            <w:tcBorders>
              <w:top w:val="single" w:sz="6" w:space="0" w:color="78A22F"/>
              <w:left w:val="nil"/>
              <w:bottom w:val="nil"/>
              <w:right w:val="nil"/>
            </w:tcBorders>
            <w:shd w:val="clear" w:color="auto" w:fill="F2F2F2"/>
          </w:tcPr>
          <w:p w:rsidR="00576003" w:rsidRDefault="00576003" w:rsidP="00576003">
            <w:pPr>
              <w:pStyle w:val="BoxTitle"/>
            </w:pPr>
            <w:r>
              <w:rPr>
                <w:b w:val="0"/>
              </w:rPr>
              <w:t>Box 12.</w:t>
            </w:r>
            <w:r w:rsidR="00833D26">
              <w:rPr>
                <w:b w:val="0"/>
                <w:noProof/>
              </w:rPr>
              <w:t>16</w:t>
            </w:r>
            <w:r>
              <w:tab/>
            </w:r>
            <w:r w:rsidRPr="00703679">
              <w:t>Cost of inpatient care</w:t>
            </w:r>
            <w:r>
              <w:t xml:space="preserve"> </w:t>
            </w:r>
          </w:p>
        </w:tc>
      </w:tr>
      <w:tr w:rsidR="00576003" w:rsidTr="00536CCF">
        <w:trPr>
          <w:cantSplit/>
        </w:trPr>
        <w:tc>
          <w:tcPr>
            <w:tcW w:w="8771" w:type="dxa"/>
            <w:tcBorders>
              <w:top w:val="nil"/>
              <w:left w:val="nil"/>
              <w:bottom w:val="nil"/>
              <w:right w:val="nil"/>
            </w:tcBorders>
            <w:shd w:val="clear" w:color="auto" w:fill="F2F2F2"/>
          </w:tcPr>
          <w:p w:rsidR="00576003" w:rsidRDefault="00576003" w:rsidP="00576003">
            <w:pPr>
              <w:pStyle w:val="Box"/>
            </w:pPr>
            <w:r>
              <w:t>‘Cost of inpatient care’ has two measures:</w:t>
            </w:r>
          </w:p>
          <w:p w:rsidR="00576003" w:rsidRDefault="00576003" w:rsidP="00576003">
            <w:pPr>
              <w:pStyle w:val="BoxListBullet"/>
            </w:pPr>
            <w:r>
              <w:t xml:space="preserve">‘Cost per inpatient bed day’ is defined </w:t>
            </w:r>
            <w:r w:rsidRPr="00B95A51">
              <w:t xml:space="preserve">as </w:t>
            </w:r>
            <w:r>
              <w:t>expenditure</w:t>
            </w:r>
            <w:r w:rsidRPr="00B95A51">
              <w:t xml:space="preserve"> </w:t>
            </w:r>
            <w:r>
              <w:t xml:space="preserve">on inpatient services </w:t>
            </w:r>
            <w:r w:rsidRPr="00B95A51">
              <w:t xml:space="preserve">divided by </w:t>
            </w:r>
            <w:r>
              <w:t>the number of inpatient bed days — data are disaggregated by hospital type (psychiatric and general hospitals) and care type (acute and non</w:t>
            </w:r>
            <w:r>
              <w:noBreakHyphen/>
              <w:t xml:space="preserve">acute units) and by inpatient target population (acute units only). </w:t>
            </w:r>
          </w:p>
          <w:p w:rsidR="00576003" w:rsidRDefault="00576003" w:rsidP="00576003">
            <w:pPr>
              <w:pStyle w:val="BoxListBullet"/>
            </w:pPr>
            <w:r>
              <w:t>‘Average length of stay’ is defined as the number of inpatient patient days divided by the number of separations in the reference period — data are disaggregated by inpatient target population (acute units only). Patient days for clients who separated in the reference period (2013</w:t>
            </w:r>
            <w:r>
              <w:noBreakHyphen/>
              <w:t>14) that were during the previous period (2012</w:t>
            </w:r>
            <w:r>
              <w:noBreakHyphen/>
              <w:t xml:space="preserve">13) are excluded. Patient days for clients who remain in hospital (that is, are not included in the separations data) are included. </w:t>
            </w:r>
          </w:p>
          <w:p w:rsidR="00576003" w:rsidRDefault="00576003" w:rsidP="00576003">
            <w:pPr>
              <w:pStyle w:val="Box"/>
            </w:pPr>
            <w:r>
              <w:t xml:space="preserve">These measures are considered together for the inpatient acute units by target population to provide a ‘proxy’ measure to improve understanding of service efficiency. Average inpatient bed day costs can be reduced with longer lengths of stay because the costs of admission, discharge and more intensive treatment early in a stay are spread over more days of care. </w:t>
            </w:r>
          </w:p>
          <w:p w:rsidR="00576003" w:rsidRDefault="00576003" w:rsidP="00536CCF">
            <w:pPr>
              <w:pStyle w:val="Box"/>
            </w:pPr>
            <w:r>
              <w:t>A low or decreasing cost per inpatient bed day combined with similar or shorter average lengths of stay can indicate more efficient service delivery, although efficiency data need to be interpreted with care as they do not provide any information on the quality of service provided.</w:t>
            </w:r>
          </w:p>
          <w:p w:rsidR="00576003" w:rsidRDefault="00576003" w:rsidP="00536CCF">
            <w:pPr>
              <w:pStyle w:val="Box"/>
            </w:pPr>
            <w:r>
              <w:t>This indicator does not account for differences in the client mix. The client mix in inpatient settings can differ — for example, some jurisdictions treat a higher proportion of less complex patients in inpatient settings as distinct from treating them in the community. Measures that adjust to take into account the type and complexity of cases would be more appropriate but the data needed are not yet available.</w:t>
            </w:r>
          </w:p>
        </w:tc>
      </w:tr>
      <w:tr w:rsidR="00576003" w:rsidTr="00536CCF">
        <w:trPr>
          <w:cantSplit/>
        </w:trPr>
        <w:tc>
          <w:tcPr>
            <w:tcW w:w="8771" w:type="dxa"/>
            <w:tcBorders>
              <w:top w:val="nil"/>
              <w:left w:val="nil"/>
              <w:bottom w:val="nil"/>
              <w:right w:val="nil"/>
            </w:tcBorders>
            <w:shd w:val="clear" w:color="auto" w:fill="F2F2F2"/>
          </w:tcPr>
          <w:p w:rsidR="00576003" w:rsidRPr="00576003" w:rsidRDefault="00576003" w:rsidP="000477EA">
            <w:pPr>
              <w:pStyle w:val="Continued"/>
            </w:pPr>
            <w:r w:rsidRPr="00576003">
              <w:t>(continued next page)</w:t>
            </w:r>
          </w:p>
        </w:tc>
      </w:tr>
      <w:tr w:rsidR="00576003" w:rsidTr="00536CCF">
        <w:trPr>
          <w:cantSplit/>
        </w:trPr>
        <w:tc>
          <w:tcPr>
            <w:tcW w:w="8771" w:type="dxa"/>
            <w:tcBorders>
              <w:top w:val="nil"/>
              <w:left w:val="nil"/>
              <w:bottom w:val="single" w:sz="6" w:space="0" w:color="78A22F"/>
              <w:right w:val="nil"/>
            </w:tcBorders>
            <w:shd w:val="clear" w:color="auto" w:fill="F2F2F2"/>
          </w:tcPr>
          <w:p w:rsidR="00576003" w:rsidRDefault="00576003">
            <w:pPr>
              <w:pStyle w:val="Box"/>
              <w:spacing w:before="0" w:line="120" w:lineRule="exact"/>
            </w:pPr>
          </w:p>
        </w:tc>
      </w:tr>
      <w:tr w:rsidR="00576003" w:rsidRPr="000863A5" w:rsidTr="00536CCF">
        <w:tc>
          <w:tcPr>
            <w:tcW w:w="8771" w:type="dxa"/>
            <w:tcBorders>
              <w:top w:val="single" w:sz="6" w:space="0" w:color="78A22F"/>
              <w:left w:val="nil"/>
              <w:bottom w:val="nil"/>
              <w:right w:val="nil"/>
            </w:tcBorders>
          </w:tcPr>
          <w:p w:rsidR="00576003" w:rsidRPr="00626D32" w:rsidRDefault="00576003" w:rsidP="00536CCF">
            <w:pPr>
              <w:pStyle w:val="BoxSpaceBelow"/>
            </w:pPr>
          </w:p>
        </w:tc>
      </w:tr>
    </w:tbl>
    <w:p w:rsidR="00D47EA9" w:rsidRDefault="00D47E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47EA9" w:rsidTr="00D47EA9">
        <w:tc>
          <w:tcPr>
            <w:tcW w:w="8771" w:type="dxa"/>
            <w:tcBorders>
              <w:top w:val="single" w:sz="6" w:space="0" w:color="78A22F"/>
              <w:left w:val="nil"/>
              <w:bottom w:val="nil"/>
              <w:right w:val="nil"/>
            </w:tcBorders>
            <w:shd w:val="clear" w:color="auto" w:fill="F2F2F2"/>
          </w:tcPr>
          <w:p w:rsidR="00D47EA9" w:rsidRDefault="00D47EA9" w:rsidP="00576003">
            <w:pPr>
              <w:pStyle w:val="BoxTitle"/>
            </w:pPr>
            <w:r>
              <w:rPr>
                <w:b w:val="0"/>
              </w:rPr>
              <w:t xml:space="preserve">Box </w:t>
            </w:r>
            <w:r w:rsidR="00576003">
              <w:rPr>
                <w:b w:val="0"/>
              </w:rPr>
              <w:t>12.16</w:t>
            </w:r>
            <w:r>
              <w:tab/>
            </w:r>
            <w:r w:rsidR="00576003" w:rsidRPr="00576003">
              <w:rPr>
                <w:b w:val="0"/>
                <w:sz w:val="18"/>
                <w:szCs w:val="20"/>
              </w:rPr>
              <w:t>(continued)</w:t>
            </w:r>
          </w:p>
        </w:tc>
      </w:tr>
      <w:tr w:rsidR="00D47EA9" w:rsidTr="00D47EA9">
        <w:trPr>
          <w:cantSplit/>
        </w:trPr>
        <w:tc>
          <w:tcPr>
            <w:tcW w:w="8771" w:type="dxa"/>
            <w:tcBorders>
              <w:top w:val="nil"/>
              <w:left w:val="nil"/>
              <w:bottom w:val="nil"/>
              <w:right w:val="nil"/>
            </w:tcBorders>
            <w:shd w:val="clear" w:color="auto" w:fill="F2F2F2"/>
          </w:tcPr>
          <w:p w:rsidR="000F67C1" w:rsidRDefault="000F67C1" w:rsidP="000F67C1">
            <w:pPr>
              <w:pStyle w:val="Box"/>
            </w:pPr>
            <w:r>
              <w:t>Data reported for the two measures for this indicator are:</w:t>
            </w:r>
          </w:p>
          <w:p w:rsidR="000F67C1" w:rsidRDefault="000F67C1" w:rsidP="000F67C1">
            <w:pPr>
              <w:pStyle w:val="BoxListBullet"/>
            </w:pPr>
            <w:r>
              <w:t>comparable (subject to caveats) across jurisdictions and over time</w:t>
            </w:r>
          </w:p>
          <w:p w:rsidR="000F67C1" w:rsidRDefault="000F67C1" w:rsidP="002245A4">
            <w:pPr>
              <w:pStyle w:val="BoxListBullet"/>
            </w:pPr>
            <w:r>
              <w:t>complete</w:t>
            </w:r>
            <w:r w:rsidR="002245A4">
              <w:t xml:space="preserve"> </w:t>
            </w:r>
            <w:r w:rsidR="002245A4" w:rsidRPr="002245A4">
              <w:t>(subject to caveats)</w:t>
            </w:r>
            <w:r>
              <w:t xml:space="preserve"> for the current reporting period. All required 2013</w:t>
            </w:r>
            <w:r>
              <w:noBreakHyphen/>
              <w:t>14 data are available for all jurisdictions providing the services.</w:t>
            </w:r>
          </w:p>
          <w:p w:rsidR="000F67C1" w:rsidRDefault="000F67C1" w:rsidP="000F67C1">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D47EA9" w:rsidTr="00D47EA9">
        <w:trPr>
          <w:cantSplit/>
        </w:trPr>
        <w:tc>
          <w:tcPr>
            <w:tcW w:w="8771" w:type="dxa"/>
            <w:tcBorders>
              <w:top w:val="nil"/>
              <w:left w:val="nil"/>
              <w:bottom w:val="single" w:sz="6" w:space="0" w:color="78A22F"/>
              <w:right w:val="nil"/>
            </w:tcBorders>
            <w:shd w:val="clear" w:color="auto" w:fill="F2F2F2"/>
          </w:tcPr>
          <w:p w:rsidR="00D47EA9" w:rsidRDefault="00D47EA9">
            <w:pPr>
              <w:pStyle w:val="Box"/>
              <w:spacing w:before="0" w:line="120" w:lineRule="exact"/>
            </w:pPr>
          </w:p>
        </w:tc>
      </w:tr>
      <w:tr w:rsidR="00D47EA9" w:rsidRPr="000863A5" w:rsidTr="00D47EA9">
        <w:tc>
          <w:tcPr>
            <w:tcW w:w="8771" w:type="dxa"/>
            <w:tcBorders>
              <w:top w:val="single" w:sz="6" w:space="0" w:color="78A22F"/>
              <w:left w:val="nil"/>
              <w:bottom w:val="nil"/>
              <w:right w:val="nil"/>
            </w:tcBorders>
          </w:tcPr>
          <w:p w:rsidR="00D47EA9" w:rsidRPr="00626D32" w:rsidRDefault="00D47EA9" w:rsidP="00D47EA9">
            <w:pPr>
              <w:pStyle w:val="BoxSpaceBelow"/>
            </w:pPr>
          </w:p>
        </w:tc>
      </w:tr>
    </w:tbl>
    <w:p w:rsidR="00703679" w:rsidRDefault="00837556" w:rsidP="002315C6">
      <w:pPr>
        <w:pStyle w:val="BodyText"/>
      </w:pPr>
      <w:r>
        <w:t>Nationally in 2013</w:t>
      </w:r>
      <w:r w:rsidR="00463329">
        <w:noBreakHyphen/>
      </w:r>
      <w:r>
        <w:t xml:space="preserve">14, </w:t>
      </w:r>
      <w:r w:rsidR="0060776C">
        <w:t xml:space="preserve">the </w:t>
      </w:r>
      <w:r w:rsidR="00262C26">
        <w:t>a</w:t>
      </w:r>
      <w:r w:rsidR="00570B09" w:rsidRPr="00570B09">
        <w:t xml:space="preserve">verage cost per inpatient bed day </w:t>
      </w:r>
      <w:r w:rsidR="00262C26">
        <w:t>was higher in acute than non</w:t>
      </w:r>
      <w:r>
        <w:noBreakHyphen/>
      </w:r>
      <w:r w:rsidR="00262C26">
        <w:t xml:space="preserve">acute units </w:t>
      </w:r>
      <w:r>
        <w:t xml:space="preserve">and </w:t>
      </w:r>
      <w:r w:rsidR="00262C26">
        <w:t xml:space="preserve">slightly higher in psychiatric </w:t>
      </w:r>
      <w:r w:rsidR="00695C45">
        <w:t>hospitals</w:t>
      </w:r>
      <w:r w:rsidR="00262C26">
        <w:t xml:space="preserve"> </w:t>
      </w:r>
      <w:r w:rsidR="0060776C">
        <w:t>than</w:t>
      </w:r>
      <w:r w:rsidR="00262C26">
        <w:t xml:space="preserve"> </w:t>
      </w:r>
      <w:r w:rsidR="0060776C">
        <w:t>in general</w:t>
      </w:r>
      <w:r w:rsidR="00262C26">
        <w:t xml:space="preserve"> </w:t>
      </w:r>
      <w:r w:rsidR="0060776C">
        <w:t>hospitals</w:t>
      </w:r>
      <w:r w:rsidR="00262C26">
        <w:t xml:space="preserve"> </w:t>
      </w:r>
      <w:r w:rsidR="0060776C">
        <w:t>for both acute and non</w:t>
      </w:r>
      <w:r w:rsidR="00463329">
        <w:noBreakHyphen/>
      </w:r>
      <w:r w:rsidR="0060776C">
        <w:t>acute</w:t>
      </w:r>
      <w:r w:rsidR="00262C26">
        <w:t xml:space="preserve"> </w:t>
      </w:r>
      <w:r w:rsidR="00695C45">
        <w:t xml:space="preserve">units </w:t>
      </w:r>
      <w:r w:rsidR="00262C26">
        <w:t>(</w:t>
      </w:r>
      <w:r w:rsidR="00262C26" w:rsidRPr="00570B09">
        <w:t>figure</w:t>
      </w:r>
      <w:r w:rsidR="00262C26">
        <w:t> </w:t>
      </w:r>
      <w:r w:rsidR="00262C26" w:rsidRPr="00570B09">
        <w:t>12.2</w:t>
      </w:r>
      <w:r w:rsidR="00586CEA">
        <w:t>4</w:t>
      </w:r>
      <w:r w:rsidR="00266512">
        <w:t xml:space="preserve">). </w:t>
      </w:r>
    </w:p>
    <w:p w:rsidR="00570B09" w:rsidRDefault="00570B09"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0B09" w:rsidTr="009E765C">
        <w:tc>
          <w:tcPr>
            <w:tcW w:w="8771" w:type="dxa"/>
            <w:tcBorders>
              <w:top w:val="single" w:sz="6" w:space="0" w:color="78A22F"/>
              <w:left w:val="nil"/>
              <w:bottom w:val="nil"/>
              <w:right w:val="nil"/>
            </w:tcBorders>
            <w:shd w:val="clear" w:color="auto" w:fill="FFFFFF" w:themeFill="background1"/>
          </w:tcPr>
          <w:p w:rsidR="00570B09" w:rsidRPr="00176D3F" w:rsidRDefault="00570B09" w:rsidP="00136F58">
            <w:pPr>
              <w:pStyle w:val="FigureTitle"/>
              <w:rPr>
                <w:i/>
              </w:rPr>
            </w:pPr>
            <w:r w:rsidRPr="00784A05">
              <w:rPr>
                <w:b w:val="0"/>
              </w:rPr>
              <w:t xml:space="preserve">Figure </w:t>
            </w:r>
            <w:r w:rsidR="00586CEA">
              <w:rPr>
                <w:b w:val="0"/>
              </w:rPr>
              <w:t>12.</w:t>
            </w:r>
            <w:r w:rsidR="00833D26">
              <w:rPr>
                <w:b w:val="0"/>
                <w:noProof/>
              </w:rPr>
              <w:t>24</w:t>
            </w:r>
            <w:r>
              <w:tab/>
            </w:r>
            <w:r w:rsidRPr="00570B09">
              <w:t>Average recurrent cost per inpatient bed day</w:t>
            </w:r>
            <w:r w:rsidR="00136F58">
              <w:t>,</w:t>
            </w:r>
            <w:r w:rsidRPr="00570B09">
              <w:t xml:space="preserve"> by </w:t>
            </w:r>
            <w:r w:rsidR="00136F58">
              <w:t xml:space="preserve">public </w:t>
            </w:r>
            <w:r w:rsidRPr="00570B09">
              <w:t xml:space="preserve">hospital and care type, </w:t>
            </w:r>
            <w:r w:rsidR="0030688E" w:rsidRPr="00570B09">
              <w:t>201</w:t>
            </w:r>
            <w:r w:rsidR="0030688E">
              <w:t>3</w:t>
            </w:r>
            <w:r>
              <w:noBreakHyphen/>
            </w:r>
            <w:r w:rsidR="0030688E" w:rsidRPr="00570B09">
              <w:t>1</w:t>
            </w:r>
            <w:r w:rsidR="0030688E">
              <w:t>4</w:t>
            </w:r>
            <w:r w:rsidR="0030688E" w:rsidRPr="00570B09">
              <w:rPr>
                <w:rStyle w:val="NoteLabel"/>
                <w:b/>
              </w:rPr>
              <w:t>a</w:t>
            </w:r>
            <w:r w:rsidRPr="00570B09">
              <w:rPr>
                <w:rStyle w:val="NoteLabel"/>
                <w:b/>
              </w:rPr>
              <w:t>, b, c, d</w:t>
            </w:r>
          </w:p>
        </w:tc>
      </w:tr>
      <w:tr w:rsidR="00570B09" w:rsidTr="00FB2EE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70B09" w:rsidTr="00FB2EEE">
              <w:trPr>
                <w:jc w:val="center"/>
              </w:trPr>
              <w:tc>
                <w:tcPr>
                  <w:tcW w:w="5000" w:type="pct"/>
                  <w:tcBorders>
                    <w:top w:val="nil"/>
                    <w:bottom w:val="nil"/>
                    <w:right w:val="nil"/>
                  </w:tcBorders>
                  <w:shd w:val="clear" w:color="auto" w:fill="FFFFFF" w:themeFill="background1"/>
                </w:tcPr>
                <w:p w:rsidR="00570B09" w:rsidRDefault="001B7B09" w:rsidP="005E05C9">
                  <w:pPr>
                    <w:pStyle w:val="Figure"/>
                    <w:spacing w:before="60" w:after="60"/>
                  </w:pPr>
                  <w:r>
                    <w:rPr>
                      <w:noProof/>
                    </w:rPr>
                    <w:drawing>
                      <wp:inline distT="0" distB="0" distL="0" distR="0">
                        <wp:extent cx="5334000" cy="2686050"/>
                        <wp:effectExtent l="0" t="0" r="0" b="0"/>
                        <wp:docPr id="26" name="Picture 26" descr="Figure 12.24 Average recurrent cost per inpatient bed day, by public hospital and care typ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0" cy="2686050"/>
                                </a:xfrm>
                                <a:prstGeom prst="rect">
                                  <a:avLst/>
                                </a:prstGeom>
                                <a:noFill/>
                                <a:ln>
                                  <a:noFill/>
                                </a:ln>
                              </pic:spPr>
                            </pic:pic>
                          </a:graphicData>
                        </a:graphic>
                      </wp:inline>
                    </w:drawing>
                  </w:r>
                </w:p>
              </w:tc>
            </w:tr>
          </w:tbl>
          <w:p w:rsidR="00570B09" w:rsidRDefault="00570B09" w:rsidP="005E05C9">
            <w:pPr>
              <w:pStyle w:val="Figure"/>
            </w:pPr>
          </w:p>
        </w:tc>
      </w:tr>
      <w:tr w:rsidR="00570B09" w:rsidRPr="00176D3F" w:rsidTr="005E05C9">
        <w:tc>
          <w:tcPr>
            <w:tcW w:w="8771" w:type="dxa"/>
            <w:tcBorders>
              <w:top w:val="nil"/>
              <w:left w:val="nil"/>
              <w:bottom w:val="nil"/>
              <w:right w:val="nil"/>
            </w:tcBorders>
            <w:shd w:val="clear" w:color="auto" w:fill="auto"/>
          </w:tcPr>
          <w:p w:rsidR="00570B09" w:rsidRPr="00531C7C" w:rsidRDefault="00D42332" w:rsidP="00531C7C">
            <w:pPr>
              <w:pStyle w:val="Note"/>
            </w:pPr>
            <w:r w:rsidRPr="00531C7C">
              <w:rPr>
                <w:rStyle w:val="NoteLabel"/>
              </w:rPr>
              <w:t>a</w:t>
            </w:r>
            <w:r w:rsidRPr="00531C7C">
              <w:t xml:space="preserve"> </w:t>
            </w:r>
            <w:r w:rsidR="002F5428" w:rsidRPr="00531C7C">
              <w:t>See box</w:t>
            </w:r>
            <w:r w:rsidR="00463329" w:rsidRPr="00531C7C">
              <w:t> </w:t>
            </w:r>
            <w:r w:rsidR="002F5428" w:rsidRPr="00531C7C">
              <w:t>12.16 and</w:t>
            </w:r>
            <w:r w:rsidR="00D057C4" w:rsidRPr="00531C7C">
              <w:t xml:space="preserve"> table</w:t>
            </w:r>
            <w:r w:rsidR="00463329" w:rsidRPr="00531C7C">
              <w:t> </w:t>
            </w:r>
            <w:proofErr w:type="spellStart"/>
            <w:r w:rsidR="00D057C4" w:rsidRPr="00531C7C">
              <w:t>12A.</w:t>
            </w:r>
            <w:r w:rsidRPr="00531C7C">
              <w:t>62</w:t>
            </w:r>
            <w:proofErr w:type="spellEnd"/>
            <w:r w:rsidR="00D057C4" w:rsidRPr="00531C7C">
              <w:t xml:space="preserve"> </w:t>
            </w:r>
            <w:r w:rsidR="00C9207F" w:rsidRPr="00531C7C">
              <w:t>for detailed definitions, footnotes and caveats</w:t>
            </w:r>
            <w:r w:rsidR="00D057C4" w:rsidRPr="00531C7C">
              <w:t>.</w:t>
            </w:r>
            <w:r w:rsidR="00570B09" w:rsidRPr="00531C7C">
              <w:t xml:space="preserve"> </w:t>
            </w:r>
            <w:r w:rsidRPr="00531C7C">
              <w:rPr>
                <w:rStyle w:val="NoteLabel"/>
              </w:rPr>
              <w:t>b</w:t>
            </w:r>
            <w:r w:rsidR="00570B09" w:rsidRPr="00531C7C">
              <w:t xml:space="preserve"> Queensland does not provide acute services in psychiatric hospitals. </w:t>
            </w:r>
            <w:r w:rsidRPr="00531C7C">
              <w:rPr>
                <w:rStyle w:val="NoteLabel"/>
              </w:rPr>
              <w:t>c</w:t>
            </w:r>
            <w:r w:rsidR="0030688E" w:rsidRPr="00531C7C">
              <w:t xml:space="preserve"> </w:t>
            </w:r>
            <w:r w:rsidR="00570B09" w:rsidRPr="00531C7C">
              <w:t xml:space="preserve">Tasmania, the ACT and the NT do not have psychiatric hospitals. </w:t>
            </w:r>
            <w:r w:rsidRPr="00531C7C">
              <w:rPr>
                <w:rStyle w:val="NoteLabel"/>
              </w:rPr>
              <w:t>d</w:t>
            </w:r>
            <w:r w:rsidR="0030688E" w:rsidRPr="00531C7C">
              <w:t xml:space="preserve"> </w:t>
            </w:r>
            <w:r w:rsidR="009E765C" w:rsidRPr="00531C7C">
              <w:t>SA</w:t>
            </w:r>
            <w:r w:rsidR="00605841" w:rsidRPr="00531C7C">
              <w:t xml:space="preserve">, the </w:t>
            </w:r>
            <w:r w:rsidR="00570B09" w:rsidRPr="00531C7C">
              <w:t>ACT and the NT do not have non</w:t>
            </w:r>
            <w:r w:rsidR="00AE5ABA" w:rsidRPr="00531C7C">
              <w:noBreakHyphen/>
            </w:r>
            <w:r w:rsidR="00570B09" w:rsidRPr="00531C7C">
              <w:t>acute units in general</w:t>
            </w:r>
            <w:r w:rsidR="00936DF7" w:rsidRPr="00531C7C">
              <w:t xml:space="preserve"> </w:t>
            </w:r>
            <w:r w:rsidR="00570B09" w:rsidRPr="00531C7C">
              <w:t>hospitals.</w:t>
            </w:r>
          </w:p>
        </w:tc>
      </w:tr>
      <w:tr w:rsidR="00570B09" w:rsidRPr="00176D3F" w:rsidTr="005E05C9">
        <w:tc>
          <w:tcPr>
            <w:tcW w:w="8771" w:type="dxa"/>
            <w:tcBorders>
              <w:top w:val="nil"/>
              <w:left w:val="nil"/>
              <w:bottom w:val="nil"/>
              <w:right w:val="nil"/>
            </w:tcBorders>
            <w:shd w:val="clear" w:color="auto" w:fill="auto"/>
          </w:tcPr>
          <w:p w:rsidR="00570B09" w:rsidRPr="00176D3F" w:rsidRDefault="00570B09" w:rsidP="00D057C4">
            <w:pPr>
              <w:pStyle w:val="Source"/>
            </w:pPr>
            <w:r w:rsidRPr="00570B09">
              <w:rPr>
                <w:i/>
              </w:rPr>
              <w:t>Source</w:t>
            </w:r>
            <w:r w:rsidRPr="00F40E83">
              <w:t>:</w:t>
            </w:r>
            <w:r w:rsidRPr="00570B09">
              <w:rPr>
                <w:i/>
              </w:rPr>
              <w:t xml:space="preserve"> </w:t>
            </w:r>
            <w:r w:rsidRPr="00570B09">
              <w:t xml:space="preserve">AIHW (unpublished) </w:t>
            </w:r>
            <w:proofErr w:type="spellStart"/>
            <w:r w:rsidRPr="00570B09">
              <w:t>MHE</w:t>
            </w:r>
            <w:proofErr w:type="spellEnd"/>
            <w:r w:rsidRPr="00570B09">
              <w:t xml:space="preserve"> </w:t>
            </w:r>
            <w:proofErr w:type="spellStart"/>
            <w:r w:rsidRPr="00570B09">
              <w:t>NMDS</w:t>
            </w:r>
            <w:proofErr w:type="spellEnd"/>
            <w:r w:rsidRPr="00570B09">
              <w:t>; table</w:t>
            </w:r>
            <w:r w:rsidR="0022260C">
              <w:t> </w:t>
            </w:r>
            <w:proofErr w:type="spellStart"/>
            <w:r w:rsidRPr="00570B09">
              <w:t>12A.</w:t>
            </w:r>
            <w:r w:rsidR="00D057C4">
              <w:t>62</w:t>
            </w:r>
            <w:proofErr w:type="spellEnd"/>
            <w:r w:rsidRPr="00570B09">
              <w:t>.</w:t>
            </w:r>
          </w:p>
        </w:tc>
      </w:tr>
      <w:tr w:rsidR="00570B09" w:rsidTr="005E05C9">
        <w:tc>
          <w:tcPr>
            <w:tcW w:w="8771" w:type="dxa"/>
            <w:tcBorders>
              <w:top w:val="nil"/>
              <w:left w:val="nil"/>
              <w:bottom w:val="single" w:sz="6" w:space="0" w:color="78A22F"/>
              <w:right w:val="nil"/>
            </w:tcBorders>
            <w:shd w:val="clear" w:color="auto" w:fill="auto"/>
          </w:tcPr>
          <w:p w:rsidR="00570B09" w:rsidRDefault="00570B09" w:rsidP="005E05C9">
            <w:pPr>
              <w:pStyle w:val="Figurespace"/>
            </w:pPr>
          </w:p>
        </w:tc>
      </w:tr>
      <w:tr w:rsidR="00570B09" w:rsidRPr="000863A5" w:rsidTr="005E05C9">
        <w:tc>
          <w:tcPr>
            <w:tcW w:w="8771" w:type="dxa"/>
            <w:tcBorders>
              <w:top w:val="single" w:sz="6" w:space="0" w:color="78A22F"/>
              <w:left w:val="nil"/>
              <w:bottom w:val="nil"/>
              <w:right w:val="nil"/>
            </w:tcBorders>
          </w:tcPr>
          <w:p w:rsidR="00570B09" w:rsidRPr="00626D32" w:rsidRDefault="00570B09" w:rsidP="005E05C9">
            <w:pPr>
              <w:pStyle w:val="BoxSpaceBelow"/>
            </w:pPr>
          </w:p>
        </w:tc>
      </w:tr>
    </w:tbl>
    <w:p w:rsidR="00D42332" w:rsidRPr="005031F4" w:rsidRDefault="0060776C" w:rsidP="00D42332">
      <w:pPr>
        <w:pStyle w:val="BodyText"/>
      </w:pPr>
      <w:r w:rsidRPr="005031F4">
        <w:t>Older people</w:t>
      </w:r>
      <w:r w:rsidR="008E2482">
        <w:t>’</w:t>
      </w:r>
      <w:r w:rsidRPr="005031F4">
        <w:t xml:space="preserve">s units have </w:t>
      </w:r>
      <w:r w:rsidR="00D7343B" w:rsidRPr="005031F4">
        <w:t>lower</w:t>
      </w:r>
      <w:r w:rsidRPr="005031F4">
        <w:t xml:space="preserve"> costs per inpatient day</w:t>
      </w:r>
      <w:r w:rsidR="00266512" w:rsidRPr="005031F4">
        <w:t xml:space="preserve">, but </w:t>
      </w:r>
      <w:r w:rsidR="00312661" w:rsidRPr="005031F4">
        <w:t xml:space="preserve">have considerably </w:t>
      </w:r>
      <w:r w:rsidR="00266512" w:rsidRPr="005031F4">
        <w:t>longer</w:t>
      </w:r>
      <w:r w:rsidRPr="005031F4">
        <w:t xml:space="preserve"> </w:t>
      </w:r>
      <w:r w:rsidR="00266512" w:rsidRPr="005031F4">
        <w:t xml:space="preserve">lengths of </w:t>
      </w:r>
      <w:r w:rsidRPr="005031F4">
        <w:t xml:space="preserve">stay </w:t>
      </w:r>
      <w:r w:rsidR="00266512" w:rsidRPr="005031F4">
        <w:t xml:space="preserve">than general adult </w:t>
      </w:r>
      <w:r w:rsidR="00312661" w:rsidRPr="005031F4">
        <w:t>or</w:t>
      </w:r>
      <w:r w:rsidR="00266512" w:rsidRPr="005031F4">
        <w:t xml:space="preserve"> child and adolescent units (figure</w:t>
      </w:r>
      <w:r w:rsidR="006062EF">
        <w:t> </w:t>
      </w:r>
      <w:r w:rsidR="00266512" w:rsidRPr="005031F4">
        <w:t>12.2</w:t>
      </w:r>
      <w:r w:rsidR="00586CEA">
        <w:t>5</w:t>
      </w:r>
      <w:r w:rsidR="00266512" w:rsidRPr="005031F4">
        <w:t>).</w:t>
      </w:r>
      <w:r w:rsidR="00312661" w:rsidRPr="005031F4">
        <w:t xml:space="preserve"> </w:t>
      </w:r>
      <w:r w:rsidR="00D42332" w:rsidRPr="005031F4">
        <w:t xml:space="preserve">Data for forensic services are included for costs per inpatient bed day only, as the length of stay is dependent on factors outside the control of </w:t>
      </w:r>
      <w:r w:rsidR="00F83E11" w:rsidRPr="005031F4">
        <w:t>t</w:t>
      </w:r>
      <w:r w:rsidR="00D42332" w:rsidRPr="005031F4">
        <w:t xml:space="preserve">hese services. </w:t>
      </w:r>
      <w:r w:rsidR="0086249B">
        <w:t>Data on the average cost per inpatient bed day by target population for all care types are reported in table</w:t>
      </w:r>
      <w:r w:rsidR="006062EF">
        <w:t> </w:t>
      </w:r>
      <w:proofErr w:type="spellStart"/>
      <w:r w:rsidR="0086249B">
        <w:t>12A.59</w:t>
      </w:r>
      <w:proofErr w:type="spellEnd"/>
      <w:r w:rsidR="0086249B">
        <w:t>.</w:t>
      </w:r>
    </w:p>
    <w:p w:rsidR="005E05C9" w:rsidRDefault="005E05C9" w:rsidP="005E05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E05C9" w:rsidTr="005E05C9">
        <w:tc>
          <w:tcPr>
            <w:tcW w:w="8771" w:type="dxa"/>
            <w:tcBorders>
              <w:top w:val="single" w:sz="6" w:space="0" w:color="78A22F"/>
              <w:left w:val="nil"/>
              <w:bottom w:val="nil"/>
              <w:right w:val="nil"/>
            </w:tcBorders>
            <w:shd w:val="clear" w:color="auto" w:fill="auto"/>
          </w:tcPr>
          <w:p w:rsidR="005E05C9" w:rsidRPr="00176D3F" w:rsidRDefault="005E05C9" w:rsidP="003C3880">
            <w:pPr>
              <w:pStyle w:val="FigureTitle"/>
            </w:pPr>
            <w:r w:rsidRPr="00784A05">
              <w:rPr>
                <w:b w:val="0"/>
              </w:rPr>
              <w:t xml:space="preserve">Figure </w:t>
            </w:r>
            <w:r w:rsidR="00586CEA">
              <w:rPr>
                <w:b w:val="0"/>
              </w:rPr>
              <w:t>12.</w:t>
            </w:r>
            <w:r w:rsidR="00833D26">
              <w:rPr>
                <w:b w:val="0"/>
                <w:noProof/>
              </w:rPr>
              <w:t>25</w:t>
            </w:r>
            <w:r>
              <w:tab/>
            </w:r>
            <w:r w:rsidR="00312661">
              <w:t>I</w:t>
            </w:r>
            <w:r w:rsidRPr="005E05C9">
              <w:t>npatient care in acute units of public hospitals, by target population, 201</w:t>
            </w:r>
            <w:r w:rsidR="003C3880">
              <w:t>3</w:t>
            </w:r>
            <w:r>
              <w:noBreakHyphen/>
            </w:r>
            <w:r w:rsidRPr="005E05C9">
              <w:t>1</w:t>
            </w:r>
            <w:r w:rsidR="003C3880">
              <w:t>4</w:t>
            </w:r>
            <w:r w:rsidRPr="005E05C9">
              <w:rPr>
                <w:rStyle w:val="NoteLabel"/>
                <w:b/>
              </w:rPr>
              <w:t>a, b, c, d, e</w:t>
            </w:r>
          </w:p>
        </w:tc>
      </w:tr>
      <w:tr w:rsidR="005E05C9" w:rsidTr="00FB2EE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E05C9" w:rsidTr="00A2226E">
              <w:trPr>
                <w:jc w:val="center"/>
              </w:trPr>
              <w:tc>
                <w:tcPr>
                  <w:tcW w:w="5000" w:type="pct"/>
                  <w:tcBorders>
                    <w:top w:val="nil"/>
                    <w:bottom w:val="nil"/>
                  </w:tcBorders>
                  <w:shd w:val="clear" w:color="auto" w:fill="auto"/>
                </w:tcPr>
                <w:p w:rsidR="005E05C9" w:rsidRPr="005E05C9" w:rsidRDefault="005E05C9" w:rsidP="005E05C9">
                  <w:pPr>
                    <w:pStyle w:val="TableBodyText"/>
                    <w:spacing w:after="0" w:line="240" w:lineRule="auto"/>
                    <w:jc w:val="center"/>
                    <w:rPr>
                      <w:b/>
                    </w:rPr>
                  </w:pPr>
                  <w:r w:rsidRPr="005E05C9">
                    <w:rPr>
                      <w:b/>
                    </w:rPr>
                    <w:t>Cost per inpatient bed day</w:t>
                  </w:r>
                </w:p>
              </w:tc>
            </w:tr>
            <w:tr w:rsidR="005E05C9" w:rsidTr="00F651B7">
              <w:trPr>
                <w:jc w:val="center"/>
              </w:trPr>
              <w:tc>
                <w:tcPr>
                  <w:tcW w:w="5000" w:type="pct"/>
                  <w:tcBorders>
                    <w:top w:val="nil"/>
                    <w:bottom w:val="nil"/>
                    <w:right w:val="nil"/>
                  </w:tcBorders>
                  <w:shd w:val="clear" w:color="auto" w:fill="FFFFFF" w:themeFill="background1"/>
                </w:tcPr>
                <w:p w:rsidR="005E05C9" w:rsidRDefault="001B7B09" w:rsidP="005E05C9">
                  <w:pPr>
                    <w:pStyle w:val="Figure"/>
                    <w:spacing w:before="60" w:after="60"/>
                  </w:pPr>
                  <w:r>
                    <w:rPr>
                      <w:noProof/>
                    </w:rPr>
                    <w:drawing>
                      <wp:inline distT="0" distB="0" distL="0" distR="0">
                        <wp:extent cx="5314950" cy="2333625"/>
                        <wp:effectExtent l="0" t="0" r="0" b="9525"/>
                        <wp:docPr id="27" name="Picture 27" descr="Figure 12.25 Inpatient care in acute units of public hospitals, by target population, 2013-14&#10;&#10;Cost per inpatient bed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14950" cy="2333625"/>
                                </a:xfrm>
                                <a:prstGeom prst="rect">
                                  <a:avLst/>
                                </a:prstGeom>
                                <a:noFill/>
                                <a:ln>
                                  <a:noFill/>
                                </a:ln>
                              </pic:spPr>
                            </pic:pic>
                          </a:graphicData>
                        </a:graphic>
                      </wp:inline>
                    </w:drawing>
                  </w:r>
                </w:p>
              </w:tc>
            </w:tr>
            <w:tr w:rsidR="005E05C9" w:rsidTr="00A2226E">
              <w:trPr>
                <w:jc w:val="center"/>
              </w:trPr>
              <w:tc>
                <w:tcPr>
                  <w:tcW w:w="5000" w:type="pct"/>
                  <w:tcBorders>
                    <w:top w:val="nil"/>
                    <w:bottom w:val="nil"/>
                  </w:tcBorders>
                  <w:shd w:val="clear" w:color="auto" w:fill="auto"/>
                </w:tcPr>
                <w:p w:rsidR="005E05C9" w:rsidRPr="005E05C9" w:rsidRDefault="005E05C9" w:rsidP="005E05C9">
                  <w:pPr>
                    <w:pStyle w:val="TableBodyText"/>
                    <w:spacing w:after="0" w:line="240" w:lineRule="auto"/>
                    <w:jc w:val="center"/>
                    <w:rPr>
                      <w:b/>
                    </w:rPr>
                  </w:pPr>
                  <w:r w:rsidRPr="005E05C9">
                    <w:rPr>
                      <w:b/>
                    </w:rPr>
                    <w:t>Average length of stay</w:t>
                  </w:r>
                </w:p>
              </w:tc>
            </w:tr>
            <w:tr w:rsidR="005E05C9" w:rsidTr="00A2226E">
              <w:trPr>
                <w:jc w:val="center"/>
              </w:trPr>
              <w:tc>
                <w:tcPr>
                  <w:tcW w:w="5000" w:type="pct"/>
                  <w:tcBorders>
                    <w:top w:val="nil"/>
                    <w:bottom w:val="nil"/>
                    <w:right w:val="nil"/>
                  </w:tcBorders>
                  <w:shd w:val="clear" w:color="auto" w:fill="auto"/>
                </w:tcPr>
                <w:p w:rsidR="005E05C9" w:rsidRDefault="001B7B09" w:rsidP="005E05C9">
                  <w:pPr>
                    <w:pStyle w:val="Figure"/>
                    <w:spacing w:before="60" w:after="60"/>
                  </w:pPr>
                  <w:r>
                    <w:rPr>
                      <w:noProof/>
                    </w:rPr>
                    <w:drawing>
                      <wp:inline distT="0" distB="0" distL="0" distR="0">
                        <wp:extent cx="5353050" cy="2362200"/>
                        <wp:effectExtent l="0" t="0" r="0" b="0"/>
                        <wp:docPr id="28" name="Picture 28" descr="Figure 12.25 Inpatient care in acute units of public hospitals, by target population, 2013-14&#10;&#10;Average length of st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53050" cy="2362200"/>
                                </a:xfrm>
                                <a:prstGeom prst="rect">
                                  <a:avLst/>
                                </a:prstGeom>
                                <a:noFill/>
                                <a:ln>
                                  <a:noFill/>
                                </a:ln>
                              </pic:spPr>
                            </pic:pic>
                          </a:graphicData>
                        </a:graphic>
                      </wp:inline>
                    </w:drawing>
                  </w:r>
                </w:p>
              </w:tc>
            </w:tr>
          </w:tbl>
          <w:p w:rsidR="005E05C9" w:rsidRDefault="005E05C9" w:rsidP="005E05C9">
            <w:pPr>
              <w:pStyle w:val="Figure"/>
            </w:pPr>
          </w:p>
        </w:tc>
      </w:tr>
      <w:tr w:rsidR="005E05C9" w:rsidRPr="00176D3F" w:rsidTr="005E05C9">
        <w:tc>
          <w:tcPr>
            <w:tcW w:w="8771" w:type="dxa"/>
            <w:tcBorders>
              <w:top w:val="nil"/>
              <w:left w:val="nil"/>
              <w:bottom w:val="nil"/>
              <w:right w:val="nil"/>
            </w:tcBorders>
            <w:shd w:val="clear" w:color="auto" w:fill="auto"/>
          </w:tcPr>
          <w:p w:rsidR="005E05C9" w:rsidRPr="00176D3F" w:rsidRDefault="00F83E11" w:rsidP="00D71789">
            <w:pPr>
              <w:pStyle w:val="Note"/>
              <w:rPr>
                <w:i/>
              </w:rPr>
            </w:pPr>
            <w:r w:rsidRPr="00F83E11">
              <w:rPr>
                <w:rStyle w:val="NoteLabel"/>
              </w:rPr>
              <w:t xml:space="preserve">a </w:t>
            </w:r>
            <w:r w:rsidR="002F5428" w:rsidRPr="002F5428">
              <w:t>See box</w:t>
            </w:r>
            <w:r w:rsidR="00463329">
              <w:t> </w:t>
            </w:r>
            <w:r w:rsidR="002F5428" w:rsidRPr="002F5428">
              <w:t>12.1</w:t>
            </w:r>
            <w:r w:rsidR="002F5428">
              <w:t>6</w:t>
            </w:r>
            <w:r w:rsidR="002F5428" w:rsidRPr="002F5428">
              <w:t xml:space="preserve"> and</w:t>
            </w:r>
            <w:r w:rsidRPr="00D71789">
              <w:t xml:space="preserve"> table</w:t>
            </w:r>
            <w:r w:rsidR="0068010B">
              <w:t>s</w:t>
            </w:r>
            <w:r w:rsidR="00463329">
              <w:t> </w:t>
            </w:r>
            <w:proofErr w:type="spellStart"/>
            <w:r w:rsidRPr="00D71789">
              <w:t>12A.6</w:t>
            </w:r>
            <w:r w:rsidR="005031F4">
              <w:t>0</w:t>
            </w:r>
            <w:proofErr w:type="spellEnd"/>
            <w:r w:rsidR="007A7F8D" w:rsidRPr="00733169">
              <w:t>–</w:t>
            </w:r>
            <w:r w:rsidR="005031F4">
              <w:t>61</w:t>
            </w:r>
            <w:r w:rsidRPr="00D71789">
              <w:t xml:space="preserve"> </w:t>
            </w:r>
            <w:r w:rsidR="00C9207F" w:rsidRPr="00C9207F">
              <w:t>for detailed definitions, footnotes and caveats</w:t>
            </w:r>
            <w:r w:rsidRPr="00D71789">
              <w:t xml:space="preserve">. </w:t>
            </w:r>
            <w:r w:rsidR="005E05C9" w:rsidRPr="00110613">
              <w:rPr>
                <w:rStyle w:val="NoteLabel"/>
              </w:rPr>
              <w:t>b</w:t>
            </w:r>
            <w:r w:rsidR="005E05C9">
              <w:t xml:space="preserve"> Queensland does not report any </w:t>
            </w:r>
            <w:r w:rsidR="004267CC">
              <w:t>acute forensic services</w:t>
            </w:r>
            <w:r w:rsidR="005E05C9">
              <w:t xml:space="preserve">. </w:t>
            </w:r>
            <w:r w:rsidR="00733FC0">
              <w:rPr>
                <w:rStyle w:val="NoteLabel"/>
              </w:rPr>
              <w:t>c</w:t>
            </w:r>
            <w:r w:rsidR="0030181A">
              <w:t> </w:t>
            </w:r>
            <w:r w:rsidR="005E05C9">
              <w:t xml:space="preserve">Tasmania does not provide, or cannot separately identify, child and adolescent mental </w:t>
            </w:r>
            <w:r w:rsidR="008E2482">
              <w:t>health services or older people’</w:t>
            </w:r>
            <w:r w:rsidR="005E05C9">
              <w:t xml:space="preserve">s mental health services. </w:t>
            </w:r>
            <w:r w:rsidR="00733FC0">
              <w:rPr>
                <w:rStyle w:val="NoteLabel"/>
              </w:rPr>
              <w:t>d</w:t>
            </w:r>
            <w:r w:rsidR="0030181A" w:rsidRPr="00110613">
              <w:rPr>
                <w:rStyle w:val="NoteLabel"/>
              </w:rPr>
              <w:t xml:space="preserve"> </w:t>
            </w:r>
            <w:r w:rsidR="005E05C9">
              <w:t xml:space="preserve">The ACT does not have separate forensic or child and adolescent mental health inpatient services. </w:t>
            </w:r>
            <w:r w:rsidR="00733FC0">
              <w:rPr>
                <w:rStyle w:val="NoteLabel"/>
              </w:rPr>
              <w:t>e</w:t>
            </w:r>
            <w:r w:rsidR="0030181A">
              <w:t xml:space="preserve"> </w:t>
            </w:r>
            <w:r w:rsidR="005E05C9">
              <w:t>The NT has general mental health services only.</w:t>
            </w:r>
          </w:p>
        </w:tc>
      </w:tr>
      <w:tr w:rsidR="005E05C9" w:rsidRPr="00176D3F" w:rsidTr="005E05C9">
        <w:tc>
          <w:tcPr>
            <w:tcW w:w="8771" w:type="dxa"/>
            <w:tcBorders>
              <w:top w:val="nil"/>
              <w:left w:val="nil"/>
              <w:bottom w:val="nil"/>
              <w:right w:val="nil"/>
            </w:tcBorders>
            <w:shd w:val="clear" w:color="auto" w:fill="auto"/>
          </w:tcPr>
          <w:p w:rsidR="005E05C9" w:rsidRPr="00176D3F" w:rsidRDefault="00110613" w:rsidP="005031F4">
            <w:pPr>
              <w:pStyle w:val="Source"/>
            </w:pPr>
            <w:r w:rsidRPr="00110613">
              <w:rPr>
                <w:i/>
              </w:rPr>
              <w:t>Source</w:t>
            </w:r>
            <w:r w:rsidRPr="00F40E83">
              <w:t>:</w:t>
            </w:r>
            <w:r w:rsidRPr="00110613">
              <w:rPr>
                <w:i/>
              </w:rPr>
              <w:t xml:space="preserve"> </w:t>
            </w:r>
            <w:r w:rsidRPr="00110613">
              <w:t xml:space="preserve">AIHW (unpublished) </w:t>
            </w:r>
            <w:proofErr w:type="spellStart"/>
            <w:r w:rsidRPr="00110613">
              <w:t>MHE</w:t>
            </w:r>
            <w:proofErr w:type="spellEnd"/>
            <w:r w:rsidRPr="00110613">
              <w:t xml:space="preserve"> </w:t>
            </w:r>
            <w:proofErr w:type="spellStart"/>
            <w:r w:rsidRPr="00110613">
              <w:t>NMDS</w:t>
            </w:r>
            <w:proofErr w:type="spellEnd"/>
            <w:r w:rsidRPr="00110613">
              <w:t>; tables</w:t>
            </w:r>
            <w:r w:rsidR="0022260C">
              <w:t> </w:t>
            </w:r>
            <w:proofErr w:type="spellStart"/>
            <w:r w:rsidRPr="00110613">
              <w:t>12A.</w:t>
            </w:r>
            <w:r w:rsidR="00F83E11">
              <w:t>60</w:t>
            </w:r>
            <w:proofErr w:type="spellEnd"/>
            <w:r w:rsidR="005625A7" w:rsidRPr="00733169">
              <w:t>–</w:t>
            </w:r>
            <w:r w:rsidR="00F83E11">
              <w:t>61</w:t>
            </w:r>
            <w:r w:rsidRPr="00110613">
              <w:t>.</w:t>
            </w:r>
          </w:p>
        </w:tc>
      </w:tr>
      <w:tr w:rsidR="005E05C9" w:rsidTr="005E05C9">
        <w:tc>
          <w:tcPr>
            <w:tcW w:w="8771" w:type="dxa"/>
            <w:tcBorders>
              <w:top w:val="nil"/>
              <w:left w:val="nil"/>
              <w:bottom w:val="single" w:sz="6" w:space="0" w:color="78A22F"/>
              <w:right w:val="nil"/>
            </w:tcBorders>
            <w:shd w:val="clear" w:color="auto" w:fill="auto"/>
          </w:tcPr>
          <w:p w:rsidR="005E05C9" w:rsidRDefault="005E05C9" w:rsidP="005E05C9">
            <w:pPr>
              <w:pStyle w:val="Figurespace"/>
            </w:pPr>
          </w:p>
        </w:tc>
      </w:tr>
      <w:tr w:rsidR="005E05C9" w:rsidRPr="000863A5" w:rsidTr="005E05C9">
        <w:tc>
          <w:tcPr>
            <w:tcW w:w="8771" w:type="dxa"/>
            <w:tcBorders>
              <w:top w:val="single" w:sz="6" w:space="0" w:color="78A22F"/>
              <w:left w:val="nil"/>
              <w:bottom w:val="nil"/>
              <w:right w:val="nil"/>
            </w:tcBorders>
          </w:tcPr>
          <w:p w:rsidR="005E05C9" w:rsidRPr="00626D32" w:rsidRDefault="005E05C9" w:rsidP="005E05C9">
            <w:pPr>
              <w:pStyle w:val="BoxSpaceBelow"/>
            </w:pPr>
          </w:p>
        </w:tc>
      </w:tr>
    </w:tbl>
    <w:p w:rsidR="00110613" w:rsidRDefault="00110613" w:rsidP="00110613">
      <w:pPr>
        <w:pStyle w:val="Heading4"/>
      </w:pPr>
      <w:r>
        <w:t>Efficiency — cost of community</w:t>
      </w:r>
      <w:r w:rsidR="00063E26">
        <w:noBreakHyphen/>
      </w:r>
      <w:r>
        <w:t xml:space="preserve">based residential care </w:t>
      </w:r>
    </w:p>
    <w:p w:rsidR="00110613" w:rsidRDefault="00110613" w:rsidP="002315C6">
      <w:pPr>
        <w:pStyle w:val="BodyText"/>
      </w:pPr>
      <w:r>
        <w:t>‘Cost of community</w:t>
      </w:r>
      <w:r w:rsidR="00063E26">
        <w:noBreakHyphen/>
      </w:r>
      <w:r>
        <w:t xml:space="preserve">based residential care’ is an indicator of governments’ objective that </w:t>
      </w:r>
      <w:r w:rsidR="00136F58">
        <w:t xml:space="preserve">specialised </w:t>
      </w:r>
      <w:r>
        <w:t>mental health services be delivered in an efficient manner (box</w:t>
      </w:r>
      <w:r w:rsidR="0022260C">
        <w:t> </w:t>
      </w:r>
      <w:r>
        <w:t>12.</w:t>
      </w:r>
      <w:r w:rsidR="00F27BE6">
        <w:t>17</w:t>
      </w:r>
      <w:r>
        <w:t>).</w:t>
      </w:r>
    </w:p>
    <w:p w:rsidR="00110613" w:rsidRDefault="001106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0613" w:rsidTr="00CF4016">
        <w:tc>
          <w:tcPr>
            <w:tcW w:w="8771" w:type="dxa"/>
            <w:tcBorders>
              <w:top w:val="single" w:sz="6" w:space="0" w:color="78A22F"/>
              <w:left w:val="nil"/>
              <w:bottom w:val="nil"/>
              <w:right w:val="nil"/>
            </w:tcBorders>
            <w:shd w:val="clear" w:color="auto" w:fill="F2F2F2"/>
          </w:tcPr>
          <w:p w:rsidR="00110613" w:rsidRDefault="00110613" w:rsidP="00110613">
            <w:pPr>
              <w:pStyle w:val="BoxTitle"/>
            </w:pPr>
            <w:r>
              <w:rPr>
                <w:b w:val="0"/>
              </w:rPr>
              <w:t xml:space="preserve">Box </w:t>
            </w:r>
            <w:r w:rsidR="005031F4">
              <w:rPr>
                <w:b w:val="0"/>
              </w:rPr>
              <w:t>12.</w:t>
            </w:r>
            <w:r w:rsidR="00833D26">
              <w:rPr>
                <w:b w:val="0"/>
                <w:noProof/>
              </w:rPr>
              <w:t>17</w:t>
            </w:r>
            <w:r>
              <w:tab/>
            </w:r>
            <w:r w:rsidRPr="00110613">
              <w:t>Cost of community</w:t>
            </w:r>
            <w:r>
              <w:noBreakHyphen/>
            </w:r>
            <w:r w:rsidRPr="00110613">
              <w:t>based residential care</w:t>
            </w:r>
          </w:p>
        </w:tc>
      </w:tr>
      <w:tr w:rsidR="00110613" w:rsidTr="00CF4016">
        <w:trPr>
          <w:cantSplit/>
        </w:trPr>
        <w:tc>
          <w:tcPr>
            <w:tcW w:w="8771" w:type="dxa"/>
            <w:tcBorders>
              <w:top w:val="nil"/>
              <w:left w:val="nil"/>
              <w:bottom w:val="nil"/>
              <w:right w:val="nil"/>
            </w:tcBorders>
            <w:shd w:val="clear" w:color="auto" w:fill="F2F2F2"/>
          </w:tcPr>
          <w:p w:rsidR="00110613" w:rsidRDefault="00110613" w:rsidP="00110613">
            <w:pPr>
              <w:pStyle w:val="Box"/>
            </w:pPr>
            <w:r>
              <w:t>‘Cost of community</w:t>
            </w:r>
            <w:r>
              <w:noBreakHyphen/>
              <w:t xml:space="preserve">based residential care’ is defined as the average cost per </w:t>
            </w:r>
            <w:r w:rsidR="00136F58">
              <w:t xml:space="preserve">patient </w:t>
            </w:r>
            <w:r>
              <w:t xml:space="preserve">day. </w:t>
            </w:r>
            <w:r w:rsidR="004B1C3C">
              <w:t xml:space="preserve">Data are reported for both the care of adults and older people. </w:t>
            </w:r>
          </w:p>
          <w:p w:rsidR="00110613" w:rsidRDefault="00110613" w:rsidP="00110613">
            <w:pPr>
              <w:pStyle w:val="Box"/>
            </w:pPr>
            <w:r>
              <w:t xml:space="preserve">A low or decreasing average cost </w:t>
            </w:r>
            <w:r w:rsidR="00136F58">
              <w:t xml:space="preserve">per patient day </w:t>
            </w:r>
            <w:r>
              <w:t>can indicate efficiency, although efficiency data need to be interpreted with care as they do not provide any information on the quality of service provided.</w:t>
            </w:r>
          </w:p>
          <w:p w:rsidR="00110613" w:rsidRDefault="00110613" w:rsidP="00110613">
            <w:pPr>
              <w:pStyle w:val="Box"/>
            </w:pPr>
            <w:r>
              <w:t>The indicator does not account for differences in the client mix. The client mix in community</w:t>
            </w:r>
            <w:r w:rsidR="00063E26">
              <w:noBreakHyphen/>
            </w:r>
            <w:r>
              <w:t xml:space="preserve">based services can differ across jurisdictions </w:t>
            </w:r>
            <w:r w:rsidR="00733FC0" w:rsidRPr="00733FC0">
              <w:t>and can reflect differences in the rate of institutional change (that is, the mainstreaming of mental health services)</w:t>
            </w:r>
            <w:r>
              <w:t xml:space="preserve">. </w:t>
            </w:r>
          </w:p>
          <w:p w:rsidR="00110613" w:rsidRDefault="00110613" w:rsidP="00110613">
            <w:pPr>
              <w:pStyle w:val="Box"/>
            </w:pPr>
            <w:r>
              <w:t>Data reported for this indicator are:</w:t>
            </w:r>
          </w:p>
          <w:p w:rsidR="00110613" w:rsidRDefault="00110613" w:rsidP="00110613">
            <w:pPr>
              <w:pStyle w:val="BoxListBullet"/>
            </w:pPr>
            <w:r>
              <w:t xml:space="preserve">comparable (subject to caveats) across jurisdictions and over time </w:t>
            </w:r>
          </w:p>
          <w:p w:rsidR="00110613" w:rsidRDefault="00110613" w:rsidP="002245A4">
            <w:pPr>
              <w:pStyle w:val="BoxListBullet"/>
            </w:pPr>
            <w:r>
              <w:t>complete</w:t>
            </w:r>
            <w:r w:rsidR="002245A4">
              <w:t xml:space="preserve"> </w:t>
            </w:r>
            <w:r w:rsidR="002245A4" w:rsidRPr="002245A4">
              <w:t>(subject to caveats)</w:t>
            </w:r>
            <w:r>
              <w:t xml:space="preserve"> for the current reporting period. All required </w:t>
            </w:r>
            <w:r w:rsidR="00F27BE6">
              <w:t>2013</w:t>
            </w:r>
            <w:r>
              <w:noBreakHyphen/>
            </w:r>
            <w:r w:rsidR="00F27BE6">
              <w:t xml:space="preserve">14 </w:t>
            </w:r>
            <w:r>
              <w:t xml:space="preserve">data are available for all jurisdictions providing the services. </w:t>
            </w:r>
          </w:p>
          <w:p w:rsidR="00110613" w:rsidRDefault="00110613" w:rsidP="004B1C3C">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4B1C3C">
              <w:t>2016</w:t>
            </w:r>
            <w:r>
              <w:t>.</w:t>
            </w:r>
          </w:p>
        </w:tc>
      </w:tr>
      <w:tr w:rsidR="00110613" w:rsidTr="00CF4016">
        <w:trPr>
          <w:cantSplit/>
        </w:trPr>
        <w:tc>
          <w:tcPr>
            <w:tcW w:w="8771" w:type="dxa"/>
            <w:tcBorders>
              <w:top w:val="nil"/>
              <w:left w:val="nil"/>
              <w:bottom w:val="single" w:sz="6" w:space="0" w:color="78A22F"/>
              <w:right w:val="nil"/>
            </w:tcBorders>
            <w:shd w:val="clear" w:color="auto" w:fill="F2F2F2"/>
          </w:tcPr>
          <w:p w:rsidR="00110613" w:rsidRDefault="00110613">
            <w:pPr>
              <w:pStyle w:val="Box"/>
              <w:spacing w:before="0" w:line="120" w:lineRule="exact"/>
            </w:pPr>
          </w:p>
        </w:tc>
      </w:tr>
      <w:tr w:rsidR="00110613" w:rsidRPr="000863A5" w:rsidTr="00CF4016">
        <w:tc>
          <w:tcPr>
            <w:tcW w:w="8771" w:type="dxa"/>
            <w:tcBorders>
              <w:top w:val="single" w:sz="6" w:space="0" w:color="78A22F"/>
              <w:left w:val="nil"/>
              <w:bottom w:val="nil"/>
              <w:right w:val="nil"/>
            </w:tcBorders>
          </w:tcPr>
          <w:p w:rsidR="00110613" w:rsidRPr="00626D32" w:rsidRDefault="00110613" w:rsidP="00CF4016">
            <w:pPr>
              <w:pStyle w:val="BoxSpaceBelow"/>
            </w:pPr>
          </w:p>
        </w:tc>
      </w:tr>
    </w:tbl>
    <w:p w:rsidR="00AC3466" w:rsidRDefault="00837B40" w:rsidP="002D0D07">
      <w:pPr>
        <w:pStyle w:val="BodyText"/>
      </w:pPr>
      <w:r>
        <w:t>Nationally in 2013</w:t>
      </w:r>
      <w:r w:rsidR="00463329">
        <w:noBreakHyphen/>
      </w:r>
      <w:r>
        <w:t xml:space="preserve">14, the average cost for </w:t>
      </w:r>
      <w:r w:rsidR="00110613">
        <w:t xml:space="preserve">24 hour staffed residential care </w:t>
      </w:r>
      <w:r>
        <w:t>is higher for general adult units (</w:t>
      </w:r>
      <w:r w:rsidR="00110613" w:rsidRPr="009E765C">
        <w:rPr>
          <w:shd w:val="clear" w:color="auto" w:fill="FFFFFF" w:themeFill="background1"/>
        </w:rPr>
        <w:t>$</w:t>
      </w:r>
      <w:r w:rsidR="00D7343B" w:rsidRPr="00B33D98">
        <w:rPr>
          <w:shd w:val="clear" w:color="auto" w:fill="FFFFFF" w:themeFill="background1"/>
        </w:rPr>
        <w:t>53</w:t>
      </w:r>
      <w:r w:rsidR="00A400C1" w:rsidRPr="00B33D98">
        <w:rPr>
          <w:shd w:val="clear" w:color="auto" w:fill="FFFFFF" w:themeFill="background1"/>
        </w:rPr>
        <w:t>5</w:t>
      </w:r>
      <w:r w:rsidR="00D7343B" w:rsidRPr="00B33D98">
        <w:rPr>
          <w:shd w:val="clear" w:color="auto" w:fill="FFFFFF" w:themeFill="background1"/>
        </w:rPr>
        <w:t>.</w:t>
      </w:r>
      <w:r w:rsidR="00A400C1" w:rsidRPr="00B33D98">
        <w:rPr>
          <w:shd w:val="clear" w:color="auto" w:fill="FFFFFF" w:themeFill="background1"/>
        </w:rPr>
        <w:t>58</w:t>
      </w:r>
      <w:r w:rsidR="0068010B">
        <w:t> </w:t>
      </w:r>
      <w:r w:rsidR="00733FC0">
        <w:t>per</w:t>
      </w:r>
      <w:r w:rsidR="0068010B">
        <w:t> </w:t>
      </w:r>
      <w:r w:rsidR="00733FC0">
        <w:t>patient day</w:t>
      </w:r>
      <w:r>
        <w:t>) compared to older people’s care units ($397.86 per patient day)</w:t>
      </w:r>
      <w:r w:rsidR="00AC3466">
        <w:t>, those this varied across states and territories (table</w:t>
      </w:r>
      <w:r w:rsidR="00463329">
        <w:t> </w:t>
      </w:r>
      <w:proofErr w:type="spellStart"/>
      <w:r w:rsidR="00AC3466">
        <w:t>12A.63</w:t>
      </w:r>
      <w:proofErr w:type="spellEnd"/>
      <w:r w:rsidR="00AC3466">
        <w:t xml:space="preserve">). </w:t>
      </w:r>
      <w:r w:rsidR="002D0D07">
        <w:t>Nationally</w:t>
      </w:r>
      <w:r w:rsidR="00AC3466">
        <w:t xml:space="preserve"> and for all relevant jurisdictions, the costs for general adults units were higher for those staffed 24 hours compared to those that were non</w:t>
      </w:r>
      <w:r w:rsidR="00463329">
        <w:noBreakHyphen/>
      </w:r>
      <w:r w:rsidR="00AC3466">
        <w:t>24 hours staffed (table</w:t>
      </w:r>
      <w:r w:rsidR="00463329">
        <w:t> </w:t>
      </w:r>
      <w:proofErr w:type="spellStart"/>
      <w:r w:rsidR="00AC3466">
        <w:t>12A.63</w:t>
      </w:r>
      <w:proofErr w:type="spellEnd"/>
      <w:r w:rsidR="00AC3466">
        <w:t>).</w:t>
      </w:r>
    </w:p>
    <w:p w:rsidR="00141436" w:rsidRDefault="00141436" w:rsidP="00AC3466">
      <w:pPr>
        <w:pStyle w:val="Heading4"/>
      </w:pPr>
      <w:r>
        <w:t xml:space="preserve">Efficiency — cost of ambulatory care </w:t>
      </w:r>
    </w:p>
    <w:p w:rsidR="00110613" w:rsidRDefault="00141436" w:rsidP="002315C6">
      <w:pPr>
        <w:pStyle w:val="BodyText"/>
      </w:pPr>
      <w:r>
        <w:t xml:space="preserve">‘Cost of ambulatory care’ is an indicator of governments’ objective that </w:t>
      </w:r>
      <w:r w:rsidR="00136F58">
        <w:t xml:space="preserve">specialised </w:t>
      </w:r>
      <w:r>
        <w:t>mental health services be delivered in an efficient manner (box</w:t>
      </w:r>
      <w:r w:rsidR="0022260C">
        <w:t> </w:t>
      </w:r>
      <w:r>
        <w:t>12.</w:t>
      </w:r>
      <w:r w:rsidR="005F1766">
        <w:t>1</w:t>
      </w:r>
      <w:r w:rsidR="007127ED">
        <w:t>8</w:t>
      </w:r>
      <w:r>
        <w:t>).</w:t>
      </w:r>
      <w:r w:rsidR="002C2211" w:rsidRPr="002C2211">
        <w:rPr>
          <w:shd w:val="clear" w:color="auto" w:fill="FFFFFF" w:themeFill="background1"/>
        </w:rPr>
        <w:t xml:space="preserve"> </w:t>
      </w:r>
    </w:p>
    <w:p w:rsidR="00141436" w:rsidRDefault="001414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41436" w:rsidTr="00CF4016">
        <w:tc>
          <w:tcPr>
            <w:tcW w:w="8771" w:type="dxa"/>
            <w:tcBorders>
              <w:top w:val="single" w:sz="6" w:space="0" w:color="78A22F"/>
              <w:left w:val="nil"/>
              <w:bottom w:val="nil"/>
              <w:right w:val="nil"/>
            </w:tcBorders>
            <w:shd w:val="clear" w:color="auto" w:fill="F2F2F2"/>
          </w:tcPr>
          <w:p w:rsidR="00141436" w:rsidRDefault="00141436">
            <w:pPr>
              <w:pStyle w:val="BoxTitle"/>
            </w:pPr>
            <w:r>
              <w:rPr>
                <w:b w:val="0"/>
              </w:rPr>
              <w:t xml:space="preserve">Box </w:t>
            </w:r>
            <w:bookmarkStart w:id="18" w:name="OLE_LINK7"/>
            <w:r w:rsidR="00586CEA">
              <w:rPr>
                <w:b w:val="0"/>
              </w:rPr>
              <w:t>12.</w:t>
            </w:r>
            <w:r w:rsidR="00833D26">
              <w:rPr>
                <w:b w:val="0"/>
                <w:noProof/>
              </w:rPr>
              <w:t>18</w:t>
            </w:r>
            <w:bookmarkEnd w:id="18"/>
            <w:r>
              <w:tab/>
            </w:r>
            <w:r w:rsidRPr="00141436">
              <w:t>Cost of ambulatory care</w:t>
            </w:r>
          </w:p>
        </w:tc>
      </w:tr>
      <w:tr w:rsidR="00141436" w:rsidTr="00CF4016">
        <w:trPr>
          <w:cantSplit/>
        </w:trPr>
        <w:tc>
          <w:tcPr>
            <w:tcW w:w="8771" w:type="dxa"/>
            <w:tcBorders>
              <w:top w:val="nil"/>
              <w:left w:val="nil"/>
              <w:bottom w:val="nil"/>
              <w:right w:val="nil"/>
            </w:tcBorders>
            <w:shd w:val="clear" w:color="auto" w:fill="F2F2F2"/>
          </w:tcPr>
          <w:p w:rsidR="00141436" w:rsidRDefault="00AC3466" w:rsidP="00141436">
            <w:pPr>
              <w:pStyle w:val="Box"/>
            </w:pPr>
            <w:r>
              <w:t>‘</w:t>
            </w:r>
            <w:r w:rsidR="00141436">
              <w:t>Cost of ambulatory care’ is defined by two measures:</w:t>
            </w:r>
          </w:p>
          <w:p w:rsidR="00141436" w:rsidRDefault="00141436" w:rsidP="007127ED">
            <w:pPr>
              <w:pStyle w:val="BoxListBullet"/>
            </w:pPr>
            <w:r>
              <w:t xml:space="preserve">average cost per treatment day </w:t>
            </w:r>
          </w:p>
          <w:p w:rsidR="00141436" w:rsidRDefault="00141436" w:rsidP="00141436">
            <w:pPr>
              <w:pStyle w:val="BoxListBullet"/>
            </w:pPr>
            <w:r>
              <w:t xml:space="preserve">average number of treatment days per episode </w:t>
            </w:r>
            <w:r w:rsidR="007127ED">
              <w:rPr>
                <w:rFonts w:ascii="Calibri" w:hAnsi="Calibri"/>
              </w:rPr>
              <w:t>—</w:t>
            </w:r>
            <w:r w:rsidR="007127ED">
              <w:t xml:space="preserve"> t</w:t>
            </w:r>
            <w:r>
              <w:t>his measure is provided</w:t>
            </w:r>
            <w:r w:rsidR="001F37F4">
              <w:t>,</w:t>
            </w:r>
            <w:r>
              <w:t xml:space="preserve"> along with average costs</w:t>
            </w:r>
            <w:r w:rsidR="001F37F4">
              <w:t>,</w:t>
            </w:r>
            <w:r>
              <w:t xml:space="preserve"> as frequency of servicing is the main driver of variation in care costs. </w:t>
            </w:r>
          </w:p>
          <w:p w:rsidR="00136F58" w:rsidRDefault="00141436">
            <w:pPr>
              <w:pStyle w:val="Box"/>
            </w:pPr>
            <w:r w:rsidRPr="00141436">
              <w:t>An episode of ambulatory care is a three</w:t>
            </w:r>
            <w:r w:rsidR="00463329">
              <w:noBreakHyphen/>
            </w:r>
            <w:r w:rsidRPr="00141436">
              <w:t>month period of ambulatory care for an individual registered consumer where the consumer was under ‘active care’ (one or more treatment days in the period). Community</w:t>
            </w:r>
            <w:r w:rsidR="00063E26">
              <w:noBreakHyphen/>
            </w:r>
            <w:r w:rsidRPr="00141436">
              <w:t>based periods relate to the following four fixed three</w:t>
            </w:r>
            <w:r w:rsidR="00463329">
              <w:noBreakHyphen/>
            </w:r>
            <w:r w:rsidRPr="00141436">
              <w:t>monthly periods: January to March, April to June, July to September, and October to December. Treatment day refers to any day on which one or more community contacts (direct or indirect) are recorded for a registered client during an ambulatory care episode.</w:t>
            </w:r>
          </w:p>
        </w:tc>
      </w:tr>
      <w:tr w:rsidR="00AC3466" w:rsidTr="00CF4016">
        <w:trPr>
          <w:cantSplit/>
        </w:trPr>
        <w:tc>
          <w:tcPr>
            <w:tcW w:w="8771" w:type="dxa"/>
            <w:tcBorders>
              <w:top w:val="nil"/>
              <w:left w:val="nil"/>
              <w:bottom w:val="nil"/>
              <w:right w:val="nil"/>
            </w:tcBorders>
            <w:shd w:val="clear" w:color="auto" w:fill="F2F2F2"/>
          </w:tcPr>
          <w:p w:rsidR="00AC3466" w:rsidRDefault="00AC3466" w:rsidP="002D0D07">
            <w:pPr>
              <w:pStyle w:val="Continued"/>
              <w:rPr>
                <w:i/>
              </w:rPr>
            </w:pPr>
            <w:r>
              <w:t>(continued next page)</w:t>
            </w:r>
          </w:p>
        </w:tc>
      </w:tr>
      <w:tr w:rsidR="00141436" w:rsidTr="00CF4016">
        <w:trPr>
          <w:cantSplit/>
        </w:trPr>
        <w:tc>
          <w:tcPr>
            <w:tcW w:w="8771" w:type="dxa"/>
            <w:tcBorders>
              <w:top w:val="nil"/>
              <w:left w:val="nil"/>
              <w:bottom w:val="single" w:sz="6" w:space="0" w:color="78A22F"/>
              <w:right w:val="nil"/>
            </w:tcBorders>
            <w:shd w:val="clear" w:color="auto" w:fill="F2F2F2"/>
          </w:tcPr>
          <w:p w:rsidR="00141436" w:rsidRDefault="00141436">
            <w:pPr>
              <w:pStyle w:val="Box"/>
              <w:spacing w:before="0" w:line="120" w:lineRule="exact"/>
            </w:pPr>
          </w:p>
        </w:tc>
      </w:tr>
      <w:tr w:rsidR="00141436" w:rsidRPr="000863A5" w:rsidTr="00CF4016">
        <w:tc>
          <w:tcPr>
            <w:tcW w:w="8771" w:type="dxa"/>
            <w:tcBorders>
              <w:top w:val="single" w:sz="6" w:space="0" w:color="78A22F"/>
              <w:left w:val="nil"/>
              <w:bottom w:val="nil"/>
              <w:right w:val="nil"/>
            </w:tcBorders>
          </w:tcPr>
          <w:p w:rsidR="00141436" w:rsidRPr="00626D32" w:rsidRDefault="00141436" w:rsidP="00CF4016">
            <w:pPr>
              <w:pStyle w:val="BoxSpaceBelow"/>
            </w:pPr>
          </w:p>
        </w:tc>
      </w:tr>
    </w:tbl>
    <w:p w:rsidR="00AC3466" w:rsidRDefault="00AC3466" w:rsidP="002D0D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C3466" w:rsidTr="00B866E1">
        <w:tc>
          <w:tcPr>
            <w:tcW w:w="8771" w:type="dxa"/>
            <w:tcBorders>
              <w:top w:val="single" w:sz="6" w:space="0" w:color="78A22F"/>
              <w:left w:val="nil"/>
              <w:bottom w:val="nil"/>
              <w:right w:val="nil"/>
            </w:tcBorders>
            <w:shd w:val="clear" w:color="auto" w:fill="F2F2F2"/>
          </w:tcPr>
          <w:p w:rsidR="00AC3466" w:rsidRDefault="00AC3466" w:rsidP="00AC3466">
            <w:pPr>
              <w:pStyle w:val="BoxTitle"/>
            </w:pPr>
            <w:r>
              <w:rPr>
                <w:b w:val="0"/>
              </w:rPr>
              <w:t>Box 12.18</w:t>
            </w:r>
            <w:r>
              <w:tab/>
            </w:r>
            <w:r>
              <w:rPr>
                <w:b w:val="0"/>
                <w:sz w:val="18"/>
                <w:szCs w:val="18"/>
              </w:rPr>
              <w:t>(</w:t>
            </w:r>
            <w:r w:rsidRPr="002D0D07">
              <w:rPr>
                <w:b w:val="0"/>
                <w:sz w:val="18"/>
                <w:szCs w:val="18"/>
              </w:rPr>
              <w:t>continued</w:t>
            </w:r>
            <w:r>
              <w:rPr>
                <w:b w:val="0"/>
                <w:sz w:val="18"/>
                <w:szCs w:val="18"/>
              </w:rPr>
              <w:t>)</w:t>
            </w:r>
          </w:p>
        </w:tc>
      </w:tr>
      <w:tr w:rsidR="00AC3466" w:rsidTr="00B866E1">
        <w:trPr>
          <w:cantSplit/>
        </w:trPr>
        <w:tc>
          <w:tcPr>
            <w:tcW w:w="8771" w:type="dxa"/>
            <w:tcBorders>
              <w:top w:val="nil"/>
              <w:left w:val="nil"/>
              <w:bottom w:val="nil"/>
              <w:right w:val="nil"/>
            </w:tcBorders>
            <w:shd w:val="clear" w:color="auto" w:fill="F2F2F2"/>
          </w:tcPr>
          <w:p w:rsidR="00AC3466" w:rsidRDefault="00AC3466" w:rsidP="00AC3466">
            <w:pPr>
              <w:pStyle w:val="Box"/>
            </w:pPr>
            <w:r w:rsidRPr="002315C6">
              <w:t xml:space="preserve">Low or decreasing average cost </w:t>
            </w:r>
            <w:r>
              <w:t>and/or</w:t>
            </w:r>
            <w:r w:rsidRPr="002315C6">
              <w:t xml:space="preserve"> fewer treatment days can indicate greater efficiency</w:t>
            </w:r>
            <w:r>
              <w:t>.</w:t>
            </w:r>
            <w:r w:rsidRPr="002315C6">
              <w:t xml:space="preserve"> </w:t>
            </w:r>
            <w:r>
              <w:t>E</w:t>
            </w:r>
            <w:r w:rsidRPr="002315C6">
              <w:t>fficiency data need to be interpreted with care as they do not provide information on the quality of service</w:t>
            </w:r>
            <w:r>
              <w:t>s</w:t>
            </w:r>
            <w:r w:rsidRPr="002315C6">
              <w:t xml:space="preserve"> provided.</w:t>
            </w:r>
          </w:p>
          <w:p w:rsidR="00AC3466" w:rsidRDefault="00AC3466" w:rsidP="00AC3466">
            <w:pPr>
              <w:pStyle w:val="Box"/>
            </w:pPr>
            <w:r>
              <w:t>The measures do not account for differences in the consumer mix. The consumer mix in community</w:t>
            </w:r>
            <w:r>
              <w:noBreakHyphen/>
              <w:t xml:space="preserve">based services can differ across jurisdictions </w:t>
            </w:r>
            <w:r w:rsidRPr="007127ED">
              <w:t xml:space="preserve">and can reflect differences in the rate of institutional change (that is, the mainstreaming of mental health services) </w:t>
            </w:r>
            <w:r>
              <w:t xml:space="preserve">— for example, some State and Territory governments treat a higher proportion of consumers with more complex conditions in ambulatory care. </w:t>
            </w:r>
          </w:p>
          <w:p w:rsidR="00AC3466" w:rsidRDefault="00AC3466" w:rsidP="00AC3466">
            <w:pPr>
              <w:pStyle w:val="Box"/>
            </w:pPr>
            <w:r>
              <w:t>Data reported for the two measures are:</w:t>
            </w:r>
          </w:p>
          <w:p w:rsidR="00AC3466" w:rsidRPr="005031F4" w:rsidRDefault="00AC3466" w:rsidP="00AC3466">
            <w:pPr>
              <w:pStyle w:val="BoxListBullet"/>
            </w:pPr>
            <w:r w:rsidRPr="005031F4">
              <w:t>comparable (subject to caveats) within some jurisdictions over time but are not comparable across jurisdictions or over time for other jurisdictions (see caveats in attachment tables for specific jurisdictions)</w:t>
            </w:r>
          </w:p>
          <w:p w:rsidR="00AC3466" w:rsidRDefault="00AC3466" w:rsidP="002245A4">
            <w:pPr>
              <w:pStyle w:val="BoxListBullet"/>
            </w:pPr>
            <w:r>
              <w:t xml:space="preserve">complete </w:t>
            </w:r>
            <w:r w:rsidR="002245A4" w:rsidRPr="002245A4">
              <w:t>(subject to caveats)</w:t>
            </w:r>
            <w:r w:rsidR="002245A4">
              <w:t xml:space="preserve"> </w:t>
            </w:r>
            <w:r>
              <w:t>for the current reporting period. All required data for 2013</w:t>
            </w:r>
            <w:r>
              <w:noBreakHyphen/>
              <w:t>14 are available for all jurisdictions.</w:t>
            </w:r>
          </w:p>
          <w:p w:rsidR="00AC3466" w:rsidRDefault="00AC3466" w:rsidP="00AC3466">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AC3466" w:rsidTr="00B866E1">
        <w:trPr>
          <w:cantSplit/>
        </w:trPr>
        <w:tc>
          <w:tcPr>
            <w:tcW w:w="8771" w:type="dxa"/>
            <w:tcBorders>
              <w:top w:val="nil"/>
              <w:left w:val="nil"/>
              <w:bottom w:val="single" w:sz="6" w:space="0" w:color="78A22F"/>
              <w:right w:val="nil"/>
            </w:tcBorders>
            <w:shd w:val="clear" w:color="auto" w:fill="F2F2F2"/>
          </w:tcPr>
          <w:p w:rsidR="00AC3466" w:rsidRDefault="00AC3466" w:rsidP="00B866E1">
            <w:pPr>
              <w:pStyle w:val="Box"/>
              <w:spacing w:before="0" w:line="120" w:lineRule="exact"/>
            </w:pPr>
          </w:p>
        </w:tc>
      </w:tr>
      <w:tr w:rsidR="00AC3466" w:rsidRPr="00626D32" w:rsidTr="00B866E1">
        <w:tc>
          <w:tcPr>
            <w:tcW w:w="8771" w:type="dxa"/>
            <w:tcBorders>
              <w:top w:val="single" w:sz="6" w:space="0" w:color="78A22F"/>
              <w:left w:val="nil"/>
              <w:bottom w:val="nil"/>
              <w:right w:val="nil"/>
            </w:tcBorders>
          </w:tcPr>
          <w:p w:rsidR="00AC3466" w:rsidRPr="00626D32" w:rsidRDefault="00AC3466" w:rsidP="00B866E1">
            <w:pPr>
              <w:pStyle w:val="BoxSpaceBelow"/>
            </w:pPr>
          </w:p>
        </w:tc>
      </w:tr>
    </w:tbl>
    <w:p w:rsidR="00141436" w:rsidRDefault="007F3EC8" w:rsidP="007127ED">
      <w:pPr>
        <w:pStyle w:val="BodyText"/>
      </w:pPr>
      <w:r>
        <w:t>Nationally, t</w:t>
      </w:r>
      <w:r w:rsidR="005031F4">
        <w:t>he a</w:t>
      </w:r>
      <w:r w:rsidR="00D21E7D">
        <w:t xml:space="preserve">verage recurrent cost per treatment day of ambulatory care </w:t>
      </w:r>
      <w:r>
        <w:t>declined slightly over the period 2009</w:t>
      </w:r>
      <w:r w:rsidR="00463329">
        <w:noBreakHyphen/>
      </w:r>
      <w:r>
        <w:t>10 to 2013</w:t>
      </w:r>
      <w:r w:rsidR="00463329">
        <w:noBreakHyphen/>
      </w:r>
      <w:r>
        <w:t>14 (</w:t>
      </w:r>
      <w:r w:rsidR="00D21E7D">
        <w:t>figure</w:t>
      </w:r>
      <w:r w:rsidR="0022260C">
        <w:t> </w:t>
      </w:r>
      <w:r w:rsidR="00D21E7D">
        <w:t>12.2</w:t>
      </w:r>
      <w:r w:rsidR="00586CEA">
        <w:t>6</w:t>
      </w:r>
      <w:r>
        <w:t>), whereas the</w:t>
      </w:r>
      <w:r w:rsidR="00D21E7D">
        <w:t xml:space="preserve"> average treatment days per episode of ambulatory care </w:t>
      </w:r>
      <w:r>
        <w:t>increased slightly</w:t>
      </w:r>
      <w:r w:rsidR="00D21E7D">
        <w:t xml:space="preserve"> </w:t>
      </w:r>
      <w:r>
        <w:t>(</w:t>
      </w:r>
      <w:r w:rsidR="00D21E7D">
        <w:t>figure</w:t>
      </w:r>
      <w:r w:rsidR="0022260C">
        <w:t> </w:t>
      </w:r>
      <w:r w:rsidR="00D21E7D">
        <w:t>12.2</w:t>
      </w:r>
      <w:r w:rsidR="00586CEA">
        <w:t>7</w:t>
      </w:r>
      <w:r>
        <w:t>)</w:t>
      </w:r>
      <w:r w:rsidR="00D21E7D">
        <w:t>.</w:t>
      </w:r>
      <w:r>
        <w:t xml:space="preserve"> </w:t>
      </w:r>
    </w:p>
    <w:p w:rsidR="00C0788B" w:rsidRDefault="00C0788B"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0788B" w:rsidTr="009E765C">
        <w:tc>
          <w:tcPr>
            <w:tcW w:w="8771" w:type="dxa"/>
            <w:tcBorders>
              <w:top w:val="single" w:sz="6" w:space="0" w:color="78A22F"/>
              <w:left w:val="nil"/>
              <w:bottom w:val="nil"/>
              <w:right w:val="nil"/>
            </w:tcBorders>
            <w:shd w:val="clear" w:color="auto" w:fill="FFFFFF" w:themeFill="background1"/>
          </w:tcPr>
          <w:p w:rsidR="00C0788B" w:rsidRPr="00176D3F" w:rsidRDefault="00C0788B" w:rsidP="007F3EC8">
            <w:pPr>
              <w:pStyle w:val="FigureTitle"/>
              <w:rPr>
                <w:i/>
              </w:rPr>
            </w:pPr>
            <w:r w:rsidRPr="00784A05">
              <w:rPr>
                <w:b w:val="0"/>
              </w:rPr>
              <w:t xml:space="preserve">Figure </w:t>
            </w:r>
            <w:r w:rsidR="00586CEA">
              <w:rPr>
                <w:b w:val="0"/>
              </w:rPr>
              <w:t>12.</w:t>
            </w:r>
            <w:r w:rsidR="00833D26">
              <w:rPr>
                <w:b w:val="0"/>
                <w:noProof/>
              </w:rPr>
              <w:t>26</w:t>
            </w:r>
            <w:r>
              <w:tab/>
              <w:t>Average recurrent cost per treatment day of ambulatory care</w:t>
            </w:r>
            <w:r w:rsidR="00E83A45">
              <w:t xml:space="preserve"> </w:t>
            </w:r>
            <w:r w:rsidRPr="00E83A45">
              <w:t>(</w:t>
            </w:r>
            <w:r w:rsidR="007127ED" w:rsidRPr="00E83A45">
              <w:t>201</w:t>
            </w:r>
            <w:r w:rsidR="007127ED">
              <w:t>3</w:t>
            </w:r>
            <w:r w:rsidR="00E83A45">
              <w:noBreakHyphen/>
            </w:r>
            <w:r w:rsidR="007127ED" w:rsidRPr="00E83A45">
              <w:t>1</w:t>
            </w:r>
            <w:r w:rsidR="007127ED">
              <w:t>4</w:t>
            </w:r>
            <w:r w:rsidR="007127ED" w:rsidRPr="00E83A45">
              <w:t xml:space="preserve"> </w:t>
            </w:r>
            <w:r w:rsidRPr="00E83A45">
              <w:t>dollars)</w:t>
            </w:r>
            <w:r w:rsidR="007F3EC8">
              <w:rPr>
                <w:rStyle w:val="NoteLabel"/>
                <w:b/>
              </w:rPr>
              <w:t>a, b</w:t>
            </w:r>
          </w:p>
        </w:tc>
      </w:tr>
      <w:tr w:rsidR="00C0788B"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0788B" w:rsidTr="009E765C">
              <w:trPr>
                <w:jc w:val="center"/>
              </w:trPr>
              <w:tc>
                <w:tcPr>
                  <w:tcW w:w="5000" w:type="pct"/>
                  <w:tcBorders>
                    <w:top w:val="nil"/>
                    <w:bottom w:val="nil"/>
                    <w:right w:val="nil"/>
                  </w:tcBorders>
                </w:tcPr>
                <w:p w:rsidR="00C0788B" w:rsidRDefault="001B7B09" w:rsidP="003C5354">
                  <w:pPr>
                    <w:pStyle w:val="Figure"/>
                    <w:spacing w:before="0" w:after="0" w:line="240" w:lineRule="auto"/>
                  </w:pPr>
                  <w:r>
                    <w:rPr>
                      <w:noProof/>
                    </w:rPr>
                    <w:drawing>
                      <wp:inline distT="0" distB="0" distL="0" distR="0">
                        <wp:extent cx="5324475" cy="2657475"/>
                        <wp:effectExtent l="0" t="0" r="9525" b="9525"/>
                        <wp:docPr id="29" name="Picture 29" descr="Figure 12.26 Average recurrent cost per treatment day of ambulatory care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24475" cy="2657475"/>
                                </a:xfrm>
                                <a:prstGeom prst="rect">
                                  <a:avLst/>
                                </a:prstGeom>
                                <a:noFill/>
                                <a:ln>
                                  <a:noFill/>
                                </a:ln>
                              </pic:spPr>
                            </pic:pic>
                          </a:graphicData>
                        </a:graphic>
                      </wp:inline>
                    </w:drawing>
                  </w:r>
                </w:p>
              </w:tc>
            </w:tr>
          </w:tbl>
          <w:p w:rsidR="00C0788B" w:rsidRDefault="00C0788B" w:rsidP="00CF4016">
            <w:pPr>
              <w:pStyle w:val="Figure"/>
            </w:pPr>
          </w:p>
        </w:tc>
      </w:tr>
      <w:tr w:rsidR="00C0788B" w:rsidRPr="00176D3F" w:rsidTr="00CF4016">
        <w:tc>
          <w:tcPr>
            <w:tcW w:w="8771" w:type="dxa"/>
            <w:tcBorders>
              <w:top w:val="nil"/>
              <w:left w:val="nil"/>
              <w:bottom w:val="nil"/>
              <w:right w:val="nil"/>
            </w:tcBorders>
            <w:shd w:val="clear" w:color="auto" w:fill="auto"/>
          </w:tcPr>
          <w:p w:rsidR="00C0788B" w:rsidRPr="00176D3F" w:rsidRDefault="007127ED" w:rsidP="00D71789">
            <w:pPr>
              <w:pStyle w:val="Note"/>
              <w:rPr>
                <w:i/>
              </w:rPr>
            </w:pPr>
            <w:r w:rsidRPr="008E77FE">
              <w:rPr>
                <w:rStyle w:val="NoteLabel"/>
              </w:rPr>
              <w:t>a</w:t>
            </w:r>
            <w:r>
              <w:t xml:space="preserve"> </w:t>
            </w:r>
            <w:r w:rsidRPr="0026758F">
              <w:t xml:space="preserve">See </w:t>
            </w:r>
            <w:r w:rsidR="007F3EC8">
              <w:t>box</w:t>
            </w:r>
            <w:r w:rsidR="00463329">
              <w:t> </w:t>
            </w:r>
            <w:r w:rsidR="007F3EC8">
              <w:t xml:space="preserve">12.18 and </w:t>
            </w:r>
            <w:r w:rsidRPr="0026758F">
              <w:t>table</w:t>
            </w:r>
            <w:r w:rsidR="00463329">
              <w:t> </w:t>
            </w:r>
            <w:proofErr w:type="spellStart"/>
            <w:r w:rsidRPr="0026758F">
              <w:t>12A.6</w:t>
            </w:r>
            <w:r>
              <w:t>4</w:t>
            </w:r>
            <w:proofErr w:type="spellEnd"/>
            <w:r w:rsidRPr="0026758F">
              <w:t xml:space="preserve"> </w:t>
            </w:r>
            <w:r w:rsidR="00C9207F" w:rsidRPr="00C9207F">
              <w:t>for detailed definitions, footnotes and caveats</w:t>
            </w:r>
            <w:r w:rsidR="00E83A45">
              <w:t xml:space="preserve">. </w:t>
            </w:r>
            <w:r>
              <w:rPr>
                <w:rStyle w:val="NoteLabel"/>
              </w:rPr>
              <w:t>b</w:t>
            </w:r>
            <w:r w:rsidR="00E83A45">
              <w:t xml:space="preserve"> Victorian 2011</w:t>
            </w:r>
            <w:r w:rsidR="00E83A45">
              <w:noBreakHyphen/>
              <w:t>12 and 2012</w:t>
            </w:r>
            <w:r w:rsidR="00E83A45">
              <w:noBreakHyphen/>
              <w:t>13 data are not available.</w:t>
            </w:r>
            <w:r w:rsidR="00E83A45" w:rsidRPr="00FA3917">
              <w:t xml:space="preserve"> </w:t>
            </w:r>
          </w:p>
        </w:tc>
      </w:tr>
      <w:tr w:rsidR="00C0788B" w:rsidRPr="00176D3F" w:rsidTr="00CF4016">
        <w:tc>
          <w:tcPr>
            <w:tcW w:w="8771" w:type="dxa"/>
            <w:tcBorders>
              <w:top w:val="nil"/>
              <w:left w:val="nil"/>
              <w:bottom w:val="nil"/>
              <w:right w:val="nil"/>
            </w:tcBorders>
            <w:shd w:val="clear" w:color="auto" w:fill="auto"/>
          </w:tcPr>
          <w:p w:rsidR="00C0788B" w:rsidRPr="00176D3F" w:rsidRDefault="00E83A45" w:rsidP="00C730E9">
            <w:pPr>
              <w:pStyle w:val="Source"/>
            </w:pPr>
            <w:r w:rsidRPr="00E83A45">
              <w:rPr>
                <w:i/>
              </w:rPr>
              <w:t>Source</w:t>
            </w:r>
            <w:r w:rsidRPr="00F40E83">
              <w:t>:</w:t>
            </w:r>
            <w:r w:rsidRPr="00E83A45">
              <w:rPr>
                <w:i/>
              </w:rPr>
              <w:t xml:space="preserve"> </w:t>
            </w:r>
            <w:r w:rsidRPr="00E83A45">
              <w:t xml:space="preserve">AIHW (unpublished) </w:t>
            </w:r>
            <w:r w:rsidR="00FA3917">
              <w:t>C</w:t>
            </w:r>
            <w:r w:rsidR="00C730E9">
              <w:t xml:space="preserve">ommunity </w:t>
            </w:r>
            <w:r w:rsidR="00FA3917">
              <w:t>M</w:t>
            </w:r>
            <w:r w:rsidR="00C730E9">
              <w:t xml:space="preserve">ental Health </w:t>
            </w:r>
            <w:r w:rsidR="00FA3917">
              <w:t>C</w:t>
            </w:r>
            <w:r w:rsidR="00C730E9">
              <w:t>are (</w:t>
            </w:r>
            <w:proofErr w:type="spellStart"/>
            <w:r w:rsidR="00C730E9">
              <w:t>CMHC</w:t>
            </w:r>
            <w:proofErr w:type="spellEnd"/>
            <w:r w:rsidR="00C730E9">
              <w:t>)</w:t>
            </w:r>
            <w:r w:rsidR="00FA3917">
              <w:t xml:space="preserve"> </w:t>
            </w:r>
            <w:proofErr w:type="spellStart"/>
            <w:r w:rsidRPr="00E83A45">
              <w:t>NMDS</w:t>
            </w:r>
            <w:proofErr w:type="spellEnd"/>
            <w:r w:rsidRPr="00E83A45">
              <w:t xml:space="preserve">; </w:t>
            </w:r>
            <w:proofErr w:type="spellStart"/>
            <w:r w:rsidRPr="00E83A45">
              <w:t>AIHW</w:t>
            </w:r>
            <w:proofErr w:type="spellEnd"/>
            <w:r w:rsidRPr="00E83A45">
              <w:t xml:space="preserve"> (unpublished) </w:t>
            </w:r>
            <w:proofErr w:type="spellStart"/>
            <w:r w:rsidRPr="00E83A45">
              <w:t>MHE</w:t>
            </w:r>
            <w:proofErr w:type="spellEnd"/>
            <w:r w:rsidRPr="00E83A45">
              <w:t xml:space="preserve"> </w:t>
            </w:r>
            <w:proofErr w:type="spellStart"/>
            <w:r w:rsidRPr="00E83A45">
              <w:t>NMDS</w:t>
            </w:r>
            <w:proofErr w:type="spellEnd"/>
            <w:r w:rsidRPr="00E83A45">
              <w:t>; table</w:t>
            </w:r>
            <w:r w:rsidR="0022260C">
              <w:t> </w:t>
            </w:r>
            <w:proofErr w:type="spellStart"/>
            <w:r w:rsidRPr="00E83A45">
              <w:t>12A.</w:t>
            </w:r>
            <w:r w:rsidR="007127ED">
              <w:t>64</w:t>
            </w:r>
            <w:proofErr w:type="spellEnd"/>
            <w:r w:rsidRPr="00E83A45">
              <w:t>.</w:t>
            </w:r>
          </w:p>
        </w:tc>
      </w:tr>
      <w:tr w:rsidR="00C0788B" w:rsidTr="00CF4016">
        <w:tc>
          <w:tcPr>
            <w:tcW w:w="8771" w:type="dxa"/>
            <w:tcBorders>
              <w:top w:val="nil"/>
              <w:left w:val="nil"/>
              <w:bottom w:val="single" w:sz="6" w:space="0" w:color="78A22F"/>
              <w:right w:val="nil"/>
            </w:tcBorders>
            <w:shd w:val="clear" w:color="auto" w:fill="auto"/>
          </w:tcPr>
          <w:p w:rsidR="00C0788B" w:rsidRDefault="00C0788B" w:rsidP="00CF4016">
            <w:pPr>
              <w:pStyle w:val="Figurespace"/>
            </w:pPr>
          </w:p>
        </w:tc>
      </w:tr>
      <w:tr w:rsidR="00C0788B" w:rsidRPr="000863A5" w:rsidTr="00CF4016">
        <w:tc>
          <w:tcPr>
            <w:tcW w:w="8771" w:type="dxa"/>
            <w:tcBorders>
              <w:top w:val="single" w:sz="6" w:space="0" w:color="78A22F"/>
              <w:left w:val="nil"/>
              <w:bottom w:val="nil"/>
              <w:right w:val="nil"/>
            </w:tcBorders>
          </w:tcPr>
          <w:p w:rsidR="00C0788B" w:rsidRPr="00626D32" w:rsidRDefault="00C0788B" w:rsidP="00CF4016">
            <w:pPr>
              <w:pStyle w:val="BoxSpaceBelow"/>
            </w:pPr>
          </w:p>
        </w:tc>
      </w:tr>
    </w:tbl>
    <w:p w:rsidR="003C5354" w:rsidRDefault="003C5354" w:rsidP="00CF40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354" w:rsidTr="00CF4016">
        <w:tc>
          <w:tcPr>
            <w:tcW w:w="8771" w:type="dxa"/>
            <w:tcBorders>
              <w:top w:val="single" w:sz="6" w:space="0" w:color="78A22F"/>
              <w:left w:val="nil"/>
              <w:bottom w:val="nil"/>
              <w:right w:val="nil"/>
            </w:tcBorders>
            <w:shd w:val="clear" w:color="auto" w:fill="auto"/>
          </w:tcPr>
          <w:p w:rsidR="003C5354" w:rsidRPr="003C5354" w:rsidRDefault="003C5354" w:rsidP="007F3EC8">
            <w:pPr>
              <w:pStyle w:val="FigureTitle"/>
              <w:rPr>
                <w:i/>
              </w:rPr>
            </w:pPr>
            <w:r w:rsidRPr="003C5354">
              <w:rPr>
                <w:b w:val="0"/>
              </w:rPr>
              <w:t xml:space="preserve">Figure </w:t>
            </w:r>
            <w:r w:rsidR="00586CEA">
              <w:rPr>
                <w:b w:val="0"/>
              </w:rPr>
              <w:t>12.</w:t>
            </w:r>
            <w:r w:rsidR="00833D26">
              <w:rPr>
                <w:b w:val="0"/>
                <w:noProof/>
              </w:rPr>
              <w:t>27</w:t>
            </w:r>
            <w:r>
              <w:tab/>
            </w:r>
            <w:r w:rsidRPr="003C5354">
              <w:t xml:space="preserve">Average treatment days per episode of ambulatory </w:t>
            </w:r>
            <w:r>
              <w:br/>
            </w:r>
            <w:r w:rsidRPr="003C5354">
              <w:t>care</w:t>
            </w:r>
            <w:r w:rsidRPr="003C5354">
              <w:rPr>
                <w:rStyle w:val="NoteLabel"/>
                <w:b/>
              </w:rPr>
              <w:t>a, b</w:t>
            </w:r>
          </w:p>
        </w:tc>
      </w:tr>
      <w:tr w:rsidR="003C5354"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C5354" w:rsidTr="00CF4016">
              <w:trPr>
                <w:jc w:val="center"/>
              </w:trPr>
              <w:tc>
                <w:tcPr>
                  <w:tcW w:w="5000" w:type="pct"/>
                  <w:tcBorders>
                    <w:top w:val="nil"/>
                    <w:bottom w:val="nil"/>
                  </w:tcBorders>
                </w:tcPr>
                <w:p w:rsidR="003C5354" w:rsidRDefault="001B7B09" w:rsidP="00CF4016">
                  <w:pPr>
                    <w:pStyle w:val="Figure"/>
                    <w:spacing w:before="60" w:after="60"/>
                  </w:pPr>
                  <w:r>
                    <w:rPr>
                      <w:noProof/>
                    </w:rPr>
                    <w:drawing>
                      <wp:inline distT="0" distB="0" distL="0" distR="0">
                        <wp:extent cx="5391150" cy="2686050"/>
                        <wp:effectExtent l="0" t="0" r="0" b="0"/>
                        <wp:docPr id="30" name="Picture 30" descr="Figure 12.27 Average treatment days per episode of ambulatory &#10;care&#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3C5354" w:rsidRDefault="003C5354" w:rsidP="00CF4016">
            <w:pPr>
              <w:pStyle w:val="Figure"/>
            </w:pPr>
          </w:p>
        </w:tc>
      </w:tr>
      <w:tr w:rsidR="003C5354" w:rsidRPr="00176D3F" w:rsidTr="00CF4016">
        <w:tc>
          <w:tcPr>
            <w:tcW w:w="8771" w:type="dxa"/>
            <w:tcBorders>
              <w:top w:val="nil"/>
              <w:left w:val="nil"/>
              <w:bottom w:val="nil"/>
              <w:right w:val="nil"/>
            </w:tcBorders>
            <w:shd w:val="clear" w:color="auto" w:fill="auto"/>
          </w:tcPr>
          <w:p w:rsidR="003C5354" w:rsidRPr="00176D3F" w:rsidRDefault="007127ED" w:rsidP="007F3EC8">
            <w:pPr>
              <w:pStyle w:val="Note"/>
            </w:pPr>
            <w:r w:rsidRPr="008E77FE">
              <w:rPr>
                <w:rStyle w:val="NoteLabel"/>
              </w:rPr>
              <w:t>a</w:t>
            </w:r>
            <w:r>
              <w:t xml:space="preserve"> </w:t>
            </w:r>
            <w:r w:rsidR="007F3EC8" w:rsidRPr="007F3EC8">
              <w:t>See box</w:t>
            </w:r>
            <w:r w:rsidR="00463329">
              <w:t> </w:t>
            </w:r>
            <w:r w:rsidR="007F3EC8" w:rsidRPr="007F3EC8">
              <w:t>12.18 and table</w:t>
            </w:r>
            <w:r w:rsidR="00463329">
              <w:t> </w:t>
            </w:r>
            <w:proofErr w:type="spellStart"/>
            <w:r w:rsidR="007F3EC8" w:rsidRPr="007F3EC8">
              <w:t>12A.64</w:t>
            </w:r>
            <w:proofErr w:type="spellEnd"/>
            <w:r w:rsidR="007F3EC8" w:rsidRPr="007F3EC8">
              <w:t xml:space="preserve"> for detailed caveats.</w:t>
            </w:r>
            <w:r>
              <w:t xml:space="preserve"> </w:t>
            </w:r>
            <w:r>
              <w:rPr>
                <w:rStyle w:val="NoteLabel"/>
              </w:rPr>
              <w:t>b</w:t>
            </w:r>
            <w:r>
              <w:t xml:space="preserve"> Victorian 2011</w:t>
            </w:r>
            <w:r>
              <w:noBreakHyphen/>
              <w:t>12 and 2012</w:t>
            </w:r>
            <w:r>
              <w:noBreakHyphen/>
              <w:t>13 data are not available.</w:t>
            </w:r>
          </w:p>
        </w:tc>
      </w:tr>
      <w:tr w:rsidR="003C5354" w:rsidRPr="00176D3F" w:rsidTr="00CF4016">
        <w:tc>
          <w:tcPr>
            <w:tcW w:w="8771" w:type="dxa"/>
            <w:tcBorders>
              <w:top w:val="nil"/>
              <w:left w:val="nil"/>
              <w:bottom w:val="nil"/>
              <w:right w:val="nil"/>
            </w:tcBorders>
            <w:shd w:val="clear" w:color="auto" w:fill="auto"/>
          </w:tcPr>
          <w:p w:rsidR="003C5354" w:rsidRPr="00176D3F" w:rsidRDefault="0096339F" w:rsidP="007127ED">
            <w:pPr>
              <w:pStyle w:val="Source"/>
            </w:pPr>
            <w:r w:rsidRPr="0096339F">
              <w:rPr>
                <w:i/>
              </w:rPr>
              <w:t>Source</w:t>
            </w:r>
            <w:r w:rsidRPr="00F40E83">
              <w:t>:</w:t>
            </w:r>
            <w:r w:rsidRPr="0096339F">
              <w:rPr>
                <w:i/>
              </w:rPr>
              <w:t xml:space="preserve"> </w:t>
            </w:r>
            <w:proofErr w:type="spellStart"/>
            <w:r w:rsidRPr="0096339F">
              <w:t>AIHW</w:t>
            </w:r>
            <w:proofErr w:type="spellEnd"/>
            <w:r w:rsidRPr="0096339F">
              <w:t xml:space="preserve"> (unpublished) </w:t>
            </w:r>
            <w:proofErr w:type="spellStart"/>
            <w:r w:rsidRPr="0096339F">
              <w:t>CMHC</w:t>
            </w:r>
            <w:proofErr w:type="spellEnd"/>
            <w:r w:rsidRPr="0096339F">
              <w:t xml:space="preserve"> </w:t>
            </w:r>
            <w:proofErr w:type="spellStart"/>
            <w:r w:rsidRPr="0096339F">
              <w:t>NMDS</w:t>
            </w:r>
            <w:proofErr w:type="spellEnd"/>
            <w:r w:rsidRPr="0096339F">
              <w:t xml:space="preserve">; </w:t>
            </w:r>
            <w:proofErr w:type="spellStart"/>
            <w:r w:rsidRPr="0096339F">
              <w:t>AIHW</w:t>
            </w:r>
            <w:proofErr w:type="spellEnd"/>
            <w:r w:rsidRPr="0096339F">
              <w:t xml:space="preserve"> (unpublished) </w:t>
            </w:r>
            <w:proofErr w:type="spellStart"/>
            <w:r w:rsidRPr="0096339F">
              <w:t>MHE</w:t>
            </w:r>
            <w:proofErr w:type="spellEnd"/>
            <w:r w:rsidRPr="0096339F">
              <w:t xml:space="preserve"> </w:t>
            </w:r>
            <w:proofErr w:type="spellStart"/>
            <w:r w:rsidRPr="0096339F">
              <w:t>NMDS</w:t>
            </w:r>
            <w:proofErr w:type="spellEnd"/>
            <w:r w:rsidRPr="0096339F">
              <w:t>; table</w:t>
            </w:r>
            <w:r w:rsidR="0022260C">
              <w:t> </w:t>
            </w:r>
            <w:proofErr w:type="spellStart"/>
            <w:r w:rsidRPr="0096339F">
              <w:t>12A.</w:t>
            </w:r>
            <w:r w:rsidR="007127ED">
              <w:t>64</w:t>
            </w:r>
            <w:proofErr w:type="spellEnd"/>
            <w:r w:rsidRPr="0096339F">
              <w:t>.</w:t>
            </w:r>
          </w:p>
        </w:tc>
      </w:tr>
      <w:tr w:rsidR="003C5354" w:rsidTr="00CF4016">
        <w:tc>
          <w:tcPr>
            <w:tcW w:w="8771" w:type="dxa"/>
            <w:tcBorders>
              <w:top w:val="nil"/>
              <w:left w:val="nil"/>
              <w:bottom w:val="single" w:sz="6" w:space="0" w:color="78A22F"/>
              <w:right w:val="nil"/>
            </w:tcBorders>
            <w:shd w:val="clear" w:color="auto" w:fill="auto"/>
          </w:tcPr>
          <w:p w:rsidR="003C5354" w:rsidRDefault="003C5354" w:rsidP="00CF4016">
            <w:pPr>
              <w:pStyle w:val="Figurespace"/>
            </w:pPr>
          </w:p>
        </w:tc>
      </w:tr>
      <w:tr w:rsidR="003C5354" w:rsidRPr="000863A5" w:rsidTr="00CF4016">
        <w:tc>
          <w:tcPr>
            <w:tcW w:w="8771" w:type="dxa"/>
            <w:tcBorders>
              <w:top w:val="single" w:sz="6" w:space="0" w:color="78A22F"/>
              <w:left w:val="nil"/>
              <w:bottom w:val="nil"/>
              <w:right w:val="nil"/>
            </w:tcBorders>
          </w:tcPr>
          <w:p w:rsidR="003C5354" w:rsidRPr="00626D32" w:rsidRDefault="003C5354" w:rsidP="00CF4016">
            <w:pPr>
              <w:pStyle w:val="BoxSpaceBelow"/>
            </w:pPr>
          </w:p>
        </w:tc>
      </w:tr>
    </w:tbl>
    <w:p w:rsidR="00771616" w:rsidRDefault="00771616" w:rsidP="00771616">
      <w:pPr>
        <w:pStyle w:val="Heading3"/>
      </w:pPr>
      <w:r>
        <w:t>Outcomes</w:t>
      </w:r>
    </w:p>
    <w:p w:rsidR="00D21E7D" w:rsidRDefault="00771616" w:rsidP="002315C6">
      <w:pPr>
        <w:pStyle w:val="BodyText"/>
      </w:pPr>
      <w:r>
        <w:t>Outcomes are the impact of services on the status of an individual or group (see chapter</w:t>
      </w:r>
      <w:r w:rsidR="0022260C">
        <w:t> </w:t>
      </w:r>
      <w:r>
        <w:t>1, section</w:t>
      </w:r>
      <w:r w:rsidR="0022260C">
        <w:t> </w:t>
      </w:r>
      <w:r>
        <w:t xml:space="preserve">1.5). The outcome indicators identified and/or reported here reflect the performance of governments (including the mental health sector) against the broad objectives of the </w:t>
      </w:r>
      <w:proofErr w:type="spellStart"/>
      <w:r>
        <w:t>NMHS</w:t>
      </w:r>
      <w:proofErr w:type="spellEnd"/>
      <w:r>
        <w:t xml:space="preserve">. The </w:t>
      </w:r>
      <w:r w:rsidR="00D875F4">
        <w:t>whole</w:t>
      </w:r>
      <w:r w:rsidR="00D875F4">
        <w:noBreakHyphen/>
        <w:t>of</w:t>
      </w:r>
      <w:r w:rsidR="00D875F4">
        <w:noBreakHyphen/>
      </w:r>
      <w:r>
        <w:t xml:space="preserve">government approach within the </w:t>
      </w:r>
      <w:r w:rsidRPr="00771616">
        <w:rPr>
          <w:i/>
        </w:rPr>
        <w:t>Fourth National Mental Health Plan 2009–2014</w:t>
      </w:r>
      <w:r>
        <w:t xml:space="preserve"> acknowledges that many of the determinants of good mental health, and of mental illness, are influenced by factors beyond the health system. </w:t>
      </w:r>
    </w:p>
    <w:p w:rsidR="00771616" w:rsidRDefault="00771616" w:rsidP="00771616">
      <w:pPr>
        <w:pStyle w:val="Heading4"/>
      </w:pPr>
      <w:r>
        <w:t>Rates of licit and illicit drug use</w:t>
      </w:r>
    </w:p>
    <w:p w:rsidR="00771616" w:rsidRDefault="00771616" w:rsidP="002315C6">
      <w:pPr>
        <w:pStyle w:val="BodyText"/>
      </w:pPr>
      <w:r>
        <w:t xml:space="preserve">‘Rates of licit and illicit drug use’ is an indicator of governments’ objective </w:t>
      </w:r>
      <w:r w:rsidR="00101926">
        <w:t>to</w:t>
      </w:r>
      <w:r>
        <w:t xml:space="preserve"> prevent the development of mental health problems and mental illness where possible, by reducing the prevalence of risk factors that contribute to the onset of mental illness and prevent longer term recovery (box</w:t>
      </w:r>
      <w:r w:rsidR="0022260C">
        <w:t> </w:t>
      </w:r>
      <w:r>
        <w:t>12.</w:t>
      </w:r>
      <w:r w:rsidR="006554FC">
        <w:t>19</w:t>
      </w:r>
      <w:r>
        <w:t xml:space="preserve">). </w:t>
      </w:r>
    </w:p>
    <w:p w:rsidR="00771616" w:rsidRDefault="0077161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1616" w:rsidTr="00CF4016">
        <w:tc>
          <w:tcPr>
            <w:tcW w:w="8771" w:type="dxa"/>
            <w:tcBorders>
              <w:top w:val="single" w:sz="6" w:space="0" w:color="78A22F"/>
              <w:left w:val="nil"/>
              <w:bottom w:val="nil"/>
              <w:right w:val="nil"/>
            </w:tcBorders>
            <w:shd w:val="clear" w:color="auto" w:fill="F2F2F2"/>
          </w:tcPr>
          <w:p w:rsidR="00771616" w:rsidRDefault="00771616">
            <w:pPr>
              <w:pStyle w:val="BoxTitle"/>
            </w:pPr>
            <w:r>
              <w:rPr>
                <w:b w:val="0"/>
              </w:rPr>
              <w:t xml:space="preserve">Box </w:t>
            </w:r>
            <w:r w:rsidR="00544964">
              <w:rPr>
                <w:b w:val="0"/>
              </w:rPr>
              <w:t>12.</w:t>
            </w:r>
            <w:r w:rsidR="00833D26">
              <w:rPr>
                <w:b w:val="0"/>
                <w:noProof/>
              </w:rPr>
              <w:t>19</w:t>
            </w:r>
            <w:r>
              <w:tab/>
            </w:r>
            <w:r w:rsidRPr="00771616">
              <w:t>Rates of licit and illicit drug use</w:t>
            </w:r>
          </w:p>
        </w:tc>
      </w:tr>
      <w:tr w:rsidR="00771616" w:rsidTr="00CF4016">
        <w:trPr>
          <w:cantSplit/>
        </w:trPr>
        <w:tc>
          <w:tcPr>
            <w:tcW w:w="8771" w:type="dxa"/>
            <w:tcBorders>
              <w:top w:val="nil"/>
              <w:left w:val="nil"/>
              <w:bottom w:val="nil"/>
              <w:right w:val="nil"/>
            </w:tcBorders>
            <w:shd w:val="clear" w:color="auto" w:fill="F2F2F2"/>
          </w:tcPr>
          <w:p w:rsidR="00771616" w:rsidRDefault="00771616" w:rsidP="00771616">
            <w:pPr>
              <w:pStyle w:val="Box"/>
            </w:pPr>
            <w:r>
              <w:t>‘Rates of licit and illicit drug use’ is defined as the proportion of people aged 14 years or over who use</w:t>
            </w:r>
            <w:r w:rsidR="00F63973">
              <w:t>d</w:t>
            </w:r>
            <w:r>
              <w:t xml:space="preserve"> </w:t>
            </w:r>
            <w:r w:rsidR="007F3EC8" w:rsidRPr="007F3EC8">
              <w:t>alcohol</w:t>
            </w:r>
            <w:r w:rsidR="007F3EC8">
              <w:t xml:space="preserve"> </w:t>
            </w:r>
            <w:r w:rsidR="006A6797">
              <w:t xml:space="preserve">at ‘risky’ levels </w:t>
            </w:r>
            <w:r>
              <w:t xml:space="preserve">and illicit drugs in the preceding 12 months. </w:t>
            </w:r>
            <w:r w:rsidR="005A3A24">
              <w:t xml:space="preserve">‘Risky’ alcohol use is defined as more than two standard drinks per day on average. </w:t>
            </w:r>
            <w:r>
              <w:t xml:space="preserve">The specific </w:t>
            </w:r>
            <w:r w:rsidR="007F3EC8">
              <w:t xml:space="preserve">illicit </w:t>
            </w:r>
            <w:r>
              <w:t xml:space="preserve">drugs </w:t>
            </w:r>
            <w:r w:rsidR="00DF26D3">
              <w:t>include</w:t>
            </w:r>
            <w:r>
              <w:t xml:space="preserve">: </w:t>
            </w:r>
            <w:r w:rsidR="00586CEA">
              <w:t>c</w:t>
            </w:r>
            <w:r>
              <w:t xml:space="preserve">annabis, ecstasy, cocaine, meth/amphetamine, hallucinogens, Gamma </w:t>
            </w:r>
            <w:proofErr w:type="spellStart"/>
            <w:r>
              <w:t>hydroxybutyrate</w:t>
            </w:r>
            <w:proofErr w:type="spellEnd"/>
            <w:r>
              <w:t xml:space="preserve"> (</w:t>
            </w:r>
            <w:proofErr w:type="spellStart"/>
            <w:r>
              <w:t>GHB</w:t>
            </w:r>
            <w:proofErr w:type="spellEnd"/>
            <w:r>
              <w:t>), inhalants, and heroin.</w:t>
            </w:r>
          </w:p>
          <w:p w:rsidR="00771616" w:rsidRDefault="00771616" w:rsidP="00771616">
            <w:pPr>
              <w:pStyle w:val="Box"/>
            </w:pPr>
            <w:r>
              <w:t xml:space="preserve">A low or decreasing proportion of people using </w:t>
            </w:r>
            <w:r w:rsidR="00586CEA">
              <w:t>alcohol at risky levels</w:t>
            </w:r>
            <w:r w:rsidR="00544964">
              <w:t xml:space="preserve"> or </w:t>
            </w:r>
            <w:r w:rsidR="00F63973">
              <w:t xml:space="preserve">using </w:t>
            </w:r>
            <w:r>
              <w:t>illicit drugs is desirable.</w:t>
            </w:r>
          </w:p>
          <w:p w:rsidR="00771616" w:rsidRDefault="00771616" w:rsidP="00771616">
            <w:pPr>
              <w:pStyle w:val="Box"/>
            </w:pPr>
            <w:r>
              <w:t xml:space="preserve">Many of the risk and protective factors that </w:t>
            </w:r>
            <w:r w:rsidR="00586CEA">
              <w:t>affect</w:t>
            </w:r>
            <w:r>
              <w:t xml:space="preserve"> a person’s propensity to</w:t>
            </w:r>
            <w:r w:rsidR="00E45840">
              <w:t xml:space="preserve"> consume</w:t>
            </w:r>
            <w:r>
              <w:t xml:space="preserve"> </w:t>
            </w:r>
            <w:r w:rsidR="00586CEA">
              <w:t>these</w:t>
            </w:r>
            <w:r>
              <w:t xml:space="preserve"> drugs lie outside the </w:t>
            </w:r>
            <w:r w:rsidR="00586CEA">
              <w:t xml:space="preserve">control of the </w:t>
            </w:r>
            <w:r>
              <w:t xml:space="preserve">mental health system. These include environmental, sociocultural and economic factors. </w:t>
            </w:r>
          </w:p>
          <w:p w:rsidR="00771616" w:rsidRDefault="00771616" w:rsidP="00936DF7">
            <w:pPr>
              <w:pStyle w:val="Box"/>
            </w:pPr>
            <w:r>
              <w:t>Data reported for this indicator are:</w:t>
            </w:r>
          </w:p>
          <w:p w:rsidR="00771616" w:rsidRDefault="00771616" w:rsidP="009B4764">
            <w:pPr>
              <w:pStyle w:val="BoxListBullet"/>
            </w:pPr>
            <w:r>
              <w:t xml:space="preserve">comparable (subject to caveats) across jurisdictions </w:t>
            </w:r>
            <w:r w:rsidR="009B4764" w:rsidRPr="00821D4D">
              <w:t>but a break in series</w:t>
            </w:r>
            <w:r>
              <w:t xml:space="preserve"> </w:t>
            </w:r>
            <w:r w:rsidR="009B4764" w:rsidRPr="009B4764">
              <w:t xml:space="preserve">means that data for </w:t>
            </w:r>
            <w:r w:rsidR="00B55D54">
              <w:t xml:space="preserve">2013 and 2010 </w:t>
            </w:r>
            <w:r>
              <w:t xml:space="preserve">are not comparable </w:t>
            </w:r>
            <w:r w:rsidR="00B55D54">
              <w:t xml:space="preserve">to data </w:t>
            </w:r>
            <w:r w:rsidR="00027874">
              <w:t>for earlier years</w:t>
            </w:r>
          </w:p>
          <w:p w:rsidR="00771616" w:rsidRDefault="00771616" w:rsidP="00936DF7">
            <w:pPr>
              <w:pStyle w:val="BoxListBullet"/>
            </w:pPr>
            <w:r>
              <w:t xml:space="preserve">complete </w:t>
            </w:r>
            <w:r w:rsidR="00E551D7">
              <w:t xml:space="preserve">(subject to caveats) </w:t>
            </w:r>
            <w:r>
              <w:t xml:space="preserve">for the current reporting period. All required </w:t>
            </w:r>
            <w:r w:rsidRPr="00936DF7">
              <w:t>201</w:t>
            </w:r>
            <w:r w:rsidR="008355A8" w:rsidRPr="00936DF7">
              <w:t>3</w:t>
            </w:r>
            <w:r>
              <w:t xml:space="preserve"> data are available for all jurisdictions.</w:t>
            </w:r>
          </w:p>
          <w:p w:rsidR="00771616" w:rsidRDefault="00771616" w:rsidP="006554FC">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6554FC">
              <w:t>2016</w:t>
            </w:r>
            <w:r>
              <w:t>.</w:t>
            </w:r>
          </w:p>
        </w:tc>
      </w:tr>
      <w:tr w:rsidR="00771616" w:rsidTr="00CF4016">
        <w:trPr>
          <w:cantSplit/>
        </w:trPr>
        <w:tc>
          <w:tcPr>
            <w:tcW w:w="8771" w:type="dxa"/>
            <w:tcBorders>
              <w:top w:val="nil"/>
              <w:left w:val="nil"/>
              <w:bottom w:val="single" w:sz="6" w:space="0" w:color="78A22F"/>
              <w:right w:val="nil"/>
            </w:tcBorders>
            <w:shd w:val="clear" w:color="auto" w:fill="F2F2F2"/>
          </w:tcPr>
          <w:p w:rsidR="00771616" w:rsidRDefault="00771616">
            <w:pPr>
              <w:pStyle w:val="Box"/>
              <w:spacing w:before="0" w:line="120" w:lineRule="exact"/>
            </w:pPr>
          </w:p>
        </w:tc>
      </w:tr>
      <w:tr w:rsidR="00771616" w:rsidRPr="000863A5" w:rsidTr="00CF4016">
        <w:tc>
          <w:tcPr>
            <w:tcW w:w="8771" w:type="dxa"/>
            <w:tcBorders>
              <w:top w:val="single" w:sz="6" w:space="0" w:color="78A22F"/>
              <w:left w:val="nil"/>
              <w:bottom w:val="nil"/>
              <w:right w:val="nil"/>
            </w:tcBorders>
          </w:tcPr>
          <w:p w:rsidR="00771616" w:rsidRPr="00626D32" w:rsidRDefault="00771616" w:rsidP="00CF4016">
            <w:pPr>
              <w:pStyle w:val="BoxSpaceBelow"/>
            </w:pPr>
          </w:p>
        </w:tc>
      </w:tr>
    </w:tbl>
    <w:p w:rsidR="00B55D54" w:rsidRDefault="00771616" w:rsidP="00E551D7">
      <w:pPr>
        <w:pStyle w:val="BodyText"/>
      </w:pPr>
      <w:r w:rsidRPr="009E765C">
        <w:rPr>
          <w:shd w:val="clear" w:color="auto" w:fill="FFFFFF" w:themeFill="background1"/>
        </w:rPr>
        <w:t>In 201</w:t>
      </w:r>
      <w:r w:rsidR="00B55D54" w:rsidRPr="009E765C">
        <w:rPr>
          <w:shd w:val="clear" w:color="auto" w:fill="FFFFFF" w:themeFill="background1"/>
        </w:rPr>
        <w:t>3</w:t>
      </w:r>
      <w:r w:rsidRPr="009E765C">
        <w:rPr>
          <w:shd w:val="clear" w:color="auto" w:fill="FFFFFF" w:themeFill="background1"/>
        </w:rPr>
        <w:t xml:space="preserve">, </w:t>
      </w:r>
      <w:r w:rsidR="00D2574F" w:rsidRPr="009E765C">
        <w:rPr>
          <w:shd w:val="clear" w:color="auto" w:fill="FFFFFF" w:themeFill="background1"/>
        </w:rPr>
        <w:t>18.2</w:t>
      </w:r>
      <w:r w:rsidR="0068010B">
        <w:rPr>
          <w:shd w:val="clear" w:color="auto" w:fill="FFFFFF" w:themeFill="background1"/>
        </w:rPr>
        <w:t> </w:t>
      </w:r>
      <w:r w:rsidRPr="009E765C">
        <w:rPr>
          <w:shd w:val="clear" w:color="auto" w:fill="FFFFFF" w:themeFill="background1"/>
        </w:rPr>
        <w:t>per</w:t>
      </w:r>
      <w:r w:rsidR="0068010B">
        <w:rPr>
          <w:shd w:val="clear" w:color="auto" w:fill="FFFFFF" w:themeFill="background1"/>
        </w:rPr>
        <w:t> </w:t>
      </w:r>
      <w:r w:rsidRPr="009E765C">
        <w:rPr>
          <w:shd w:val="clear" w:color="auto" w:fill="FFFFFF" w:themeFill="background1"/>
        </w:rPr>
        <w:t xml:space="preserve">cent </w:t>
      </w:r>
      <w:r w:rsidR="002E6619" w:rsidRPr="009E765C">
        <w:rPr>
          <w:shd w:val="clear" w:color="auto" w:fill="FFFFFF" w:themeFill="background1"/>
        </w:rPr>
        <w:t xml:space="preserve">of people aged 14 years or over </w:t>
      </w:r>
      <w:r w:rsidRPr="009E765C">
        <w:rPr>
          <w:shd w:val="clear" w:color="auto" w:fill="FFFFFF" w:themeFill="background1"/>
        </w:rPr>
        <w:t>drank alcohol at</w:t>
      </w:r>
      <w:r w:rsidR="005A3A24">
        <w:rPr>
          <w:shd w:val="clear" w:color="auto" w:fill="FFFFFF" w:themeFill="background1"/>
        </w:rPr>
        <w:t xml:space="preserve"> </w:t>
      </w:r>
      <w:r w:rsidRPr="009E765C">
        <w:rPr>
          <w:shd w:val="clear" w:color="auto" w:fill="FFFFFF" w:themeFill="background1"/>
        </w:rPr>
        <w:t>levels considered ‘risky’ for developing long</w:t>
      </w:r>
      <w:r w:rsidR="002C563A" w:rsidRPr="009E765C">
        <w:rPr>
          <w:shd w:val="clear" w:color="auto" w:fill="FFFFFF" w:themeFill="background1"/>
        </w:rPr>
        <w:noBreakHyphen/>
      </w:r>
      <w:r w:rsidRPr="009E765C">
        <w:rPr>
          <w:shd w:val="clear" w:color="auto" w:fill="FFFFFF" w:themeFill="background1"/>
        </w:rPr>
        <w:t>term health problems</w:t>
      </w:r>
      <w:r w:rsidR="00B55D54" w:rsidRPr="009E765C">
        <w:rPr>
          <w:shd w:val="clear" w:color="auto" w:fill="FFFFFF" w:themeFill="background1"/>
        </w:rPr>
        <w:t xml:space="preserve"> (figure</w:t>
      </w:r>
      <w:r w:rsidR="0022260C">
        <w:rPr>
          <w:shd w:val="clear" w:color="auto" w:fill="FFFFFF" w:themeFill="background1"/>
        </w:rPr>
        <w:t> </w:t>
      </w:r>
      <w:r w:rsidR="00B55D54" w:rsidRPr="009E765C">
        <w:rPr>
          <w:shd w:val="clear" w:color="auto" w:fill="FFFFFF" w:themeFill="background1"/>
        </w:rPr>
        <w:t>12.2</w:t>
      </w:r>
      <w:r w:rsidR="00586CEA">
        <w:rPr>
          <w:shd w:val="clear" w:color="auto" w:fill="FFFFFF" w:themeFill="background1"/>
        </w:rPr>
        <w:t>8</w:t>
      </w:r>
      <w:r w:rsidR="00B55D54" w:rsidRPr="009E765C">
        <w:rPr>
          <w:shd w:val="clear" w:color="auto" w:fill="FFFFFF" w:themeFill="background1"/>
        </w:rPr>
        <w:t>)</w:t>
      </w:r>
      <w:r w:rsidRPr="009E765C">
        <w:rPr>
          <w:shd w:val="clear" w:color="auto" w:fill="FFFFFF" w:themeFill="background1"/>
        </w:rPr>
        <w:t>.</w:t>
      </w:r>
      <w:r w:rsidR="00A67C02">
        <w:rPr>
          <w:shd w:val="clear" w:color="auto" w:fill="FFFFFF" w:themeFill="background1"/>
        </w:rPr>
        <w:t xml:space="preserve"> </w:t>
      </w:r>
    </w:p>
    <w:p w:rsidR="00B55D54" w:rsidRDefault="00B55D54" w:rsidP="009E765C">
      <w:pPr>
        <w:pStyle w:val="BoxSpaceAbove"/>
        <w:shd w:val="clear" w:color="auto" w:fill="FFFFFF" w:themeFill="background1"/>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5D54" w:rsidTr="009E765C">
        <w:tc>
          <w:tcPr>
            <w:tcW w:w="8771" w:type="dxa"/>
            <w:tcBorders>
              <w:top w:val="single" w:sz="6" w:space="0" w:color="78A22F"/>
              <w:left w:val="nil"/>
              <w:bottom w:val="nil"/>
              <w:right w:val="nil"/>
            </w:tcBorders>
            <w:shd w:val="clear" w:color="auto" w:fill="FFFFFF" w:themeFill="background1"/>
          </w:tcPr>
          <w:p w:rsidR="00B55D54" w:rsidRPr="00176D3F" w:rsidRDefault="00B55D54" w:rsidP="00586CEA">
            <w:pPr>
              <w:pStyle w:val="FigureTitle"/>
              <w:shd w:val="clear" w:color="auto" w:fill="FFFFFF" w:themeFill="background1"/>
            </w:pPr>
            <w:r w:rsidRPr="00784A05">
              <w:rPr>
                <w:b w:val="0"/>
              </w:rPr>
              <w:t xml:space="preserve">Figure </w:t>
            </w:r>
            <w:r w:rsidR="00811C03">
              <w:rPr>
                <w:b w:val="0"/>
              </w:rPr>
              <w:t>12.</w:t>
            </w:r>
            <w:r w:rsidR="00833D26">
              <w:rPr>
                <w:b w:val="0"/>
                <w:noProof/>
              </w:rPr>
              <w:t>28</w:t>
            </w:r>
            <w:r>
              <w:tab/>
            </w:r>
            <w:r w:rsidR="00C91794">
              <w:t>U</w:t>
            </w:r>
            <w:r w:rsidRPr="00B55D54">
              <w:t>se of alcohol in last 12 months by peo</w:t>
            </w:r>
            <w:r w:rsidR="002E6619">
              <w:t>ple aged 14 years or over, life</w:t>
            </w:r>
            <w:r w:rsidRPr="00B55D54">
              <w:t>time risk status, 201</w:t>
            </w:r>
            <w:r>
              <w:t>3</w:t>
            </w:r>
            <w:r w:rsidRPr="00B55D54">
              <w:rPr>
                <w:rStyle w:val="NoteLabel"/>
                <w:b/>
              </w:rPr>
              <w:t>a</w:t>
            </w:r>
          </w:p>
        </w:tc>
      </w:tr>
      <w:tr w:rsidR="00B55D54"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55D54" w:rsidTr="00C95390">
              <w:trPr>
                <w:jc w:val="center"/>
              </w:trPr>
              <w:tc>
                <w:tcPr>
                  <w:tcW w:w="5000" w:type="pct"/>
                  <w:tcBorders>
                    <w:top w:val="nil"/>
                    <w:bottom w:val="nil"/>
                  </w:tcBorders>
                </w:tcPr>
                <w:p w:rsidR="00B55D54" w:rsidRDefault="001B7B09" w:rsidP="009E765C">
                  <w:pPr>
                    <w:pStyle w:val="Figure"/>
                    <w:shd w:val="clear" w:color="auto" w:fill="FFFFFF" w:themeFill="background1"/>
                    <w:spacing w:before="60" w:after="60"/>
                  </w:pPr>
                  <w:r>
                    <w:rPr>
                      <w:noProof/>
                    </w:rPr>
                    <w:drawing>
                      <wp:inline distT="0" distB="0" distL="0" distR="0">
                        <wp:extent cx="5210175" cy="2686050"/>
                        <wp:effectExtent l="0" t="0" r="9525" b="0"/>
                        <wp:docPr id="31" name="Picture 31" descr="Figure 12.28 Use of alcohol in last 12 months by people aged 14 years or over, lifetime risk status,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10175" cy="2686050"/>
                                </a:xfrm>
                                <a:prstGeom prst="rect">
                                  <a:avLst/>
                                </a:prstGeom>
                                <a:noFill/>
                                <a:ln>
                                  <a:noFill/>
                                </a:ln>
                              </pic:spPr>
                            </pic:pic>
                          </a:graphicData>
                        </a:graphic>
                      </wp:inline>
                    </w:drawing>
                  </w:r>
                </w:p>
              </w:tc>
            </w:tr>
          </w:tbl>
          <w:p w:rsidR="00B55D54" w:rsidRDefault="00B55D54" w:rsidP="009E765C">
            <w:pPr>
              <w:pStyle w:val="Figure"/>
              <w:shd w:val="clear" w:color="auto" w:fill="FFFFFF" w:themeFill="background1"/>
            </w:pP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027874" w:rsidP="00D71789">
            <w:pPr>
              <w:pStyle w:val="Note"/>
              <w:shd w:val="clear" w:color="auto" w:fill="FFFFFF" w:themeFill="background1"/>
              <w:rPr>
                <w:i/>
              </w:rPr>
            </w:pPr>
            <w:r w:rsidRPr="008E77FE">
              <w:rPr>
                <w:rStyle w:val="NoteLabel"/>
              </w:rPr>
              <w:t>a</w:t>
            </w:r>
            <w:r>
              <w:t xml:space="preserve"> </w:t>
            </w:r>
            <w:r w:rsidRPr="0026758F">
              <w:t>See</w:t>
            </w:r>
            <w:r w:rsidR="00D15DFA">
              <w:t xml:space="preserve"> box</w:t>
            </w:r>
            <w:r w:rsidR="00463329">
              <w:t> </w:t>
            </w:r>
            <w:r w:rsidR="00D15DFA">
              <w:t>12.19 and</w:t>
            </w:r>
            <w:r w:rsidRPr="0026758F">
              <w:t xml:space="preserve"> table</w:t>
            </w:r>
            <w:r w:rsidR="00463329">
              <w:t> </w:t>
            </w:r>
            <w:proofErr w:type="spellStart"/>
            <w:r w:rsidRPr="0026758F">
              <w:t>12A.6</w:t>
            </w:r>
            <w:r>
              <w:t>5</w:t>
            </w:r>
            <w:proofErr w:type="spellEnd"/>
            <w:r w:rsidRPr="0026758F">
              <w:t xml:space="preserve"> </w:t>
            </w:r>
            <w:r w:rsidR="00C9207F" w:rsidRPr="00C9207F">
              <w:t>for detailed definitions, footnotes and caveats</w:t>
            </w:r>
            <w:r>
              <w:t xml:space="preserve">. </w:t>
            </w:r>
          </w:p>
        </w:tc>
      </w:tr>
      <w:tr w:rsidR="00B55D54" w:rsidRPr="00176D3F" w:rsidTr="009E765C">
        <w:tc>
          <w:tcPr>
            <w:tcW w:w="8771" w:type="dxa"/>
            <w:tcBorders>
              <w:top w:val="nil"/>
              <w:left w:val="nil"/>
              <w:bottom w:val="nil"/>
              <w:right w:val="nil"/>
            </w:tcBorders>
            <w:shd w:val="clear" w:color="auto" w:fill="FFFFFF" w:themeFill="background1"/>
          </w:tcPr>
          <w:p w:rsidR="00B55D54" w:rsidRPr="00176D3F" w:rsidRDefault="00B55D54" w:rsidP="00027874">
            <w:pPr>
              <w:pStyle w:val="Source"/>
              <w:shd w:val="clear" w:color="auto" w:fill="FFFFFF" w:themeFill="background1"/>
            </w:pPr>
            <w:r w:rsidRPr="00B55D54">
              <w:rPr>
                <w:i/>
              </w:rPr>
              <w:t>Source</w:t>
            </w:r>
            <w:r w:rsidRPr="0079380A">
              <w:t xml:space="preserve">: </w:t>
            </w:r>
            <w:r w:rsidRPr="00B55D54">
              <w:t xml:space="preserve">AIHW </w:t>
            </w:r>
            <w:r w:rsidR="00936DF7">
              <w:t>(</w:t>
            </w:r>
            <w:r w:rsidRPr="00B55D54">
              <w:t>2014</w:t>
            </w:r>
            <w:r w:rsidR="00936DF7">
              <w:t>)</w:t>
            </w:r>
            <w:r w:rsidRPr="00B55D54">
              <w:t xml:space="preserve"> </w:t>
            </w:r>
            <w:r w:rsidRPr="00B55D54">
              <w:rPr>
                <w:i/>
              </w:rPr>
              <w:t>National Drug Strategy Household Survey detailed report 2013</w:t>
            </w:r>
            <w:r w:rsidRPr="00B55D54">
              <w:t xml:space="preserve">, Drug statistics series no. 28, Cat. no. </w:t>
            </w:r>
            <w:proofErr w:type="spellStart"/>
            <w:r w:rsidRPr="00B55D54">
              <w:t>PHE</w:t>
            </w:r>
            <w:proofErr w:type="spellEnd"/>
            <w:r w:rsidRPr="00B55D54">
              <w:t xml:space="preserve"> 183, Canberra</w:t>
            </w:r>
            <w:r w:rsidR="00F40E83">
              <w:t>;</w:t>
            </w:r>
            <w:r w:rsidRPr="00B55D54">
              <w:t xml:space="preserve"> table</w:t>
            </w:r>
            <w:r w:rsidR="0022260C">
              <w:t> </w:t>
            </w:r>
            <w:proofErr w:type="spellStart"/>
            <w:r w:rsidRPr="00B55D54">
              <w:t>12A.</w:t>
            </w:r>
            <w:r w:rsidR="00027874">
              <w:t>65</w:t>
            </w:r>
            <w:proofErr w:type="spellEnd"/>
            <w:r w:rsidRPr="00B55D54">
              <w:t>.</w:t>
            </w:r>
          </w:p>
        </w:tc>
      </w:tr>
      <w:tr w:rsidR="00B55D54" w:rsidTr="009E765C">
        <w:tc>
          <w:tcPr>
            <w:tcW w:w="8771" w:type="dxa"/>
            <w:tcBorders>
              <w:top w:val="nil"/>
              <w:left w:val="nil"/>
              <w:bottom w:val="single" w:sz="6" w:space="0" w:color="78A22F"/>
              <w:right w:val="nil"/>
            </w:tcBorders>
            <w:shd w:val="clear" w:color="auto" w:fill="FFFFFF" w:themeFill="background1"/>
          </w:tcPr>
          <w:p w:rsidR="00B55D54" w:rsidRDefault="00B55D54" w:rsidP="009E765C">
            <w:pPr>
              <w:pStyle w:val="Figurespace"/>
              <w:shd w:val="clear" w:color="auto" w:fill="FFFFFF" w:themeFill="background1"/>
            </w:pPr>
          </w:p>
        </w:tc>
      </w:tr>
      <w:tr w:rsidR="00B55D54" w:rsidRPr="000863A5" w:rsidTr="009E765C">
        <w:tc>
          <w:tcPr>
            <w:tcW w:w="8771" w:type="dxa"/>
            <w:tcBorders>
              <w:top w:val="single" w:sz="6" w:space="0" w:color="78A22F"/>
              <w:left w:val="nil"/>
              <w:bottom w:val="nil"/>
              <w:right w:val="nil"/>
            </w:tcBorders>
            <w:shd w:val="clear" w:color="auto" w:fill="FFFFFF" w:themeFill="background1"/>
          </w:tcPr>
          <w:p w:rsidR="00B55D54" w:rsidRPr="00626D32" w:rsidRDefault="00B55D54" w:rsidP="009E765C">
            <w:pPr>
              <w:pStyle w:val="BoxSpaceBelow"/>
              <w:shd w:val="clear" w:color="auto" w:fill="FFFFFF" w:themeFill="background1"/>
            </w:pPr>
          </w:p>
        </w:tc>
      </w:tr>
    </w:tbl>
    <w:p w:rsidR="005A3A24" w:rsidRDefault="005A3A24" w:rsidP="002D0D07">
      <w:pPr>
        <w:pStyle w:val="BodyText"/>
      </w:pPr>
      <w:r>
        <w:rPr>
          <w:shd w:val="clear" w:color="auto" w:fill="FFFFFF" w:themeFill="background1"/>
        </w:rPr>
        <w:lastRenderedPageBreak/>
        <w:t xml:space="preserve">The proportion of people who drank </w:t>
      </w:r>
      <w:r w:rsidRPr="002C2211">
        <w:rPr>
          <w:shd w:val="clear" w:color="auto" w:fill="FFFFFF" w:themeFill="background1"/>
        </w:rPr>
        <w:t xml:space="preserve">at </w:t>
      </w:r>
      <w:r>
        <w:rPr>
          <w:shd w:val="clear" w:color="auto" w:fill="FFFFFF" w:themeFill="background1"/>
        </w:rPr>
        <w:t xml:space="preserve">these </w:t>
      </w:r>
      <w:r w:rsidRPr="002C2211">
        <w:rPr>
          <w:shd w:val="clear" w:color="auto" w:fill="FFFFFF" w:themeFill="background1"/>
        </w:rPr>
        <w:t>‘risky’</w:t>
      </w:r>
      <w:r>
        <w:rPr>
          <w:shd w:val="clear" w:color="auto" w:fill="FFFFFF" w:themeFill="background1"/>
        </w:rPr>
        <w:t xml:space="preserve"> </w:t>
      </w:r>
      <w:r w:rsidRPr="002C2211">
        <w:rPr>
          <w:shd w:val="clear" w:color="auto" w:fill="FFFFFF" w:themeFill="background1"/>
        </w:rPr>
        <w:t xml:space="preserve">levels </w:t>
      </w:r>
      <w:r>
        <w:rPr>
          <w:shd w:val="clear" w:color="auto" w:fill="FFFFFF" w:themeFill="background1"/>
        </w:rPr>
        <w:t>slightly decreased</w:t>
      </w:r>
      <w:r w:rsidRPr="002C2211">
        <w:rPr>
          <w:shd w:val="clear" w:color="auto" w:fill="FFFFFF" w:themeFill="background1"/>
        </w:rPr>
        <w:t xml:space="preserve"> </w:t>
      </w:r>
      <w:r>
        <w:rPr>
          <w:shd w:val="clear" w:color="auto" w:fill="FFFFFF" w:themeFill="background1"/>
        </w:rPr>
        <w:t>between 2007 and 2013, a trend that was consistent across both males and females and most age groups (table </w:t>
      </w:r>
      <w:proofErr w:type="spellStart"/>
      <w:r>
        <w:rPr>
          <w:shd w:val="clear" w:color="auto" w:fill="FFFFFF" w:themeFill="background1"/>
        </w:rPr>
        <w:t>12A.71</w:t>
      </w:r>
      <w:proofErr w:type="spellEnd"/>
      <w:r>
        <w:rPr>
          <w:shd w:val="clear" w:color="auto" w:fill="FFFFFF" w:themeFill="background1"/>
        </w:rPr>
        <w:t xml:space="preserve">). </w:t>
      </w:r>
      <w:r w:rsidRPr="009E765C">
        <w:rPr>
          <w:shd w:val="clear" w:color="auto" w:fill="FFFFFF" w:themeFill="background1"/>
        </w:rPr>
        <w:t>Further data on alcohol use</w:t>
      </w:r>
      <w:r>
        <w:rPr>
          <w:shd w:val="clear" w:color="auto" w:fill="FFFFFF" w:themeFill="background1"/>
        </w:rPr>
        <w:t>,</w:t>
      </w:r>
      <w:r w:rsidRPr="009E765C">
        <w:rPr>
          <w:shd w:val="clear" w:color="auto" w:fill="FFFFFF" w:themeFill="background1"/>
        </w:rPr>
        <w:t xml:space="preserve"> and lifetime and single occasion risk status </w:t>
      </w:r>
      <w:r>
        <w:rPr>
          <w:shd w:val="clear" w:color="auto" w:fill="FFFFFF" w:themeFill="background1"/>
        </w:rPr>
        <w:t>for 2013, 2010 and 2007</w:t>
      </w:r>
      <w:r w:rsidR="00E45840">
        <w:rPr>
          <w:shd w:val="clear" w:color="auto" w:fill="FFFFFF" w:themeFill="background1"/>
        </w:rPr>
        <w:t>, and by Indigenous status and remoteness areas</w:t>
      </w:r>
      <w:r>
        <w:rPr>
          <w:shd w:val="clear" w:color="auto" w:fill="FFFFFF" w:themeFill="background1"/>
        </w:rPr>
        <w:t xml:space="preserve"> </w:t>
      </w:r>
      <w:r w:rsidRPr="009E765C">
        <w:rPr>
          <w:shd w:val="clear" w:color="auto" w:fill="FFFFFF" w:themeFill="background1"/>
        </w:rPr>
        <w:t>are in tables</w:t>
      </w:r>
      <w:r>
        <w:rPr>
          <w:shd w:val="clear" w:color="auto" w:fill="FFFFFF" w:themeFill="background1"/>
        </w:rPr>
        <w:t> </w:t>
      </w:r>
      <w:proofErr w:type="spellStart"/>
      <w:r w:rsidRPr="009E765C">
        <w:rPr>
          <w:shd w:val="clear" w:color="auto" w:fill="FFFFFF" w:themeFill="background1"/>
        </w:rPr>
        <w:t>12A.6</w:t>
      </w:r>
      <w:r>
        <w:rPr>
          <w:shd w:val="clear" w:color="auto" w:fill="FFFFFF" w:themeFill="background1"/>
        </w:rPr>
        <w:t>6</w:t>
      </w:r>
      <w:proofErr w:type="spellEnd"/>
      <w:r>
        <w:rPr>
          <w:shd w:val="clear" w:color="auto" w:fill="FFFFFF" w:themeFill="background1"/>
        </w:rPr>
        <w:t xml:space="preserve"> and </w:t>
      </w:r>
      <w:proofErr w:type="spellStart"/>
      <w:r w:rsidRPr="009E765C">
        <w:rPr>
          <w:shd w:val="clear" w:color="auto" w:fill="FFFFFF" w:themeFill="background1"/>
        </w:rPr>
        <w:t>12A.6</w:t>
      </w:r>
      <w:r>
        <w:rPr>
          <w:shd w:val="clear" w:color="auto" w:fill="FFFFFF" w:themeFill="background1"/>
        </w:rPr>
        <w:t>9</w:t>
      </w:r>
      <w:proofErr w:type="spellEnd"/>
      <w:r w:rsidR="00E45840">
        <w:rPr>
          <w:shd w:val="clear" w:color="auto" w:fill="FFFFFF" w:themeFill="background1"/>
        </w:rPr>
        <w:t>–</w:t>
      </w:r>
      <w:r w:rsidRPr="009E765C">
        <w:rPr>
          <w:shd w:val="clear" w:color="auto" w:fill="FFFFFF" w:themeFill="background1"/>
        </w:rPr>
        <w:t>7</w:t>
      </w:r>
      <w:r>
        <w:rPr>
          <w:shd w:val="clear" w:color="auto" w:fill="FFFFFF" w:themeFill="background1"/>
        </w:rPr>
        <w:t>2</w:t>
      </w:r>
      <w:r w:rsidRPr="009E765C">
        <w:rPr>
          <w:shd w:val="clear" w:color="auto" w:fill="FFFFFF" w:themeFill="background1"/>
        </w:rPr>
        <w:t>.</w:t>
      </w:r>
      <w:r>
        <w:rPr>
          <w:shd w:val="clear" w:color="auto" w:fill="FFFFFF" w:themeFill="background1"/>
        </w:rPr>
        <w:t xml:space="preserve"> </w:t>
      </w:r>
    </w:p>
    <w:p w:rsidR="00830006" w:rsidRPr="00D05FDC" w:rsidRDefault="000A0EAC" w:rsidP="00830006">
      <w:pPr>
        <w:pStyle w:val="BodyText"/>
        <w:shd w:val="clear" w:color="auto" w:fill="FFFFFF" w:themeFill="background1"/>
        <w:rPr>
          <w:shd w:val="clear" w:color="auto" w:fill="78A22F"/>
        </w:rPr>
      </w:pPr>
      <w:r>
        <w:t>Cannabis, ecstasy, cocaine and meth/amphetamines are the most widely used illicit drugs in Australia (</w:t>
      </w:r>
      <w:r w:rsidR="00A67C02">
        <w:t>table</w:t>
      </w:r>
      <w:r w:rsidR="00463329">
        <w:t> </w:t>
      </w:r>
      <w:proofErr w:type="spellStart"/>
      <w:r w:rsidR="00A67C02">
        <w:t>12A.67</w:t>
      </w:r>
      <w:proofErr w:type="spellEnd"/>
      <w:r w:rsidRPr="009E765C">
        <w:rPr>
          <w:shd w:val="clear" w:color="auto" w:fill="FFFFFF" w:themeFill="background1"/>
        </w:rPr>
        <w:t xml:space="preserve">). </w:t>
      </w:r>
      <w:r w:rsidR="00830006" w:rsidRPr="009E765C">
        <w:rPr>
          <w:shd w:val="clear" w:color="auto" w:fill="FFFFFF" w:themeFill="background1"/>
        </w:rPr>
        <w:t>Data across the 2007, 2010 and 2013 surveys show that people using illicit drugs had higher levels of psychological distress and a higher proportion of people with a mental illness used illicit drugs than those without a mental illness (table </w:t>
      </w:r>
      <w:proofErr w:type="spellStart"/>
      <w:r w:rsidR="00830006" w:rsidRPr="009E765C">
        <w:rPr>
          <w:shd w:val="clear" w:color="auto" w:fill="FFFFFF" w:themeFill="background1"/>
        </w:rPr>
        <w:t>12A.7</w:t>
      </w:r>
      <w:r w:rsidR="00830006">
        <w:rPr>
          <w:shd w:val="clear" w:color="auto" w:fill="FFFFFF" w:themeFill="background1"/>
        </w:rPr>
        <w:t>4</w:t>
      </w:r>
      <w:proofErr w:type="spellEnd"/>
      <w:r w:rsidR="00830006" w:rsidRPr="009E765C">
        <w:rPr>
          <w:shd w:val="clear" w:color="auto" w:fill="FFFFFF" w:themeFill="background1"/>
        </w:rPr>
        <w:t xml:space="preserve">). </w:t>
      </w:r>
      <w:r w:rsidR="00E45840">
        <w:rPr>
          <w:shd w:val="clear" w:color="auto" w:fill="FFFFFF" w:themeFill="background1"/>
        </w:rPr>
        <w:t xml:space="preserve">Data by Indigenous status and remoteness areas are in </w:t>
      </w:r>
      <w:r w:rsidR="00830006">
        <w:rPr>
          <w:shd w:val="clear" w:color="auto" w:fill="FFFFFF" w:themeFill="background1"/>
        </w:rPr>
        <w:t>table</w:t>
      </w:r>
      <w:r w:rsidR="00463329">
        <w:rPr>
          <w:shd w:val="clear" w:color="auto" w:fill="FFFFFF" w:themeFill="background1"/>
        </w:rPr>
        <w:t> </w:t>
      </w:r>
      <w:proofErr w:type="spellStart"/>
      <w:r w:rsidR="00830006">
        <w:rPr>
          <w:shd w:val="clear" w:color="auto" w:fill="FFFFFF" w:themeFill="background1"/>
        </w:rPr>
        <w:t>12A.75</w:t>
      </w:r>
      <w:proofErr w:type="spellEnd"/>
      <w:r w:rsidR="00830006" w:rsidRPr="009E765C">
        <w:rPr>
          <w:shd w:val="clear" w:color="auto" w:fill="FFFFFF" w:themeFill="background1"/>
        </w:rPr>
        <w:t>.</w:t>
      </w:r>
    </w:p>
    <w:p w:rsidR="00A67C02" w:rsidRDefault="00A67C02" w:rsidP="009E765C">
      <w:pPr>
        <w:pStyle w:val="BodyText"/>
        <w:shd w:val="clear" w:color="auto" w:fill="FFFFFF" w:themeFill="background1"/>
      </w:pPr>
      <w:r>
        <w:t>Younger people’s us</w:t>
      </w:r>
      <w:r w:rsidR="00364D09">
        <w:t>e</w:t>
      </w:r>
      <w:r>
        <w:t xml:space="preserve"> of cannabis and meth/amphetamines is of particular concern</w:t>
      </w:r>
      <w:r w:rsidR="00364D09">
        <w:t>.</w:t>
      </w:r>
      <w:r>
        <w:t xml:space="preserve"> Cannabis can precipitate schizophrenia in people who have a family history, increase the risk of psychosis symptoms and also exacerbate the schizophrenia symptoms (</w:t>
      </w:r>
      <w:proofErr w:type="spellStart"/>
      <w:r>
        <w:t>AHMC</w:t>
      </w:r>
      <w:proofErr w:type="spellEnd"/>
      <w:r>
        <w:t> 2012). Psychosis symptoms are also associated with meth/amphetamine use and dependent meth/amphetamine users can also suffer from a range of co</w:t>
      </w:r>
      <w:r>
        <w:noBreakHyphen/>
        <w:t>morbid mental health problems (</w:t>
      </w:r>
      <w:proofErr w:type="spellStart"/>
      <w:r>
        <w:t>AHMC</w:t>
      </w:r>
      <w:proofErr w:type="spellEnd"/>
      <w:r>
        <w:t xml:space="preserve"> 2012).</w:t>
      </w:r>
      <w:r w:rsidR="002C2211">
        <w:t xml:space="preserve"> </w:t>
      </w:r>
      <w:r w:rsidR="00243E8F">
        <w:t>Since 2001</w:t>
      </w:r>
      <w:r w:rsidR="00364D09">
        <w:t>, the proportion</w:t>
      </w:r>
      <w:r w:rsidR="0068010B">
        <w:t>s</w:t>
      </w:r>
      <w:r w:rsidR="00364D09">
        <w:t xml:space="preserve"> of younger people aged</w:t>
      </w:r>
      <w:r w:rsidR="0068010B">
        <w:t> </w:t>
      </w:r>
      <w:r w:rsidR="00364D09">
        <w:t>14</w:t>
      </w:r>
      <w:r w:rsidR="00364D09">
        <w:sym w:font="Symbol" w:char="F02D"/>
      </w:r>
      <w:r w:rsidR="00364D09">
        <w:t>19</w:t>
      </w:r>
      <w:r w:rsidR="00B9731F">
        <w:t> </w:t>
      </w:r>
      <w:r w:rsidR="00364D09">
        <w:t>years and 20</w:t>
      </w:r>
      <w:r w:rsidR="00364D09">
        <w:sym w:font="Symbol" w:char="F02D"/>
      </w:r>
      <w:r w:rsidR="00364D09">
        <w:t>2</w:t>
      </w:r>
      <w:r w:rsidR="00364D09" w:rsidRPr="00364D09">
        <w:t>9 years</w:t>
      </w:r>
      <w:r w:rsidR="00364D09">
        <w:t xml:space="preserve"> who used these drugs decreased (figure 12.2</w:t>
      </w:r>
      <w:r w:rsidR="00811C03">
        <w:t>9</w:t>
      </w:r>
      <w:r w:rsidR="00364D09">
        <w:t>).</w:t>
      </w:r>
      <w:r w:rsidR="00383A9A">
        <w:t xml:space="preserve"> Cannabis use in 2013 by state and territory and age group are reported in table</w:t>
      </w:r>
      <w:r w:rsidR="00463329">
        <w:t> </w:t>
      </w:r>
      <w:proofErr w:type="spellStart"/>
      <w:r w:rsidR="00383A9A">
        <w:t>12A.68</w:t>
      </w:r>
      <w:proofErr w:type="spellEnd"/>
      <w:r w:rsidR="00383A9A">
        <w:t>.</w:t>
      </w:r>
    </w:p>
    <w:p w:rsidR="00186BB3" w:rsidRDefault="00186BB3" w:rsidP="00C9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86BB3" w:rsidTr="009E765C">
        <w:tc>
          <w:tcPr>
            <w:tcW w:w="8771" w:type="dxa"/>
            <w:tcBorders>
              <w:top w:val="single" w:sz="6" w:space="0" w:color="78A22F"/>
              <w:left w:val="nil"/>
              <w:bottom w:val="nil"/>
              <w:right w:val="nil"/>
            </w:tcBorders>
            <w:shd w:val="clear" w:color="auto" w:fill="FFFFFF" w:themeFill="background1"/>
          </w:tcPr>
          <w:p w:rsidR="00186BB3" w:rsidRPr="00176D3F" w:rsidRDefault="00186BB3" w:rsidP="00243E8F">
            <w:pPr>
              <w:pStyle w:val="FigureTitle"/>
              <w:shd w:val="clear" w:color="auto" w:fill="FFFFFF" w:themeFill="background1"/>
            </w:pPr>
            <w:r w:rsidRPr="00784A05">
              <w:rPr>
                <w:b w:val="0"/>
              </w:rPr>
              <w:t xml:space="preserve">Figure </w:t>
            </w:r>
            <w:r w:rsidR="00811C03">
              <w:rPr>
                <w:b w:val="0"/>
              </w:rPr>
              <w:t>12.</w:t>
            </w:r>
            <w:r w:rsidR="00833D26">
              <w:rPr>
                <w:b w:val="0"/>
                <w:noProof/>
              </w:rPr>
              <w:t>29</w:t>
            </w:r>
            <w:r>
              <w:tab/>
            </w:r>
            <w:r w:rsidR="00177AE1">
              <w:t>Young people’s u</w:t>
            </w:r>
            <w:r>
              <w:t>se of cannabis</w:t>
            </w:r>
            <w:r w:rsidR="00FC4FE7">
              <w:t xml:space="preserve"> and meth/amphetamines</w:t>
            </w:r>
            <w:r>
              <w:t xml:space="preserve">, </w:t>
            </w:r>
            <w:r w:rsidR="00164921">
              <w:t>by age group</w:t>
            </w:r>
            <w:r w:rsidR="00243E8F" w:rsidRPr="00243E8F">
              <w:rPr>
                <w:rStyle w:val="NoteLabel"/>
                <w:b/>
              </w:rPr>
              <w:t>a</w:t>
            </w:r>
          </w:p>
        </w:tc>
      </w:tr>
      <w:tr w:rsidR="00186BB3" w:rsidTr="009E765C">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86BB3" w:rsidTr="00C95390">
              <w:trPr>
                <w:jc w:val="center"/>
              </w:trPr>
              <w:tc>
                <w:tcPr>
                  <w:tcW w:w="5000" w:type="pct"/>
                  <w:tcBorders>
                    <w:top w:val="nil"/>
                    <w:bottom w:val="nil"/>
                  </w:tcBorders>
                </w:tcPr>
                <w:p w:rsidR="00186BB3" w:rsidRDefault="001B7B09" w:rsidP="009E765C">
                  <w:pPr>
                    <w:pStyle w:val="Figure"/>
                    <w:shd w:val="clear" w:color="auto" w:fill="FFFFFF" w:themeFill="background1"/>
                    <w:spacing w:before="60" w:after="60"/>
                  </w:pPr>
                  <w:r>
                    <w:rPr>
                      <w:noProof/>
                    </w:rPr>
                    <w:drawing>
                      <wp:inline distT="0" distB="0" distL="0" distR="0">
                        <wp:extent cx="5353050" cy="2733675"/>
                        <wp:effectExtent l="0" t="0" r="0" b="9525"/>
                        <wp:docPr id="32" name="Picture 32" descr="Figure 12.29 Young people’s use of cannabis and meth/amphetamines, by age group&#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53050" cy="2733675"/>
                                </a:xfrm>
                                <a:prstGeom prst="rect">
                                  <a:avLst/>
                                </a:prstGeom>
                                <a:noFill/>
                                <a:ln>
                                  <a:noFill/>
                                </a:ln>
                              </pic:spPr>
                            </pic:pic>
                          </a:graphicData>
                        </a:graphic>
                      </wp:inline>
                    </w:drawing>
                  </w:r>
                </w:p>
              </w:tc>
            </w:tr>
          </w:tbl>
          <w:p w:rsidR="00186BB3" w:rsidRDefault="00186BB3" w:rsidP="009E765C">
            <w:pPr>
              <w:pStyle w:val="Figure"/>
              <w:shd w:val="clear" w:color="auto" w:fill="FFFFFF" w:themeFill="background1"/>
            </w:pPr>
          </w:p>
        </w:tc>
      </w:tr>
      <w:tr w:rsidR="00186BB3" w:rsidRPr="00176D3F" w:rsidTr="009E765C">
        <w:tc>
          <w:tcPr>
            <w:tcW w:w="8771" w:type="dxa"/>
            <w:tcBorders>
              <w:top w:val="nil"/>
              <w:left w:val="nil"/>
              <w:bottom w:val="nil"/>
              <w:right w:val="nil"/>
            </w:tcBorders>
            <w:shd w:val="clear" w:color="auto" w:fill="FFFFFF" w:themeFill="background1"/>
          </w:tcPr>
          <w:p w:rsidR="00186BB3" w:rsidRPr="00176D3F" w:rsidRDefault="00E65CA4" w:rsidP="00CE1191">
            <w:pPr>
              <w:pStyle w:val="Note"/>
              <w:shd w:val="clear" w:color="auto" w:fill="FFFFFF" w:themeFill="background1"/>
            </w:pPr>
            <w:r w:rsidRPr="00E65CA4">
              <w:rPr>
                <w:rStyle w:val="NoteLabel"/>
              </w:rPr>
              <w:t xml:space="preserve">a </w:t>
            </w:r>
            <w:r w:rsidR="00CE1191" w:rsidRPr="0026758F">
              <w:t>See</w:t>
            </w:r>
            <w:r w:rsidR="00CE1191">
              <w:t xml:space="preserve"> box</w:t>
            </w:r>
            <w:r w:rsidR="00463329">
              <w:t> </w:t>
            </w:r>
            <w:r w:rsidR="00CE1191">
              <w:t>12.19 and</w:t>
            </w:r>
            <w:r w:rsidR="00CE1191" w:rsidRPr="0026758F">
              <w:t xml:space="preserve"> table</w:t>
            </w:r>
            <w:r w:rsidR="00463329">
              <w:t> </w:t>
            </w:r>
            <w:proofErr w:type="spellStart"/>
            <w:r w:rsidR="00CE1191" w:rsidRPr="0026758F">
              <w:t>12A.</w:t>
            </w:r>
            <w:r w:rsidR="00CE1191">
              <w:t>73</w:t>
            </w:r>
            <w:proofErr w:type="spellEnd"/>
            <w:r w:rsidR="00CE1191" w:rsidRPr="0026758F">
              <w:t xml:space="preserve"> </w:t>
            </w:r>
            <w:r w:rsidR="00C9207F" w:rsidRPr="00C9207F">
              <w:t>for detailed definitions, footnotes and caveats</w:t>
            </w:r>
            <w:r w:rsidR="00CE1191">
              <w:t xml:space="preserve">. </w:t>
            </w:r>
          </w:p>
        </w:tc>
      </w:tr>
      <w:tr w:rsidR="00186BB3" w:rsidRPr="00176D3F" w:rsidTr="009E765C">
        <w:tc>
          <w:tcPr>
            <w:tcW w:w="8771" w:type="dxa"/>
            <w:tcBorders>
              <w:top w:val="nil"/>
              <w:left w:val="nil"/>
              <w:bottom w:val="nil"/>
              <w:right w:val="nil"/>
            </w:tcBorders>
            <w:shd w:val="clear" w:color="auto" w:fill="FFFFFF" w:themeFill="background1"/>
          </w:tcPr>
          <w:p w:rsidR="00186BB3" w:rsidRPr="00176D3F" w:rsidRDefault="00166FD8" w:rsidP="00830006">
            <w:pPr>
              <w:pStyle w:val="Source"/>
              <w:shd w:val="clear" w:color="auto" w:fill="FFFFFF" w:themeFill="background1"/>
            </w:pPr>
            <w:r w:rsidRPr="00B55D54">
              <w:rPr>
                <w:i/>
              </w:rPr>
              <w:t>Source</w:t>
            </w:r>
            <w:r w:rsidRPr="0079380A">
              <w:t xml:space="preserve">: </w:t>
            </w:r>
            <w:r w:rsidR="00936DF7" w:rsidRPr="00936DF7">
              <w:t>AIHW (2014</w:t>
            </w:r>
            <w:r w:rsidR="00936DF7">
              <w:t xml:space="preserve">) </w:t>
            </w:r>
            <w:r w:rsidRPr="00B55D54">
              <w:rPr>
                <w:i/>
              </w:rPr>
              <w:t>National Drug Strategy Household Survey detailed report 2013</w:t>
            </w:r>
            <w:r w:rsidRPr="00B55D54">
              <w:t xml:space="preserve">, Drug statistics series no. 28, Cat. no. </w:t>
            </w:r>
            <w:proofErr w:type="spellStart"/>
            <w:r w:rsidRPr="00B55D54">
              <w:t>PHE</w:t>
            </w:r>
            <w:proofErr w:type="spellEnd"/>
            <w:r w:rsidRPr="00B55D54">
              <w:t xml:space="preserve"> 183, Canberra</w:t>
            </w:r>
            <w:r w:rsidR="00936DF7">
              <w:t>;</w:t>
            </w:r>
            <w:r w:rsidRPr="00B55D54">
              <w:t xml:space="preserve"> table</w:t>
            </w:r>
            <w:r w:rsidR="0022260C">
              <w:t> </w:t>
            </w:r>
            <w:proofErr w:type="spellStart"/>
            <w:r w:rsidRPr="00B55D54">
              <w:t>12A.</w:t>
            </w:r>
            <w:r w:rsidR="00830006">
              <w:t>73</w:t>
            </w:r>
            <w:proofErr w:type="spellEnd"/>
            <w:r w:rsidRPr="00B55D54">
              <w:t>.</w:t>
            </w:r>
          </w:p>
        </w:tc>
      </w:tr>
      <w:tr w:rsidR="00186BB3" w:rsidTr="009E765C">
        <w:tc>
          <w:tcPr>
            <w:tcW w:w="8771" w:type="dxa"/>
            <w:tcBorders>
              <w:top w:val="nil"/>
              <w:left w:val="nil"/>
              <w:bottom w:val="single" w:sz="6" w:space="0" w:color="78A22F"/>
              <w:right w:val="nil"/>
            </w:tcBorders>
            <w:shd w:val="clear" w:color="auto" w:fill="FFFFFF" w:themeFill="background1"/>
          </w:tcPr>
          <w:p w:rsidR="00186BB3" w:rsidRDefault="00186BB3" w:rsidP="009E765C">
            <w:pPr>
              <w:pStyle w:val="Figurespace"/>
              <w:shd w:val="clear" w:color="auto" w:fill="FFFFFF" w:themeFill="background1"/>
            </w:pPr>
          </w:p>
        </w:tc>
      </w:tr>
      <w:tr w:rsidR="00186BB3" w:rsidRPr="000863A5" w:rsidTr="009E765C">
        <w:tc>
          <w:tcPr>
            <w:tcW w:w="8771" w:type="dxa"/>
            <w:tcBorders>
              <w:top w:val="single" w:sz="6" w:space="0" w:color="78A22F"/>
              <w:left w:val="nil"/>
              <w:bottom w:val="nil"/>
              <w:right w:val="nil"/>
            </w:tcBorders>
            <w:shd w:val="clear" w:color="auto" w:fill="FFFFFF" w:themeFill="background1"/>
          </w:tcPr>
          <w:p w:rsidR="00186BB3" w:rsidRPr="00626D32" w:rsidRDefault="00186BB3" w:rsidP="009E765C">
            <w:pPr>
              <w:pStyle w:val="BoxSpaceBelow"/>
              <w:shd w:val="clear" w:color="auto" w:fill="FFFFFF" w:themeFill="background1"/>
            </w:pPr>
          </w:p>
        </w:tc>
      </w:tr>
    </w:tbl>
    <w:p w:rsidR="002315C6" w:rsidRDefault="002315C6" w:rsidP="009E765C">
      <w:pPr>
        <w:pStyle w:val="Heading4"/>
        <w:shd w:val="clear" w:color="auto" w:fill="FFFFFF" w:themeFill="background1"/>
      </w:pPr>
      <w:r>
        <w:lastRenderedPageBreak/>
        <w:t>Prevalence of mental illness</w:t>
      </w:r>
    </w:p>
    <w:p w:rsidR="002315C6" w:rsidRDefault="002315C6" w:rsidP="002315C6">
      <w:pPr>
        <w:pStyle w:val="BodyText"/>
      </w:pPr>
      <w:r>
        <w:t>‘Prevalence of mental illness’ is an indicator of governments’ objective to prevent the development of mental health problems and mental illness where possible (box</w:t>
      </w:r>
      <w:r w:rsidR="0022260C">
        <w:t> </w:t>
      </w:r>
      <w:r>
        <w:t>12.</w:t>
      </w:r>
      <w:r w:rsidR="000157A1">
        <w:t>20</w:t>
      </w:r>
      <w:r>
        <w:t>).</w:t>
      </w:r>
    </w:p>
    <w:p w:rsidR="006E6F6D" w:rsidRDefault="006E6F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6F6D" w:rsidTr="004D4228">
        <w:tc>
          <w:tcPr>
            <w:tcW w:w="8771" w:type="dxa"/>
            <w:tcBorders>
              <w:top w:val="single" w:sz="6" w:space="0" w:color="78A22F"/>
              <w:left w:val="nil"/>
              <w:bottom w:val="nil"/>
              <w:right w:val="nil"/>
            </w:tcBorders>
            <w:shd w:val="clear" w:color="auto" w:fill="F2F2F2"/>
          </w:tcPr>
          <w:p w:rsidR="006E6F6D" w:rsidRDefault="006E6F6D" w:rsidP="0031725E">
            <w:pPr>
              <w:pStyle w:val="BoxTitle"/>
            </w:pPr>
            <w:r>
              <w:rPr>
                <w:b w:val="0"/>
              </w:rPr>
              <w:t>Box 12.</w:t>
            </w:r>
            <w:r w:rsidR="00833D26">
              <w:rPr>
                <w:b w:val="0"/>
                <w:noProof/>
              </w:rPr>
              <w:t>20</w:t>
            </w:r>
            <w:r>
              <w:tab/>
            </w:r>
            <w:r w:rsidRPr="00771616">
              <w:t>Prevalence of mental illness</w:t>
            </w:r>
            <w:r>
              <w:t xml:space="preserve"> </w:t>
            </w:r>
          </w:p>
        </w:tc>
      </w:tr>
      <w:tr w:rsidR="006E6F6D" w:rsidTr="004D4228">
        <w:trPr>
          <w:cantSplit/>
        </w:trPr>
        <w:tc>
          <w:tcPr>
            <w:tcW w:w="8771" w:type="dxa"/>
            <w:tcBorders>
              <w:top w:val="nil"/>
              <w:left w:val="nil"/>
              <w:bottom w:val="nil"/>
              <w:right w:val="nil"/>
            </w:tcBorders>
            <w:shd w:val="clear" w:color="auto" w:fill="F2F2F2"/>
          </w:tcPr>
          <w:p w:rsidR="006E6F6D" w:rsidRDefault="006E6F6D" w:rsidP="006E6F6D">
            <w:pPr>
              <w:pStyle w:val="Box"/>
            </w:pPr>
            <w:r>
              <w:t>‘Prevalence of mental illness’ is defined as the proportion of the total population who have a mental illness. Proportions are reported for all people</w:t>
            </w:r>
            <w:r w:rsidR="006F72FE">
              <w:t xml:space="preserve"> by sex, age group and </w:t>
            </w:r>
            <w:r>
              <w:t>disorder type.</w:t>
            </w:r>
          </w:p>
          <w:p w:rsidR="006E6F6D" w:rsidRDefault="006E6F6D" w:rsidP="004D4228">
            <w:pPr>
              <w:pStyle w:val="Box"/>
            </w:pPr>
            <w:r>
              <w:t>A low or decreasing prevalence of mental illness can indicate that measures to prevent mental illness have been effective.</w:t>
            </w:r>
          </w:p>
          <w:p w:rsidR="006F72FE" w:rsidRDefault="00E45840" w:rsidP="00E45840">
            <w:pPr>
              <w:pStyle w:val="Box"/>
            </w:pPr>
            <w:r>
              <w:t>A reduction in the prevalence of mental illness can be brought about by preventative activities to stop an illness occurring, or by increasing access to effective treatments for those who have an illness (</w:t>
            </w:r>
            <w:proofErr w:type="spellStart"/>
            <w:r>
              <w:t>AHMC</w:t>
            </w:r>
            <w:proofErr w:type="spellEnd"/>
            <w:r>
              <w:t xml:space="preserve"> 2012). Many of the risk and protective factors that can affect the development of mental health problems and mental illness are outside the scope of the mental health system, in sectors that affect the daily lives of individuals and communities. These include environmental, sociocultural and economic factors</w:t>
            </w:r>
            <w:r w:rsidR="006F72FE">
              <w:t>, of which some can increase the risk of mental illness whilst others can support good mental health</w:t>
            </w:r>
            <w:r>
              <w:t xml:space="preserve">. </w:t>
            </w:r>
          </w:p>
          <w:p w:rsidR="00E45840" w:rsidRDefault="00E45840" w:rsidP="00E45840">
            <w:pPr>
              <w:pStyle w:val="Box"/>
            </w:pPr>
            <w:r>
              <w:t>Not all mental illnesses are preventable and a reduction in the effect of symptoms and an improved quality of life will be a positive outcome for many people with a mental illness.</w:t>
            </w:r>
          </w:p>
          <w:p w:rsidR="00E45840" w:rsidRDefault="00E45840" w:rsidP="00E45840">
            <w:pPr>
              <w:pStyle w:val="Box"/>
            </w:pPr>
            <w:r>
              <w:t>Data reported for this indicator are:</w:t>
            </w:r>
          </w:p>
          <w:p w:rsidR="00E45840" w:rsidRDefault="00E45840" w:rsidP="00E45840">
            <w:pPr>
              <w:pStyle w:val="BoxListBullet"/>
            </w:pPr>
            <w:r>
              <w:t xml:space="preserve">comparable (subject to caveats) across jurisdictions </w:t>
            </w:r>
            <w:r w:rsidRPr="0031725E">
              <w:t>(no time series data are reported)</w:t>
            </w:r>
          </w:p>
          <w:p w:rsidR="00E45840" w:rsidRDefault="00E45840" w:rsidP="00E45840">
            <w:pPr>
              <w:pStyle w:val="BoxListBullet"/>
            </w:pPr>
            <w:r>
              <w:t>complete (subject to caveats) for the current reporting period. All required 2007 data are available for all jurisdictions.</w:t>
            </w:r>
          </w:p>
          <w:p w:rsidR="00E45840" w:rsidRDefault="00E45840" w:rsidP="00E45840">
            <w:pPr>
              <w:pStyle w:val="Box"/>
            </w:pPr>
            <w:r>
              <w:t xml:space="preserve">Data quality information for this indicator is at </w:t>
            </w:r>
            <w:proofErr w:type="spellStart"/>
            <w:r>
              <w:t>www.pc.gov.au</w:t>
            </w:r>
            <w:proofErr w:type="spellEnd"/>
            <w:r>
              <w:t>/</w:t>
            </w:r>
            <w:proofErr w:type="spellStart"/>
            <w:r>
              <w:t>rogs</w:t>
            </w:r>
            <w:proofErr w:type="spellEnd"/>
            <w:r>
              <w:t>/2016.</w:t>
            </w:r>
          </w:p>
        </w:tc>
      </w:tr>
      <w:tr w:rsidR="006E6F6D" w:rsidTr="004D4228">
        <w:trPr>
          <w:cantSplit/>
        </w:trPr>
        <w:tc>
          <w:tcPr>
            <w:tcW w:w="8771" w:type="dxa"/>
            <w:tcBorders>
              <w:top w:val="nil"/>
              <w:left w:val="nil"/>
              <w:bottom w:val="single" w:sz="6" w:space="0" w:color="78A22F"/>
              <w:right w:val="nil"/>
            </w:tcBorders>
            <w:shd w:val="clear" w:color="auto" w:fill="F2F2F2"/>
          </w:tcPr>
          <w:p w:rsidR="006E6F6D" w:rsidRDefault="006E6F6D">
            <w:pPr>
              <w:pStyle w:val="Box"/>
              <w:spacing w:before="0" w:line="120" w:lineRule="exact"/>
            </w:pPr>
          </w:p>
        </w:tc>
      </w:tr>
      <w:tr w:rsidR="006E6F6D" w:rsidRPr="000863A5" w:rsidTr="004D4228">
        <w:tc>
          <w:tcPr>
            <w:tcW w:w="8771" w:type="dxa"/>
            <w:tcBorders>
              <w:top w:val="single" w:sz="6" w:space="0" w:color="78A22F"/>
              <w:left w:val="nil"/>
              <w:bottom w:val="nil"/>
              <w:right w:val="nil"/>
            </w:tcBorders>
          </w:tcPr>
          <w:p w:rsidR="006E6F6D" w:rsidRPr="00626D32" w:rsidRDefault="006E6F6D" w:rsidP="004D4228">
            <w:pPr>
              <w:pStyle w:val="BoxSpaceBelow"/>
            </w:pPr>
          </w:p>
        </w:tc>
      </w:tr>
    </w:tbl>
    <w:p w:rsidR="00771616" w:rsidRDefault="006F72FE" w:rsidP="002315C6">
      <w:pPr>
        <w:pStyle w:val="BodyText"/>
      </w:pPr>
      <w:r>
        <w:t>Nationally i</w:t>
      </w:r>
      <w:r w:rsidR="007441A3">
        <w:t xml:space="preserve">n 2007, the prevalence </w:t>
      </w:r>
      <w:r w:rsidR="0021367A">
        <w:t xml:space="preserve">of </w:t>
      </w:r>
      <w:r w:rsidR="00B94C1D">
        <w:t xml:space="preserve">a </w:t>
      </w:r>
      <w:r w:rsidR="0021367A">
        <w:t>mental illness</w:t>
      </w:r>
      <w:r>
        <w:t xml:space="preserve"> (</w:t>
      </w:r>
      <w:r w:rsidR="007441A3">
        <w:t xml:space="preserve">with symptoms in </w:t>
      </w:r>
      <w:r w:rsidR="00243E8F">
        <w:t xml:space="preserve">the </w:t>
      </w:r>
      <w:r w:rsidR="007441A3">
        <w:t>previous 12</w:t>
      </w:r>
      <w:r>
        <w:t> </w:t>
      </w:r>
      <w:r w:rsidR="007441A3">
        <w:t>months</w:t>
      </w:r>
      <w:r>
        <w:t>)</w:t>
      </w:r>
      <w:r w:rsidR="007441A3">
        <w:t xml:space="preserve"> was </w:t>
      </w:r>
      <w:r w:rsidR="007441A3" w:rsidRPr="007441A3">
        <w:t>20.0</w:t>
      </w:r>
      <w:r w:rsidR="0068010B">
        <w:t> </w:t>
      </w:r>
      <w:r w:rsidR="007441A3">
        <w:t>per</w:t>
      </w:r>
      <w:r w:rsidR="0068010B">
        <w:t> </w:t>
      </w:r>
      <w:r w:rsidR="007441A3">
        <w:t xml:space="preserve">cent </w:t>
      </w:r>
      <w:r w:rsidR="004C2D4E">
        <w:t xml:space="preserve">for </w:t>
      </w:r>
      <w:r>
        <w:t xml:space="preserve">people </w:t>
      </w:r>
      <w:r w:rsidR="004C2D4E">
        <w:t>aged 16</w:t>
      </w:r>
      <w:r w:rsidR="004C2D4E">
        <w:sym w:font="Symbol" w:char="F02D"/>
      </w:r>
      <w:r w:rsidR="004C2D4E">
        <w:t>85 years</w:t>
      </w:r>
      <w:r>
        <w:t xml:space="preserve">, with </w:t>
      </w:r>
      <w:r w:rsidR="00B9731F">
        <w:t>a</w:t>
      </w:r>
      <w:r w:rsidR="007441A3">
        <w:t xml:space="preserve"> further </w:t>
      </w:r>
      <w:r w:rsidR="007441A3" w:rsidRPr="007441A3">
        <w:t>25.5</w:t>
      </w:r>
      <w:r w:rsidR="0068010B">
        <w:t> </w:t>
      </w:r>
      <w:r w:rsidR="007441A3">
        <w:t>per</w:t>
      </w:r>
      <w:r w:rsidR="0068010B">
        <w:t> </w:t>
      </w:r>
      <w:r w:rsidR="007441A3">
        <w:t xml:space="preserve">cent </w:t>
      </w:r>
      <w:r>
        <w:t xml:space="preserve">reported as having </w:t>
      </w:r>
      <w:r w:rsidR="007441A3">
        <w:t>a mental illness at some point in their life</w:t>
      </w:r>
      <w:r>
        <w:t xml:space="preserve"> (no</w:t>
      </w:r>
      <w:r w:rsidR="007441A3">
        <w:t xml:space="preserve"> symptoms in the last 12</w:t>
      </w:r>
      <w:r>
        <w:t> </w:t>
      </w:r>
      <w:r w:rsidR="007441A3">
        <w:t>months</w:t>
      </w:r>
      <w:r>
        <w:t>)</w:t>
      </w:r>
      <w:r w:rsidR="0021367A">
        <w:t xml:space="preserve"> </w:t>
      </w:r>
      <w:r w:rsidR="007441A3">
        <w:t>(</w:t>
      </w:r>
      <w:r w:rsidR="0021367A">
        <w:t>table</w:t>
      </w:r>
      <w:r w:rsidR="0022260C">
        <w:t> </w:t>
      </w:r>
      <w:proofErr w:type="spellStart"/>
      <w:r w:rsidR="0021367A">
        <w:t>12A.</w:t>
      </w:r>
      <w:r w:rsidR="001E5BD5">
        <w:t>7</w:t>
      </w:r>
      <w:r w:rsidR="00B9731F">
        <w:t>6</w:t>
      </w:r>
      <w:proofErr w:type="spellEnd"/>
      <w:r w:rsidR="007441A3">
        <w:t>)</w:t>
      </w:r>
      <w:r w:rsidR="0021367A">
        <w:t>. National data on the prevalence of mental illness by disorder, age</w:t>
      </w:r>
      <w:r w:rsidR="00052549">
        <w:t>,</w:t>
      </w:r>
      <w:r w:rsidR="0021367A">
        <w:t xml:space="preserve"> sex </w:t>
      </w:r>
      <w:r w:rsidR="00052549">
        <w:t xml:space="preserve">and social characteristics </w:t>
      </w:r>
      <w:r w:rsidR="0021367A">
        <w:t>are reported in tables</w:t>
      </w:r>
      <w:r w:rsidR="0022260C">
        <w:t> </w:t>
      </w:r>
      <w:proofErr w:type="spellStart"/>
      <w:r w:rsidR="0021367A">
        <w:t>12A.</w:t>
      </w:r>
      <w:r w:rsidR="00511F10">
        <w:t>7</w:t>
      </w:r>
      <w:r w:rsidR="00052549">
        <w:t>6</w:t>
      </w:r>
      <w:proofErr w:type="spellEnd"/>
      <w:r>
        <w:t>–</w:t>
      </w:r>
      <w:r w:rsidR="00511F10">
        <w:t>7</w:t>
      </w:r>
      <w:r w:rsidR="00052549">
        <w:t>8</w:t>
      </w:r>
      <w:r w:rsidR="0021367A">
        <w:t xml:space="preserve">. </w:t>
      </w:r>
      <w:r w:rsidR="004C2D4E">
        <w:t>These</w:t>
      </w:r>
      <w:r w:rsidR="0021367A">
        <w:t xml:space="preserve"> prevalence estimates </w:t>
      </w:r>
      <w:r w:rsidR="004C2D4E">
        <w:t xml:space="preserve">are </w:t>
      </w:r>
      <w:r w:rsidR="0021367A">
        <w:t xml:space="preserve">for the mental disorders that are considered to have the highest incidence rates in the population, but </w:t>
      </w:r>
      <w:r w:rsidR="004C2D4E">
        <w:t>not</w:t>
      </w:r>
      <w:r w:rsidR="0021367A">
        <w:t xml:space="preserve"> some severe mental disorders, such as schizophrenia and bipolar disorder. The </w:t>
      </w:r>
      <w:r w:rsidR="0021367A" w:rsidRPr="000A274A">
        <w:rPr>
          <w:i/>
        </w:rPr>
        <w:t>National Survey of Psychotic Illness 2010</w:t>
      </w:r>
      <w:r w:rsidR="0021367A">
        <w:t xml:space="preserve"> provides information on the one month treated prevalence of psychotic illnesses. In 2010, there were an estimated 3.1</w:t>
      </w:r>
      <w:r w:rsidR="0068010B">
        <w:t> </w:t>
      </w:r>
      <w:r w:rsidR="0021367A">
        <w:t>cases</w:t>
      </w:r>
      <w:r w:rsidR="006E6F6D">
        <w:t xml:space="preserve"> </w:t>
      </w:r>
      <w:r w:rsidR="0021367A">
        <w:t>of psychotic illness per 1000 adult population (aged 18</w:t>
      </w:r>
      <w:r w:rsidR="0021367A">
        <w:rPr>
          <w:rFonts w:ascii="Calibri" w:hAnsi="Calibri"/>
        </w:rPr>
        <w:t>–</w:t>
      </w:r>
      <w:r w:rsidR="0021367A">
        <w:t>64 years)</w:t>
      </w:r>
      <w:r>
        <w:t xml:space="preserve"> </w:t>
      </w:r>
      <w:r w:rsidR="0021367A">
        <w:t>(Morgan</w:t>
      </w:r>
      <w:r w:rsidR="00113CBF">
        <w:t> </w:t>
      </w:r>
      <w:r w:rsidR="0021367A">
        <w:t>et</w:t>
      </w:r>
      <w:r w:rsidR="00113CBF">
        <w:t> </w:t>
      </w:r>
      <w:r w:rsidR="0021367A">
        <w:t>al.</w:t>
      </w:r>
      <w:r w:rsidR="00113CBF">
        <w:t> </w:t>
      </w:r>
      <w:r w:rsidR="0021367A">
        <w:t>2011).</w:t>
      </w:r>
    </w:p>
    <w:p w:rsidR="004C2D4E" w:rsidRPr="00D51092" w:rsidRDefault="008A44A9" w:rsidP="00D51092">
      <w:pPr>
        <w:pStyle w:val="BodyText"/>
      </w:pPr>
      <w:r w:rsidRPr="0031725E">
        <w:t xml:space="preserve">The </w:t>
      </w:r>
      <w:r w:rsidRPr="00D51092">
        <w:t>prevalence of mental illness among children and young people aged 4</w:t>
      </w:r>
      <w:r w:rsidRPr="00D51092">
        <w:sym w:font="Symbol" w:char="F02D"/>
      </w:r>
      <w:r w:rsidRPr="00D51092">
        <w:t>17</w:t>
      </w:r>
      <w:r w:rsidR="0068010B">
        <w:t> </w:t>
      </w:r>
      <w:r w:rsidRPr="00D51092">
        <w:t xml:space="preserve">years was </w:t>
      </w:r>
      <w:r w:rsidR="00B9731F">
        <w:t xml:space="preserve">an estimated </w:t>
      </w:r>
      <w:r w:rsidR="004C2D4E" w:rsidRPr="00D71789">
        <w:t>13.9 per cent in 2013</w:t>
      </w:r>
      <w:r w:rsidR="00463329">
        <w:noBreakHyphen/>
      </w:r>
      <w:r w:rsidR="004C2D4E" w:rsidRPr="00D71789">
        <w:t>14</w:t>
      </w:r>
      <w:r w:rsidR="00B9731F">
        <w:t xml:space="preserve"> (</w:t>
      </w:r>
      <w:r w:rsidR="00B9731F" w:rsidRPr="00D51092">
        <w:t>Lawrence</w:t>
      </w:r>
      <w:r w:rsidR="00113CBF">
        <w:t> </w:t>
      </w:r>
      <w:r w:rsidR="00B9731F" w:rsidRPr="00D51092">
        <w:t>et</w:t>
      </w:r>
      <w:r w:rsidR="00113CBF">
        <w:t> </w:t>
      </w:r>
      <w:r w:rsidR="00B9731F" w:rsidRPr="00D51092">
        <w:t>al.</w:t>
      </w:r>
      <w:r w:rsidR="00B9731F">
        <w:t> </w:t>
      </w:r>
      <w:r w:rsidR="00B9731F" w:rsidRPr="00D51092">
        <w:t>2015)</w:t>
      </w:r>
      <w:r w:rsidR="00053085">
        <w:t xml:space="preserve">. </w:t>
      </w:r>
      <w:r w:rsidR="004C2D4E" w:rsidRPr="00D71789">
        <w:t>Attention</w:t>
      </w:r>
      <w:r w:rsidR="00113CBF">
        <w:t xml:space="preserve"> </w:t>
      </w:r>
      <w:r w:rsidR="004C2D4E" w:rsidRPr="00D71789">
        <w:t>deficit</w:t>
      </w:r>
      <w:r w:rsidR="00053085">
        <w:t>/</w:t>
      </w:r>
      <w:r w:rsidR="004C2D4E" w:rsidRPr="00D71789">
        <w:t xml:space="preserve">hyperactivity disorder </w:t>
      </w:r>
      <w:r w:rsidR="00D51092" w:rsidRPr="00D71789">
        <w:t xml:space="preserve">(ADHD) </w:t>
      </w:r>
      <w:r w:rsidR="004C2D4E" w:rsidRPr="00D71789">
        <w:t>was the most common mental illness overall</w:t>
      </w:r>
      <w:r w:rsidR="006F72FE">
        <w:t xml:space="preserve"> for this age group</w:t>
      </w:r>
      <w:r w:rsidR="004C2D4E" w:rsidRPr="00D71789">
        <w:t>, with 7.4</w:t>
      </w:r>
      <w:r w:rsidR="00B9731F">
        <w:t> </w:t>
      </w:r>
      <w:r w:rsidR="004C2D4E" w:rsidRPr="00D71789">
        <w:t>per</w:t>
      </w:r>
      <w:r w:rsidR="00B9731F">
        <w:t> </w:t>
      </w:r>
      <w:r w:rsidR="004C2D4E" w:rsidRPr="00D71789">
        <w:t>cent assessed as having ADHD in the previous 12</w:t>
      </w:r>
      <w:r w:rsidR="00B9731F">
        <w:t> </w:t>
      </w:r>
      <w:r w:rsidR="004C2D4E" w:rsidRPr="00D71789">
        <w:t>months</w:t>
      </w:r>
      <w:r w:rsidR="006F72FE">
        <w:t xml:space="preserve">, followed by </w:t>
      </w:r>
      <w:r w:rsidR="00D51092" w:rsidRPr="00D71789">
        <w:t>a</w:t>
      </w:r>
      <w:r w:rsidR="004C2D4E" w:rsidRPr="00D71789">
        <w:t>nxiety disorders (6.9</w:t>
      </w:r>
      <w:r w:rsidR="00D51092" w:rsidRPr="00D71789">
        <w:t xml:space="preserve"> per cent</w:t>
      </w:r>
      <w:r w:rsidR="004C2D4E" w:rsidRPr="00D71789">
        <w:t>)</w:t>
      </w:r>
      <w:r w:rsidR="00D51092" w:rsidRPr="00D71789">
        <w:t xml:space="preserve"> (Lawrence et al</w:t>
      </w:r>
      <w:r w:rsidR="00D51092">
        <w:t>.</w:t>
      </w:r>
      <w:r w:rsidR="00D51092" w:rsidRPr="00D71789">
        <w:t xml:space="preserve"> 2015). </w:t>
      </w:r>
    </w:p>
    <w:p w:rsidR="0021367A" w:rsidRDefault="0021367A" w:rsidP="0021367A">
      <w:pPr>
        <w:pStyle w:val="Heading4"/>
      </w:pPr>
      <w:r>
        <w:lastRenderedPageBreak/>
        <w:t xml:space="preserve">Mortality due to suicide </w:t>
      </w:r>
    </w:p>
    <w:p w:rsidR="00511F10" w:rsidRDefault="0021367A" w:rsidP="002315C6">
      <w:pPr>
        <w:pStyle w:val="BodyText"/>
      </w:pPr>
      <w:r>
        <w:t>‘Mortality due to suicide’ is an indicator of governments’ objective to prevent mental health problems, mental illness and suicide, and identify and intervene early w</w:t>
      </w:r>
      <w:r w:rsidR="001E5BD5">
        <w:t>ith people at risk (box</w:t>
      </w:r>
      <w:r w:rsidR="0022260C">
        <w:t> </w:t>
      </w:r>
      <w:r w:rsidR="001E5BD5">
        <w:t>12.</w:t>
      </w:r>
      <w:r w:rsidR="000157A1">
        <w:t>21</w:t>
      </w:r>
      <w:r w:rsidR="001E5BD5">
        <w:t>).</w:t>
      </w:r>
    </w:p>
    <w:p w:rsidR="00702CD3" w:rsidRDefault="00702CD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2CD3" w:rsidTr="00702CD3">
        <w:tc>
          <w:tcPr>
            <w:tcW w:w="8771" w:type="dxa"/>
            <w:tcBorders>
              <w:top w:val="single" w:sz="6" w:space="0" w:color="78A22F"/>
              <w:left w:val="nil"/>
              <w:bottom w:val="nil"/>
              <w:right w:val="nil"/>
            </w:tcBorders>
            <w:shd w:val="clear" w:color="auto" w:fill="F2F2F2"/>
          </w:tcPr>
          <w:p w:rsidR="00702CD3" w:rsidRDefault="00702CD3">
            <w:pPr>
              <w:pStyle w:val="BoxTitle"/>
            </w:pPr>
            <w:r>
              <w:rPr>
                <w:b w:val="0"/>
              </w:rPr>
              <w:t xml:space="preserve">Box </w:t>
            </w:r>
            <w:bookmarkStart w:id="19" w:name="OLE_LINK17"/>
            <w:r w:rsidR="00977300">
              <w:rPr>
                <w:b w:val="0"/>
              </w:rPr>
              <w:t>12.</w:t>
            </w:r>
            <w:r w:rsidR="00833D26">
              <w:rPr>
                <w:b w:val="0"/>
                <w:noProof/>
              </w:rPr>
              <w:t>21</w:t>
            </w:r>
            <w:bookmarkEnd w:id="19"/>
            <w:r>
              <w:tab/>
            </w:r>
            <w:r w:rsidRPr="0021367A">
              <w:t>Mortality due to suicide</w:t>
            </w:r>
          </w:p>
        </w:tc>
      </w:tr>
      <w:tr w:rsidR="00702CD3" w:rsidTr="00702CD3">
        <w:trPr>
          <w:cantSplit/>
        </w:trPr>
        <w:tc>
          <w:tcPr>
            <w:tcW w:w="8771" w:type="dxa"/>
            <w:tcBorders>
              <w:top w:val="nil"/>
              <w:left w:val="nil"/>
              <w:bottom w:val="nil"/>
              <w:right w:val="nil"/>
            </w:tcBorders>
            <w:shd w:val="clear" w:color="auto" w:fill="F2F2F2"/>
          </w:tcPr>
          <w:p w:rsidR="00702CD3" w:rsidRDefault="00702CD3" w:rsidP="00702CD3">
            <w:pPr>
              <w:pStyle w:val="Box"/>
            </w:pPr>
            <w:r>
              <w:t>‘Mortality due to suicide’ is defined as the suicide rate per 100</w:t>
            </w:r>
            <w:r w:rsidR="0022260C">
              <w:t> </w:t>
            </w:r>
            <w:r>
              <w:t>000 people. The suicide rate is reported for all people</w:t>
            </w:r>
            <w:r w:rsidR="006F72FE">
              <w:t xml:space="preserve"> by sex, age group, Indigenous status and </w:t>
            </w:r>
            <w:r w:rsidR="00D9129F">
              <w:t>significant urban areas</w:t>
            </w:r>
            <w:r>
              <w:t xml:space="preserve">. </w:t>
            </w:r>
            <w:r w:rsidR="000E1737" w:rsidRPr="000E1737">
              <w:t xml:space="preserve">Deaths from </w:t>
            </w:r>
            <w:r w:rsidR="000E1737">
              <w:t>suicide</w:t>
            </w:r>
            <w:r w:rsidR="000E1737" w:rsidRPr="000E1737">
              <w:t xml:space="preserve"> are defined as causes of death with </w:t>
            </w:r>
            <w:r w:rsidR="000E1737">
              <w:t xml:space="preserve">the </w:t>
            </w:r>
            <w:r w:rsidR="00A64644" w:rsidRPr="00A64644">
              <w:t>International Classification of Diseases</w:t>
            </w:r>
            <w:r w:rsidR="00A64644">
              <w:t xml:space="preserve"> (</w:t>
            </w:r>
            <w:proofErr w:type="spellStart"/>
            <w:r w:rsidR="00A64644">
              <w:t>ICD</w:t>
            </w:r>
            <w:proofErr w:type="spellEnd"/>
            <w:r w:rsidR="00A64644">
              <w:t>)</w:t>
            </w:r>
            <w:r w:rsidR="00463329">
              <w:noBreakHyphen/>
            </w:r>
            <w:r w:rsidR="00A64644">
              <w:t>1</w:t>
            </w:r>
            <w:r w:rsidR="000E1737" w:rsidRPr="000E1737">
              <w:t xml:space="preserve">0 codes </w:t>
            </w:r>
            <w:proofErr w:type="spellStart"/>
            <w:r w:rsidR="000E1737" w:rsidRPr="000E1737">
              <w:t>X60</w:t>
            </w:r>
            <w:proofErr w:type="spellEnd"/>
            <w:r w:rsidR="000E1737">
              <w:sym w:font="Symbol" w:char="F02D"/>
            </w:r>
            <w:proofErr w:type="spellStart"/>
            <w:r w:rsidR="000E1737" w:rsidRPr="000E1737">
              <w:t>X84</w:t>
            </w:r>
            <w:proofErr w:type="spellEnd"/>
            <w:r w:rsidR="000E1737">
              <w:t xml:space="preserve"> and</w:t>
            </w:r>
            <w:r w:rsidR="000E1737" w:rsidRPr="000E1737">
              <w:t xml:space="preserve"> </w:t>
            </w:r>
            <w:proofErr w:type="spellStart"/>
            <w:r w:rsidR="000E1737" w:rsidRPr="000E1737">
              <w:t>Y87.0</w:t>
            </w:r>
            <w:proofErr w:type="spellEnd"/>
            <w:r w:rsidR="000E1737" w:rsidRPr="000E1737">
              <w:t>.</w:t>
            </w:r>
          </w:p>
          <w:p w:rsidR="00702CD3" w:rsidRDefault="00702CD3" w:rsidP="00702CD3">
            <w:pPr>
              <w:pStyle w:val="Box"/>
            </w:pPr>
            <w:r>
              <w:t>A low or decreasing suicide rate per 100</w:t>
            </w:r>
            <w:r w:rsidR="0022260C">
              <w:t> </w:t>
            </w:r>
            <w:r>
              <w:t>000 people is desirable.</w:t>
            </w:r>
          </w:p>
          <w:p w:rsidR="00702CD3" w:rsidRDefault="00702CD3" w:rsidP="00702CD3">
            <w:pPr>
              <w:pStyle w:val="Box"/>
            </w:pPr>
            <w:r>
              <w:t xml:space="preserve">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an intention, to commit suicide. Suicide prevention targeted at the wider population is also addressed through the initiatives of other government agencies, </w:t>
            </w:r>
            <w:r w:rsidR="004B70A3">
              <w:t>NGOs</w:t>
            </w:r>
            <w:r>
              <w:t xml:space="preserve"> and other special interest groups. </w:t>
            </w:r>
          </w:p>
          <w:p w:rsidR="00052549" w:rsidRDefault="00052549" w:rsidP="00052549">
            <w:pPr>
              <w:pStyle w:val="Box"/>
            </w:pPr>
            <w:r>
              <w:t>Many factors outside the control of mental health services can influence a person’s decision to commit suicide. These include environmental, sociocultural and economic risk factors. Often a combination of these factors can increase the risk of suicidal behaviour.</w:t>
            </w:r>
          </w:p>
          <w:p w:rsidR="00052549" w:rsidRDefault="00052549" w:rsidP="00052549">
            <w:pPr>
              <w:pStyle w:val="Box"/>
            </w:pPr>
            <w:r>
              <w:t>Data reported for this indicator are:</w:t>
            </w:r>
          </w:p>
          <w:p w:rsidR="00052549" w:rsidRDefault="00052549" w:rsidP="00052549">
            <w:pPr>
              <w:pStyle w:val="BoxListBullet"/>
            </w:pPr>
            <w:r>
              <w:t xml:space="preserve">comparable (subject to caveats) across jurisdictions </w:t>
            </w:r>
            <w:r w:rsidR="00FD5780">
              <w:t xml:space="preserve">and over time for some years and disaggregations </w:t>
            </w:r>
            <w:r>
              <w:t xml:space="preserve">but not comparable </w:t>
            </w:r>
            <w:r w:rsidR="00FD5780">
              <w:t>for other years and</w:t>
            </w:r>
            <w:r>
              <w:t xml:space="preserve"> </w:t>
            </w:r>
            <w:proofErr w:type="spellStart"/>
            <w:r>
              <w:t>disaggregations</w:t>
            </w:r>
            <w:proofErr w:type="spellEnd"/>
            <w:r>
              <w:t xml:space="preserve"> (see the </w:t>
            </w:r>
            <w:proofErr w:type="spellStart"/>
            <w:r w:rsidR="00FD5780">
              <w:t>DQI</w:t>
            </w:r>
            <w:proofErr w:type="spellEnd"/>
            <w:r w:rsidR="00FD5780">
              <w:t xml:space="preserve"> and </w:t>
            </w:r>
            <w:r>
              <w:t>attachment tables</w:t>
            </w:r>
            <w:r w:rsidR="0022260C">
              <w:t> </w:t>
            </w:r>
            <w:proofErr w:type="spellStart"/>
            <w:r>
              <w:t>12A.</w:t>
            </w:r>
            <w:r w:rsidR="00FD5780">
              <w:t>82</w:t>
            </w:r>
            <w:proofErr w:type="spellEnd"/>
            <w:r>
              <w:t>–</w:t>
            </w:r>
            <w:r w:rsidR="00FD5780">
              <w:t xml:space="preserve">84 </w:t>
            </w:r>
            <w:r>
              <w:t>for details)</w:t>
            </w:r>
          </w:p>
          <w:p w:rsidR="00052549" w:rsidRDefault="00052549" w:rsidP="00052549">
            <w:pPr>
              <w:pStyle w:val="BoxListBullet"/>
            </w:pPr>
            <w:r>
              <w:t xml:space="preserve">complete </w:t>
            </w:r>
            <w:r w:rsidR="00CE1191">
              <w:t xml:space="preserve">(subject to caveats) </w:t>
            </w:r>
            <w:r>
              <w:t xml:space="preserve">for the current reporting period. All required </w:t>
            </w:r>
            <w:r w:rsidR="006B2C08">
              <w:t xml:space="preserve">2013 </w:t>
            </w:r>
            <w:r>
              <w:t xml:space="preserve">or </w:t>
            </w:r>
            <w:r>
              <w:br/>
            </w:r>
            <w:r w:rsidR="006B2C08">
              <w:t>2009</w:t>
            </w:r>
            <w:r>
              <w:rPr>
                <w:rFonts w:ascii="Calibri" w:hAnsi="Calibri"/>
              </w:rPr>
              <w:t>–</w:t>
            </w:r>
            <w:r w:rsidR="006B2C08">
              <w:t xml:space="preserve">2013 </w:t>
            </w:r>
            <w:r>
              <w:t xml:space="preserve">data are available for all jurisdictions. </w:t>
            </w:r>
          </w:p>
          <w:p w:rsidR="00052549" w:rsidRDefault="00052549" w:rsidP="006B2C08">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6B2C08">
              <w:t>2016</w:t>
            </w:r>
            <w:r>
              <w:t>.</w:t>
            </w:r>
          </w:p>
        </w:tc>
      </w:tr>
      <w:tr w:rsidR="00702CD3" w:rsidTr="00702CD3">
        <w:trPr>
          <w:cantSplit/>
        </w:trPr>
        <w:tc>
          <w:tcPr>
            <w:tcW w:w="8771" w:type="dxa"/>
            <w:tcBorders>
              <w:top w:val="nil"/>
              <w:left w:val="nil"/>
              <w:bottom w:val="single" w:sz="6" w:space="0" w:color="78A22F"/>
              <w:right w:val="nil"/>
            </w:tcBorders>
            <w:shd w:val="clear" w:color="auto" w:fill="F2F2F2"/>
          </w:tcPr>
          <w:p w:rsidR="00702CD3" w:rsidRDefault="00702CD3">
            <w:pPr>
              <w:pStyle w:val="Box"/>
              <w:spacing w:before="0" w:line="120" w:lineRule="exact"/>
            </w:pPr>
          </w:p>
        </w:tc>
      </w:tr>
      <w:tr w:rsidR="00702CD3" w:rsidRPr="000863A5" w:rsidTr="00702CD3">
        <w:tc>
          <w:tcPr>
            <w:tcW w:w="8771" w:type="dxa"/>
            <w:tcBorders>
              <w:top w:val="single" w:sz="6" w:space="0" w:color="78A22F"/>
              <w:left w:val="nil"/>
              <w:bottom w:val="nil"/>
              <w:right w:val="nil"/>
            </w:tcBorders>
          </w:tcPr>
          <w:p w:rsidR="00702CD3" w:rsidRPr="00626D32" w:rsidRDefault="00702CD3" w:rsidP="00702CD3">
            <w:pPr>
              <w:pStyle w:val="BoxSpaceBelow"/>
            </w:pPr>
          </w:p>
        </w:tc>
      </w:tr>
    </w:tbl>
    <w:p w:rsidR="001A5367" w:rsidRDefault="0021367A" w:rsidP="00702CD3">
      <w:pPr>
        <w:pStyle w:val="BodyText"/>
      </w:pPr>
      <w:r>
        <w:t xml:space="preserve">People with a mental illness are at a higher risk of suicide than are the general population. </w:t>
      </w:r>
      <w:r w:rsidR="000E1737" w:rsidRPr="000E1737">
        <w:t>For the period 2009–2013,</w:t>
      </w:r>
      <w:r>
        <w:t xml:space="preserve"> </w:t>
      </w:r>
      <w:r w:rsidR="00EF2227" w:rsidRPr="00EF2227">
        <w:t>12</w:t>
      </w:r>
      <w:r w:rsidR="00EF2227">
        <w:t> </w:t>
      </w:r>
      <w:r w:rsidR="00F55C8A">
        <w:t xml:space="preserve">306 </w:t>
      </w:r>
      <w:r>
        <w:t>deaths by suicide were recorded in Australia (table </w:t>
      </w:r>
      <w:proofErr w:type="spellStart"/>
      <w:r>
        <w:t>12A.</w:t>
      </w:r>
      <w:r w:rsidR="00511F10">
        <w:t>8</w:t>
      </w:r>
      <w:r w:rsidR="00EA090C">
        <w:t>1</w:t>
      </w:r>
      <w:proofErr w:type="spellEnd"/>
      <w:r>
        <w:t xml:space="preserve">) — equivalent to </w:t>
      </w:r>
      <w:r w:rsidR="00EF2227">
        <w:t>10.</w:t>
      </w:r>
      <w:r w:rsidR="00F55C8A">
        <w:t>9</w:t>
      </w:r>
      <w:r w:rsidR="0068010B">
        <w:t> </w:t>
      </w:r>
      <w:r>
        <w:t>deaths</w:t>
      </w:r>
      <w:r w:rsidR="0068010B">
        <w:t> </w:t>
      </w:r>
      <w:r>
        <w:t>per</w:t>
      </w:r>
      <w:r w:rsidR="0068010B">
        <w:t> </w:t>
      </w:r>
      <w:r>
        <w:t>100</w:t>
      </w:r>
      <w:r w:rsidR="0022260C">
        <w:t> </w:t>
      </w:r>
      <w:r>
        <w:t>000 people (figure</w:t>
      </w:r>
      <w:r w:rsidR="0022260C">
        <w:t> </w:t>
      </w:r>
      <w:r>
        <w:t>12.</w:t>
      </w:r>
      <w:r w:rsidR="00811C03">
        <w:t>30</w:t>
      </w:r>
      <w:r>
        <w:t xml:space="preserve">). </w:t>
      </w:r>
      <w:r w:rsidR="001A5367">
        <w:t>Nationally, the suicide rate increased as remoteness increased</w:t>
      </w:r>
      <w:r w:rsidR="00ED4141">
        <w:t xml:space="preserve"> (</w:t>
      </w:r>
      <w:r w:rsidR="001A5367">
        <w:t>ranging from 9.6 suicides per 100 000 people in capital cities to 14.8 suicides per 100 000 people in rural areas</w:t>
      </w:r>
      <w:r w:rsidR="00ED4141">
        <w:t>), with a similar pattern in most states and territories (table</w:t>
      </w:r>
      <w:r w:rsidR="00463329">
        <w:t> </w:t>
      </w:r>
      <w:proofErr w:type="spellStart"/>
      <w:r w:rsidR="00ED4141">
        <w:t>12A.84</w:t>
      </w:r>
      <w:proofErr w:type="spellEnd"/>
      <w:r w:rsidR="00ED4141">
        <w:t>)</w:t>
      </w:r>
      <w:r w:rsidR="001A5367">
        <w:t>.</w:t>
      </w:r>
    </w:p>
    <w:p w:rsidR="00ED4141" w:rsidRDefault="00ED4141" w:rsidP="00702CD3">
      <w:pPr>
        <w:pStyle w:val="BodyText"/>
      </w:pPr>
      <w:r>
        <w:rPr>
          <w:szCs w:val="24"/>
        </w:rPr>
        <w:t>Suicide</w:t>
      </w:r>
      <w:r w:rsidRPr="00086B08">
        <w:rPr>
          <w:szCs w:val="24"/>
        </w:rPr>
        <w:t xml:space="preserve"> data disaggregated by Indigenous status are available for NSW, Queensland, WA, SA and the NT</w:t>
      </w:r>
      <w:r>
        <w:rPr>
          <w:szCs w:val="24"/>
        </w:rPr>
        <w:t xml:space="preserve"> only (figure</w:t>
      </w:r>
      <w:r w:rsidR="00463329">
        <w:rPr>
          <w:szCs w:val="24"/>
        </w:rPr>
        <w:t> </w:t>
      </w:r>
      <w:r>
        <w:rPr>
          <w:szCs w:val="24"/>
        </w:rPr>
        <w:t>12.31).</w:t>
      </w:r>
      <w:r w:rsidRPr="00086B08">
        <w:rPr>
          <w:szCs w:val="24"/>
        </w:rPr>
        <w:t xml:space="preserve"> </w:t>
      </w:r>
      <w:r w:rsidRPr="000E1737">
        <w:t>For the period 200</w:t>
      </w:r>
      <w:r>
        <w:t>9</w:t>
      </w:r>
      <w:r w:rsidRPr="000E1737">
        <w:t>–201</w:t>
      </w:r>
      <w:r>
        <w:t>3</w:t>
      </w:r>
      <w:r w:rsidRPr="000E1737">
        <w:t>, after adjusting for differences in population age structures, the rate of deaths for Aboriginal and Torres Strait Islander Australians due to suicide was almost twice the rate for non</w:t>
      </w:r>
      <w:r w:rsidR="00463329">
        <w:noBreakHyphen/>
      </w:r>
      <w:r w:rsidRPr="000E1737">
        <w:t>Indigenous Australians</w:t>
      </w:r>
      <w:r>
        <w:t xml:space="preserve"> (figure</w:t>
      </w:r>
      <w:r w:rsidR="00463329">
        <w:t> </w:t>
      </w:r>
      <w:r>
        <w:t xml:space="preserve">12.31). </w:t>
      </w:r>
    </w:p>
    <w:p w:rsidR="00CF4016" w:rsidRDefault="00CF4016" w:rsidP="002D0D07">
      <w:pPr>
        <w:pStyle w:val="BodyText"/>
        <w:keepN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4016" w:rsidTr="00CF4016">
        <w:tc>
          <w:tcPr>
            <w:tcW w:w="8771" w:type="dxa"/>
            <w:tcBorders>
              <w:top w:val="single" w:sz="6" w:space="0" w:color="78A22F"/>
              <w:left w:val="nil"/>
              <w:bottom w:val="nil"/>
              <w:right w:val="nil"/>
            </w:tcBorders>
            <w:shd w:val="clear" w:color="auto" w:fill="auto"/>
          </w:tcPr>
          <w:p w:rsidR="00CF4016" w:rsidRPr="00176D3F" w:rsidRDefault="00CF4016" w:rsidP="008361EA">
            <w:pPr>
              <w:pStyle w:val="FigureTitle"/>
            </w:pPr>
            <w:r w:rsidRPr="00784A05">
              <w:rPr>
                <w:b w:val="0"/>
              </w:rPr>
              <w:t xml:space="preserve">Figure </w:t>
            </w:r>
            <w:r w:rsidR="00811C03">
              <w:rPr>
                <w:b w:val="0"/>
              </w:rPr>
              <w:t>12.</w:t>
            </w:r>
            <w:r w:rsidR="00833D26">
              <w:rPr>
                <w:b w:val="0"/>
                <w:noProof/>
              </w:rPr>
              <w:t>30</w:t>
            </w:r>
            <w:r>
              <w:tab/>
            </w:r>
            <w:r w:rsidRPr="00CF4016">
              <w:t xml:space="preserve">Suicide rates, 5 year average, </w:t>
            </w:r>
            <w:r w:rsidR="006B2C08" w:rsidRPr="00CF4016">
              <w:t>200</w:t>
            </w:r>
            <w:r w:rsidR="006B2C08">
              <w:t>9</w:t>
            </w:r>
            <w:r w:rsidRPr="00CF4016">
              <w:t>–</w:t>
            </w:r>
            <w:r w:rsidR="006B2C08" w:rsidRPr="00CF4016">
              <w:t>201</w:t>
            </w:r>
            <w:r w:rsidR="006B2C08">
              <w:t>3</w:t>
            </w:r>
            <w:r w:rsidR="006B2C08" w:rsidRPr="00CF4016">
              <w:rPr>
                <w:rStyle w:val="NoteLabel"/>
                <w:b/>
              </w:rPr>
              <w:t>a</w:t>
            </w:r>
          </w:p>
        </w:tc>
      </w:tr>
      <w:tr w:rsidR="00CF4016"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4016" w:rsidTr="00CF4016">
              <w:trPr>
                <w:jc w:val="center"/>
              </w:trPr>
              <w:tc>
                <w:tcPr>
                  <w:tcW w:w="5000" w:type="pct"/>
                  <w:tcBorders>
                    <w:top w:val="nil"/>
                    <w:bottom w:val="nil"/>
                  </w:tcBorders>
                </w:tcPr>
                <w:p w:rsidR="00CF4016" w:rsidRDefault="001B7B09" w:rsidP="00702CD3">
                  <w:pPr>
                    <w:pStyle w:val="Figure"/>
                    <w:spacing w:before="0" w:after="0" w:line="240" w:lineRule="auto"/>
                  </w:pPr>
                  <w:r>
                    <w:rPr>
                      <w:noProof/>
                    </w:rPr>
                    <w:drawing>
                      <wp:inline distT="0" distB="0" distL="0" distR="0">
                        <wp:extent cx="5334000" cy="2686050"/>
                        <wp:effectExtent l="0" t="0" r="0" b="0"/>
                        <wp:docPr id="33" name="Picture 33" descr="Figure 12.30 Suicide rates, 5 year average, 2009–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34000" cy="2686050"/>
                                </a:xfrm>
                                <a:prstGeom prst="rect">
                                  <a:avLst/>
                                </a:prstGeom>
                                <a:noFill/>
                                <a:ln>
                                  <a:noFill/>
                                </a:ln>
                              </pic:spPr>
                            </pic:pic>
                          </a:graphicData>
                        </a:graphic>
                      </wp:inline>
                    </w:drawing>
                  </w:r>
                </w:p>
              </w:tc>
            </w:tr>
          </w:tbl>
          <w:p w:rsidR="00CF4016" w:rsidRDefault="00CF4016" w:rsidP="00CF4016">
            <w:pPr>
              <w:pStyle w:val="Figure"/>
            </w:pP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D71789">
            <w:pPr>
              <w:pStyle w:val="Note"/>
              <w:spacing w:before="40"/>
              <w:rPr>
                <w:i/>
              </w:rPr>
            </w:pPr>
            <w:r>
              <w:rPr>
                <w:rStyle w:val="NoteLabel"/>
              </w:rPr>
              <w:t>a</w:t>
            </w:r>
            <w:r>
              <w:t xml:space="preserve"> </w:t>
            </w:r>
            <w:r w:rsidR="00CE1191" w:rsidRPr="0026758F">
              <w:t>See</w:t>
            </w:r>
            <w:r w:rsidR="00CE1191">
              <w:t xml:space="preserve"> box</w:t>
            </w:r>
            <w:r w:rsidR="00463329">
              <w:t> </w:t>
            </w:r>
            <w:r w:rsidR="00CE1191">
              <w:t>12.2</w:t>
            </w:r>
            <w:r w:rsidR="00977300">
              <w:t>1</w:t>
            </w:r>
            <w:r w:rsidR="00CE1191">
              <w:t xml:space="preserve"> and</w:t>
            </w:r>
            <w:r w:rsidR="00CE1191" w:rsidRPr="0026758F">
              <w:t xml:space="preserve"> table</w:t>
            </w:r>
            <w:r w:rsidR="00463329">
              <w:t> </w:t>
            </w:r>
            <w:proofErr w:type="spellStart"/>
            <w:r w:rsidR="00CE1191" w:rsidRPr="0026758F">
              <w:t>12A.</w:t>
            </w:r>
            <w:r w:rsidR="00CE1191">
              <w:t>82</w:t>
            </w:r>
            <w:proofErr w:type="spellEnd"/>
            <w:r w:rsidR="00CE1191" w:rsidRPr="0026758F">
              <w:t xml:space="preserve"> </w:t>
            </w:r>
            <w:r w:rsidR="00C9207F" w:rsidRPr="00C9207F">
              <w:t>for detailed definitions, footnotes and caveats</w:t>
            </w:r>
            <w:r w:rsidR="00CE1191">
              <w:t xml:space="preserve">. </w:t>
            </w: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CE1191">
            <w:pPr>
              <w:pStyle w:val="Source"/>
            </w:pPr>
            <w:r w:rsidRPr="00CF4016">
              <w:rPr>
                <w:i/>
              </w:rPr>
              <w:t>Source</w:t>
            </w:r>
            <w:r w:rsidRPr="00F40E83">
              <w:t>:</w:t>
            </w:r>
            <w:r w:rsidRPr="00CF4016">
              <w:rPr>
                <w:i/>
              </w:rPr>
              <w:t xml:space="preserve"> </w:t>
            </w:r>
            <w:r w:rsidRPr="00CF4016">
              <w:t xml:space="preserve">ABS (unpublished) </w:t>
            </w:r>
            <w:r w:rsidRPr="00F40E83">
              <w:rPr>
                <w:i/>
              </w:rPr>
              <w:t>Causes of Deaths, Australia</w:t>
            </w:r>
            <w:r w:rsidRPr="00CF4016">
              <w:t>, Cat. no. 3303.0; table</w:t>
            </w:r>
            <w:r w:rsidR="0022260C">
              <w:t> </w:t>
            </w:r>
            <w:proofErr w:type="spellStart"/>
            <w:r w:rsidRPr="00CF4016">
              <w:t>12A.</w:t>
            </w:r>
            <w:r w:rsidR="00CE1191">
              <w:t>82</w:t>
            </w:r>
            <w:proofErr w:type="spellEnd"/>
            <w:r w:rsidRPr="00CF4016">
              <w:t>.</w:t>
            </w:r>
          </w:p>
        </w:tc>
      </w:tr>
      <w:tr w:rsidR="00CF4016" w:rsidTr="00CF4016">
        <w:tc>
          <w:tcPr>
            <w:tcW w:w="8771" w:type="dxa"/>
            <w:tcBorders>
              <w:top w:val="nil"/>
              <w:left w:val="nil"/>
              <w:bottom w:val="single" w:sz="6" w:space="0" w:color="78A22F"/>
              <w:right w:val="nil"/>
            </w:tcBorders>
            <w:shd w:val="clear" w:color="auto" w:fill="auto"/>
          </w:tcPr>
          <w:p w:rsidR="00CF4016" w:rsidRDefault="00CF4016" w:rsidP="00CF4016">
            <w:pPr>
              <w:pStyle w:val="Figurespace"/>
            </w:pPr>
          </w:p>
        </w:tc>
      </w:tr>
      <w:tr w:rsidR="00CF4016" w:rsidRPr="000863A5" w:rsidTr="00CF4016">
        <w:tc>
          <w:tcPr>
            <w:tcW w:w="8771" w:type="dxa"/>
            <w:tcBorders>
              <w:top w:val="single" w:sz="6" w:space="0" w:color="78A22F"/>
              <w:left w:val="nil"/>
              <w:bottom w:val="nil"/>
              <w:right w:val="nil"/>
            </w:tcBorders>
          </w:tcPr>
          <w:p w:rsidR="00CF4016" w:rsidRPr="00626D32" w:rsidRDefault="00CF4016" w:rsidP="00CF4016">
            <w:pPr>
              <w:pStyle w:val="BoxSpaceBelow"/>
            </w:pPr>
          </w:p>
        </w:tc>
      </w:tr>
    </w:tbl>
    <w:p w:rsidR="00CF4016" w:rsidRDefault="00CF4016" w:rsidP="002D0D07">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4016" w:rsidTr="00CF4016">
        <w:tc>
          <w:tcPr>
            <w:tcW w:w="8771" w:type="dxa"/>
            <w:tcBorders>
              <w:top w:val="single" w:sz="6" w:space="0" w:color="78A22F"/>
              <w:left w:val="nil"/>
              <w:bottom w:val="nil"/>
              <w:right w:val="nil"/>
            </w:tcBorders>
            <w:shd w:val="clear" w:color="auto" w:fill="auto"/>
          </w:tcPr>
          <w:p w:rsidR="00CF4016" w:rsidRPr="00176D3F" w:rsidRDefault="00CF4016">
            <w:pPr>
              <w:pStyle w:val="FigureTitle"/>
            </w:pPr>
            <w:r w:rsidRPr="00784A05">
              <w:rPr>
                <w:b w:val="0"/>
              </w:rPr>
              <w:t xml:space="preserve">Figure </w:t>
            </w:r>
            <w:r w:rsidR="00F63973">
              <w:rPr>
                <w:b w:val="0"/>
              </w:rPr>
              <w:t>12.</w:t>
            </w:r>
            <w:r w:rsidR="00833D26">
              <w:rPr>
                <w:b w:val="0"/>
                <w:noProof/>
              </w:rPr>
              <w:t>31</w:t>
            </w:r>
            <w:r>
              <w:tab/>
            </w:r>
            <w:r w:rsidRPr="00CF4016">
              <w:t xml:space="preserve">Suicide rates, by Indigenous status, </w:t>
            </w:r>
            <w:r w:rsidR="00086B08" w:rsidRPr="00CF4016">
              <w:t>200</w:t>
            </w:r>
            <w:r w:rsidR="00086B08">
              <w:t>9</w:t>
            </w:r>
            <w:r w:rsidRPr="00CF4016">
              <w:t>–</w:t>
            </w:r>
            <w:r w:rsidR="00086B08" w:rsidRPr="00CF4016">
              <w:t>201</w:t>
            </w:r>
            <w:r w:rsidR="00086B08">
              <w:t>3</w:t>
            </w:r>
            <w:r w:rsidR="00086B08" w:rsidRPr="00CF4016">
              <w:rPr>
                <w:rStyle w:val="NoteLabel"/>
                <w:b/>
              </w:rPr>
              <w:t>a</w:t>
            </w:r>
          </w:p>
        </w:tc>
      </w:tr>
      <w:tr w:rsidR="00CF4016" w:rsidTr="00CF401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F4016" w:rsidTr="00CF4016">
              <w:trPr>
                <w:jc w:val="center"/>
              </w:trPr>
              <w:tc>
                <w:tcPr>
                  <w:tcW w:w="5000" w:type="pct"/>
                  <w:tcBorders>
                    <w:top w:val="nil"/>
                    <w:bottom w:val="nil"/>
                  </w:tcBorders>
                </w:tcPr>
                <w:p w:rsidR="00CF4016" w:rsidRDefault="001B7B09" w:rsidP="00CF4016">
                  <w:pPr>
                    <w:pStyle w:val="Figure"/>
                    <w:spacing w:before="60" w:after="60"/>
                  </w:pPr>
                  <w:r>
                    <w:rPr>
                      <w:noProof/>
                    </w:rPr>
                    <w:drawing>
                      <wp:inline distT="0" distB="0" distL="0" distR="0">
                        <wp:extent cx="5391150" cy="2686050"/>
                        <wp:effectExtent l="0" t="0" r="0" b="0"/>
                        <wp:docPr id="34" name="Picture 34" descr="Figure 12.31 Suicide rates, by Indigenous status, 2009–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CF4016" w:rsidRDefault="00CF4016" w:rsidP="00CF4016">
            <w:pPr>
              <w:pStyle w:val="Figure"/>
            </w:pPr>
          </w:p>
        </w:tc>
      </w:tr>
      <w:tr w:rsidR="00CF4016" w:rsidRPr="00176D3F" w:rsidTr="00CF4016">
        <w:tc>
          <w:tcPr>
            <w:tcW w:w="8771" w:type="dxa"/>
            <w:tcBorders>
              <w:top w:val="nil"/>
              <w:left w:val="nil"/>
              <w:bottom w:val="nil"/>
              <w:right w:val="nil"/>
            </w:tcBorders>
            <w:shd w:val="clear" w:color="auto" w:fill="auto"/>
          </w:tcPr>
          <w:p w:rsidR="00CF4016" w:rsidRPr="00176D3F" w:rsidRDefault="00792720" w:rsidP="00D71789">
            <w:pPr>
              <w:pStyle w:val="Note"/>
              <w:rPr>
                <w:i/>
              </w:rPr>
            </w:pPr>
            <w:r>
              <w:rPr>
                <w:rStyle w:val="NoteLabel"/>
              </w:rPr>
              <w:t>a</w:t>
            </w:r>
            <w:r w:rsidRPr="00792720">
              <w:rPr>
                <w:rStyle w:val="NoteLabel"/>
              </w:rPr>
              <w:t xml:space="preserve"> </w:t>
            </w:r>
            <w:r w:rsidR="0031725E" w:rsidRPr="0031725E">
              <w:t>See box</w:t>
            </w:r>
            <w:r w:rsidR="00463329">
              <w:t> </w:t>
            </w:r>
            <w:r w:rsidR="0031725E" w:rsidRPr="0031725E">
              <w:t>12.2</w:t>
            </w:r>
            <w:r w:rsidR="00FC1E0A">
              <w:t>1</w:t>
            </w:r>
            <w:r w:rsidR="0031725E" w:rsidRPr="0031725E">
              <w:t xml:space="preserve"> and table</w:t>
            </w:r>
            <w:r w:rsidR="00463329">
              <w:t> </w:t>
            </w:r>
            <w:proofErr w:type="spellStart"/>
            <w:r w:rsidR="0031725E" w:rsidRPr="0031725E">
              <w:t>12A.8</w:t>
            </w:r>
            <w:r w:rsidR="00FC1E0A">
              <w:t>5</w:t>
            </w:r>
            <w:proofErr w:type="spellEnd"/>
            <w:r w:rsidR="0031725E" w:rsidRPr="0031725E">
              <w:t xml:space="preserve"> </w:t>
            </w:r>
            <w:r w:rsidR="00C9207F" w:rsidRPr="00C9207F">
              <w:t>for detailed definitions, footnotes and caveats</w:t>
            </w:r>
            <w:r w:rsidR="0031725E" w:rsidRPr="0031725E">
              <w:t>.</w:t>
            </w:r>
          </w:p>
        </w:tc>
      </w:tr>
      <w:tr w:rsidR="00CF4016" w:rsidRPr="00176D3F" w:rsidTr="00CF4016">
        <w:tc>
          <w:tcPr>
            <w:tcW w:w="8771" w:type="dxa"/>
            <w:tcBorders>
              <w:top w:val="nil"/>
              <w:left w:val="nil"/>
              <w:bottom w:val="nil"/>
              <w:right w:val="nil"/>
            </w:tcBorders>
            <w:shd w:val="clear" w:color="auto" w:fill="auto"/>
          </w:tcPr>
          <w:p w:rsidR="00CF4016" w:rsidRPr="00176D3F" w:rsidRDefault="00CF4016" w:rsidP="00FC1E0A">
            <w:pPr>
              <w:pStyle w:val="Source"/>
            </w:pPr>
            <w:r w:rsidRPr="00CF4016">
              <w:rPr>
                <w:i/>
              </w:rPr>
              <w:t>Source</w:t>
            </w:r>
            <w:r w:rsidRPr="0022260C">
              <w:t>:</w:t>
            </w:r>
            <w:r w:rsidRPr="00CF4016">
              <w:rPr>
                <w:i/>
              </w:rPr>
              <w:t xml:space="preserve"> </w:t>
            </w:r>
            <w:r w:rsidRPr="00CF4016">
              <w:t xml:space="preserve">ABS (unpublished) </w:t>
            </w:r>
            <w:r w:rsidRPr="008B65FC">
              <w:rPr>
                <w:i/>
              </w:rPr>
              <w:t>Causes of Deaths, Australia</w:t>
            </w:r>
            <w:r w:rsidRPr="00CF4016">
              <w:t>, Cat. no. 3303.0; table</w:t>
            </w:r>
            <w:r w:rsidR="0022260C">
              <w:t> </w:t>
            </w:r>
            <w:proofErr w:type="spellStart"/>
            <w:r w:rsidRPr="00CF4016">
              <w:t>12A.</w:t>
            </w:r>
            <w:r w:rsidR="00940426">
              <w:t>8</w:t>
            </w:r>
            <w:r w:rsidR="00FC1E0A">
              <w:t>5</w:t>
            </w:r>
            <w:proofErr w:type="spellEnd"/>
            <w:r w:rsidRPr="00CF4016">
              <w:t>.</w:t>
            </w:r>
          </w:p>
        </w:tc>
      </w:tr>
      <w:tr w:rsidR="00CF4016" w:rsidTr="00CF4016">
        <w:tc>
          <w:tcPr>
            <w:tcW w:w="8771" w:type="dxa"/>
            <w:tcBorders>
              <w:top w:val="nil"/>
              <w:left w:val="nil"/>
              <w:bottom w:val="single" w:sz="6" w:space="0" w:color="78A22F"/>
              <w:right w:val="nil"/>
            </w:tcBorders>
            <w:shd w:val="clear" w:color="auto" w:fill="auto"/>
          </w:tcPr>
          <w:p w:rsidR="00CF4016" w:rsidRDefault="00CF4016" w:rsidP="00CF4016">
            <w:pPr>
              <w:pStyle w:val="Figurespace"/>
            </w:pPr>
          </w:p>
        </w:tc>
      </w:tr>
      <w:tr w:rsidR="00CF4016" w:rsidRPr="000863A5" w:rsidTr="00CF4016">
        <w:tc>
          <w:tcPr>
            <w:tcW w:w="8771" w:type="dxa"/>
            <w:tcBorders>
              <w:top w:val="single" w:sz="6" w:space="0" w:color="78A22F"/>
              <w:left w:val="nil"/>
              <w:bottom w:val="nil"/>
              <w:right w:val="nil"/>
            </w:tcBorders>
          </w:tcPr>
          <w:p w:rsidR="00CF4016" w:rsidRPr="00626D32" w:rsidRDefault="00CF4016" w:rsidP="00CF4016">
            <w:pPr>
              <w:pStyle w:val="BoxSpaceBelow"/>
            </w:pPr>
          </w:p>
        </w:tc>
      </w:tr>
    </w:tbl>
    <w:p w:rsidR="00ED4141" w:rsidRDefault="00ED4141" w:rsidP="00ED4141">
      <w:pPr>
        <w:pStyle w:val="BodyText"/>
      </w:pPr>
      <w:r>
        <w:t xml:space="preserve">National data available by age and sex show that the rate for males (16.8 per 100 000 males) was over three times that for females (5.3 per 100 000 females) — a ratio that was </w:t>
      </w:r>
      <w:r>
        <w:lastRenderedPageBreak/>
        <w:t>relatively constant over all age groups, except for those aged 85 years or over where the male suicide rate was around six times the female rate (table</w:t>
      </w:r>
      <w:r w:rsidR="00463329">
        <w:t> </w:t>
      </w:r>
      <w:proofErr w:type="spellStart"/>
      <w:r>
        <w:t>12A.81</w:t>
      </w:r>
      <w:proofErr w:type="spellEnd"/>
      <w:r>
        <w:t xml:space="preserve">). </w:t>
      </w:r>
    </w:p>
    <w:p w:rsidR="00ED4141" w:rsidRDefault="00ED4141" w:rsidP="002D0D07">
      <w:pPr>
        <w:pStyle w:val="BodyText"/>
      </w:pPr>
      <w:r>
        <w:t>Historical data are available by sex in table</w:t>
      </w:r>
      <w:r w:rsidR="00463329">
        <w:t> </w:t>
      </w:r>
      <w:proofErr w:type="spellStart"/>
      <w:r>
        <w:t>12A.80</w:t>
      </w:r>
      <w:proofErr w:type="spellEnd"/>
      <w:r>
        <w:t xml:space="preserve"> and by state and territory in tables</w:t>
      </w:r>
      <w:r w:rsidR="00CE52A3">
        <w:t> </w:t>
      </w:r>
      <w:proofErr w:type="spellStart"/>
      <w:r>
        <w:t>12A.82</w:t>
      </w:r>
      <w:proofErr w:type="spellEnd"/>
      <w:r>
        <w:t>–84.</w:t>
      </w:r>
    </w:p>
    <w:p w:rsidR="00203522" w:rsidRDefault="00E848BF" w:rsidP="00203522">
      <w:pPr>
        <w:pStyle w:val="Heading4"/>
      </w:pPr>
      <w:r>
        <w:t>Physical</w:t>
      </w:r>
      <w:r w:rsidR="00203522">
        <w:t xml:space="preserve"> </w:t>
      </w:r>
      <w:r>
        <w:t xml:space="preserve">health outcomes for </w:t>
      </w:r>
      <w:r w:rsidR="00203522">
        <w:t>people with a mental illness</w:t>
      </w:r>
    </w:p>
    <w:p w:rsidR="00821FE5" w:rsidRDefault="00582388" w:rsidP="00652625">
      <w:pPr>
        <w:pStyle w:val="BodyText"/>
      </w:pPr>
      <w:r w:rsidRPr="00582388">
        <w:t xml:space="preserve">‘Physical health outcomes for people with a mental illness’ is an indicator of governments’ objective to </w:t>
      </w:r>
      <w:r w:rsidR="003059B1">
        <w:t>promote</w:t>
      </w:r>
      <w:r w:rsidR="003059B1" w:rsidRPr="00582388">
        <w:t xml:space="preserve"> </w:t>
      </w:r>
      <w:r w:rsidR="00EC77C6">
        <w:t xml:space="preserve">the </w:t>
      </w:r>
      <w:r w:rsidR="003059B1" w:rsidRPr="00582388">
        <w:t xml:space="preserve">recovery </w:t>
      </w:r>
      <w:r w:rsidR="003059B1">
        <w:t xml:space="preserve">of people with a mental illness and </w:t>
      </w:r>
      <w:r w:rsidR="00EC77C6">
        <w:t xml:space="preserve">to </w:t>
      </w:r>
      <w:r w:rsidR="003059B1">
        <w:t>provide</w:t>
      </w:r>
      <w:r w:rsidR="003059B1" w:rsidRPr="003059B1">
        <w:t xml:space="preserve"> high quality </w:t>
      </w:r>
      <w:r w:rsidR="00792720">
        <w:t>co</w:t>
      </w:r>
      <w:r w:rsidR="00463329">
        <w:noBreakHyphen/>
      </w:r>
      <w:r w:rsidR="00792720">
        <w:t xml:space="preserve">ordinated </w:t>
      </w:r>
      <w:r w:rsidR="003059B1">
        <w:t xml:space="preserve">services that </w:t>
      </w:r>
      <w:r w:rsidR="00EC77C6">
        <w:t xml:space="preserve">are </w:t>
      </w:r>
      <w:r w:rsidR="003059B1" w:rsidRPr="003059B1">
        <w:t xml:space="preserve">appropriate to </w:t>
      </w:r>
      <w:r w:rsidR="003059B1">
        <w:t xml:space="preserve">the </w:t>
      </w:r>
      <w:r w:rsidR="003059B1" w:rsidRPr="003059B1">
        <w:t xml:space="preserve">conditions and circumstances </w:t>
      </w:r>
      <w:r w:rsidR="003059B1">
        <w:t xml:space="preserve">of people with a mental illness </w:t>
      </w:r>
      <w:r w:rsidRPr="00582388">
        <w:t>(box</w:t>
      </w:r>
      <w:r w:rsidR="0022260C">
        <w:t> </w:t>
      </w:r>
      <w:r w:rsidR="000157A1">
        <w:t>12.22</w:t>
      </w:r>
      <w:r w:rsidRPr="00582388">
        <w:t>).</w:t>
      </w:r>
      <w:r w:rsidR="00EC77C6">
        <w:t xml:space="preserve"> </w:t>
      </w:r>
    </w:p>
    <w:p w:rsidR="00CE1191" w:rsidRDefault="00CE11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1191" w:rsidTr="004D4228">
        <w:tc>
          <w:tcPr>
            <w:tcW w:w="8771" w:type="dxa"/>
            <w:tcBorders>
              <w:top w:val="single" w:sz="6" w:space="0" w:color="78A22F"/>
              <w:left w:val="nil"/>
              <w:bottom w:val="nil"/>
              <w:right w:val="nil"/>
            </w:tcBorders>
            <w:shd w:val="clear" w:color="auto" w:fill="F2F2F2"/>
          </w:tcPr>
          <w:p w:rsidR="00CE1191" w:rsidRDefault="00CE1191" w:rsidP="0031725E">
            <w:pPr>
              <w:pStyle w:val="BoxTitle"/>
            </w:pPr>
            <w:r>
              <w:rPr>
                <w:b w:val="0"/>
              </w:rPr>
              <w:t xml:space="preserve">Box </w:t>
            </w:r>
            <w:r w:rsidR="00FC1E0A">
              <w:rPr>
                <w:b w:val="0"/>
              </w:rPr>
              <w:t>12.</w:t>
            </w:r>
            <w:r w:rsidR="00833D26">
              <w:rPr>
                <w:b w:val="0"/>
                <w:noProof/>
              </w:rPr>
              <w:t>22</w:t>
            </w:r>
            <w:r>
              <w:tab/>
            </w:r>
            <w:r w:rsidRPr="00582388">
              <w:t>Physical health outcomes for people with a mental illness</w:t>
            </w:r>
            <w:r>
              <w:t xml:space="preserve"> </w:t>
            </w:r>
          </w:p>
        </w:tc>
      </w:tr>
      <w:tr w:rsidR="00CE1191" w:rsidTr="004D4228">
        <w:trPr>
          <w:cantSplit/>
        </w:trPr>
        <w:tc>
          <w:tcPr>
            <w:tcW w:w="8771" w:type="dxa"/>
            <w:tcBorders>
              <w:top w:val="nil"/>
              <w:left w:val="nil"/>
              <w:bottom w:val="nil"/>
              <w:right w:val="nil"/>
            </w:tcBorders>
            <w:shd w:val="clear" w:color="auto" w:fill="F2F2F2"/>
          </w:tcPr>
          <w:p w:rsidR="000C5D75" w:rsidRDefault="00CE1191" w:rsidP="002D0D07">
            <w:pPr>
              <w:pStyle w:val="Box"/>
            </w:pPr>
            <w:r w:rsidRPr="00EC77C6">
              <w:t xml:space="preserve">‘Physical health outcomes for people with a mental illness’ </w:t>
            </w:r>
            <w:r w:rsidR="00B65B61">
              <w:t>is defined by</w:t>
            </w:r>
            <w:r w:rsidR="00FC1E0A">
              <w:t xml:space="preserve"> </w:t>
            </w:r>
            <w:r w:rsidRPr="00EC77C6">
              <w:t>two measures</w:t>
            </w:r>
            <w:r w:rsidR="00B65B61">
              <w:t xml:space="preserve">, </w:t>
            </w:r>
            <w:r w:rsidR="000C5D75">
              <w:t>the p</w:t>
            </w:r>
            <w:r w:rsidRPr="00EC77C6">
              <w:t xml:space="preserve">roportion of </w:t>
            </w:r>
            <w:r w:rsidR="00B65B61">
              <w:t>adults</w:t>
            </w:r>
            <w:r w:rsidR="000C5D75">
              <w:t xml:space="preserve"> </w:t>
            </w:r>
            <w:r w:rsidRPr="00EC77C6">
              <w:t xml:space="preserve">with a mental illness (compared </w:t>
            </w:r>
            <w:r>
              <w:t>with</w:t>
            </w:r>
            <w:r w:rsidRPr="00EC77C6">
              <w:t xml:space="preserve"> the proportion </w:t>
            </w:r>
            <w:r>
              <w:t>of</w:t>
            </w:r>
            <w:r w:rsidRPr="00EC77C6">
              <w:t xml:space="preserve"> </w:t>
            </w:r>
            <w:r w:rsidR="00B65B61">
              <w:t>adults</w:t>
            </w:r>
            <w:r w:rsidR="000C5D75">
              <w:t xml:space="preserve"> </w:t>
            </w:r>
            <w:r w:rsidRPr="00EC77C6">
              <w:t>without a mental illness)</w:t>
            </w:r>
            <w:r w:rsidR="00B65B61">
              <w:t>:</w:t>
            </w:r>
          </w:p>
          <w:p w:rsidR="00CE1191" w:rsidRPr="00EC77C6" w:rsidRDefault="00B65B61" w:rsidP="00B65B61">
            <w:pPr>
              <w:pStyle w:val="BoxListBullet"/>
            </w:pPr>
            <w:r>
              <w:t xml:space="preserve">who </w:t>
            </w:r>
            <w:r w:rsidR="00CE1191" w:rsidRPr="00EC77C6">
              <w:t xml:space="preserve">are </w:t>
            </w:r>
            <w:r w:rsidR="00CE1191">
              <w:t>exposed</w:t>
            </w:r>
            <w:r w:rsidR="00CE1191" w:rsidRPr="00EC77C6">
              <w:t xml:space="preserve"> to particular health risk factors:</w:t>
            </w:r>
            <w:r w:rsidR="0031725E">
              <w:t xml:space="preserve"> </w:t>
            </w:r>
            <w:r w:rsidR="00CE1191" w:rsidRPr="00EC77C6">
              <w:t>obese/overweight</w:t>
            </w:r>
            <w:r w:rsidR="0031725E">
              <w:t xml:space="preserve">, </w:t>
            </w:r>
            <w:r w:rsidR="00CE1191" w:rsidRPr="00EC77C6">
              <w:t>daily smokers</w:t>
            </w:r>
            <w:r w:rsidR="0031725E">
              <w:t xml:space="preserve"> and </w:t>
            </w:r>
            <w:r w:rsidR="00CE1191" w:rsidRPr="00EC77C6">
              <w:t>at risk of long term harm from alcohol.</w:t>
            </w:r>
          </w:p>
          <w:p w:rsidR="00CE1191" w:rsidRDefault="00B65B61" w:rsidP="00B65B61">
            <w:pPr>
              <w:pStyle w:val="BoxListBullet"/>
            </w:pPr>
            <w:r>
              <w:t xml:space="preserve">who </w:t>
            </w:r>
            <w:r w:rsidR="0031725E" w:rsidRPr="0031725E">
              <w:t>experienced a long</w:t>
            </w:r>
            <w:r w:rsidR="00FC1E0A">
              <w:noBreakHyphen/>
            </w:r>
            <w:r w:rsidR="0031725E">
              <w:t xml:space="preserve">term physical health condition: </w:t>
            </w:r>
            <w:r w:rsidR="0031725E" w:rsidRPr="0031725E">
              <w:t>cancer, diabetes, arthritis, cardiovascular disease and asthma</w:t>
            </w:r>
            <w:r w:rsidR="0031725E">
              <w:t>.</w:t>
            </w:r>
          </w:p>
          <w:p w:rsidR="00FC1E0A" w:rsidRDefault="0031725E">
            <w:pPr>
              <w:pStyle w:val="Box"/>
            </w:pPr>
            <w:r w:rsidRPr="0031725E">
              <w:t>Low or decreasing proportions of people with a mental illness who are subject to particular health risk factors and who experience a long</w:t>
            </w:r>
            <w:r w:rsidR="00463329">
              <w:noBreakHyphen/>
            </w:r>
            <w:r w:rsidRPr="0031725E">
              <w:t>term physical health condition are desirable.</w:t>
            </w:r>
          </w:p>
          <w:p w:rsidR="00ED4141" w:rsidRDefault="00ED4141" w:rsidP="00ED4141">
            <w:pPr>
              <w:pStyle w:val="Box"/>
            </w:pPr>
            <w:r>
              <w:t xml:space="preserve">People with a mental illness have worse physical health outcomes than people without mental illness </w:t>
            </w:r>
            <w:r w:rsidRPr="00FC1E0A">
              <w:t>(</w:t>
            </w:r>
            <w:proofErr w:type="spellStart"/>
            <w:r w:rsidRPr="00FC1E0A">
              <w:t>Coghlan</w:t>
            </w:r>
            <w:proofErr w:type="spellEnd"/>
            <w:r w:rsidRPr="00FC1E0A">
              <w:t xml:space="preserve"> et al. 2001; </w:t>
            </w:r>
            <w:proofErr w:type="spellStart"/>
            <w:r w:rsidRPr="00D015BF">
              <w:t>Happell</w:t>
            </w:r>
            <w:proofErr w:type="spellEnd"/>
            <w:r w:rsidRPr="00D015BF">
              <w:t xml:space="preserve"> </w:t>
            </w:r>
            <w:r>
              <w:t xml:space="preserve">et al. 2015; </w:t>
            </w:r>
            <w:proofErr w:type="spellStart"/>
            <w:r w:rsidRPr="00FC1E0A">
              <w:t>Joukamaa</w:t>
            </w:r>
            <w:proofErr w:type="spellEnd"/>
            <w:r w:rsidRPr="00FC1E0A">
              <w:t xml:space="preserve"> et al. 2001; Sartorius 2007; Lawrence, Hancock and </w:t>
            </w:r>
            <w:proofErr w:type="spellStart"/>
            <w:r w:rsidRPr="00FC1E0A">
              <w:t>Kisely</w:t>
            </w:r>
            <w:proofErr w:type="spellEnd"/>
            <w:r w:rsidRPr="00FC1E0A">
              <w:t xml:space="preserve"> 2013). </w:t>
            </w:r>
            <w:r>
              <w:t xml:space="preserve">However, the relationship between a physical and mental health is complex. Poor physical health can exacerbate mental health problems and poor mental health can lead to poor physical health. In addition, some psychiatric medications that are prescribed to treat mental health conditions are known to lead to worse physical health outcomes. </w:t>
            </w:r>
          </w:p>
          <w:p w:rsidR="00D2172E" w:rsidRDefault="00D2172E" w:rsidP="00ED4141">
            <w:pPr>
              <w:pStyle w:val="Box"/>
            </w:pPr>
            <w:r w:rsidRPr="00D2172E">
              <w:t xml:space="preserve">Data for </w:t>
            </w:r>
            <w:r>
              <w:t>these measure</w:t>
            </w:r>
            <w:r w:rsidRPr="00D2172E">
              <w:t>s include 95 per cent confidence intervals (in the form of error bars in figures).</w:t>
            </w:r>
          </w:p>
          <w:p w:rsidR="00ED4141" w:rsidRPr="00EC77C6" w:rsidRDefault="00ED4141" w:rsidP="00ED4141">
            <w:pPr>
              <w:pStyle w:val="Box"/>
            </w:pPr>
            <w:r w:rsidRPr="00F41A8F">
              <w:t>Data reported for this indicator are:</w:t>
            </w:r>
          </w:p>
          <w:p w:rsidR="00ED4141" w:rsidRPr="00EC77C6" w:rsidRDefault="00ED4141" w:rsidP="00ED4141">
            <w:pPr>
              <w:pStyle w:val="BoxListBullet"/>
            </w:pPr>
            <w:r w:rsidRPr="00EC77C6">
              <w:t xml:space="preserve">comparable (subject to caveats) across jurisdictions </w:t>
            </w:r>
            <w:r>
              <w:t>(no time series data are reported)</w:t>
            </w:r>
          </w:p>
          <w:p w:rsidR="00ED4141" w:rsidRDefault="00ED4141" w:rsidP="002245A4">
            <w:pPr>
              <w:pStyle w:val="BoxListBullet"/>
            </w:pPr>
            <w:r w:rsidRPr="00EC77C6">
              <w:t xml:space="preserve">complete </w:t>
            </w:r>
            <w:r w:rsidR="002245A4" w:rsidRPr="002245A4">
              <w:t>(subject to caveats)</w:t>
            </w:r>
            <w:r w:rsidR="002245A4">
              <w:t xml:space="preserve"> </w:t>
            </w:r>
            <w:r w:rsidRPr="00EC77C6">
              <w:t>for the current reporting period. All required 201</w:t>
            </w:r>
            <w:r>
              <w:t>1</w:t>
            </w:r>
            <w:r w:rsidRPr="00EC77C6">
              <w:noBreakHyphen/>
              <w:t>1</w:t>
            </w:r>
            <w:r>
              <w:t>2</w:t>
            </w:r>
            <w:r w:rsidRPr="00EC77C6">
              <w:t xml:space="preserve"> data are available for all jurisdictions.</w:t>
            </w:r>
          </w:p>
          <w:p w:rsidR="00A72555" w:rsidRPr="00EC77C6" w:rsidRDefault="00A72555" w:rsidP="00A72555">
            <w:pPr>
              <w:pStyle w:val="Box"/>
            </w:pPr>
            <w:r w:rsidRPr="00A72555">
              <w:t xml:space="preserve">The total and non-Indigenous components of the </w:t>
            </w:r>
            <w:r w:rsidRPr="00A72555">
              <w:rPr>
                <w:i/>
              </w:rPr>
              <w:t>2011-13 AHS</w:t>
            </w:r>
            <w:r w:rsidRPr="00A72555">
              <w:t xml:space="preserve"> does not include people living in discrete </w:t>
            </w:r>
            <w:r w:rsidR="0093195A" w:rsidRPr="0093195A">
              <w:t>Aboriginal and Torres Strait Islander</w:t>
            </w:r>
            <w:r w:rsidRPr="00A72555">
              <w:t xml:space="preserve"> communities and very remote areas, which affects the comparability of the NT results</w:t>
            </w:r>
            <w:r>
              <w:t>.</w:t>
            </w:r>
          </w:p>
          <w:p w:rsidR="00ED4141" w:rsidRDefault="00ED4141" w:rsidP="00ED4141">
            <w:pPr>
              <w:pStyle w:val="Box"/>
            </w:pPr>
            <w:r w:rsidRPr="00EC77C6">
              <w:t xml:space="preserve">Data quality information for this indicator is </w:t>
            </w:r>
            <w:r>
              <w:t>under development</w:t>
            </w:r>
            <w:r w:rsidRPr="00EC77C6">
              <w:t>.</w:t>
            </w:r>
          </w:p>
        </w:tc>
      </w:tr>
      <w:tr w:rsidR="00CE1191" w:rsidTr="004D4228">
        <w:trPr>
          <w:cantSplit/>
        </w:trPr>
        <w:tc>
          <w:tcPr>
            <w:tcW w:w="8771" w:type="dxa"/>
            <w:tcBorders>
              <w:top w:val="nil"/>
              <w:left w:val="nil"/>
              <w:bottom w:val="single" w:sz="6" w:space="0" w:color="78A22F"/>
              <w:right w:val="nil"/>
            </w:tcBorders>
            <w:shd w:val="clear" w:color="auto" w:fill="F2F2F2"/>
          </w:tcPr>
          <w:p w:rsidR="00CE1191" w:rsidRDefault="00CE1191">
            <w:pPr>
              <w:pStyle w:val="Box"/>
              <w:spacing w:before="0" w:line="120" w:lineRule="exact"/>
            </w:pPr>
          </w:p>
        </w:tc>
      </w:tr>
      <w:tr w:rsidR="00CE1191" w:rsidRPr="000863A5" w:rsidTr="004D4228">
        <w:tc>
          <w:tcPr>
            <w:tcW w:w="8771" w:type="dxa"/>
            <w:tcBorders>
              <w:top w:val="single" w:sz="6" w:space="0" w:color="78A22F"/>
              <w:left w:val="nil"/>
              <w:bottom w:val="nil"/>
              <w:right w:val="nil"/>
            </w:tcBorders>
          </w:tcPr>
          <w:p w:rsidR="00CE1191" w:rsidRPr="00626D32" w:rsidRDefault="00CE1191" w:rsidP="004D4228">
            <w:pPr>
              <w:pStyle w:val="BoxSpaceBelow"/>
            </w:pPr>
          </w:p>
        </w:tc>
      </w:tr>
    </w:tbl>
    <w:p w:rsidR="00203522" w:rsidRDefault="001B4661" w:rsidP="00D71789">
      <w:pPr>
        <w:pStyle w:val="BodyText"/>
        <w:shd w:val="clear" w:color="auto" w:fill="FFFFFF" w:themeFill="background1"/>
      </w:pPr>
      <w:r w:rsidRPr="009E765C">
        <w:rPr>
          <w:shd w:val="clear" w:color="auto" w:fill="FFFFFF" w:themeFill="background1"/>
        </w:rPr>
        <w:lastRenderedPageBreak/>
        <w:t>Greater e</w:t>
      </w:r>
      <w:r w:rsidR="007F688B" w:rsidRPr="009E765C">
        <w:rPr>
          <w:shd w:val="clear" w:color="auto" w:fill="FFFFFF" w:themeFill="background1"/>
        </w:rPr>
        <w:t>xpos</w:t>
      </w:r>
      <w:r w:rsidRPr="009E765C">
        <w:rPr>
          <w:shd w:val="clear" w:color="auto" w:fill="FFFFFF" w:themeFill="background1"/>
        </w:rPr>
        <w:t>ure to</w:t>
      </w:r>
      <w:r w:rsidR="007F688B" w:rsidRPr="009E765C">
        <w:rPr>
          <w:shd w:val="clear" w:color="auto" w:fill="FFFFFF" w:themeFill="background1"/>
        </w:rPr>
        <w:t xml:space="preserve"> particular health risk factors </w:t>
      </w:r>
      <w:r w:rsidRPr="009E765C">
        <w:rPr>
          <w:shd w:val="clear" w:color="auto" w:fill="FFFFFF" w:themeFill="background1"/>
        </w:rPr>
        <w:t>can contribute to poorer physical health</w:t>
      </w:r>
      <w:r w:rsidR="002E271C" w:rsidRPr="009E765C">
        <w:rPr>
          <w:shd w:val="clear" w:color="auto" w:fill="FFFFFF" w:themeFill="background1"/>
        </w:rPr>
        <w:t>.</w:t>
      </w:r>
      <w:r w:rsidR="002E271C">
        <w:t xml:space="preserve"> </w:t>
      </w:r>
      <w:r w:rsidR="00ED4141">
        <w:t>In 2011</w:t>
      </w:r>
      <w:r w:rsidR="00463329">
        <w:noBreakHyphen/>
      </w:r>
      <w:r w:rsidR="00ED4141">
        <w:t>12, p</w:t>
      </w:r>
      <w:r w:rsidR="008361A0">
        <w:t>eople with a mental illness ha</w:t>
      </w:r>
      <w:r w:rsidR="00ED4141">
        <w:t>d</w:t>
      </w:r>
      <w:r w:rsidR="008361A0">
        <w:t xml:space="preserve"> </w:t>
      </w:r>
      <w:r w:rsidR="00792720">
        <w:t xml:space="preserve">significantly </w:t>
      </w:r>
      <w:r w:rsidR="008361A0">
        <w:t>higher daily smoking rates</w:t>
      </w:r>
      <w:r w:rsidR="00ED4141">
        <w:t xml:space="preserve"> </w:t>
      </w:r>
      <w:r w:rsidR="000C5D75">
        <w:t>(26.1 </w:t>
      </w:r>
      <w:r w:rsidR="00ED4141">
        <w:t xml:space="preserve">per cent) compared to </w:t>
      </w:r>
      <w:r w:rsidR="008361A0">
        <w:t>people without a mental illness</w:t>
      </w:r>
      <w:r w:rsidR="00BF2AD5">
        <w:t xml:space="preserve"> </w:t>
      </w:r>
      <w:r w:rsidR="008361A0">
        <w:t>(</w:t>
      </w:r>
      <w:r w:rsidR="00BE72E5" w:rsidRPr="00BE72E5">
        <w:t>14.7</w:t>
      </w:r>
      <w:r w:rsidR="00FB6063">
        <w:t> </w:t>
      </w:r>
      <w:r w:rsidR="00BE72E5" w:rsidRPr="00BE72E5">
        <w:t>per</w:t>
      </w:r>
      <w:r w:rsidR="00FB6063">
        <w:t> </w:t>
      </w:r>
      <w:r w:rsidR="00BE72E5" w:rsidRPr="00BE72E5">
        <w:t>cent</w:t>
      </w:r>
      <w:r w:rsidR="008361A0">
        <w:t>) (figure</w:t>
      </w:r>
      <w:r w:rsidR="0022260C">
        <w:t> </w:t>
      </w:r>
      <w:r w:rsidR="008361A0">
        <w:t>12.</w:t>
      </w:r>
      <w:r w:rsidR="00974092">
        <w:t>32</w:t>
      </w:r>
      <w:r w:rsidR="008361A0">
        <w:t>)</w:t>
      </w:r>
      <w:r w:rsidR="00BE72E5" w:rsidRPr="00BE72E5">
        <w:t>.</w:t>
      </w:r>
      <w:r w:rsidR="008361A0">
        <w:t xml:space="preserve"> </w:t>
      </w:r>
      <w:r w:rsidR="00BF2AD5">
        <w:t>T</w:t>
      </w:r>
      <w:r w:rsidR="008361A0">
        <w:t xml:space="preserve">he </w:t>
      </w:r>
      <w:r w:rsidR="003701B1">
        <w:t>proportions</w:t>
      </w:r>
      <w:r w:rsidR="008361A0">
        <w:t xml:space="preserve"> </w:t>
      </w:r>
      <w:r w:rsidR="003701B1">
        <w:t>of people who are</w:t>
      </w:r>
      <w:r w:rsidR="008361A0">
        <w:t xml:space="preserve"> </w:t>
      </w:r>
      <w:r w:rsidR="00C06D02">
        <w:t>obese</w:t>
      </w:r>
      <w:r w:rsidR="008361A0">
        <w:t xml:space="preserve">/overweight </w:t>
      </w:r>
      <w:r w:rsidR="003701B1">
        <w:t xml:space="preserve">or at </w:t>
      </w:r>
      <w:r w:rsidR="008361A0">
        <w:t xml:space="preserve">risk </w:t>
      </w:r>
      <w:r w:rsidR="003701B1">
        <w:t>of</w:t>
      </w:r>
      <w:r w:rsidR="008361A0">
        <w:t xml:space="preserve"> long term harm from alcohol </w:t>
      </w:r>
      <w:r w:rsidR="003701B1">
        <w:t xml:space="preserve">are similar </w:t>
      </w:r>
      <w:r w:rsidR="008361A0">
        <w:t xml:space="preserve">for </w:t>
      </w:r>
      <w:r w:rsidR="003701B1">
        <w:t>those</w:t>
      </w:r>
      <w:r w:rsidR="008361A0">
        <w:t xml:space="preserve"> with and without </w:t>
      </w:r>
      <w:r w:rsidR="00DA275C">
        <w:t xml:space="preserve">a </w:t>
      </w:r>
      <w:r w:rsidR="008361A0">
        <w:t>mental illness</w:t>
      </w:r>
      <w:r w:rsidR="00792720">
        <w:t xml:space="preserve"> (table</w:t>
      </w:r>
      <w:r w:rsidR="00FB6063">
        <w:t> </w:t>
      </w:r>
      <w:proofErr w:type="spellStart"/>
      <w:r w:rsidR="00792720">
        <w:t>12A.8</w:t>
      </w:r>
      <w:r w:rsidR="00BF2AD5">
        <w:t>6</w:t>
      </w:r>
      <w:proofErr w:type="spellEnd"/>
      <w:r w:rsidR="00792720">
        <w:t>)</w:t>
      </w:r>
      <w:r w:rsidR="008361A0">
        <w:t>.</w:t>
      </w:r>
    </w:p>
    <w:p w:rsidR="00A05C99" w:rsidRDefault="00A05C99" w:rsidP="005532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5C99" w:rsidTr="0055322D">
        <w:tc>
          <w:tcPr>
            <w:tcW w:w="8771" w:type="dxa"/>
            <w:tcBorders>
              <w:top w:val="single" w:sz="6" w:space="0" w:color="78A22F"/>
              <w:left w:val="nil"/>
              <w:bottom w:val="nil"/>
              <w:right w:val="nil"/>
            </w:tcBorders>
            <w:shd w:val="clear" w:color="auto" w:fill="auto"/>
          </w:tcPr>
          <w:p w:rsidR="00A05C99" w:rsidRPr="005E65D7" w:rsidRDefault="00A05C99" w:rsidP="005E65D7">
            <w:pPr>
              <w:pStyle w:val="FigureTitle"/>
            </w:pPr>
            <w:r w:rsidRPr="005E65D7">
              <w:rPr>
                <w:b w:val="0"/>
              </w:rPr>
              <w:t xml:space="preserve">Figure </w:t>
            </w:r>
            <w:r w:rsidR="00974092" w:rsidRPr="005E65D7">
              <w:rPr>
                <w:b w:val="0"/>
              </w:rPr>
              <w:t>12.</w:t>
            </w:r>
            <w:r w:rsidR="00833D26">
              <w:rPr>
                <w:b w:val="0"/>
                <w:noProof/>
              </w:rPr>
              <w:t>32</w:t>
            </w:r>
            <w:r w:rsidRPr="005E65D7">
              <w:rPr>
                <w:b w:val="0"/>
              </w:rPr>
              <w:tab/>
            </w:r>
            <w:r w:rsidRPr="005E65D7">
              <w:t>Adults who are daily smokers, by mental illness status, 2011</w:t>
            </w:r>
            <w:r w:rsidRPr="005E65D7">
              <w:noBreakHyphen/>
              <w:t>12</w:t>
            </w:r>
            <w:r w:rsidRPr="005E65D7">
              <w:rPr>
                <w:rStyle w:val="NoteLabel"/>
                <w:b/>
              </w:rPr>
              <w:t>a</w:t>
            </w:r>
            <w:r w:rsidRPr="005E65D7">
              <w:rPr>
                <w:rStyle w:val="NoteLabel"/>
                <w:b/>
                <w:position w:val="0"/>
                <w:sz w:val="24"/>
              </w:rPr>
              <w:t xml:space="preserve"> </w:t>
            </w:r>
          </w:p>
        </w:tc>
      </w:tr>
      <w:tr w:rsidR="00A05C99" w:rsidTr="0055322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05C99" w:rsidTr="0055322D">
              <w:trPr>
                <w:jc w:val="center"/>
              </w:trPr>
              <w:tc>
                <w:tcPr>
                  <w:tcW w:w="5000" w:type="pct"/>
                  <w:tcBorders>
                    <w:top w:val="nil"/>
                    <w:bottom w:val="nil"/>
                  </w:tcBorders>
                </w:tcPr>
                <w:p w:rsidR="00A05C99" w:rsidRDefault="001B7B09">
                  <w:pPr>
                    <w:pStyle w:val="Figure"/>
                    <w:spacing w:before="60" w:after="60"/>
                  </w:pPr>
                  <w:r>
                    <w:rPr>
                      <w:noProof/>
                    </w:rPr>
                    <w:drawing>
                      <wp:inline distT="0" distB="0" distL="0" distR="0">
                        <wp:extent cx="5353050" cy="2686050"/>
                        <wp:effectExtent l="0" t="0" r="0" b="0"/>
                        <wp:docPr id="35" name="Picture 35" descr="Figure 12.32 Adults who are daily smokers,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53050" cy="2686050"/>
                                </a:xfrm>
                                <a:prstGeom prst="rect">
                                  <a:avLst/>
                                </a:prstGeom>
                                <a:noFill/>
                                <a:ln>
                                  <a:noFill/>
                                </a:ln>
                              </pic:spPr>
                            </pic:pic>
                          </a:graphicData>
                        </a:graphic>
                      </wp:inline>
                    </w:drawing>
                  </w:r>
                </w:p>
              </w:tc>
            </w:tr>
          </w:tbl>
          <w:p w:rsidR="00A05C99" w:rsidRDefault="00A05C99" w:rsidP="0055322D">
            <w:pPr>
              <w:pStyle w:val="Figure"/>
            </w:pPr>
          </w:p>
        </w:tc>
      </w:tr>
      <w:tr w:rsidR="00B33C6B" w:rsidRPr="00176D3F" w:rsidTr="00C6566D">
        <w:tc>
          <w:tcPr>
            <w:tcW w:w="8771" w:type="dxa"/>
            <w:tcBorders>
              <w:top w:val="nil"/>
              <w:left w:val="nil"/>
              <w:bottom w:val="nil"/>
              <w:right w:val="nil"/>
            </w:tcBorders>
            <w:shd w:val="clear" w:color="auto" w:fill="auto"/>
          </w:tcPr>
          <w:p w:rsidR="00B33C6B" w:rsidRPr="00176D3F" w:rsidRDefault="00516780" w:rsidP="00D71789">
            <w:pPr>
              <w:pStyle w:val="Note"/>
              <w:rPr>
                <w:i/>
              </w:rPr>
            </w:pPr>
            <w:r w:rsidRPr="00516780">
              <w:rPr>
                <w:rStyle w:val="NoteLabel"/>
              </w:rPr>
              <w:t xml:space="preserve">a </w:t>
            </w:r>
            <w:r w:rsidR="0031725E" w:rsidRPr="0031725E">
              <w:t>See box</w:t>
            </w:r>
            <w:r w:rsidR="00463329">
              <w:t> </w:t>
            </w:r>
            <w:r w:rsidR="0031725E" w:rsidRPr="0031725E">
              <w:t>12.2</w:t>
            </w:r>
            <w:r w:rsidR="00767441">
              <w:t>2</w:t>
            </w:r>
            <w:r w:rsidR="0031725E" w:rsidRPr="0031725E">
              <w:t xml:space="preserve"> and table</w:t>
            </w:r>
            <w:r w:rsidR="00463329">
              <w:t> </w:t>
            </w:r>
            <w:proofErr w:type="spellStart"/>
            <w:r w:rsidR="0031725E" w:rsidRPr="0031725E">
              <w:t>12A.8</w:t>
            </w:r>
            <w:r w:rsidR="00BF2AD5">
              <w:t>6</w:t>
            </w:r>
            <w:proofErr w:type="spellEnd"/>
            <w:r w:rsidR="0031725E" w:rsidRPr="0031725E">
              <w:t xml:space="preserve"> </w:t>
            </w:r>
            <w:r w:rsidR="00C9207F" w:rsidRPr="00C9207F">
              <w:t>for detailed definitions, footnotes and caveats</w:t>
            </w:r>
            <w:r w:rsidRPr="00D71789">
              <w:t>.</w:t>
            </w: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BF2AD5">
            <w:pPr>
              <w:pStyle w:val="Source"/>
            </w:pPr>
            <w:r w:rsidRPr="003E71A2">
              <w:rPr>
                <w:i/>
              </w:rPr>
              <w:t>Source</w:t>
            </w:r>
            <w:r w:rsidRPr="00F40E83">
              <w:t xml:space="preserve">: </w:t>
            </w:r>
            <w:r w:rsidRPr="003E71A2">
              <w:t xml:space="preserve">ABS (unpublished) </w:t>
            </w:r>
            <w:r w:rsidRPr="00F40E83">
              <w:rPr>
                <w:i/>
              </w:rPr>
              <w:t>AHS 2011–13 (2011</w:t>
            </w:r>
            <w:r w:rsidR="000A2B36" w:rsidRPr="00F40E83">
              <w:rPr>
                <w:i/>
              </w:rPr>
              <w:noBreakHyphen/>
            </w:r>
            <w:r w:rsidRPr="00F40E83">
              <w:rPr>
                <w:i/>
              </w:rPr>
              <w:t>12 NHS component)</w:t>
            </w:r>
            <w:r w:rsidRPr="003E71A2">
              <w:t>, Cat. no. 4364.0; table</w:t>
            </w:r>
            <w:r w:rsidR="0022260C">
              <w:t> </w:t>
            </w:r>
            <w:proofErr w:type="spellStart"/>
            <w:r w:rsidRPr="003E71A2">
              <w:t>12A.</w:t>
            </w:r>
            <w:r w:rsidR="00BF2AD5">
              <w:t>86</w:t>
            </w:r>
            <w:proofErr w:type="spellEnd"/>
            <w:r w:rsidRPr="003E71A2">
              <w:t>.</w:t>
            </w:r>
          </w:p>
        </w:tc>
      </w:tr>
      <w:tr w:rsidR="00B33C6B" w:rsidTr="00C6566D">
        <w:tc>
          <w:tcPr>
            <w:tcW w:w="8771" w:type="dxa"/>
            <w:tcBorders>
              <w:top w:val="nil"/>
              <w:left w:val="nil"/>
              <w:bottom w:val="single" w:sz="6" w:space="0" w:color="78A22F"/>
              <w:right w:val="nil"/>
            </w:tcBorders>
            <w:shd w:val="clear" w:color="auto" w:fill="auto"/>
          </w:tcPr>
          <w:p w:rsidR="00B33C6B" w:rsidRDefault="00B33C6B" w:rsidP="00C6566D">
            <w:pPr>
              <w:pStyle w:val="Figurespace"/>
            </w:pPr>
          </w:p>
        </w:tc>
      </w:tr>
      <w:tr w:rsidR="00B33C6B" w:rsidRPr="000863A5" w:rsidTr="00C6566D">
        <w:tc>
          <w:tcPr>
            <w:tcW w:w="8771" w:type="dxa"/>
            <w:tcBorders>
              <w:top w:val="single" w:sz="6" w:space="0" w:color="78A22F"/>
              <w:left w:val="nil"/>
              <w:bottom w:val="nil"/>
              <w:right w:val="nil"/>
            </w:tcBorders>
          </w:tcPr>
          <w:p w:rsidR="00B33C6B" w:rsidRPr="000C5D75" w:rsidRDefault="00B33C6B" w:rsidP="000C5D75">
            <w:pPr>
              <w:pStyle w:val="BoxSpaceBelow"/>
            </w:pPr>
          </w:p>
        </w:tc>
      </w:tr>
    </w:tbl>
    <w:p w:rsidR="00B93F05" w:rsidRDefault="000C5D75" w:rsidP="002D0D07">
      <w:pPr>
        <w:pStyle w:val="BodyText"/>
      </w:pPr>
      <w:r>
        <w:t>A higher proportion of p</w:t>
      </w:r>
      <w:r w:rsidR="007F688B">
        <w:t xml:space="preserve">eople with a mental illness </w:t>
      </w:r>
      <w:r>
        <w:t xml:space="preserve">had </w:t>
      </w:r>
      <w:r w:rsidR="007F688B">
        <w:t>long</w:t>
      </w:r>
      <w:r w:rsidR="0022260C">
        <w:noBreakHyphen/>
      </w:r>
      <w:r w:rsidR="007F688B">
        <w:t>term health condition</w:t>
      </w:r>
      <w:r w:rsidR="00D35272">
        <w:t>s</w:t>
      </w:r>
      <w:r w:rsidR="002D0D07">
        <w:t xml:space="preserve"> compared </w:t>
      </w:r>
      <w:r>
        <w:t>to people without mental illness</w:t>
      </w:r>
      <w:r w:rsidR="007F688B">
        <w:t xml:space="preserve">. </w:t>
      </w:r>
      <w:r w:rsidR="002E271C" w:rsidRPr="00C55E5E">
        <w:t>Nationally in 201</w:t>
      </w:r>
      <w:r w:rsidR="002E271C">
        <w:t>1</w:t>
      </w:r>
      <w:r w:rsidR="002E271C">
        <w:noBreakHyphen/>
      </w:r>
      <w:r w:rsidR="002E271C" w:rsidRPr="00C55E5E">
        <w:t>1</w:t>
      </w:r>
      <w:r w:rsidR="002E271C">
        <w:t>2</w:t>
      </w:r>
      <w:r w:rsidR="002E271C" w:rsidRPr="00C55E5E">
        <w:t>, the proportion</w:t>
      </w:r>
      <w:r>
        <w:t>s</w:t>
      </w:r>
      <w:r w:rsidR="002E271C" w:rsidRPr="00C55E5E">
        <w:t xml:space="preserve"> of </w:t>
      </w:r>
      <w:r w:rsidR="002E271C">
        <w:t xml:space="preserve">people with a mental illness who </w:t>
      </w:r>
      <w:r w:rsidR="005F670E">
        <w:t>had</w:t>
      </w:r>
      <w:r w:rsidR="0031725E">
        <w:t xml:space="preserve"> </w:t>
      </w:r>
      <w:r w:rsidR="00767441">
        <w:t>arthritis</w:t>
      </w:r>
      <w:r w:rsidR="005F670E">
        <w:t xml:space="preserve"> </w:t>
      </w:r>
      <w:r>
        <w:t>(</w:t>
      </w:r>
      <w:r w:rsidR="00767441" w:rsidRPr="00767441">
        <w:t>26.9</w:t>
      </w:r>
      <w:r w:rsidR="00767441">
        <w:t xml:space="preserve"> </w:t>
      </w:r>
      <w:r w:rsidR="002E271C" w:rsidRPr="00B84D8B">
        <w:t>per cent</w:t>
      </w:r>
      <w:r>
        <w:t>)</w:t>
      </w:r>
      <w:r w:rsidR="0031725E">
        <w:t xml:space="preserve"> and </w:t>
      </w:r>
      <w:r w:rsidR="005F670E">
        <w:t>cardiovascular disease</w:t>
      </w:r>
      <w:r w:rsidR="002E271C">
        <w:t xml:space="preserve"> </w:t>
      </w:r>
      <w:r>
        <w:t>(</w:t>
      </w:r>
      <w:r w:rsidR="00DA172E" w:rsidRPr="00DA172E">
        <w:t>9.5</w:t>
      </w:r>
      <w:r w:rsidR="002E271C" w:rsidRPr="00B84D8B">
        <w:t xml:space="preserve"> per cent</w:t>
      </w:r>
      <w:r>
        <w:t>) were higher than those without mental illness (</w:t>
      </w:r>
      <w:r w:rsidR="00767441" w:rsidRPr="00767441">
        <w:t>16.7</w:t>
      </w:r>
      <w:r w:rsidR="00767441">
        <w:t> </w:t>
      </w:r>
      <w:r w:rsidR="00767441" w:rsidRPr="00B84D8B">
        <w:t xml:space="preserve">per cent </w:t>
      </w:r>
      <w:r w:rsidR="00767441">
        <w:t xml:space="preserve">and </w:t>
      </w:r>
      <w:r w:rsidR="00DA172E" w:rsidRPr="00DA172E">
        <w:t>5.2</w:t>
      </w:r>
      <w:r w:rsidR="002E271C" w:rsidRPr="00B84D8B">
        <w:t xml:space="preserve"> per cent </w:t>
      </w:r>
      <w:r w:rsidR="00BF2AD5">
        <w:t>respectively</w:t>
      </w:r>
      <w:r>
        <w:t>)</w:t>
      </w:r>
      <w:r w:rsidR="00BF2AD5" w:rsidRPr="00B84D8B" w:rsidDel="00767441">
        <w:t xml:space="preserve"> </w:t>
      </w:r>
      <w:r w:rsidR="002E271C">
        <w:t>(figure</w:t>
      </w:r>
      <w:r w:rsidR="0022260C">
        <w:t> </w:t>
      </w:r>
      <w:r w:rsidR="00E73529">
        <w:t>12.</w:t>
      </w:r>
      <w:r w:rsidR="004D4228">
        <w:t>3</w:t>
      </w:r>
      <w:r w:rsidR="00974092">
        <w:t>3</w:t>
      </w:r>
      <w:r w:rsidR="00E73529">
        <w:t>)</w:t>
      </w:r>
      <w:r w:rsidR="002E271C">
        <w:t>.</w:t>
      </w:r>
      <w:r w:rsidR="0031725E">
        <w:t xml:space="preserve"> </w:t>
      </w:r>
      <w:r w:rsidR="005F670E">
        <w:t>Table</w:t>
      </w:r>
      <w:r w:rsidR="0022260C">
        <w:t> </w:t>
      </w:r>
      <w:proofErr w:type="spellStart"/>
      <w:r w:rsidR="005F670E">
        <w:t>12A.</w:t>
      </w:r>
      <w:r w:rsidR="0031725E">
        <w:t>87</w:t>
      </w:r>
      <w:proofErr w:type="spellEnd"/>
      <w:r w:rsidR="0031725E">
        <w:t xml:space="preserve"> </w:t>
      </w:r>
      <w:r w:rsidR="00B65B61">
        <w:t>provides</w:t>
      </w:r>
      <w:r w:rsidR="005F670E">
        <w:t xml:space="preserve"> data for cancer</w:t>
      </w:r>
      <w:r w:rsidR="00B65B61">
        <w:t>, asthma</w:t>
      </w:r>
      <w:r w:rsidR="005F670E">
        <w:t xml:space="preserve"> and diabetes.</w:t>
      </w:r>
      <w:r w:rsidR="00B93F05">
        <w:t xml:space="preserve"> </w:t>
      </w:r>
    </w:p>
    <w:p w:rsidR="002E271C" w:rsidRDefault="002E271C" w:rsidP="00C656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271C" w:rsidTr="00C6566D">
        <w:tc>
          <w:tcPr>
            <w:tcW w:w="8771" w:type="dxa"/>
            <w:tcBorders>
              <w:top w:val="single" w:sz="6" w:space="0" w:color="78A22F"/>
              <w:left w:val="nil"/>
              <w:bottom w:val="nil"/>
              <w:right w:val="nil"/>
            </w:tcBorders>
            <w:shd w:val="clear" w:color="auto" w:fill="auto"/>
          </w:tcPr>
          <w:p w:rsidR="002E271C" w:rsidRPr="00176D3F" w:rsidRDefault="002E271C" w:rsidP="004D4228">
            <w:pPr>
              <w:pStyle w:val="FigureTitle"/>
            </w:pPr>
            <w:r w:rsidRPr="00784A05">
              <w:rPr>
                <w:b w:val="0"/>
              </w:rPr>
              <w:t xml:space="preserve">Figure </w:t>
            </w:r>
            <w:bookmarkStart w:id="20" w:name="OLE_LINK8"/>
            <w:r w:rsidR="00974092">
              <w:rPr>
                <w:b w:val="0"/>
              </w:rPr>
              <w:t>12.</w:t>
            </w:r>
            <w:r w:rsidR="00833D26">
              <w:rPr>
                <w:b w:val="0"/>
                <w:noProof/>
              </w:rPr>
              <w:t>33</w:t>
            </w:r>
            <w:bookmarkEnd w:id="20"/>
            <w:r>
              <w:tab/>
            </w:r>
            <w:r w:rsidR="005F670E">
              <w:t>Adults with long</w:t>
            </w:r>
            <w:r w:rsidR="005F670E">
              <w:noBreakHyphen/>
              <w:t>term health conditions, by</w:t>
            </w:r>
            <w:r w:rsidR="005F670E" w:rsidRPr="005F670E">
              <w:t xml:space="preserve"> mental illness status, 2011</w:t>
            </w:r>
            <w:r w:rsidR="0022260C">
              <w:noBreakHyphen/>
            </w:r>
            <w:r w:rsidR="005F670E" w:rsidRPr="005F670E">
              <w:t>12</w:t>
            </w:r>
            <w:r w:rsidR="006447D6" w:rsidRPr="006447D6">
              <w:rPr>
                <w:rStyle w:val="NoteLabel"/>
                <w:b/>
              </w:rPr>
              <w:t>a</w:t>
            </w:r>
          </w:p>
        </w:tc>
      </w:tr>
      <w:tr w:rsidR="002E271C" w:rsidTr="00C6566D">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3C6B" w:rsidTr="00C6566D">
              <w:trPr>
                <w:jc w:val="center"/>
              </w:trPr>
              <w:tc>
                <w:tcPr>
                  <w:tcW w:w="5000" w:type="pct"/>
                  <w:tcBorders>
                    <w:top w:val="nil"/>
                    <w:bottom w:val="nil"/>
                  </w:tcBorders>
                </w:tcPr>
                <w:p w:rsidR="00B33C6B" w:rsidRPr="00B33C6B" w:rsidRDefault="0031725E" w:rsidP="00B33C6B">
                  <w:pPr>
                    <w:pStyle w:val="TableBodyText"/>
                    <w:spacing w:after="0" w:line="240" w:lineRule="auto"/>
                    <w:jc w:val="center"/>
                    <w:rPr>
                      <w:b/>
                    </w:rPr>
                  </w:pPr>
                  <w:r>
                    <w:rPr>
                      <w:b/>
                    </w:rPr>
                    <w:t>Arthritis</w:t>
                  </w:r>
                </w:p>
              </w:tc>
            </w:tr>
            <w:tr w:rsidR="00B33C6B" w:rsidTr="00C6566D">
              <w:trPr>
                <w:jc w:val="center"/>
              </w:trPr>
              <w:tc>
                <w:tcPr>
                  <w:tcW w:w="5000" w:type="pct"/>
                  <w:tcBorders>
                    <w:top w:val="nil"/>
                    <w:bottom w:val="nil"/>
                  </w:tcBorders>
                </w:tcPr>
                <w:p w:rsidR="00B33C6B" w:rsidRDefault="001B7B09" w:rsidP="001C1480">
                  <w:pPr>
                    <w:pStyle w:val="Figure"/>
                    <w:spacing w:before="60" w:after="60"/>
                  </w:pPr>
                  <w:r>
                    <w:rPr>
                      <w:noProof/>
                    </w:rPr>
                    <w:drawing>
                      <wp:inline distT="0" distB="0" distL="0" distR="0">
                        <wp:extent cx="5353050" cy="1952625"/>
                        <wp:effectExtent l="0" t="0" r="0" b="9525"/>
                        <wp:docPr id="36" name="Picture 36" descr="Figure 12.33 Adults with long term health conditions, by mental illness status, 2011-12&#10;&#10;Arthriti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53050" cy="1952625"/>
                                </a:xfrm>
                                <a:prstGeom prst="rect">
                                  <a:avLst/>
                                </a:prstGeom>
                                <a:noFill/>
                                <a:ln>
                                  <a:noFill/>
                                </a:ln>
                              </pic:spPr>
                            </pic:pic>
                          </a:graphicData>
                        </a:graphic>
                      </wp:inline>
                    </w:drawing>
                  </w:r>
                </w:p>
              </w:tc>
            </w:tr>
            <w:tr w:rsidR="00B33C6B" w:rsidTr="00C6566D">
              <w:trPr>
                <w:jc w:val="center"/>
              </w:trPr>
              <w:tc>
                <w:tcPr>
                  <w:tcW w:w="5000" w:type="pct"/>
                  <w:tcBorders>
                    <w:top w:val="nil"/>
                    <w:bottom w:val="nil"/>
                  </w:tcBorders>
                </w:tcPr>
                <w:p w:rsidR="00B33C6B" w:rsidRPr="00B33C6B" w:rsidRDefault="00B33C6B" w:rsidP="00B33C6B">
                  <w:pPr>
                    <w:pStyle w:val="TableBodyText"/>
                    <w:spacing w:after="0" w:line="240" w:lineRule="auto"/>
                    <w:jc w:val="center"/>
                    <w:rPr>
                      <w:b/>
                    </w:rPr>
                  </w:pPr>
                  <w:r>
                    <w:rPr>
                      <w:b/>
                    </w:rPr>
                    <w:t>C</w:t>
                  </w:r>
                  <w:r w:rsidRPr="00B33C6B">
                    <w:rPr>
                      <w:b/>
                    </w:rPr>
                    <w:t>ardiovascular disease</w:t>
                  </w:r>
                </w:p>
              </w:tc>
            </w:tr>
            <w:tr w:rsidR="00B33C6B" w:rsidTr="00C6566D">
              <w:trPr>
                <w:jc w:val="center"/>
              </w:trPr>
              <w:tc>
                <w:tcPr>
                  <w:tcW w:w="5000" w:type="pct"/>
                  <w:tcBorders>
                    <w:top w:val="nil"/>
                    <w:bottom w:val="nil"/>
                  </w:tcBorders>
                </w:tcPr>
                <w:p w:rsidR="00B33C6B" w:rsidRPr="00B33C6B" w:rsidRDefault="001B7B09" w:rsidP="001C1480">
                  <w:pPr>
                    <w:pStyle w:val="Figure"/>
                    <w:spacing w:before="60" w:after="60"/>
                    <w:rPr>
                      <w:b/>
                    </w:rPr>
                  </w:pPr>
                  <w:r>
                    <w:rPr>
                      <w:b/>
                      <w:noProof/>
                    </w:rPr>
                    <w:drawing>
                      <wp:inline distT="0" distB="0" distL="0" distR="0">
                        <wp:extent cx="5353050" cy="1790700"/>
                        <wp:effectExtent l="0" t="0" r="0" b="0"/>
                        <wp:docPr id="37" name="Picture 37" descr="Figure 12.33 Adults with long term health conditions, by mental illness status, 2011-12&#10;&#10;Cardiovascular diseas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53050" cy="1790700"/>
                                </a:xfrm>
                                <a:prstGeom prst="rect">
                                  <a:avLst/>
                                </a:prstGeom>
                                <a:noFill/>
                                <a:ln>
                                  <a:noFill/>
                                </a:ln>
                              </pic:spPr>
                            </pic:pic>
                          </a:graphicData>
                        </a:graphic>
                      </wp:inline>
                    </w:drawing>
                  </w:r>
                </w:p>
              </w:tc>
            </w:tr>
          </w:tbl>
          <w:p w:rsidR="002E271C" w:rsidRDefault="002E271C" w:rsidP="00C6566D">
            <w:pPr>
              <w:pStyle w:val="Figure"/>
            </w:pPr>
          </w:p>
        </w:tc>
      </w:tr>
      <w:tr w:rsidR="00B33C6B" w:rsidRPr="00176D3F" w:rsidTr="00C6566D">
        <w:tc>
          <w:tcPr>
            <w:tcW w:w="8771" w:type="dxa"/>
            <w:tcBorders>
              <w:top w:val="nil"/>
              <w:left w:val="nil"/>
              <w:bottom w:val="nil"/>
              <w:right w:val="nil"/>
            </w:tcBorders>
            <w:shd w:val="clear" w:color="auto" w:fill="auto"/>
          </w:tcPr>
          <w:p w:rsidR="00B33C6B" w:rsidRPr="00176D3F" w:rsidRDefault="00767441" w:rsidP="00D71789">
            <w:pPr>
              <w:pStyle w:val="Note"/>
              <w:rPr>
                <w:i/>
              </w:rPr>
            </w:pPr>
            <w:r w:rsidRPr="00767441">
              <w:rPr>
                <w:rStyle w:val="NoteLabel"/>
              </w:rPr>
              <w:t xml:space="preserve">a </w:t>
            </w:r>
            <w:r w:rsidRPr="00D71789">
              <w:t>See box</w:t>
            </w:r>
            <w:r w:rsidR="00463329">
              <w:t> </w:t>
            </w:r>
            <w:r w:rsidRPr="00D71789">
              <w:t>12.22 and table</w:t>
            </w:r>
            <w:r w:rsidR="00463329">
              <w:t> </w:t>
            </w:r>
            <w:proofErr w:type="spellStart"/>
            <w:r w:rsidRPr="00D71789">
              <w:t>12A.8</w:t>
            </w:r>
            <w:r w:rsidR="00BF2AD5">
              <w:t>7</w:t>
            </w:r>
            <w:proofErr w:type="spellEnd"/>
            <w:r w:rsidRPr="00D71789">
              <w:t xml:space="preserve"> </w:t>
            </w:r>
            <w:r w:rsidR="00C9207F" w:rsidRPr="00C9207F">
              <w:t>for detailed definitions, footnotes and caveats</w:t>
            </w:r>
            <w:r w:rsidR="00250456" w:rsidRPr="00970DF6">
              <w:t>.</w:t>
            </w:r>
          </w:p>
        </w:tc>
      </w:tr>
      <w:tr w:rsidR="00B33C6B" w:rsidRPr="00176D3F" w:rsidTr="00C6566D">
        <w:tc>
          <w:tcPr>
            <w:tcW w:w="8771" w:type="dxa"/>
            <w:tcBorders>
              <w:top w:val="nil"/>
              <w:left w:val="nil"/>
              <w:bottom w:val="nil"/>
              <w:right w:val="nil"/>
            </w:tcBorders>
            <w:shd w:val="clear" w:color="auto" w:fill="auto"/>
          </w:tcPr>
          <w:p w:rsidR="00B33C6B" w:rsidRPr="00176D3F" w:rsidRDefault="00B33C6B" w:rsidP="00BF2AD5">
            <w:pPr>
              <w:pStyle w:val="Source"/>
            </w:pPr>
            <w:r w:rsidRPr="003E71A2">
              <w:rPr>
                <w:i/>
              </w:rPr>
              <w:t>Source</w:t>
            </w:r>
            <w:r w:rsidRPr="00F40E83">
              <w:t>:</w:t>
            </w:r>
            <w:r w:rsidRPr="003E71A2">
              <w:rPr>
                <w:i/>
              </w:rPr>
              <w:t xml:space="preserve"> </w:t>
            </w:r>
            <w:r w:rsidRPr="003E71A2">
              <w:t xml:space="preserve">ABS (unpublished) </w:t>
            </w:r>
            <w:r w:rsidRPr="00F40E83">
              <w:rPr>
                <w:i/>
              </w:rPr>
              <w:t>AHS 2011–13 (2011</w:t>
            </w:r>
            <w:r w:rsidR="00D743EF" w:rsidRPr="00F40E83">
              <w:rPr>
                <w:i/>
              </w:rPr>
              <w:noBreakHyphen/>
            </w:r>
            <w:r w:rsidRPr="00F40E83">
              <w:rPr>
                <w:i/>
              </w:rPr>
              <w:t>12 NHS component)</w:t>
            </w:r>
            <w:r w:rsidRPr="003E71A2">
              <w:t>, Cat. no. 4364.0; table</w:t>
            </w:r>
            <w:r w:rsidR="0022260C">
              <w:t> </w:t>
            </w:r>
            <w:proofErr w:type="spellStart"/>
            <w:r w:rsidRPr="003E71A2">
              <w:t>12A.</w:t>
            </w:r>
            <w:r w:rsidR="00BF2AD5">
              <w:t>87</w:t>
            </w:r>
            <w:proofErr w:type="spellEnd"/>
            <w:r w:rsidRPr="003E71A2">
              <w:t>.</w:t>
            </w:r>
          </w:p>
        </w:tc>
      </w:tr>
      <w:tr w:rsidR="00B33C6B" w:rsidTr="00C6566D">
        <w:tc>
          <w:tcPr>
            <w:tcW w:w="8771" w:type="dxa"/>
            <w:tcBorders>
              <w:top w:val="nil"/>
              <w:left w:val="nil"/>
              <w:bottom w:val="single" w:sz="6" w:space="0" w:color="78A22F"/>
              <w:right w:val="nil"/>
            </w:tcBorders>
            <w:shd w:val="clear" w:color="auto" w:fill="auto"/>
          </w:tcPr>
          <w:p w:rsidR="00B33C6B" w:rsidRDefault="00B33C6B" w:rsidP="00C6566D">
            <w:pPr>
              <w:pStyle w:val="Figurespace"/>
            </w:pPr>
          </w:p>
        </w:tc>
      </w:tr>
      <w:tr w:rsidR="00B33C6B" w:rsidRPr="000863A5" w:rsidTr="00C6566D">
        <w:tc>
          <w:tcPr>
            <w:tcW w:w="8771" w:type="dxa"/>
            <w:tcBorders>
              <w:top w:val="single" w:sz="6" w:space="0" w:color="78A22F"/>
              <w:left w:val="nil"/>
              <w:bottom w:val="nil"/>
              <w:right w:val="nil"/>
            </w:tcBorders>
          </w:tcPr>
          <w:p w:rsidR="00B33C6B" w:rsidRPr="00626D32" w:rsidRDefault="00B33C6B" w:rsidP="00C6566D">
            <w:pPr>
              <w:pStyle w:val="BoxSpaceBelow"/>
            </w:pPr>
          </w:p>
        </w:tc>
      </w:tr>
    </w:tbl>
    <w:p w:rsidR="00CF4016" w:rsidRDefault="00CF4016" w:rsidP="00CF4016">
      <w:pPr>
        <w:pStyle w:val="Heading4"/>
      </w:pPr>
      <w:r>
        <w:t>Social and economic inclusion of people with a mental illness</w:t>
      </w:r>
    </w:p>
    <w:p w:rsidR="00CF4016" w:rsidRDefault="00CF4016" w:rsidP="002315C6">
      <w:pPr>
        <w:pStyle w:val="BodyText"/>
      </w:pPr>
      <w:r>
        <w:t>‘Social and economic inclusion of people with a mental illness’ is an indicator of governments’ objective to improve mental health and facilitate recovery from illness through encouraging meaningful participation in recreational, social, employment and other activities in the community (box</w:t>
      </w:r>
      <w:r w:rsidR="0022260C">
        <w:t> </w:t>
      </w:r>
      <w:r w:rsidR="00767441">
        <w:t>12.23</w:t>
      </w:r>
      <w:r>
        <w:t>).</w:t>
      </w:r>
    </w:p>
    <w:p w:rsidR="003E71A2" w:rsidRDefault="003E71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Tr="00697BFF">
        <w:tc>
          <w:tcPr>
            <w:tcW w:w="8771" w:type="dxa"/>
            <w:tcBorders>
              <w:top w:val="single" w:sz="6" w:space="0" w:color="78A22F"/>
              <w:left w:val="nil"/>
              <w:bottom w:val="nil"/>
              <w:right w:val="nil"/>
            </w:tcBorders>
            <w:shd w:val="clear" w:color="auto" w:fill="F2F2F2"/>
          </w:tcPr>
          <w:p w:rsidR="003E71A2" w:rsidRDefault="003E71A2">
            <w:pPr>
              <w:pStyle w:val="BoxTitle"/>
            </w:pPr>
            <w:r>
              <w:rPr>
                <w:b w:val="0"/>
              </w:rPr>
              <w:t xml:space="preserve">Box </w:t>
            </w:r>
            <w:bookmarkStart w:id="21" w:name="OLE_LINK13"/>
            <w:r w:rsidR="00767441">
              <w:rPr>
                <w:b w:val="0"/>
              </w:rPr>
              <w:t>12.</w:t>
            </w:r>
            <w:r w:rsidR="00833D26">
              <w:rPr>
                <w:b w:val="0"/>
                <w:noProof/>
              </w:rPr>
              <w:t>23</w:t>
            </w:r>
            <w:bookmarkEnd w:id="21"/>
            <w:r>
              <w:tab/>
            </w:r>
            <w:r w:rsidRPr="003E71A2">
              <w:t>Social and economic inclusion of people with a mental illness</w:t>
            </w:r>
          </w:p>
        </w:tc>
      </w:tr>
      <w:tr w:rsidR="003E71A2" w:rsidTr="00697BFF">
        <w:trPr>
          <w:cantSplit/>
        </w:trPr>
        <w:tc>
          <w:tcPr>
            <w:tcW w:w="8771" w:type="dxa"/>
            <w:tcBorders>
              <w:top w:val="nil"/>
              <w:left w:val="nil"/>
              <w:bottom w:val="nil"/>
              <w:right w:val="nil"/>
            </w:tcBorders>
            <w:shd w:val="clear" w:color="auto" w:fill="F2F2F2"/>
          </w:tcPr>
          <w:p w:rsidR="003E71A2" w:rsidRDefault="003E71A2" w:rsidP="003E71A2">
            <w:pPr>
              <w:pStyle w:val="Box"/>
            </w:pPr>
            <w:r>
              <w:t xml:space="preserve">‘Social and economic inclusion of people with a mental illness’ is defined by </w:t>
            </w:r>
            <w:r w:rsidR="00D35272">
              <w:t xml:space="preserve">three </w:t>
            </w:r>
            <w:r>
              <w:t>measures</w:t>
            </w:r>
            <w:r w:rsidR="001058BE">
              <w:t>, the proportion of people</w:t>
            </w:r>
            <w:r>
              <w:t>:</w:t>
            </w:r>
          </w:p>
          <w:p w:rsidR="003E71A2" w:rsidRDefault="003E71A2" w:rsidP="003E71A2">
            <w:pPr>
              <w:pStyle w:val="BoxListBullet"/>
            </w:pPr>
            <w:r>
              <w:t>aged 16–64 years with a mental illness who are employed, compared with the proportion for people without a mental illness</w:t>
            </w:r>
          </w:p>
          <w:p w:rsidR="00D35272" w:rsidRDefault="003E71A2" w:rsidP="003E71A2">
            <w:pPr>
              <w:pStyle w:val="BoxListBullet"/>
            </w:pPr>
            <w:r>
              <w:t>aged 16–30 years with a mental illness who are employed and/or are enrolled for study in a formal secondary or tertiary qualification (studying full or part time), compared with the proportion for people without a mental illness</w:t>
            </w:r>
          </w:p>
          <w:p w:rsidR="003E71A2" w:rsidRDefault="009B45D5">
            <w:pPr>
              <w:pStyle w:val="BoxListBullet"/>
            </w:pPr>
            <w:r>
              <w:t xml:space="preserve">aged </w:t>
            </w:r>
            <w:r w:rsidR="0095258D">
              <w:t>15</w:t>
            </w:r>
            <w:r>
              <w:t xml:space="preserve"> years</w:t>
            </w:r>
            <w:r w:rsidR="0095258D">
              <w:t xml:space="preserve"> or over</w:t>
            </w:r>
            <w:r>
              <w:t xml:space="preserve"> </w:t>
            </w:r>
            <w:r w:rsidR="001058BE" w:rsidRPr="001058BE">
              <w:t>with a mental illness who had face</w:t>
            </w:r>
            <w:r w:rsidR="00463329">
              <w:noBreakHyphen/>
            </w:r>
            <w:r w:rsidR="001058BE" w:rsidRPr="001058BE">
              <w:t>to</w:t>
            </w:r>
            <w:r w:rsidR="00463329">
              <w:noBreakHyphen/>
            </w:r>
            <w:r w:rsidR="001058BE" w:rsidRPr="001058BE">
              <w:t>face contact with family or friends living outside the household in the last week, compared with the proportion for people without a mental illness</w:t>
            </w:r>
            <w:r w:rsidR="001058BE">
              <w:t>.</w:t>
            </w:r>
          </w:p>
          <w:p w:rsidR="003E71A2" w:rsidRDefault="007437B9" w:rsidP="003E71A2">
            <w:pPr>
              <w:pStyle w:val="Box"/>
            </w:pPr>
            <w:r>
              <w:t>H</w:t>
            </w:r>
            <w:r w:rsidR="003E71A2">
              <w:t>igh or increasing proportion</w:t>
            </w:r>
            <w:r>
              <w:t>s</w:t>
            </w:r>
            <w:r w:rsidR="0019585A">
              <w:t xml:space="preserve"> for people with a mental illness</w:t>
            </w:r>
            <w:r w:rsidR="00767441">
              <w:t>,</w:t>
            </w:r>
            <w:r w:rsidR="003E71A2">
              <w:t xml:space="preserve"> </w:t>
            </w:r>
            <w:r w:rsidR="00767441">
              <w:t>and</w:t>
            </w:r>
            <w:r>
              <w:t xml:space="preserve"> </w:t>
            </w:r>
            <w:r w:rsidR="00767441">
              <w:t>proportions that</w:t>
            </w:r>
            <w:r>
              <w:t xml:space="preserve"> are similar to those without a mental illness, </w:t>
            </w:r>
            <w:r w:rsidR="00767441">
              <w:t xml:space="preserve">of people </w:t>
            </w:r>
            <w:r>
              <w:t xml:space="preserve">who are employed, </w:t>
            </w:r>
            <w:r w:rsidR="00767441">
              <w:t xml:space="preserve">who </w:t>
            </w:r>
            <w:r>
              <w:t xml:space="preserve">had </w:t>
            </w:r>
            <w:r w:rsidRPr="007437B9">
              <w:t>face</w:t>
            </w:r>
            <w:r w:rsidR="00463329">
              <w:noBreakHyphen/>
            </w:r>
            <w:r w:rsidRPr="007437B9">
              <w:t>to</w:t>
            </w:r>
            <w:r w:rsidR="00463329">
              <w:noBreakHyphen/>
            </w:r>
            <w:r w:rsidRPr="007437B9">
              <w:t xml:space="preserve">face contact with family or friends </w:t>
            </w:r>
            <w:r>
              <w:t xml:space="preserve">and </w:t>
            </w:r>
            <w:r w:rsidR="00D35272">
              <w:t xml:space="preserve">who </w:t>
            </w:r>
            <w:r>
              <w:t xml:space="preserve">are </w:t>
            </w:r>
            <w:r w:rsidR="003E71A2">
              <w:t xml:space="preserve">employed and/or are enrolled for study </w:t>
            </w:r>
            <w:r>
              <w:t xml:space="preserve">are </w:t>
            </w:r>
            <w:r w:rsidR="003E71A2">
              <w:t>desirable.</w:t>
            </w:r>
            <w:r>
              <w:t xml:space="preserve"> </w:t>
            </w:r>
          </w:p>
          <w:p w:rsidR="003E71A2" w:rsidRDefault="003E71A2" w:rsidP="003E71A2">
            <w:pPr>
              <w:pStyle w:val="Box"/>
            </w:pPr>
            <w:r>
              <w:t xml:space="preserve">This indicator measures employment participation relative to the total population, as distinct from the labour force. Some people can choose not to participate in the labour force (that is, they are not working or actively looking for work). It also does not provide information on whether </w:t>
            </w:r>
            <w:r w:rsidR="00516780">
              <w:t>the employment,</w:t>
            </w:r>
            <w:r>
              <w:t xml:space="preserve"> </w:t>
            </w:r>
            <w:r w:rsidR="00516780">
              <w:t xml:space="preserve">education or social activities participated in were </w:t>
            </w:r>
            <w:r>
              <w:t>appropriate or meaningful.</w:t>
            </w:r>
            <w:r w:rsidR="00463329">
              <w:t xml:space="preserve"> </w:t>
            </w:r>
          </w:p>
          <w:p w:rsidR="00D2172E" w:rsidRDefault="00D2172E" w:rsidP="003E71A2">
            <w:pPr>
              <w:pStyle w:val="Box"/>
            </w:pPr>
            <w:r w:rsidRPr="00D2172E">
              <w:t>Data for these measures include 95 per cent confidence intervals (in the form of error bars in figures).</w:t>
            </w:r>
            <w:r w:rsidR="0005415E">
              <w:t xml:space="preserve"> </w:t>
            </w:r>
          </w:p>
          <w:p w:rsidR="003E71A2" w:rsidRDefault="003E71A2" w:rsidP="003E71A2">
            <w:pPr>
              <w:pStyle w:val="Box"/>
            </w:pPr>
            <w:r>
              <w:t>Data reported for this indicator are:</w:t>
            </w:r>
          </w:p>
          <w:p w:rsidR="003E71A2" w:rsidRDefault="003E71A2" w:rsidP="003E71A2">
            <w:pPr>
              <w:pStyle w:val="BoxListBullet"/>
            </w:pPr>
            <w:r>
              <w:t>comparable (subject to caveats) across jurisdictions</w:t>
            </w:r>
            <w:r w:rsidR="0095258D">
              <w:t xml:space="preserve"> for all surveys</w:t>
            </w:r>
            <w:r>
              <w:t xml:space="preserve"> and </w:t>
            </w:r>
            <w:r w:rsidR="0095258D">
              <w:t xml:space="preserve">over time </w:t>
            </w:r>
            <w:r w:rsidR="00BF2AD5">
              <w:t xml:space="preserve">for the </w:t>
            </w:r>
            <w:r>
              <w:t>2011</w:t>
            </w:r>
            <w:r>
              <w:noBreakHyphen/>
              <w:t xml:space="preserve">12 </w:t>
            </w:r>
            <w:r w:rsidR="00BF2AD5">
              <w:t>and</w:t>
            </w:r>
            <w:r>
              <w:t xml:space="preserve"> 2007</w:t>
            </w:r>
            <w:r>
              <w:noBreakHyphen/>
              <w:t>08 NHS</w:t>
            </w:r>
            <w:r w:rsidR="0095258D">
              <w:t xml:space="preserve"> </w:t>
            </w:r>
            <w:r>
              <w:t xml:space="preserve">data </w:t>
            </w:r>
          </w:p>
          <w:p w:rsidR="003E71A2" w:rsidRDefault="003E71A2" w:rsidP="002245A4">
            <w:pPr>
              <w:pStyle w:val="BoxListBullet"/>
            </w:pPr>
            <w:r>
              <w:t xml:space="preserve">complete </w:t>
            </w:r>
            <w:r w:rsidR="002245A4" w:rsidRPr="002245A4">
              <w:t>(subject to caveats)</w:t>
            </w:r>
            <w:r w:rsidR="002245A4">
              <w:t xml:space="preserve"> </w:t>
            </w:r>
            <w:r>
              <w:t>for the current reporting period. All required 2011</w:t>
            </w:r>
            <w:r>
              <w:noBreakHyphen/>
              <w:t>12 data</w:t>
            </w:r>
            <w:r w:rsidR="009B45D5">
              <w:t xml:space="preserve"> and 2014 data</w:t>
            </w:r>
            <w:r>
              <w:t xml:space="preserve"> are available for all jurisdictions.</w:t>
            </w:r>
          </w:p>
          <w:p w:rsidR="00A72555" w:rsidRDefault="00A72555" w:rsidP="0019585A">
            <w:pPr>
              <w:pStyle w:val="Box"/>
            </w:pPr>
            <w:r w:rsidRPr="00A72555">
              <w:t xml:space="preserve">The total and non-Indigenous components of the </w:t>
            </w:r>
            <w:r w:rsidRPr="00A72555">
              <w:rPr>
                <w:i/>
              </w:rPr>
              <w:t>2011-13 AHS</w:t>
            </w:r>
            <w:r w:rsidRPr="00A72555">
              <w:t xml:space="preserve"> </w:t>
            </w:r>
            <w:r>
              <w:t xml:space="preserve">and the </w:t>
            </w:r>
            <w:r w:rsidRPr="00A72555">
              <w:rPr>
                <w:i/>
              </w:rPr>
              <w:t>2014 General Social Survey</w:t>
            </w:r>
            <w:r w:rsidRPr="00A72555">
              <w:t xml:space="preserve"> does not include people living in discrete </w:t>
            </w:r>
            <w:r w:rsidR="0093195A" w:rsidRPr="0093195A">
              <w:t>Aboriginal and Torres Strait Islander</w:t>
            </w:r>
            <w:r w:rsidRPr="00A72555">
              <w:t xml:space="preserve"> communities and very remote areas, which affects the comparability of the NT results</w:t>
            </w:r>
            <w:r>
              <w:t>.</w:t>
            </w:r>
          </w:p>
          <w:p w:rsidR="003E71A2" w:rsidRDefault="003E71A2" w:rsidP="0019585A">
            <w:pPr>
              <w:pStyle w:val="Box"/>
            </w:pPr>
            <w:r>
              <w:t xml:space="preserve">Data quality information for this indicator is </w:t>
            </w:r>
            <w:r w:rsidR="00777A59">
              <w:t xml:space="preserve">at </w:t>
            </w:r>
            <w:proofErr w:type="spellStart"/>
            <w:r w:rsidR="00777A59">
              <w:t>www.pc.gov.au</w:t>
            </w:r>
            <w:proofErr w:type="spellEnd"/>
            <w:r>
              <w:t>/</w:t>
            </w:r>
            <w:proofErr w:type="spellStart"/>
            <w:r>
              <w:t>rogs</w:t>
            </w:r>
            <w:proofErr w:type="spellEnd"/>
            <w:r>
              <w:t>/</w:t>
            </w:r>
            <w:r w:rsidR="0019585A">
              <w:t>2016</w:t>
            </w:r>
            <w:r>
              <w:t>.</w:t>
            </w:r>
          </w:p>
        </w:tc>
      </w:tr>
      <w:tr w:rsidR="003E71A2" w:rsidTr="00697BFF">
        <w:trPr>
          <w:cantSplit/>
        </w:trPr>
        <w:tc>
          <w:tcPr>
            <w:tcW w:w="8771" w:type="dxa"/>
            <w:tcBorders>
              <w:top w:val="nil"/>
              <w:left w:val="nil"/>
              <w:bottom w:val="single" w:sz="6" w:space="0" w:color="78A22F"/>
              <w:right w:val="nil"/>
            </w:tcBorders>
            <w:shd w:val="clear" w:color="auto" w:fill="F2F2F2"/>
          </w:tcPr>
          <w:p w:rsidR="003E71A2" w:rsidRDefault="003E71A2">
            <w:pPr>
              <w:pStyle w:val="Box"/>
              <w:spacing w:before="0" w:line="120" w:lineRule="exact"/>
            </w:pPr>
          </w:p>
        </w:tc>
      </w:tr>
      <w:tr w:rsidR="003E71A2" w:rsidRPr="000863A5" w:rsidTr="00697BFF">
        <w:tc>
          <w:tcPr>
            <w:tcW w:w="8771" w:type="dxa"/>
            <w:tcBorders>
              <w:top w:val="single" w:sz="6" w:space="0" w:color="78A22F"/>
              <w:left w:val="nil"/>
              <w:bottom w:val="nil"/>
              <w:right w:val="nil"/>
            </w:tcBorders>
          </w:tcPr>
          <w:p w:rsidR="003E71A2" w:rsidRPr="00626D32" w:rsidRDefault="003E71A2" w:rsidP="00697BFF">
            <w:pPr>
              <w:pStyle w:val="BoxSpaceBelow"/>
            </w:pPr>
          </w:p>
        </w:tc>
      </w:tr>
    </w:tbl>
    <w:p w:rsidR="003E71A2" w:rsidRDefault="008D42EB" w:rsidP="002315C6">
      <w:pPr>
        <w:pStyle w:val="BodyText"/>
      </w:pPr>
      <w:r>
        <w:t>While e</w:t>
      </w:r>
      <w:r w:rsidRPr="008D42EB">
        <w:t>mployment is recognised as important in supporting good mental health</w:t>
      </w:r>
      <w:r w:rsidR="0019585A">
        <w:t xml:space="preserve">, having a </w:t>
      </w:r>
      <w:r>
        <w:t xml:space="preserve">mental illness can act as a barrier </w:t>
      </w:r>
      <w:r w:rsidR="0019585A">
        <w:t xml:space="preserve">to gaining and maintaining employment </w:t>
      </w:r>
      <w:r>
        <w:t>(</w:t>
      </w:r>
      <w:proofErr w:type="spellStart"/>
      <w:r>
        <w:t>AHMC</w:t>
      </w:r>
      <w:proofErr w:type="spellEnd"/>
      <w:r>
        <w:t xml:space="preserve"> 2012)</w:t>
      </w:r>
      <w:r w:rsidR="003E71A2">
        <w:t>. Nationally in 201</w:t>
      </w:r>
      <w:r w:rsidR="00EF3E3A">
        <w:t>1</w:t>
      </w:r>
      <w:r w:rsidR="006D5E3A">
        <w:noBreakHyphen/>
      </w:r>
      <w:r w:rsidR="003E71A2">
        <w:t>1</w:t>
      </w:r>
      <w:r w:rsidR="00EF3E3A">
        <w:t>2</w:t>
      </w:r>
      <w:r w:rsidR="003E71A2">
        <w:t xml:space="preserve">, the proportion of </w:t>
      </w:r>
      <w:r w:rsidR="00D35272">
        <w:t>people</w:t>
      </w:r>
      <w:r w:rsidR="003E71A2">
        <w:t xml:space="preserve"> employed was</w:t>
      </w:r>
      <w:r w:rsidR="009B45D5">
        <w:t xml:space="preserve"> lower for those with a mental illness (</w:t>
      </w:r>
      <w:r w:rsidR="003E71A2">
        <w:t>61.7 per cent</w:t>
      </w:r>
      <w:r w:rsidR="009B45D5">
        <w:t>)</w:t>
      </w:r>
      <w:r w:rsidR="003E71A2">
        <w:t xml:space="preserve"> compared to</w:t>
      </w:r>
      <w:r w:rsidR="009B45D5">
        <w:t xml:space="preserve"> those without a mental illness</w:t>
      </w:r>
      <w:r w:rsidR="003E71A2">
        <w:t xml:space="preserve"> </w:t>
      </w:r>
      <w:r w:rsidR="009B45D5">
        <w:t>(</w:t>
      </w:r>
      <w:r w:rsidR="003E71A2">
        <w:t>80.3</w:t>
      </w:r>
      <w:r w:rsidR="008A2016">
        <w:t> </w:t>
      </w:r>
      <w:r w:rsidR="003E71A2">
        <w:t>per</w:t>
      </w:r>
      <w:r w:rsidR="008A2016">
        <w:t> </w:t>
      </w:r>
      <w:r w:rsidR="003E71A2">
        <w:t>cent</w:t>
      </w:r>
      <w:r w:rsidR="009B45D5">
        <w:t>)</w:t>
      </w:r>
      <w:r w:rsidR="003E71A2">
        <w:t xml:space="preserve"> (figure</w:t>
      </w:r>
      <w:r w:rsidR="0022260C">
        <w:t> </w:t>
      </w:r>
      <w:r w:rsidR="00186BB3">
        <w:t>12.</w:t>
      </w:r>
      <w:r w:rsidR="004D4228">
        <w:t>3</w:t>
      </w:r>
      <w:r w:rsidR="005F7444">
        <w:t>4</w:t>
      </w:r>
      <w:r w:rsidR="003E71A2">
        <w:t>).</w:t>
      </w:r>
      <w:r w:rsidR="00D35272">
        <w:t xml:space="preserve"> </w:t>
      </w:r>
      <w:r w:rsidR="0019585A">
        <w:t>The</w:t>
      </w:r>
      <w:r w:rsidR="001D475A">
        <w:t xml:space="preserve"> </w:t>
      </w:r>
      <w:r w:rsidR="001058BE">
        <w:t>significantly</w:t>
      </w:r>
      <w:r w:rsidR="0019585A">
        <w:t xml:space="preserve"> higher proportion of people with a mental illness</w:t>
      </w:r>
      <w:r w:rsidR="00B65B61">
        <w:t xml:space="preserve"> </w:t>
      </w:r>
      <w:r w:rsidR="0019585A">
        <w:t xml:space="preserve">who do not participate in the </w:t>
      </w:r>
      <w:r w:rsidR="001058BE">
        <w:t>labour force</w:t>
      </w:r>
      <w:r w:rsidR="00B65B61">
        <w:t>, compared to those without a mental illness,</w:t>
      </w:r>
      <w:r w:rsidR="001058BE">
        <w:t xml:space="preserve"> </w:t>
      </w:r>
      <w:r w:rsidR="0019585A">
        <w:t xml:space="preserve">is a major contributing factor </w:t>
      </w:r>
      <w:r w:rsidR="001058BE">
        <w:t>(</w:t>
      </w:r>
      <w:r w:rsidR="008A2016">
        <w:t>32.0 </w:t>
      </w:r>
      <w:r w:rsidR="001058BE">
        <w:t>per</w:t>
      </w:r>
      <w:r w:rsidR="008A2016">
        <w:t> </w:t>
      </w:r>
      <w:r w:rsidR="001058BE">
        <w:t xml:space="preserve">cent compared to </w:t>
      </w:r>
      <w:r w:rsidR="0019585A" w:rsidRPr="0019585A">
        <w:t>16.7</w:t>
      </w:r>
      <w:r w:rsidR="0019585A">
        <w:t xml:space="preserve"> </w:t>
      </w:r>
      <w:r w:rsidR="001058BE">
        <w:t>per cent)</w:t>
      </w:r>
      <w:r w:rsidR="001D475A">
        <w:t xml:space="preserve">. </w:t>
      </w:r>
      <w:r w:rsidR="009B45D5">
        <w:t>Historical data</w:t>
      </w:r>
      <w:r w:rsidR="001D475A">
        <w:t xml:space="preserve"> are</w:t>
      </w:r>
      <w:r w:rsidR="009B45D5">
        <w:t xml:space="preserve"> available</w:t>
      </w:r>
      <w:r w:rsidR="001D475A">
        <w:t xml:space="preserve"> in tables </w:t>
      </w:r>
      <w:proofErr w:type="spellStart"/>
      <w:r w:rsidR="001D475A">
        <w:t>12A.</w:t>
      </w:r>
      <w:r w:rsidR="0019585A">
        <w:t>90</w:t>
      </w:r>
      <w:proofErr w:type="spellEnd"/>
      <w:r w:rsidR="001D475A">
        <w:t xml:space="preserve">, </w:t>
      </w:r>
      <w:proofErr w:type="spellStart"/>
      <w:r w:rsidR="001D475A">
        <w:t>12A.9</w:t>
      </w:r>
      <w:r w:rsidR="0019585A">
        <w:t>2</w:t>
      </w:r>
      <w:proofErr w:type="spellEnd"/>
      <w:r w:rsidR="001D475A">
        <w:t xml:space="preserve"> and </w:t>
      </w:r>
      <w:proofErr w:type="spellStart"/>
      <w:r w:rsidR="001D475A">
        <w:t>12A.9</w:t>
      </w:r>
      <w:r w:rsidR="0019585A">
        <w:t>4</w:t>
      </w:r>
      <w:proofErr w:type="spellEnd"/>
      <w:r w:rsidR="001D475A">
        <w:t xml:space="preserve">. </w:t>
      </w:r>
    </w:p>
    <w:p w:rsidR="009B45D5" w:rsidRDefault="009B45D5" w:rsidP="002315C6">
      <w:pPr>
        <w:pStyle w:val="BodyText"/>
      </w:pPr>
      <w:r>
        <w:t xml:space="preserve">Mental illness in early adult years can lead to disrupted and premature exit from education or disrupt the transition from school to work. These disruptions can have long term effects </w:t>
      </w:r>
      <w:r>
        <w:lastRenderedPageBreak/>
        <w:t>on the person’s ability to participate in a range of vocational activities (</w:t>
      </w:r>
      <w:proofErr w:type="spellStart"/>
      <w:r>
        <w:t>AHMC</w:t>
      </w:r>
      <w:proofErr w:type="spellEnd"/>
      <w:r>
        <w:t xml:space="preserve"> 2012). Nationally in 2011</w:t>
      </w:r>
      <w:r>
        <w:noBreakHyphen/>
        <w:t>12, the proportion of people aged 16</w:t>
      </w:r>
      <w:r>
        <w:rPr>
          <w:rFonts w:ascii="Calibri" w:hAnsi="Calibri"/>
        </w:rPr>
        <w:t>–</w:t>
      </w:r>
      <w:r>
        <w:t>30 years with a mental illness who were employed and/or are enrolled for study in a formal secondary or tertiary qualification was 79.2 per cent, compared to 90.2 per cent for those without a mental illness (</w:t>
      </w:r>
      <w:r w:rsidRPr="00557783">
        <w:t>table</w:t>
      </w:r>
      <w:r>
        <w:t> </w:t>
      </w:r>
      <w:proofErr w:type="spellStart"/>
      <w:r w:rsidRPr="00557783">
        <w:t>12A.</w:t>
      </w:r>
      <w:r>
        <w:t>89</w:t>
      </w:r>
      <w:proofErr w:type="spellEnd"/>
      <w:r>
        <w:t>)</w:t>
      </w:r>
      <w:r w:rsidRPr="00557783">
        <w:t>.</w:t>
      </w:r>
      <w:r>
        <w:t xml:space="preserve"> Historical data are available in tables </w:t>
      </w:r>
      <w:proofErr w:type="spellStart"/>
      <w:r>
        <w:t>12A.91</w:t>
      </w:r>
      <w:proofErr w:type="spellEnd"/>
      <w:r>
        <w:t xml:space="preserve"> and </w:t>
      </w:r>
      <w:proofErr w:type="spellStart"/>
      <w:r>
        <w:t>12A.93</w:t>
      </w:r>
      <w:proofErr w:type="spellEnd"/>
      <w:r w:rsidR="005625A7">
        <w:sym w:font="Symbol" w:char="F02D"/>
      </w:r>
      <w:r>
        <w:t>94.</w:t>
      </w:r>
    </w:p>
    <w:p w:rsidR="003E71A2" w:rsidRDefault="003E71A2" w:rsidP="00697B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71A2" w:rsidTr="00697BFF">
        <w:tc>
          <w:tcPr>
            <w:tcW w:w="8771" w:type="dxa"/>
            <w:tcBorders>
              <w:top w:val="single" w:sz="6" w:space="0" w:color="78A22F"/>
              <w:left w:val="nil"/>
              <w:bottom w:val="nil"/>
              <w:right w:val="nil"/>
            </w:tcBorders>
            <w:shd w:val="clear" w:color="auto" w:fill="auto"/>
          </w:tcPr>
          <w:p w:rsidR="003E71A2" w:rsidRPr="00176D3F" w:rsidRDefault="003E71A2" w:rsidP="00C55E5E">
            <w:pPr>
              <w:pStyle w:val="FigureTitle"/>
            </w:pPr>
            <w:r w:rsidRPr="00784A05">
              <w:rPr>
                <w:b w:val="0"/>
              </w:rPr>
              <w:t xml:space="preserve">Figure </w:t>
            </w:r>
            <w:bookmarkStart w:id="22" w:name="OLE_LINK12"/>
            <w:r w:rsidR="002B49F2">
              <w:rPr>
                <w:b w:val="0"/>
              </w:rPr>
              <w:t>12.</w:t>
            </w:r>
            <w:r w:rsidR="00833D26">
              <w:rPr>
                <w:b w:val="0"/>
                <w:noProof/>
              </w:rPr>
              <w:t>34</w:t>
            </w:r>
            <w:bookmarkEnd w:id="22"/>
            <w:r>
              <w:tab/>
            </w:r>
            <w:r w:rsidRPr="003E71A2">
              <w:t>People aged 16–64 years who are employed, by mental illness status, 2011</w:t>
            </w:r>
            <w:r w:rsidR="00C55E5E">
              <w:noBreakHyphen/>
            </w:r>
            <w:r w:rsidRPr="003E71A2">
              <w:t>12</w:t>
            </w:r>
            <w:r w:rsidR="00243E8F">
              <w:rPr>
                <w:rStyle w:val="NoteLabel"/>
                <w:b/>
              </w:rPr>
              <w:t>a</w:t>
            </w:r>
          </w:p>
        </w:tc>
      </w:tr>
      <w:tr w:rsidR="003E71A2" w:rsidTr="00697BF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E71A2" w:rsidTr="00697BFF">
              <w:trPr>
                <w:jc w:val="center"/>
              </w:trPr>
              <w:tc>
                <w:tcPr>
                  <w:tcW w:w="5000" w:type="pct"/>
                  <w:tcBorders>
                    <w:top w:val="nil"/>
                    <w:bottom w:val="nil"/>
                  </w:tcBorders>
                </w:tcPr>
                <w:p w:rsidR="003E71A2" w:rsidRDefault="001B7B09" w:rsidP="001C1480">
                  <w:pPr>
                    <w:pStyle w:val="Figure"/>
                    <w:spacing w:before="60" w:after="60"/>
                  </w:pPr>
                  <w:r>
                    <w:rPr>
                      <w:noProof/>
                    </w:rPr>
                    <w:drawing>
                      <wp:inline distT="0" distB="0" distL="0" distR="0">
                        <wp:extent cx="5391150" cy="2686050"/>
                        <wp:effectExtent l="0" t="0" r="0" b="0"/>
                        <wp:docPr id="38" name="Picture 38" descr="Figure 12.34 People aged 16–64 years who are employed,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3E71A2" w:rsidRDefault="003E71A2" w:rsidP="00697BFF">
            <w:pPr>
              <w:pStyle w:val="Figure"/>
            </w:pPr>
          </w:p>
        </w:tc>
      </w:tr>
      <w:tr w:rsidR="003E71A2" w:rsidRPr="00176D3F" w:rsidTr="00697BFF">
        <w:tc>
          <w:tcPr>
            <w:tcW w:w="8771" w:type="dxa"/>
            <w:tcBorders>
              <w:top w:val="nil"/>
              <w:left w:val="nil"/>
              <w:bottom w:val="nil"/>
              <w:right w:val="nil"/>
            </w:tcBorders>
            <w:shd w:val="clear" w:color="auto" w:fill="auto"/>
          </w:tcPr>
          <w:p w:rsidR="003E71A2" w:rsidRPr="00176D3F" w:rsidRDefault="003E71A2" w:rsidP="008D42EB">
            <w:pPr>
              <w:pStyle w:val="Note"/>
            </w:pPr>
            <w:r>
              <w:rPr>
                <w:rStyle w:val="NoteLabel"/>
              </w:rPr>
              <w:t>a</w:t>
            </w:r>
            <w:r>
              <w:t xml:space="preserve"> </w:t>
            </w:r>
            <w:r w:rsidR="008D42EB" w:rsidRPr="008D42EB">
              <w:t>See box</w:t>
            </w:r>
            <w:r w:rsidR="00463329">
              <w:t> </w:t>
            </w:r>
            <w:r w:rsidR="008D42EB" w:rsidRPr="008D42EB">
              <w:t>12.2</w:t>
            </w:r>
            <w:r w:rsidR="008D42EB">
              <w:t>3</w:t>
            </w:r>
            <w:r w:rsidR="008D42EB" w:rsidRPr="008D42EB">
              <w:t xml:space="preserve"> and table</w:t>
            </w:r>
            <w:r w:rsidR="00463329">
              <w:t> </w:t>
            </w:r>
            <w:proofErr w:type="spellStart"/>
            <w:r w:rsidR="008D42EB" w:rsidRPr="008D42EB">
              <w:t>12A.8</w:t>
            </w:r>
            <w:r w:rsidR="008D42EB">
              <w:t>8</w:t>
            </w:r>
            <w:proofErr w:type="spellEnd"/>
            <w:r w:rsidR="008D42EB" w:rsidRPr="008D42EB">
              <w:t xml:space="preserve"> </w:t>
            </w:r>
            <w:r w:rsidR="00C9207F" w:rsidRPr="00C9207F">
              <w:t>for detailed definitions, footnotes and caveats</w:t>
            </w:r>
            <w:r w:rsidR="008D42EB" w:rsidRPr="008D42EB">
              <w:t>.</w:t>
            </w:r>
          </w:p>
        </w:tc>
      </w:tr>
      <w:tr w:rsidR="003E71A2" w:rsidRPr="00176D3F" w:rsidTr="00697BFF">
        <w:tc>
          <w:tcPr>
            <w:tcW w:w="8771" w:type="dxa"/>
            <w:tcBorders>
              <w:top w:val="nil"/>
              <w:left w:val="nil"/>
              <w:bottom w:val="nil"/>
              <w:right w:val="nil"/>
            </w:tcBorders>
            <w:shd w:val="clear" w:color="auto" w:fill="auto"/>
          </w:tcPr>
          <w:p w:rsidR="003E71A2" w:rsidRPr="00176D3F" w:rsidRDefault="003E71A2" w:rsidP="008D42EB">
            <w:pPr>
              <w:pStyle w:val="Source"/>
            </w:pPr>
            <w:r w:rsidRPr="003E71A2">
              <w:rPr>
                <w:i/>
              </w:rPr>
              <w:t>Source</w:t>
            </w:r>
            <w:r w:rsidRPr="00F40E83">
              <w:t xml:space="preserve">: </w:t>
            </w:r>
            <w:r w:rsidRPr="003E71A2">
              <w:t xml:space="preserve">ABS (unpublished) </w:t>
            </w:r>
            <w:r w:rsidRPr="00D71789">
              <w:rPr>
                <w:i/>
              </w:rPr>
              <w:t>AHS 2011–13 (2011</w:t>
            </w:r>
            <w:r w:rsidR="00D743EF" w:rsidRPr="00D71789">
              <w:rPr>
                <w:i/>
              </w:rPr>
              <w:noBreakHyphen/>
            </w:r>
            <w:r w:rsidRPr="00D71789">
              <w:rPr>
                <w:i/>
              </w:rPr>
              <w:t>12 NHS component)</w:t>
            </w:r>
            <w:r w:rsidRPr="003E71A2">
              <w:t>, Cat. no. 4364.0; table</w:t>
            </w:r>
            <w:r w:rsidR="0022260C">
              <w:t> </w:t>
            </w:r>
            <w:proofErr w:type="spellStart"/>
            <w:r w:rsidRPr="003E71A2">
              <w:t>12A.</w:t>
            </w:r>
            <w:r w:rsidR="008D42EB">
              <w:t>88</w:t>
            </w:r>
            <w:proofErr w:type="spellEnd"/>
            <w:r w:rsidRPr="003E71A2">
              <w:t>.</w:t>
            </w:r>
          </w:p>
        </w:tc>
      </w:tr>
      <w:tr w:rsidR="003E71A2" w:rsidTr="00697BFF">
        <w:tc>
          <w:tcPr>
            <w:tcW w:w="8771" w:type="dxa"/>
            <w:tcBorders>
              <w:top w:val="nil"/>
              <w:left w:val="nil"/>
              <w:bottom w:val="single" w:sz="6" w:space="0" w:color="78A22F"/>
              <w:right w:val="nil"/>
            </w:tcBorders>
            <w:shd w:val="clear" w:color="auto" w:fill="auto"/>
          </w:tcPr>
          <w:p w:rsidR="003E71A2" w:rsidRDefault="003E71A2" w:rsidP="00697BFF">
            <w:pPr>
              <w:pStyle w:val="Figurespace"/>
            </w:pPr>
          </w:p>
        </w:tc>
      </w:tr>
      <w:tr w:rsidR="003E71A2" w:rsidRPr="000863A5" w:rsidTr="00697BFF">
        <w:tc>
          <w:tcPr>
            <w:tcW w:w="8771" w:type="dxa"/>
            <w:tcBorders>
              <w:top w:val="single" w:sz="6" w:space="0" w:color="78A22F"/>
              <w:left w:val="nil"/>
              <w:bottom w:val="nil"/>
              <w:right w:val="nil"/>
            </w:tcBorders>
          </w:tcPr>
          <w:p w:rsidR="003E71A2" w:rsidRPr="00626D32" w:rsidRDefault="003E71A2" w:rsidP="00697BFF">
            <w:pPr>
              <w:pStyle w:val="BoxSpaceBelow"/>
            </w:pPr>
          </w:p>
        </w:tc>
      </w:tr>
    </w:tbl>
    <w:p w:rsidR="0080574B" w:rsidRPr="00D71789" w:rsidRDefault="0080574B" w:rsidP="00D71789">
      <w:pPr>
        <w:pStyle w:val="BodyText"/>
      </w:pPr>
      <w:r>
        <w:t>C</w:t>
      </w:r>
      <w:r w:rsidRPr="0080574B">
        <w:t xml:space="preserve">ontact with immediate household, extended </w:t>
      </w:r>
      <w:r>
        <w:t xml:space="preserve">family, friends, and neighbours is </w:t>
      </w:r>
      <w:r w:rsidRPr="0080574B">
        <w:t xml:space="preserve">related to lower levels of psychological distress </w:t>
      </w:r>
      <w:r>
        <w:t>and</w:t>
      </w:r>
      <w:r w:rsidRPr="0080574B">
        <w:t xml:space="preserve"> therefore </w:t>
      </w:r>
      <w:r w:rsidR="00243E8F">
        <w:t>can protect against</w:t>
      </w:r>
      <w:r w:rsidRPr="0080574B">
        <w:t xml:space="preserve"> the onset and </w:t>
      </w:r>
      <w:r w:rsidR="00243E8F">
        <w:t xml:space="preserve">adverse </w:t>
      </w:r>
      <w:r w:rsidRPr="0080574B">
        <w:t xml:space="preserve">course of mental </w:t>
      </w:r>
      <w:r>
        <w:t>illnesses (</w:t>
      </w:r>
      <w:r w:rsidRPr="00E43450">
        <w:t>Berry et al</w:t>
      </w:r>
      <w:r w:rsidR="007437B9" w:rsidRPr="00E43450">
        <w:t>.</w:t>
      </w:r>
      <w:r w:rsidRPr="00E43450">
        <w:t xml:space="preserve"> 2007).</w:t>
      </w:r>
      <w:r w:rsidR="007437B9" w:rsidRPr="00E43450">
        <w:t xml:space="preserve"> </w:t>
      </w:r>
      <w:r w:rsidRPr="00E43450">
        <w:t xml:space="preserve">Nationally </w:t>
      </w:r>
      <w:r w:rsidRPr="00D71789">
        <w:t>in 201</w:t>
      </w:r>
      <w:r>
        <w:t>4</w:t>
      </w:r>
      <w:r w:rsidRPr="00D71789">
        <w:t xml:space="preserve">, the proportion of people </w:t>
      </w:r>
      <w:r w:rsidR="009B45D5" w:rsidRPr="0095258D">
        <w:t xml:space="preserve">aged </w:t>
      </w:r>
      <w:r w:rsidR="0095258D" w:rsidRPr="0095258D">
        <w:t>15</w:t>
      </w:r>
      <w:r w:rsidR="009B45D5" w:rsidRPr="0095258D">
        <w:t xml:space="preserve"> years</w:t>
      </w:r>
      <w:r w:rsidR="0095258D" w:rsidRPr="0095258D">
        <w:t xml:space="preserve"> or over</w:t>
      </w:r>
      <w:r w:rsidR="009B45D5" w:rsidRPr="0095258D">
        <w:t xml:space="preserve"> </w:t>
      </w:r>
      <w:r w:rsidRPr="00D71789">
        <w:t xml:space="preserve">with </w:t>
      </w:r>
      <w:r>
        <w:t>a mental illness</w:t>
      </w:r>
      <w:r w:rsidRPr="00D71789">
        <w:t xml:space="preserve"> who had </w:t>
      </w:r>
      <w:r w:rsidRPr="0080574B">
        <w:t>face</w:t>
      </w:r>
      <w:r w:rsidR="00463329">
        <w:noBreakHyphen/>
      </w:r>
      <w:r w:rsidRPr="0080574B">
        <w:t>to</w:t>
      </w:r>
      <w:r w:rsidR="00463329">
        <w:noBreakHyphen/>
      </w:r>
      <w:r w:rsidRPr="0080574B">
        <w:t>face contact with family or friends living outside the household in the last week</w:t>
      </w:r>
      <w:r w:rsidRPr="00D71789">
        <w:t xml:space="preserve"> (</w:t>
      </w:r>
      <w:r w:rsidR="004D4228">
        <w:t>76.5</w:t>
      </w:r>
      <w:r w:rsidRPr="00D71789">
        <w:t xml:space="preserve"> per cent) was </w:t>
      </w:r>
      <w:r w:rsidR="004D4228">
        <w:t>similar</w:t>
      </w:r>
      <w:r w:rsidRPr="00D71789">
        <w:t xml:space="preserve"> </w:t>
      </w:r>
      <w:r w:rsidR="004D4228">
        <w:t>to</w:t>
      </w:r>
      <w:r w:rsidRPr="00D71789">
        <w:t xml:space="preserve"> the </w:t>
      </w:r>
      <w:r w:rsidR="004D4228">
        <w:t>proportion</w:t>
      </w:r>
      <w:r w:rsidRPr="00D71789">
        <w:t xml:space="preserve"> for people without a </w:t>
      </w:r>
      <w:r>
        <w:t>mental illness</w:t>
      </w:r>
      <w:r w:rsidRPr="00D71789">
        <w:t xml:space="preserve"> (7</w:t>
      </w:r>
      <w:r w:rsidR="004D4228">
        <w:t>7</w:t>
      </w:r>
      <w:r w:rsidRPr="00D71789">
        <w:t>.</w:t>
      </w:r>
      <w:r w:rsidR="004D4228">
        <w:t>1</w:t>
      </w:r>
      <w:r w:rsidR="004B16D7">
        <w:t> </w:t>
      </w:r>
      <w:r w:rsidRPr="00D71789">
        <w:t>per cent) (figure</w:t>
      </w:r>
      <w:r w:rsidR="00463329">
        <w:t> </w:t>
      </w:r>
      <w:r w:rsidRPr="00D71789">
        <w:t>1</w:t>
      </w:r>
      <w:r w:rsidR="00A05C99">
        <w:t>2</w:t>
      </w:r>
      <w:r w:rsidRPr="00D71789">
        <w:t>.3</w:t>
      </w:r>
      <w:r w:rsidR="005F7444">
        <w:t>5</w:t>
      </w:r>
      <w:r w:rsidRPr="00D71789">
        <w:t>).</w:t>
      </w:r>
    </w:p>
    <w:p w:rsidR="0080574B" w:rsidRDefault="0080574B" w:rsidP="00D15F4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574B" w:rsidTr="00D15F48">
        <w:tc>
          <w:tcPr>
            <w:tcW w:w="8771" w:type="dxa"/>
            <w:tcBorders>
              <w:top w:val="single" w:sz="6" w:space="0" w:color="78A22F"/>
              <w:left w:val="nil"/>
              <w:bottom w:val="nil"/>
              <w:right w:val="nil"/>
            </w:tcBorders>
            <w:shd w:val="clear" w:color="auto" w:fill="auto"/>
          </w:tcPr>
          <w:p w:rsidR="0080574B" w:rsidRPr="00D71789" w:rsidRDefault="00516780" w:rsidP="005E65D7">
            <w:pPr>
              <w:pStyle w:val="FigureTitle"/>
            </w:pPr>
            <w:r w:rsidRPr="005E65D7">
              <w:rPr>
                <w:b w:val="0"/>
              </w:rPr>
              <w:t xml:space="preserve">Figure </w:t>
            </w:r>
            <w:r w:rsidR="00811C03" w:rsidRPr="005E65D7">
              <w:rPr>
                <w:b w:val="0"/>
              </w:rPr>
              <w:t>12.</w:t>
            </w:r>
            <w:r w:rsidR="00833D26">
              <w:rPr>
                <w:b w:val="0"/>
                <w:noProof/>
              </w:rPr>
              <w:t>35</w:t>
            </w:r>
            <w:r w:rsidRPr="00D71789">
              <w:tab/>
              <w:t>People who</w:t>
            </w:r>
            <w:r>
              <w:t xml:space="preserve"> </w:t>
            </w:r>
            <w:r w:rsidRPr="00516780">
              <w:t>had face</w:t>
            </w:r>
            <w:r w:rsidR="00463329">
              <w:noBreakHyphen/>
            </w:r>
            <w:r w:rsidRPr="00516780">
              <w:t>to</w:t>
            </w:r>
            <w:r w:rsidR="00463329">
              <w:noBreakHyphen/>
            </w:r>
            <w:r w:rsidRPr="00516780">
              <w:t>face contact with family or friends living outside the household in the last week</w:t>
            </w:r>
            <w:r w:rsidRPr="00D71789">
              <w:t>, by mental illness status, 201</w:t>
            </w:r>
            <w:r>
              <w:t>4</w:t>
            </w:r>
            <w:r w:rsidRPr="005E65D7">
              <w:rPr>
                <w:rStyle w:val="NoteLabel"/>
                <w:b/>
              </w:rPr>
              <w:t>a</w:t>
            </w:r>
          </w:p>
        </w:tc>
      </w:tr>
      <w:tr w:rsidR="0080574B" w:rsidTr="00D15F4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0574B" w:rsidTr="00D15F48">
              <w:trPr>
                <w:jc w:val="center"/>
              </w:trPr>
              <w:tc>
                <w:tcPr>
                  <w:tcW w:w="5000" w:type="pct"/>
                  <w:tcBorders>
                    <w:top w:val="nil"/>
                    <w:bottom w:val="nil"/>
                  </w:tcBorders>
                </w:tcPr>
                <w:p w:rsidR="0080574B" w:rsidRDefault="001B7B09">
                  <w:pPr>
                    <w:pStyle w:val="Figure"/>
                    <w:spacing w:before="60" w:after="60"/>
                  </w:pPr>
                  <w:r>
                    <w:rPr>
                      <w:noProof/>
                    </w:rPr>
                    <w:drawing>
                      <wp:inline distT="0" distB="0" distL="0" distR="0">
                        <wp:extent cx="5391150" cy="2686050"/>
                        <wp:effectExtent l="0" t="0" r="0" b="0"/>
                        <wp:docPr id="39" name="Picture 39" descr="Figure 12.35 People who had face to face contact with family or friends living outside the household in the last week, by mental illness statu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0574B" w:rsidRDefault="0080574B" w:rsidP="00D15F48">
            <w:pPr>
              <w:pStyle w:val="Figure"/>
            </w:pPr>
          </w:p>
        </w:tc>
      </w:tr>
      <w:tr w:rsidR="0080574B" w:rsidRPr="00176D3F" w:rsidTr="00D15F48">
        <w:tc>
          <w:tcPr>
            <w:tcW w:w="8771" w:type="dxa"/>
            <w:tcBorders>
              <w:top w:val="nil"/>
              <w:left w:val="nil"/>
              <w:bottom w:val="nil"/>
              <w:right w:val="nil"/>
            </w:tcBorders>
            <w:shd w:val="clear" w:color="auto" w:fill="auto"/>
          </w:tcPr>
          <w:p w:rsidR="0080574B" w:rsidRPr="00176D3F" w:rsidRDefault="003D48F6" w:rsidP="00D71789">
            <w:pPr>
              <w:pStyle w:val="Note"/>
              <w:rPr>
                <w:i/>
              </w:rPr>
            </w:pPr>
            <w:r>
              <w:rPr>
                <w:rStyle w:val="NoteLabel"/>
              </w:rPr>
              <w:t>a</w:t>
            </w:r>
            <w:r>
              <w:t xml:space="preserve"> </w:t>
            </w:r>
            <w:r w:rsidRPr="008D42EB">
              <w:t>See box</w:t>
            </w:r>
            <w:r w:rsidR="00463329">
              <w:t> </w:t>
            </w:r>
            <w:r w:rsidRPr="008D42EB">
              <w:t>12.2</w:t>
            </w:r>
            <w:r>
              <w:t>3</w:t>
            </w:r>
            <w:r w:rsidRPr="008D42EB">
              <w:t xml:space="preserve"> and table</w:t>
            </w:r>
            <w:r w:rsidR="00463329">
              <w:t> </w:t>
            </w:r>
            <w:proofErr w:type="spellStart"/>
            <w:r w:rsidRPr="008D42EB">
              <w:t>12A.</w:t>
            </w:r>
            <w:r>
              <w:t>95</w:t>
            </w:r>
            <w:proofErr w:type="spellEnd"/>
            <w:r w:rsidRPr="008D42EB">
              <w:t xml:space="preserve"> </w:t>
            </w:r>
            <w:r w:rsidR="00C9207F" w:rsidRPr="00C9207F">
              <w:t>for detailed definitions, footnotes and caveats</w:t>
            </w:r>
            <w:r w:rsidRPr="008D42EB">
              <w:t>.</w:t>
            </w:r>
          </w:p>
        </w:tc>
      </w:tr>
      <w:tr w:rsidR="0080574B" w:rsidRPr="00176D3F" w:rsidTr="00D15F48">
        <w:tc>
          <w:tcPr>
            <w:tcW w:w="8771" w:type="dxa"/>
            <w:tcBorders>
              <w:top w:val="nil"/>
              <w:left w:val="nil"/>
              <w:bottom w:val="nil"/>
              <w:right w:val="nil"/>
            </w:tcBorders>
            <w:shd w:val="clear" w:color="auto" w:fill="auto"/>
          </w:tcPr>
          <w:p w:rsidR="0080574B" w:rsidRPr="00176D3F" w:rsidRDefault="00EB2266" w:rsidP="00D71789">
            <w:pPr>
              <w:pStyle w:val="Source"/>
              <w:rPr>
                <w:i/>
              </w:rPr>
            </w:pPr>
            <w:r w:rsidRPr="00557783">
              <w:rPr>
                <w:i/>
              </w:rPr>
              <w:t>Source</w:t>
            </w:r>
            <w:r w:rsidRPr="00F40E83">
              <w:t>:</w:t>
            </w:r>
            <w:r w:rsidRPr="00557783">
              <w:rPr>
                <w:i/>
              </w:rPr>
              <w:t xml:space="preserve"> </w:t>
            </w:r>
            <w:r w:rsidRPr="00557783">
              <w:t xml:space="preserve">ABS (unpublished) </w:t>
            </w:r>
            <w:r w:rsidRPr="00D71789">
              <w:rPr>
                <w:i/>
              </w:rPr>
              <w:t>General Social Survey 2014</w:t>
            </w:r>
            <w:r w:rsidRPr="00557783">
              <w:t xml:space="preserve">, Cat. no. </w:t>
            </w:r>
            <w:r w:rsidRPr="00EB2266">
              <w:t>4159.0</w:t>
            </w:r>
            <w:r w:rsidR="00C730E9">
              <w:t xml:space="preserve"> </w:t>
            </w:r>
            <w:r w:rsidR="00C730E9" w:rsidRPr="00C730E9">
              <w:t>(derived using Table Builder product)</w:t>
            </w:r>
            <w:r w:rsidRPr="00557783">
              <w:t xml:space="preserve">; </w:t>
            </w:r>
            <w:r w:rsidR="00FB41BF">
              <w:t>t</w:t>
            </w:r>
            <w:r w:rsidRPr="00EB2266">
              <w:t>able</w:t>
            </w:r>
            <w:r w:rsidR="00463329">
              <w:t> </w:t>
            </w:r>
            <w:proofErr w:type="spellStart"/>
            <w:r w:rsidRPr="00EB2266">
              <w:t>12A.</w:t>
            </w:r>
            <w:r w:rsidR="003D48F6">
              <w:t>95</w:t>
            </w:r>
            <w:proofErr w:type="spellEnd"/>
            <w:r>
              <w:t>.</w:t>
            </w:r>
          </w:p>
        </w:tc>
      </w:tr>
      <w:tr w:rsidR="0080574B" w:rsidTr="00D15F48">
        <w:tc>
          <w:tcPr>
            <w:tcW w:w="8771" w:type="dxa"/>
            <w:tcBorders>
              <w:top w:val="nil"/>
              <w:left w:val="nil"/>
              <w:bottom w:val="single" w:sz="6" w:space="0" w:color="78A22F"/>
              <w:right w:val="nil"/>
            </w:tcBorders>
            <w:shd w:val="clear" w:color="auto" w:fill="auto"/>
          </w:tcPr>
          <w:p w:rsidR="0080574B" w:rsidRDefault="0080574B" w:rsidP="00D15F48">
            <w:pPr>
              <w:pStyle w:val="Figurespace"/>
            </w:pPr>
          </w:p>
        </w:tc>
      </w:tr>
      <w:tr w:rsidR="0080574B" w:rsidRPr="000863A5" w:rsidTr="00D15F48">
        <w:tc>
          <w:tcPr>
            <w:tcW w:w="8771" w:type="dxa"/>
            <w:tcBorders>
              <w:top w:val="single" w:sz="6" w:space="0" w:color="78A22F"/>
              <w:left w:val="nil"/>
              <w:bottom w:val="nil"/>
              <w:right w:val="nil"/>
            </w:tcBorders>
          </w:tcPr>
          <w:p w:rsidR="0080574B" w:rsidRPr="00626D32" w:rsidRDefault="0080574B" w:rsidP="00D15F48">
            <w:pPr>
              <w:pStyle w:val="BoxSpaceBelow"/>
            </w:pPr>
          </w:p>
        </w:tc>
      </w:tr>
    </w:tbl>
    <w:p w:rsidR="00557783" w:rsidRDefault="00557783" w:rsidP="00557783">
      <w:pPr>
        <w:pStyle w:val="Heading4"/>
      </w:pPr>
      <w:r>
        <w:t>Mental health outcomes of consumers of specialised public mental health services</w:t>
      </w:r>
    </w:p>
    <w:p w:rsidR="00557783" w:rsidRDefault="00557783" w:rsidP="002315C6">
      <w:pPr>
        <w:pStyle w:val="BodyText"/>
      </w:pPr>
      <w:r>
        <w:t>‘Mental health outcomes of consumers of specialised public mental health services’ is an indicator of governments’ objective to improve the effectiveness and quality of service delivery and outcomes and promote recovery from mental health problems and mental illness (box</w:t>
      </w:r>
      <w:r w:rsidR="0022260C">
        <w:t> </w:t>
      </w:r>
      <w:r w:rsidR="00382529">
        <w:t>12.</w:t>
      </w:r>
      <w:r w:rsidR="00792720">
        <w:t>24</w:t>
      </w:r>
      <w:r>
        <w:t>).</w:t>
      </w:r>
    </w:p>
    <w:p w:rsidR="0024394F" w:rsidRDefault="0024394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394F" w:rsidTr="00524693">
        <w:tc>
          <w:tcPr>
            <w:tcW w:w="8771" w:type="dxa"/>
            <w:tcBorders>
              <w:top w:val="single" w:sz="6" w:space="0" w:color="78A22F"/>
              <w:left w:val="nil"/>
              <w:bottom w:val="nil"/>
              <w:right w:val="nil"/>
            </w:tcBorders>
            <w:shd w:val="clear" w:color="auto" w:fill="F2F2F2"/>
          </w:tcPr>
          <w:p w:rsidR="0024394F" w:rsidRDefault="0024394F" w:rsidP="00D71789">
            <w:pPr>
              <w:pStyle w:val="BoxTitle"/>
              <w:rPr>
                <w:i/>
              </w:rPr>
            </w:pPr>
            <w:r>
              <w:rPr>
                <w:b w:val="0"/>
              </w:rPr>
              <w:t xml:space="preserve">Box </w:t>
            </w:r>
            <w:r w:rsidR="003D48F6">
              <w:rPr>
                <w:b w:val="0"/>
              </w:rPr>
              <w:t>12.</w:t>
            </w:r>
            <w:r w:rsidR="00833D26">
              <w:rPr>
                <w:b w:val="0"/>
                <w:noProof/>
              </w:rPr>
              <w:t>24</w:t>
            </w:r>
            <w:r>
              <w:tab/>
            </w:r>
            <w:r w:rsidRPr="00557783">
              <w:t xml:space="preserve">Mental health outcomes of consumers of specialised </w:t>
            </w:r>
            <w:r w:rsidR="003D48F6">
              <w:t xml:space="preserve">public </w:t>
            </w:r>
            <w:r w:rsidRPr="00557783">
              <w:t>mental health services</w:t>
            </w:r>
            <w:r>
              <w:t xml:space="preserve"> </w:t>
            </w:r>
          </w:p>
        </w:tc>
      </w:tr>
      <w:tr w:rsidR="0024394F" w:rsidTr="00524693">
        <w:trPr>
          <w:cantSplit/>
        </w:trPr>
        <w:tc>
          <w:tcPr>
            <w:tcW w:w="8771" w:type="dxa"/>
            <w:tcBorders>
              <w:top w:val="nil"/>
              <w:left w:val="nil"/>
              <w:bottom w:val="nil"/>
              <w:right w:val="nil"/>
            </w:tcBorders>
            <w:shd w:val="clear" w:color="auto" w:fill="F2F2F2"/>
          </w:tcPr>
          <w:p w:rsidR="001C1480" w:rsidRDefault="0024394F">
            <w:pPr>
              <w:pStyle w:val="Box"/>
            </w:pPr>
            <w:r w:rsidRPr="00557783">
              <w:t>‘Mental health outcomes of consumers of specialised public mental health services’ is defined as the proportion of people</w:t>
            </w:r>
            <w:r w:rsidR="003D48F6">
              <w:t xml:space="preserve"> receiving care </w:t>
            </w:r>
            <w:r w:rsidRPr="00557783">
              <w:t xml:space="preserve">who had a significant improvement in their clinical mental health outcomes. </w:t>
            </w:r>
            <w:r w:rsidR="00930671">
              <w:t>See section</w:t>
            </w:r>
            <w:r w:rsidR="00463329">
              <w:t> </w:t>
            </w:r>
            <w:r w:rsidR="00930671">
              <w:t xml:space="preserve">12.5 for information on how </w:t>
            </w:r>
            <w:r w:rsidR="00FC6BEA">
              <w:t>the consumer</w:t>
            </w:r>
            <w:r w:rsidR="00930671">
              <w:t xml:space="preserve"> outcomes</w:t>
            </w:r>
            <w:r w:rsidR="00FC6BEA">
              <w:t xml:space="preserve"> average score is </w:t>
            </w:r>
            <w:r w:rsidR="00930671">
              <w:t xml:space="preserve">derived. </w:t>
            </w:r>
            <w:r w:rsidRPr="00557783">
              <w:t>Data are also reported on the proportion who experienced no significant change or a significant deterioration in their mental health outcomes. Data are reported by three consumer types: people in ongoing community</w:t>
            </w:r>
            <w:r>
              <w:noBreakHyphen/>
            </w:r>
            <w:r w:rsidRPr="00557783">
              <w:t xml:space="preserve">based </w:t>
            </w:r>
            <w:r>
              <w:t xml:space="preserve">ambulatory </w:t>
            </w:r>
            <w:r w:rsidRPr="00557783">
              <w:t>care, people discharged from community</w:t>
            </w:r>
            <w:r>
              <w:noBreakHyphen/>
            </w:r>
            <w:r w:rsidRPr="00557783">
              <w:t xml:space="preserve">based </w:t>
            </w:r>
            <w:r>
              <w:t xml:space="preserve">ambulatory </w:t>
            </w:r>
            <w:r w:rsidRPr="00557783">
              <w:t>care and people discharged from a hospital psychiatric unit.</w:t>
            </w:r>
          </w:p>
        </w:tc>
      </w:tr>
      <w:tr w:rsidR="0024394F" w:rsidTr="00524693">
        <w:trPr>
          <w:cantSplit/>
        </w:trPr>
        <w:tc>
          <w:tcPr>
            <w:tcW w:w="8771" w:type="dxa"/>
            <w:tcBorders>
              <w:top w:val="nil"/>
              <w:left w:val="nil"/>
              <w:bottom w:val="nil"/>
              <w:right w:val="nil"/>
            </w:tcBorders>
            <w:shd w:val="clear" w:color="auto" w:fill="F2F2F2"/>
          </w:tcPr>
          <w:p w:rsidR="0024394F" w:rsidRPr="00D71789" w:rsidRDefault="00B85ED1" w:rsidP="000477EA">
            <w:pPr>
              <w:pStyle w:val="Continued"/>
            </w:pPr>
            <w:r>
              <w:t>(continued next page)</w:t>
            </w:r>
          </w:p>
        </w:tc>
      </w:tr>
      <w:tr w:rsidR="0024394F" w:rsidTr="00524693">
        <w:trPr>
          <w:cantSplit/>
        </w:trPr>
        <w:tc>
          <w:tcPr>
            <w:tcW w:w="8771" w:type="dxa"/>
            <w:tcBorders>
              <w:top w:val="nil"/>
              <w:left w:val="nil"/>
              <w:bottom w:val="single" w:sz="6" w:space="0" w:color="78A22F"/>
              <w:right w:val="nil"/>
            </w:tcBorders>
            <w:shd w:val="clear" w:color="auto" w:fill="F2F2F2"/>
          </w:tcPr>
          <w:p w:rsidR="0024394F" w:rsidRDefault="0024394F">
            <w:pPr>
              <w:pStyle w:val="Box"/>
              <w:spacing w:before="0" w:line="120" w:lineRule="exact"/>
            </w:pPr>
          </w:p>
        </w:tc>
      </w:tr>
      <w:tr w:rsidR="0024394F" w:rsidRPr="000863A5" w:rsidTr="00524693">
        <w:tc>
          <w:tcPr>
            <w:tcW w:w="8771" w:type="dxa"/>
            <w:tcBorders>
              <w:top w:val="single" w:sz="6" w:space="0" w:color="78A22F"/>
              <w:left w:val="nil"/>
              <w:bottom w:val="nil"/>
              <w:right w:val="nil"/>
            </w:tcBorders>
          </w:tcPr>
          <w:p w:rsidR="0024394F" w:rsidRPr="00626D32" w:rsidRDefault="0024394F" w:rsidP="00524693">
            <w:pPr>
              <w:pStyle w:val="BoxSpaceBelow"/>
            </w:pPr>
          </w:p>
        </w:tc>
      </w:tr>
    </w:tbl>
    <w:p w:rsidR="00557783" w:rsidRDefault="0055778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7783" w:rsidTr="00C55E5E">
        <w:tc>
          <w:tcPr>
            <w:tcW w:w="8771" w:type="dxa"/>
            <w:tcBorders>
              <w:top w:val="single" w:sz="6" w:space="0" w:color="78A22F"/>
              <w:left w:val="nil"/>
              <w:bottom w:val="nil"/>
              <w:right w:val="nil"/>
            </w:tcBorders>
            <w:shd w:val="clear" w:color="auto" w:fill="F2F2F2"/>
          </w:tcPr>
          <w:p w:rsidR="00557783" w:rsidRDefault="00557783" w:rsidP="0024394F">
            <w:pPr>
              <w:pStyle w:val="BoxTitle"/>
            </w:pPr>
            <w:r>
              <w:rPr>
                <w:b w:val="0"/>
              </w:rPr>
              <w:t xml:space="preserve">Box </w:t>
            </w:r>
            <w:r w:rsidR="0024394F">
              <w:rPr>
                <w:b w:val="0"/>
              </w:rPr>
              <w:t>12.24</w:t>
            </w:r>
            <w:r>
              <w:tab/>
            </w:r>
            <w:r w:rsidR="0024394F" w:rsidRPr="00974092">
              <w:rPr>
                <w:b w:val="0"/>
                <w:sz w:val="18"/>
                <w:szCs w:val="18"/>
              </w:rPr>
              <w:t>(continued)</w:t>
            </w:r>
          </w:p>
        </w:tc>
      </w:tr>
      <w:tr w:rsidR="00557783" w:rsidTr="00C55E5E">
        <w:trPr>
          <w:cantSplit/>
        </w:trPr>
        <w:tc>
          <w:tcPr>
            <w:tcW w:w="8771" w:type="dxa"/>
            <w:tcBorders>
              <w:top w:val="nil"/>
              <w:left w:val="nil"/>
              <w:bottom w:val="nil"/>
              <w:right w:val="nil"/>
            </w:tcBorders>
            <w:shd w:val="clear" w:color="auto" w:fill="F2F2F2"/>
          </w:tcPr>
          <w:p w:rsidR="00FC6BEA" w:rsidRDefault="00FC6BEA" w:rsidP="00557783">
            <w:pPr>
              <w:pStyle w:val="Box"/>
            </w:pPr>
            <w:r w:rsidRPr="00FC6BEA">
              <w:t xml:space="preserve">A high or increasing proportion of people receiving care in State and Territory governments’ specialised </w:t>
            </w:r>
            <w:r w:rsidR="009B45D5">
              <w:t xml:space="preserve">public </w:t>
            </w:r>
            <w:r w:rsidRPr="00FC6BEA">
              <w:t>mental health services who had a significant improvement in their clinical mental health outcomes is desirable.</w:t>
            </w:r>
          </w:p>
          <w:p w:rsidR="00557783" w:rsidRDefault="00557783" w:rsidP="00557783">
            <w:pPr>
              <w:pStyle w:val="Box"/>
            </w:pPr>
            <w:r>
              <w:t xml:space="preserve">This indicator has </w:t>
            </w:r>
            <w:r w:rsidR="009B45D5">
              <w:t xml:space="preserve">a number of </w:t>
            </w:r>
            <w:r>
              <w:t xml:space="preserve">technical and conceptual issues. The outcome measurement tool is imprecise. A single ‘average score’ does not reflect the complex service system in which services are delivered across multiple settings (inpatient, </w:t>
            </w:r>
            <w:r w:rsidR="00BD5C71">
              <w:t xml:space="preserve">ambulatory </w:t>
            </w:r>
            <w:r>
              <w:t>and residential) and provided as both discrete, short term episodes of care and prolonged care over indefinite periods (</w:t>
            </w:r>
            <w:proofErr w:type="spellStart"/>
            <w:r>
              <w:t>AHMC</w:t>
            </w:r>
            <w:proofErr w:type="spellEnd"/>
            <w:r>
              <w:t xml:space="preserve"> 2012). The approach separates a consumer’s care into segments (hospital versus the community) rather than tracking the person’s overall outcomes across treatment settings. In addition, consumers’ outcomes are measured from the clinician’s perspective and not as the ‘lived experience’ from the consumer’s viewpoint (</w:t>
            </w:r>
            <w:proofErr w:type="spellStart"/>
            <w:r>
              <w:t>AHMC</w:t>
            </w:r>
            <w:proofErr w:type="spellEnd"/>
            <w:r>
              <w:t xml:space="preserve"> 2012).</w:t>
            </w:r>
          </w:p>
          <w:p w:rsidR="00557783" w:rsidRDefault="00557783" w:rsidP="00557783">
            <w:pPr>
              <w:pStyle w:val="Box"/>
            </w:pPr>
            <w:r>
              <w:t>Data reported for this indicator:</w:t>
            </w:r>
          </w:p>
          <w:p w:rsidR="00557783" w:rsidRDefault="0024394F" w:rsidP="0024394F">
            <w:pPr>
              <w:pStyle w:val="BoxListBullet"/>
            </w:pPr>
            <w:r w:rsidRPr="0024394F">
              <w:t>may not be comparable (subject to caveats) within jurisdictions over time and may not be comparable across jurisdictions</w:t>
            </w:r>
            <w:r w:rsidR="00557783">
              <w:t xml:space="preserve"> due to differences in the quality of the data and the proportion of episodes for which completed outcomes data are available </w:t>
            </w:r>
          </w:p>
          <w:p w:rsidR="00557783" w:rsidRDefault="00243E8F" w:rsidP="002245A4">
            <w:pPr>
              <w:pStyle w:val="BoxListBullet"/>
            </w:pPr>
            <w:r>
              <w:t xml:space="preserve">are </w:t>
            </w:r>
            <w:r w:rsidR="00557783">
              <w:t xml:space="preserve">complete </w:t>
            </w:r>
            <w:r w:rsidR="002245A4" w:rsidRPr="002245A4">
              <w:t>(subject to caveats)</w:t>
            </w:r>
            <w:r w:rsidR="002245A4">
              <w:t xml:space="preserve"> </w:t>
            </w:r>
            <w:r w:rsidR="00557783">
              <w:t xml:space="preserve">for the current reporting period. All required data for </w:t>
            </w:r>
            <w:r w:rsidR="00792720">
              <w:t>2013</w:t>
            </w:r>
            <w:r w:rsidR="00557783">
              <w:noBreakHyphen/>
            </w:r>
            <w:r w:rsidR="00792720">
              <w:t xml:space="preserve">14 </w:t>
            </w:r>
            <w:r w:rsidR="00557783">
              <w:t xml:space="preserve">are available for </w:t>
            </w:r>
            <w:r w:rsidR="00792720">
              <w:t xml:space="preserve">all </w:t>
            </w:r>
            <w:r w:rsidR="008B5483">
              <w:t>jurisdictions</w:t>
            </w:r>
            <w:r w:rsidR="00557783">
              <w:t>.</w:t>
            </w:r>
          </w:p>
          <w:p w:rsidR="00557783" w:rsidRDefault="00557783" w:rsidP="00792720">
            <w:pPr>
              <w:pStyle w:val="Box"/>
            </w:pPr>
            <w:r>
              <w:t>Data quality information for this indicator</w:t>
            </w:r>
            <w:r w:rsidR="00777A59">
              <w:t xml:space="preserve"> is at </w:t>
            </w:r>
            <w:proofErr w:type="spellStart"/>
            <w:r w:rsidR="00777A59">
              <w:t>www.pc.gov.au</w:t>
            </w:r>
            <w:proofErr w:type="spellEnd"/>
            <w:r>
              <w:t>/</w:t>
            </w:r>
            <w:proofErr w:type="spellStart"/>
            <w:r>
              <w:t>rogs</w:t>
            </w:r>
            <w:proofErr w:type="spellEnd"/>
            <w:r>
              <w:t>/</w:t>
            </w:r>
            <w:r w:rsidR="00792720">
              <w:t>2016</w:t>
            </w:r>
            <w:r>
              <w:t>.</w:t>
            </w:r>
          </w:p>
        </w:tc>
      </w:tr>
      <w:tr w:rsidR="00557783" w:rsidTr="00C55E5E">
        <w:trPr>
          <w:cantSplit/>
        </w:trPr>
        <w:tc>
          <w:tcPr>
            <w:tcW w:w="8771" w:type="dxa"/>
            <w:tcBorders>
              <w:top w:val="nil"/>
              <w:left w:val="nil"/>
              <w:bottom w:val="single" w:sz="6" w:space="0" w:color="78A22F"/>
              <w:right w:val="nil"/>
            </w:tcBorders>
            <w:shd w:val="clear" w:color="auto" w:fill="F2F2F2"/>
          </w:tcPr>
          <w:p w:rsidR="00557783" w:rsidRDefault="00557783">
            <w:pPr>
              <w:pStyle w:val="Box"/>
              <w:spacing w:before="0" w:line="120" w:lineRule="exact"/>
            </w:pPr>
          </w:p>
        </w:tc>
      </w:tr>
      <w:tr w:rsidR="00557783" w:rsidRPr="000863A5" w:rsidTr="00C55E5E">
        <w:tc>
          <w:tcPr>
            <w:tcW w:w="8771" w:type="dxa"/>
            <w:tcBorders>
              <w:top w:val="single" w:sz="6" w:space="0" w:color="78A22F"/>
              <w:left w:val="nil"/>
              <w:bottom w:val="nil"/>
              <w:right w:val="nil"/>
            </w:tcBorders>
          </w:tcPr>
          <w:p w:rsidR="00557783" w:rsidRPr="00626D32" w:rsidRDefault="00557783" w:rsidP="00C55E5E">
            <w:pPr>
              <w:pStyle w:val="BoxSpaceBelow"/>
            </w:pPr>
          </w:p>
        </w:tc>
      </w:tr>
    </w:tbl>
    <w:p w:rsidR="00524693" w:rsidRDefault="000806A8" w:rsidP="002315C6">
      <w:pPr>
        <w:pStyle w:val="BodyText"/>
      </w:pPr>
      <w:r>
        <w:t xml:space="preserve">Nationally in </w:t>
      </w:r>
      <w:r w:rsidR="00792720">
        <w:t>2013</w:t>
      </w:r>
      <w:r>
        <w:noBreakHyphen/>
      </w:r>
      <w:r w:rsidR="00792720">
        <w:t>14</w:t>
      </w:r>
      <w:r>
        <w:t xml:space="preserve">, </w:t>
      </w:r>
      <w:r w:rsidR="001C1480">
        <w:t>26.6</w:t>
      </w:r>
      <w:r w:rsidR="004B16D7">
        <w:t> </w:t>
      </w:r>
      <w:r>
        <w:t>per</w:t>
      </w:r>
      <w:r w:rsidR="004B16D7">
        <w:t> </w:t>
      </w:r>
      <w:r>
        <w:t xml:space="preserve">cent of people in ongoing </w:t>
      </w:r>
      <w:r w:rsidR="001E7B1B">
        <w:t>ambulatory</w:t>
      </w:r>
      <w:r>
        <w:t xml:space="preserve"> care, </w:t>
      </w:r>
      <w:r w:rsidR="001E7B1B">
        <w:rPr>
          <w:shd w:val="clear" w:color="auto" w:fill="FFFFFF" w:themeFill="background1"/>
        </w:rPr>
        <w:t>48.4</w:t>
      </w:r>
      <w:r w:rsidR="00E70A51">
        <w:t> </w:t>
      </w:r>
      <w:r>
        <w:t>per</w:t>
      </w:r>
      <w:r w:rsidR="00C65019">
        <w:t> </w:t>
      </w:r>
      <w:r>
        <w:t xml:space="preserve">cent of people discharged from </w:t>
      </w:r>
      <w:r w:rsidR="001E7B1B" w:rsidRPr="001E7B1B">
        <w:t>ambulatory care</w:t>
      </w:r>
      <w:r w:rsidR="001E7B1B">
        <w:t xml:space="preserve"> </w:t>
      </w:r>
      <w:r>
        <w:t xml:space="preserve">and </w:t>
      </w:r>
      <w:r w:rsidR="001E7B1B">
        <w:rPr>
          <w:shd w:val="clear" w:color="auto" w:fill="FFFFFF" w:themeFill="background1"/>
        </w:rPr>
        <w:t>72.4</w:t>
      </w:r>
      <w:r w:rsidR="004B16D7">
        <w:rPr>
          <w:shd w:val="clear" w:color="auto" w:fill="FFFFFF" w:themeFill="background1"/>
        </w:rPr>
        <w:t> </w:t>
      </w:r>
      <w:r>
        <w:t>per</w:t>
      </w:r>
      <w:r w:rsidR="004B16D7">
        <w:t> </w:t>
      </w:r>
      <w:r>
        <w:t>cent of people discharged from a hospital psychiatric inpatient unit showed a significant improvement in their mental health clinical outcomes (figure</w:t>
      </w:r>
      <w:r w:rsidR="0022260C">
        <w:t> </w:t>
      </w:r>
      <w:r>
        <w:t>12.</w:t>
      </w:r>
      <w:r w:rsidR="001C1480">
        <w:t>3</w:t>
      </w:r>
      <w:r w:rsidR="005F7444">
        <w:t>6</w:t>
      </w:r>
      <w:r>
        <w:t xml:space="preserve">). </w:t>
      </w:r>
      <w:r w:rsidR="00FC6BEA">
        <w:t>Across age groups and over the reporting years</w:t>
      </w:r>
      <w:r w:rsidR="00F75BFB">
        <w:t xml:space="preserve"> from 2007</w:t>
      </w:r>
      <w:r w:rsidR="00463329">
        <w:noBreakHyphen/>
      </w:r>
      <w:r w:rsidR="00F75BFB">
        <w:t>08</w:t>
      </w:r>
      <w:r w:rsidR="00FC6BEA">
        <w:t>,</w:t>
      </w:r>
      <w:r w:rsidR="00F75BFB">
        <w:t xml:space="preserve"> for those discharged from hospital and community care,</w:t>
      </w:r>
      <w:r w:rsidR="00FC6BEA">
        <w:t xml:space="preserve"> a larger proportion of people aged 18</w:t>
      </w:r>
      <w:r w:rsidR="00F75BFB">
        <w:t>–</w:t>
      </w:r>
      <w:r w:rsidR="00FC6BEA">
        <w:t xml:space="preserve">64 years old </w:t>
      </w:r>
      <w:r w:rsidR="00FC6BEA" w:rsidRPr="00FC6BEA">
        <w:t>showed a significant improvement</w:t>
      </w:r>
      <w:r w:rsidR="00F75BFB">
        <w:t xml:space="preserve"> compared to </w:t>
      </w:r>
      <w:r w:rsidR="00FC6BEA">
        <w:t xml:space="preserve">those </w:t>
      </w:r>
      <w:r w:rsidR="00F75BFB">
        <w:t xml:space="preserve">in </w:t>
      </w:r>
      <w:r w:rsidR="00FC6BEA">
        <w:t xml:space="preserve">other age groups. Whereas, </w:t>
      </w:r>
      <w:r w:rsidR="00F75BFB">
        <w:t xml:space="preserve">for those in ongoing community care, </w:t>
      </w:r>
      <w:r w:rsidR="00FC6BEA">
        <w:t xml:space="preserve">younger people aged </w:t>
      </w:r>
      <w:r w:rsidR="00474C6E">
        <w:br/>
      </w:r>
      <w:r w:rsidR="00FC6BEA">
        <w:t>0</w:t>
      </w:r>
      <w:r w:rsidR="00F75BFB">
        <w:t>–</w:t>
      </w:r>
      <w:r w:rsidR="00FC6BEA">
        <w:t>17</w:t>
      </w:r>
      <w:r w:rsidR="00474C6E">
        <w:t> </w:t>
      </w:r>
      <w:r w:rsidR="00FC6BEA">
        <w:t xml:space="preserve">years had the highest proportion who </w:t>
      </w:r>
      <w:r w:rsidR="00FC6BEA" w:rsidRPr="00FC6BEA">
        <w:t>showed a significant improvement</w:t>
      </w:r>
      <w:r w:rsidR="00F75BFB">
        <w:t xml:space="preserve"> compared to other age groups</w:t>
      </w:r>
      <w:r w:rsidR="00FC6BEA">
        <w:t xml:space="preserve"> (table </w:t>
      </w:r>
      <w:proofErr w:type="spellStart"/>
      <w:r w:rsidR="00FC6BEA">
        <w:t>12A.97</w:t>
      </w:r>
      <w:proofErr w:type="spellEnd"/>
      <w:r w:rsidR="00FC6BEA">
        <w:t>).</w:t>
      </w:r>
      <w:r w:rsidR="00463329">
        <w:t xml:space="preserve"> </w:t>
      </w:r>
    </w:p>
    <w:p w:rsidR="00524693" w:rsidRDefault="00524693" w:rsidP="0052469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24693" w:rsidTr="00524693">
        <w:tc>
          <w:tcPr>
            <w:tcW w:w="8771" w:type="dxa"/>
            <w:tcBorders>
              <w:top w:val="single" w:sz="6" w:space="0" w:color="78A22F"/>
              <w:left w:val="nil"/>
              <w:bottom w:val="nil"/>
              <w:right w:val="nil"/>
            </w:tcBorders>
            <w:shd w:val="clear" w:color="auto" w:fill="auto"/>
          </w:tcPr>
          <w:p w:rsidR="00524693" w:rsidRPr="00176D3F" w:rsidRDefault="00524693" w:rsidP="00D71789">
            <w:pPr>
              <w:pStyle w:val="FigureTitle"/>
              <w:rPr>
                <w:i/>
              </w:rPr>
            </w:pPr>
            <w:r w:rsidRPr="00784A05">
              <w:rPr>
                <w:b w:val="0"/>
              </w:rPr>
              <w:t xml:space="preserve">Figure </w:t>
            </w:r>
            <w:r>
              <w:rPr>
                <w:b w:val="0"/>
              </w:rPr>
              <w:t>12.</w:t>
            </w:r>
            <w:r w:rsidR="00833D26">
              <w:rPr>
                <w:b w:val="0"/>
                <w:noProof/>
              </w:rPr>
              <w:t>36</w:t>
            </w:r>
            <w:r>
              <w:tab/>
            </w:r>
            <w:r w:rsidRPr="00524693">
              <w:t xml:space="preserve">Mental health outcomes of consumers of State and Territory governments’ specialised mental health services, </w:t>
            </w:r>
            <w:r w:rsidR="00930671" w:rsidRPr="00524693">
              <w:t>2013</w:t>
            </w:r>
            <w:r w:rsidR="00930671">
              <w:noBreakHyphen/>
            </w:r>
            <w:r w:rsidRPr="00524693">
              <w:t>14</w:t>
            </w:r>
            <w:r w:rsidR="000C1D1B" w:rsidRPr="00B85ED1">
              <w:rPr>
                <w:rStyle w:val="NoteLabel"/>
                <w:b/>
              </w:rPr>
              <w:t>a</w:t>
            </w:r>
          </w:p>
        </w:tc>
      </w:tr>
      <w:tr w:rsidR="00524693" w:rsidTr="0052469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24693" w:rsidTr="00524693">
              <w:trPr>
                <w:jc w:val="center"/>
              </w:trPr>
              <w:tc>
                <w:tcPr>
                  <w:tcW w:w="5000" w:type="pct"/>
                  <w:tcBorders>
                    <w:top w:val="nil"/>
                    <w:bottom w:val="nil"/>
                  </w:tcBorders>
                </w:tcPr>
                <w:p w:rsidR="00524693" w:rsidRPr="00243E8F" w:rsidRDefault="00930671" w:rsidP="002B2D64">
                  <w:pPr>
                    <w:pStyle w:val="Figure"/>
                    <w:spacing w:before="0" w:after="0"/>
                    <w:rPr>
                      <w:rFonts w:asciiTheme="minorHAnsi" w:hAnsiTheme="minorHAnsi" w:cstheme="minorHAnsi"/>
                      <w:sz w:val="18"/>
                      <w:szCs w:val="18"/>
                    </w:rPr>
                  </w:pPr>
                  <w:r w:rsidRPr="00243E8F">
                    <w:rPr>
                      <w:rFonts w:asciiTheme="minorHAnsi" w:hAnsiTheme="minorHAnsi" w:cstheme="minorHAnsi"/>
                      <w:b/>
                      <w:sz w:val="18"/>
                      <w:szCs w:val="18"/>
                    </w:rPr>
                    <w:t>People in ongoing community</w:t>
                  </w:r>
                  <w:r w:rsidR="00463329">
                    <w:rPr>
                      <w:rFonts w:asciiTheme="minorHAnsi" w:hAnsiTheme="minorHAnsi" w:cstheme="minorHAnsi"/>
                      <w:b/>
                      <w:sz w:val="18"/>
                      <w:szCs w:val="18"/>
                    </w:rPr>
                    <w:noBreakHyphen/>
                  </w:r>
                  <w:r w:rsidRPr="00243E8F">
                    <w:rPr>
                      <w:rFonts w:asciiTheme="minorHAnsi" w:hAnsiTheme="minorHAnsi" w:cstheme="minorHAnsi"/>
                      <w:b/>
                      <w:sz w:val="18"/>
                      <w:szCs w:val="18"/>
                    </w:rPr>
                    <w:t>based ambulatory care</w:t>
                  </w:r>
                </w:p>
              </w:tc>
            </w:tr>
            <w:tr w:rsidR="00524693" w:rsidTr="00524693">
              <w:trPr>
                <w:jc w:val="center"/>
              </w:trPr>
              <w:tc>
                <w:tcPr>
                  <w:tcW w:w="5000" w:type="pct"/>
                  <w:tcBorders>
                    <w:top w:val="nil"/>
                    <w:bottom w:val="nil"/>
                  </w:tcBorders>
                </w:tcPr>
                <w:p w:rsidR="00524693" w:rsidRDefault="001B7B09" w:rsidP="00524693">
                  <w:pPr>
                    <w:pStyle w:val="Figure"/>
                    <w:spacing w:before="60" w:after="60"/>
                  </w:pPr>
                  <w:r>
                    <w:rPr>
                      <w:noProof/>
                    </w:rPr>
                    <w:drawing>
                      <wp:inline distT="0" distB="0" distL="0" distR="0">
                        <wp:extent cx="5314950" cy="1790700"/>
                        <wp:effectExtent l="0" t="0" r="0" b="0"/>
                        <wp:docPr id="40" name="Picture 40" descr="Figure 12.36 Mental health outcomes of consumers of State and Territory governments’ specialised mental health services, 2013-14&#10;&#10;People in ongoing community-based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14950" cy="1790700"/>
                                </a:xfrm>
                                <a:prstGeom prst="rect">
                                  <a:avLst/>
                                </a:prstGeom>
                                <a:noFill/>
                                <a:ln>
                                  <a:noFill/>
                                </a:ln>
                              </pic:spPr>
                            </pic:pic>
                          </a:graphicData>
                        </a:graphic>
                      </wp:inline>
                    </w:drawing>
                  </w:r>
                </w:p>
              </w:tc>
            </w:tr>
            <w:tr w:rsidR="00524693" w:rsidTr="00524693">
              <w:trPr>
                <w:jc w:val="center"/>
              </w:trPr>
              <w:tc>
                <w:tcPr>
                  <w:tcW w:w="5000" w:type="pct"/>
                  <w:tcBorders>
                    <w:top w:val="nil"/>
                    <w:bottom w:val="nil"/>
                  </w:tcBorders>
                </w:tcPr>
                <w:p w:rsidR="00524693" w:rsidRPr="00243E8F" w:rsidRDefault="00930671" w:rsidP="00243E8F">
                  <w:pPr>
                    <w:pStyle w:val="Figure"/>
                    <w:spacing w:before="0" w:after="0"/>
                    <w:rPr>
                      <w:rFonts w:asciiTheme="minorHAnsi" w:hAnsiTheme="minorHAnsi" w:cstheme="minorHAnsi"/>
                      <w:b/>
                      <w:sz w:val="18"/>
                      <w:szCs w:val="18"/>
                    </w:rPr>
                  </w:pPr>
                  <w:r w:rsidRPr="00243E8F">
                    <w:rPr>
                      <w:rFonts w:asciiTheme="minorHAnsi" w:hAnsiTheme="minorHAnsi" w:cstheme="minorHAnsi"/>
                      <w:b/>
                      <w:sz w:val="18"/>
                      <w:szCs w:val="18"/>
                    </w:rPr>
                    <w:t>People discharged from community</w:t>
                  </w:r>
                  <w:r w:rsidR="00463329">
                    <w:rPr>
                      <w:rFonts w:asciiTheme="minorHAnsi" w:hAnsiTheme="minorHAnsi" w:cstheme="minorHAnsi"/>
                      <w:b/>
                      <w:sz w:val="18"/>
                      <w:szCs w:val="18"/>
                    </w:rPr>
                    <w:noBreakHyphen/>
                  </w:r>
                  <w:r w:rsidRPr="00243E8F">
                    <w:rPr>
                      <w:rFonts w:asciiTheme="minorHAnsi" w:hAnsiTheme="minorHAnsi" w:cstheme="minorHAnsi"/>
                      <w:b/>
                      <w:sz w:val="18"/>
                      <w:szCs w:val="18"/>
                    </w:rPr>
                    <w:t>based ambulatory care</w:t>
                  </w:r>
                  <w:r w:rsidR="00B85ED1" w:rsidRPr="00243E8F">
                    <w:rPr>
                      <w:rStyle w:val="NoteLabel"/>
                      <w:szCs w:val="24"/>
                    </w:rPr>
                    <w:t>b</w:t>
                  </w:r>
                </w:p>
              </w:tc>
            </w:tr>
            <w:tr w:rsidR="00524693" w:rsidTr="00524693">
              <w:trPr>
                <w:jc w:val="center"/>
              </w:trPr>
              <w:tc>
                <w:tcPr>
                  <w:tcW w:w="5000" w:type="pct"/>
                  <w:tcBorders>
                    <w:top w:val="nil"/>
                    <w:bottom w:val="nil"/>
                  </w:tcBorders>
                </w:tcPr>
                <w:p w:rsidR="00524693" w:rsidRDefault="001B7B09" w:rsidP="00524693">
                  <w:pPr>
                    <w:pStyle w:val="Figure"/>
                    <w:spacing w:before="60" w:after="60"/>
                  </w:pPr>
                  <w:r>
                    <w:rPr>
                      <w:noProof/>
                    </w:rPr>
                    <w:drawing>
                      <wp:inline distT="0" distB="0" distL="0" distR="0">
                        <wp:extent cx="5314950" cy="1790700"/>
                        <wp:effectExtent l="0" t="0" r="0" b="0"/>
                        <wp:docPr id="41" name="Picture 41" descr="Figure 12.36 Mental health outcomes of consumers of State and Territory governments’ specialised mental health services, 2013-14&#10;&#10;People discharged from community-based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14950" cy="1790700"/>
                                </a:xfrm>
                                <a:prstGeom prst="rect">
                                  <a:avLst/>
                                </a:prstGeom>
                                <a:noFill/>
                                <a:ln>
                                  <a:noFill/>
                                </a:ln>
                              </pic:spPr>
                            </pic:pic>
                          </a:graphicData>
                        </a:graphic>
                      </wp:inline>
                    </w:drawing>
                  </w:r>
                </w:p>
              </w:tc>
            </w:tr>
            <w:tr w:rsidR="00930671" w:rsidTr="00524693">
              <w:trPr>
                <w:jc w:val="center"/>
              </w:trPr>
              <w:tc>
                <w:tcPr>
                  <w:tcW w:w="5000" w:type="pct"/>
                  <w:tcBorders>
                    <w:top w:val="nil"/>
                    <w:bottom w:val="nil"/>
                  </w:tcBorders>
                </w:tcPr>
                <w:p w:rsidR="00930671" w:rsidRPr="00243E8F" w:rsidRDefault="00930671" w:rsidP="00243E8F">
                  <w:pPr>
                    <w:pStyle w:val="Figure"/>
                    <w:spacing w:before="0" w:after="0"/>
                    <w:rPr>
                      <w:rFonts w:asciiTheme="minorHAnsi" w:hAnsiTheme="minorHAnsi" w:cstheme="minorHAnsi"/>
                      <w:b/>
                      <w:sz w:val="18"/>
                      <w:szCs w:val="18"/>
                    </w:rPr>
                  </w:pPr>
                  <w:r w:rsidRPr="00243E8F">
                    <w:rPr>
                      <w:rFonts w:asciiTheme="minorHAnsi" w:hAnsiTheme="minorHAnsi" w:cstheme="minorHAnsi"/>
                      <w:b/>
                      <w:sz w:val="18"/>
                      <w:szCs w:val="18"/>
                    </w:rPr>
                    <w:t>People discharged from hospital</w:t>
                  </w:r>
                </w:p>
              </w:tc>
            </w:tr>
            <w:tr w:rsidR="00930671" w:rsidTr="00524693">
              <w:trPr>
                <w:jc w:val="center"/>
              </w:trPr>
              <w:tc>
                <w:tcPr>
                  <w:tcW w:w="5000" w:type="pct"/>
                  <w:tcBorders>
                    <w:top w:val="nil"/>
                    <w:bottom w:val="nil"/>
                  </w:tcBorders>
                </w:tcPr>
                <w:p w:rsidR="00930671" w:rsidRDefault="001B7B09" w:rsidP="00524693">
                  <w:pPr>
                    <w:pStyle w:val="Figure"/>
                    <w:spacing w:before="60" w:after="60"/>
                  </w:pPr>
                  <w:r>
                    <w:rPr>
                      <w:noProof/>
                    </w:rPr>
                    <w:drawing>
                      <wp:inline distT="0" distB="0" distL="0" distR="0">
                        <wp:extent cx="5314950" cy="1828800"/>
                        <wp:effectExtent l="0" t="0" r="0" b="0"/>
                        <wp:docPr id="42" name="Picture 42" descr="Figure 12.36 Mental health outcomes of consumers of State and Territory governments’ specialised mental health services, 2013-14&#10;&#10;People discharged from hos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14950" cy="1828800"/>
                                </a:xfrm>
                                <a:prstGeom prst="rect">
                                  <a:avLst/>
                                </a:prstGeom>
                                <a:noFill/>
                                <a:ln>
                                  <a:noFill/>
                                </a:ln>
                              </pic:spPr>
                            </pic:pic>
                          </a:graphicData>
                        </a:graphic>
                      </wp:inline>
                    </w:drawing>
                  </w:r>
                </w:p>
              </w:tc>
            </w:tr>
          </w:tbl>
          <w:p w:rsidR="00524693" w:rsidRDefault="00524693" w:rsidP="00524693">
            <w:pPr>
              <w:pStyle w:val="Figure"/>
            </w:pPr>
          </w:p>
        </w:tc>
      </w:tr>
      <w:tr w:rsidR="00524693" w:rsidRPr="00176D3F" w:rsidTr="00524693">
        <w:tc>
          <w:tcPr>
            <w:tcW w:w="8771" w:type="dxa"/>
            <w:tcBorders>
              <w:top w:val="nil"/>
              <w:left w:val="nil"/>
              <w:bottom w:val="nil"/>
              <w:right w:val="nil"/>
            </w:tcBorders>
            <w:shd w:val="clear" w:color="auto" w:fill="auto"/>
          </w:tcPr>
          <w:p w:rsidR="00524693" w:rsidRPr="00176D3F" w:rsidRDefault="00524693" w:rsidP="000C1D1B">
            <w:pPr>
              <w:pStyle w:val="Note"/>
              <w:rPr>
                <w:i/>
              </w:rPr>
            </w:pPr>
            <w:r>
              <w:rPr>
                <w:rStyle w:val="NoteLabel"/>
              </w:rPr>
              <w:t>a</w:t>
            </w:r>
            <w:r w:rsidR="00930671" w:rsidRPr="00581A4D">
              <w:t xml:space="preserve"> </w:t>
            </w:r>
            <w:r w:rsidR="000C1D1B" w:rsidRPr="005110B7">
              <w:t>See box</w:t>
            </w:r>
            <w:r w:rsidR="00463329">
              <w:t> </w:t>
            </w:r>
            <w:r w:rsidR="000C1D1B" w:rsidRPr="005110B7">
              <w:t>12.24 and table </w:t>
            </w:r>
            <w:proofErr w:type="spellStart"/>
            <w:r w:rsidR="000C1D1B" w:rsidRPr="005110B7">
              <w:t>12A.96</w:t>
            </w:r>
            <w:proofErr w:type="spellEnd"/>
            <w:r w:rsidR="000C1D1B" w:rsidRPr="005110B7">
              <w:t xml:space="preserve"> </w:t>
            </w:r>
            <w:r w:rsidR="00C9207F" w:rsidRPr="00C9207F">
              <w:t>for detailed definitions, footnotes and caveats</w:t>
            </w:r>
            <w:r w:rsidR="000C1D1B" w:rsidRPr="005110B7">
              <w:t>.</w:t>
            </w:r>
            <w:r w:rsidR="000C1D1B">
              <w:t xml:space="preserve"> </w:t>
            </w:r>
            <w:r w:rsidR="000C1D1B" w:rsidRPr="005110B7">
              <w:rPr>
                <w:rStyle w:val="NoteLabel"/>
              </w:rPr>
              <w:t>b</w:t>
            </w:r>
            <w:r w:rsidR="000C1D1B" w:rsidRPr="00581A4D">
              <w:t xml:space="preserve"> </w:t>
            </w:r>
            <w:r w:rsidR="00930671" w:rsidRPr="00581A4D">
              <w:t>The ACT and NT data are not published due to insufficient observations.</w:t>
            </w:r>
            <w:r w:rsidR="00930671" w:rsidRPr="009E390B">
              <w:t xml:space="preserve"> </w:t>
            </w:r>
          </w:p>
        </w:tc>
      </w:tr>
      <w:tr w:rsidR="00524693" w:rsidRPr="00176D3F" w:rsidTr="00524693">
        <w:tc>
          <w:tcPr>
            <w:tcW w:w="8771" w:type="dxa"/>
            <w:tcBorders>
              <w:top w:val="nil"/>
              <w:left w:val="nil"/>
              <w:bottom w:val="nil"/>
              <w:right w:val="nil"/>
            </w:tcBorders>
            <w:shd w:val="clear" w:color="auto" w:fill="auto"/>
          </w:tcPr>
          <w:p w:rsidR="00524693" w:rsidRPr="00176D3F" w:rsidRDefault="00930671" w:rsidP="00D71789">
            <w:pPr>
              <w:pStyle w:val="Source"/>
              <w:rPr>
                <w:i/>
              </w:rPr>
            </w:pPr>
            <w:r w:rsidRPr="00996CCB">
              <w:rPr>
                <w:i/>
              </w:rPr>
              <w:t>Source</w:t>
            </w:r>
            <w:r w:rsidRPr="00F40E83">
              <w:t>:</w:t>
            </w:r>
            <w:r w:rsidRPr="00996CCB">
              <w:rPr>
                <w:i/>
              </w:rPr>
              <w:t xml:space="preserve"> </w:t>
            </w:r>
            <w:r w:rsidR="00C730E9">
              <w:t xml:space="preserve">AIHW (unpublished) from data provided by the </w:t>
            </w:r>
            <w:r w:rsidR="00C730E9" w:rsidRPr="00DE57F7">
              <w:t>Australian Mental Health Outcomes and Classification Network</w:t>
            </w:r>
            <w:r w:rsidRPr="00996CCB">
              <w:t>; table</w:t>
            </w:r>
            <w:r>
              <w:t> </w:t>
            </w:r>
            <w:proofErr w:type="spellStart"/>
            <w:r w:rsidRPr="00996CCB">
              <w:t>12A.</w:t>
            </w:r>
            <w:r>
              <w:t>96</w:t>
            </w:r>
            <w:proofErr w:type="spellEnd"/>
            <w:r w:rsidRPr="00996CCB">
              <w:t>.</w:t>
            </w:r>
          </w:p>
        </w:tc>
      </w:tr>
      <w:tr w:rsidR="00524693" w:rsidTr="00524693">
        <w:tc>
          <w:tcPr>
            <w:tcW w:w="8771" w:type="dxa"/>
            <w:tcBorders>
              <w:top w:val="nil"/>
              <w:left w:val="nil"/>
              <w:bottom w:val="single" w:sz="6" w:space="0" w:color="78A22F"/>
              <w:right w:val="nil"/>
            </w:tcBorders>
            <w:shd w:val="clear" w:color="auto" w:fill="auto"/>
          </w:tcPr>
          <w:p w:rsidR="00524693" w:rsidRDefault="00524693" w:rsidP="00524693">
            <w:pPr>
              <w:pStyle w:val="Figurespace"/>
            </w:pPr>
          </w:p>
        </w:tc>
      </w:tr>
      <w:tr w:rsidR="00524693" w:rsidRPr="000863A5" w:rsidTr="00524693">
        <w:tc>
          <w:tcPr>
            <w:tcW w:w="8771" w:type="dxa"/>
            <w:tcBorders>
              <w:top w:val="single" w:sz="6" w:space="0" w:color="78A22F"/>
              <w:left w:val="nil"/>
              <w:bottom w:val="nil"/>
              <w:right w:val="nil"/>
            </w:tcBorders>
          </w:tcPr>
          <w:p w:rsidR="00524693" w:rsidRPr="00626D32" w:rsidRDefault="00524693" w:rsidP="00524693">
            <w:pPr>
              <w:pStyle w:val="BoxSpaceBelow"/>
            </w:pPr>
          </w:p>
        </w:tc>
      </w:tr>
    </w:tbl>
    <w:p w:rsidR="000806A8" w:rsidRDefault="006C520D" w:rsidP="00740F59">
      <w:pPr>
        <w:pStyle w:val="Heading2"/>
      </w:pPr>
      <w:bookmarkStart w:id="23" w:name="_Toc432092257"/>
      <w:r>
        <w:lastRenderedPageBreak/>
        <w:t>12.</w:t>
      </w:r>
      <w:r w:rsidR="00833D26">
        <w:rPr>
          <w:noProof/>
        </w:rPr>
        <w:t>4</w:t>
      </w:r>
      <w:r w:rsidR="00740F59">
        <w:tab/>
      </w:r>
      <w:r w:rsidR="00740F59" w:rsidRPr="00740F59">
        <w:t>Future directions in performance reporting</w:t>
      </w:r>
      <w:bookmarkEnd w:id="23"/>
    </w:p>
    <w:p w:rsidR="00740F59" w:rsidRDefault="00740F59" w:rsidP="00752AFE">
      <w:pPr>
        <w:pStyle w:val="BodyText"/>
      </w:pPr>
      <w:r>
        <w:t>Priorities for future reporting on mental health management include the following:</w:t>
      </w:r>
    </w:p>
    <w:p w:rsidR="00740F59" w:rsidRDefault="00740F59" w:rsidP="00740F59">
      <w:pPr>
        <w:pStyle w:val="ListBullet"/>
      </w:pPr>
      <w:r>
        <w:t xml:space="preserve">developing an estimate of the number of people who need mental health services so that access to services can be measured in terms of need </w:t>
      </w:r>
    </w:p>
    <w:p w:rsidR="00740F59" w:rsidRDefault="00740F59" w:rsidP="00740F59">
      <w:pPr>
        <w:pStyle w:val="ListBullet"/>
      </w:pPr>
      <w:r>
        <w:t>improving reporting on government funded non</w:t>
      </w:r>
      <w:r>
        <w:noBreakHyphen/>
        <w:t>government entities to include information on their activity and the outcomes of the consumers of these services</w:t>
      </w:r>
    </w:p>
    <w:p w:rsidR="00740F59" w:rsidRDefault="00740F59" w:rsidP="00740F59">
      <w:pPr>
        <w:pStyle w:val="ListBullet"/>
      </w:pPr>
      <w:r>
        <w:t>identifying indicators that relate to the performance framework dimension of sustainability</w:t>
      </w:r>
    </w:p>
    <w:p w:rsidR="00740F59" w:rsidRDefault="00740F59" w:rsidP="00740F59">
      <w:pPr>
        <w:pStyle w:val="ListBullet"/>
      </w:pPr>
      <w:r>
        <w:t>further developing the measurement and reporting on the clinical mental health outcomes of consumers of specialised public mental health services.</w:t>
      </w:r>
    </w:p>
    <w:p w:rsidR="00740F59" w:rsidRDefault="006C520D" w:rsidP="00740F59">
      <w:pPr>
        <w:pStyle w:val="Heading2"/>
      </w:pPr>
      <w:bookmarkStart w:id="24" w:name="_Toc432092258"/>
      <w:r>
        <w:t>12.</w:t>
      </w:r>
      <w:r w:rsidR="00833D26">
        <w:rPr>
          <w:noProof/>
        </w:rPr>
        <w:t>5</w:t>
      </w:r>
      <w:r w:rsidR="00740F59">
        <w:tab/>
      </w:r>
      <w:r w:rsidR="00740F59" w:rsidRPr="00740F59">
        <w:t>Definitions of key terms</w:t>
      </w:r>
      <w:bookmarkEnd w:id="24"/>
    </w:p>
    <w:p w:rsidR="00740F59" w:rsidRPr="009612B9" w:rsidRDefault="00740F59" w:rsidP="00974092">
      <w:pPr>
        <w:pStyle w:val="BoxSpaceAbove"/>
      </w:pPr>
    </w:p>
    <w:tbl>
      <w:tblPr>
        <w:tblW w:w="0" w:type="auto"/>
        <w:tblLayout w:type="fixed"/>
        <w:tblCellMar>
          <w:left w:w="0" w:type="dxa"/>
          <w:right w:w="0" w:type="dxa"/>
        </w:tblCellMar>
        <w:tblLook w:val="0000" w:firstRow="0" w:lastRow="0" w:firstColumn="0" w:lastColumn="0" w:noHBand="0" w:noVBand="0"/>
      </w:tblPr>
      <w:tblGrid>
        <w:gridCol w:w="2410"/>
        <w:gridCol w:w="6379"/>
      </w:tblGrid>
      <w:tr w:rsidR="00740F59" w:rsidRPr="009533AE" w:rsidTr="00C55E5E">
        <w:tc>
          <w:tcPr>
            <w:tcW w:w="2410" w:type="dxa"/>
          </w:tcPr>
          <w:p w:rsidR="00740F59" w:rsidRPr="00FD139D" w:rsidRDefault="00740F59" w:rsidP="00C55E5E">
            <w:pPr>
              <w:pStyle w:val="Heading3"/>
              <w:keepNext w:val="0"/>
              <w:widowControl w:val="0"/>
              <w:spacing w:before="360"/>
              <w:rPr>
                <w:b w:val="0"/>
              </w:rPr>
            </w:pPr>
            <w:r w:rsidRPr="00FD139D">
              <w:rPr>
                <w:sz w:val="24"/>
                <w:szCs w:val="24"/>
              </w:rPr>
              <w:t>General terms</w:t>
            </w:r>
          </w:p>
        </w:tc>
        <w:tc>
          <w:tcPr>
            <w:tcW w:w="6379" w:type="dxa"/>
          </w:tcPr>
          <w:p w:rsidR="00740F59" w:rsidRPr="009533AE" w:rsidRDefault="00740F59" w:rsidP="00C55E5E">
            <w:pPr>
              <w:pStyle w:val="TableBodyText"/>
              <w:keepNext w:val="0"/>
              <w:keepLines w:val="0"/>
              <w:widowControl w:val="0"/>
              <w:jc w:val="left"/>
            </w:pP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General practice</w:t>
            </w:r>
          </w:p>
        </w:tc>
        <w:tc>
          <w:tcPr>
            <w:tcW w:w="6379" w:type="dxa"/>
          </w:tcPr>
          <w:p w:rsidR="00740F59" w:rsidRPr="009533AE" w:rsidRDefault="00740F59" w:rsidP="00C55E5E">
            <w:pPr>
              <w:pStyle w:val="TableBodyText"/>
              <w:keepNext w:val="0"/>
              <w:keepLines w:val="0"/>
              <w:widowControl w:val="0"/>
              <w:jc w:val="left"/>
            </w:pPr>
            <w:r w:rsidRPr="009533AE">
              <w:t xml:space="preserve">The organisational structure in which one or more GPs provide and supervise health care for a ‘population’ of patients. This definition includes medical practitioners who work solely with one specific population, such as women’s health or </w:t>
            </w:r>
            <w:r w:rsidR="00303B02">
              <w:t>Aboriginal and Torres Strait Islander</w:t>
            </w:r>
            <w:r w:rsidRPr="009533AE">
              <w:t xml:space="preserve"> health.</w:t>
            </w: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Health management</w:t>
            </w:r>
          </w:p>
        </w:tc>
        <w:tc>
          <w:tcPr>
            <w:tcW w:w="6379" w:type="dxa"/>
          </w:tcPr>
          <w:p w:rsidR="00740F59" w:rsidRPr="009533AE" w:rsidRDefault="00740F59" w:rsidP="00C55E5E">
            <w:pPr>
              <w:pStyle w:val="TableBodyText"/>
              <w:keepNext w:val="0"/>
              <w:keepLines w:val="0"/>
              <w:widowControl w:val="0"/>
              <w:jc w:val="left"/>
            </w:pPr>
            <w:r w:rsidRPr="009533AE">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740F59" w:rsidRPr="009533AE" w:rsidTr="00C55E5E">
        <w:tc>
          <w:tcPr>
            <w:tcW w:w="2410" w:type="dxa"/>
          </w:tcPr>
          <w:p w:rsidR="00740F59" w:rsidRPr="009533AE" w:rsidRDefault="00740F59" w:rsidP="00C55E5E">
            <w:pPr>
              <w:pStyle w:val="TableBodyText"/>
              <w:keepNext w:val="0"/>
              <w:keepLines w:val="0"/>
              <w:widowControl w:val="0"/>
              <w:jc w:val="left"/>
            </w:pPr>
            <w:r w:rsidRPr="009533AE">
              <w:rPr>
                <w:b/>
              </w:rPr>
              <w:t>Separation</w:t>
            </w:r>
          </w:p>
        </w:tc>
        <w:tc>
          <w:tcPr>
            <w:tcW w:w="6379" w:type="dxa"/>
          </w:tcPr>
          <w:p w:rsidR="00740F59" w:rsidRPr="009533AE" w:rsidRDefault="00740F59" w:rsidP="00C55E5E">
            <w:pPr>
              <w:pStyle w:val="TableBodyText"/>
              <w:keepNext w:val="0"/>
              <w:keepLines w:val="0"/>
              <w:widowControl w:val="0"/>
              <w:jc w:val="left"/>
            </w:pPr>
            <w:r w:rsidRPr="009533AE">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740F59" w:rsidRPr="0051659D" w:rsidTr="00C55E5E">
        <w:tc>
          <w:tcPr>
            <w:tcW w:w="2410" w:type="dxa"/>
          </w:tcPr>
          <w:p w:rsidR="00740F59" w:rsidRPr="00FD139D" w:rsidRDefault="00740F59" w:rsidP="00C55E5E">
            <w:pPr>
              <w:pStyle w:val="Heading3"/>
              <w:keepNext w:val="0"/>
              <w:widowControl w:val="0"/>
              <w:spacing w:before="360"/>
              <w:rPr>
                <w:sz w:val="24"/>
                <w:szCs w:val="24"/>
              </w:rPr>
            </w:pPr>
            <w:r w:rsidRPr="00FD139D">
              <w:rPr>
                <w:sz w:val="24"/>
                <w:szCs w:val="24"/>
              </w:rPr>
              <w:t>Mental health</w:t>
            </w:r>
          </w:p>
        </w:tc>
        <w:tc>
          <w:tcPr>
            <w:tcW w:w="6379" w:type="dxa"/>
          </w:tcPr>
          <w:p w:rsidR="00740F59" w:rsidRPr="0051659D" w:rsidRDefault="00740F59" w:rsidP="00C55E5E">
            <w:pPr>
              <w:pStyle w:val="TableBodyText"/>
              <w:keepNext w:val="0"/>
              <w:keepLines w:val="0"/>
              <w:widowControl w:val="0"/>
            </w:pP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Acute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Services that primarily provide specialised psychiatric care for people with acute episodes of mental illness. These episodes are characterised by recent onset of severe clinical symptoms of mental illness that have potential for prolonged dysfunction or risk to self and/or others. The key characteristic of acute services is that the treatment effort focuses on symptom reduction with a reasonable expectation of substantial improvement. In general, acute psychiatric services provide relatively short term treatment. Acute services can:</w:t>
            </w:r>
          </w:p>
          <w:p w:rsidR="00740F59" w:rsidRPr="0051659D" w:rsidRDefault="00740F59" w:rsidP="00C55E5E">
            <w:pPr>
              <w:pStyle w:val="TableBullet"/>
              <w:keepNext w:val="0"/>
              <w:keepLines w:val="0"/>
              <w:widowControl w:val="0"/>
            </w:pPr>
            <w:r w:rsidRPr="0051659D">
              <w:t>focus on assisting people who have had no prior contact or previous psychiatric history, or individuals with a continuing psychiatric illness for whom there has been an acute exacerbation of symptoms</w:t>
            </w:r>
          </w:p>
          <w:p w:rsidR="00740F59" w:rsidRPr="0051659D" w:rsidRDefault="00740F59" w:rsidP="00C55E5E">
            <w:pPr>
              <w:pStyle w:val="TableBullet"/>
              <w:keepNext w:val="0"/>
              <w:keepLines w:val="0"/>
              <w:widowControl w:val="0"/>
            </w:pPr>
            <w:r w:rsidRPr="0051659D">
              <w:t xml:space="preserve">target the general population or be specialised in nature, targeting specific clinical populations. The latter group include psychogeriatric, child and adolescent, </w:t>
            </w:r>
            <w:r>
              <w:t xml:space="preserve">youth </w:t>
            </w:r>
            <w:r w:rsidRPr="0051659D">
              <w:t xml:space="preserve">and forensic mental health services. </w:t>
            </w:r>
          </w:p>
        </w:tc>
      </w:tr>
      <w:tr w:rsidR="00740F59" w:rsidRPr="0051659D" w:rsidTr="00C55E5E">
        <w:tc>
          <w:tcPr>
            <w:tcW w:w="2410" w:type="dxa"/>
            <w:shd w:val="clear" w:color="auto" w:fill="FFFFFF" w:themeFill="background1"/>
          </w:tcPr>
          <w:p w:rsidR="00740F59" w:rsidRPr="0051659D" w:rsidRDefault="00740F59" w:rsidP="00C55E5E">
            <w:pPr>
              <w:pStyle w:val="TableBodyText"/>
              <w:keepNext w:val="0"/>
              <w:keepLines w:val="0"/>
              <w:widowControl w:val="0"/>
              <w:jc w:val="left"/>
              <w:rPr>
                <w:b/>
              </w:rPr>
            </w:pPr>
            <w:r w:rsidRPr="00AF0C1B">
              <w:rPr>
                <w:b/>
              </w:rPr>
              <w:t>Accrued mental health patient days</w:t>
            </w:r>
          </w:p>
        </w:tc>
        <w:tc>
          <w:tcPr>
            <w:tcW w:w="6379" w:type="dxa"/>
            <w:shd w:val="clear" w:color="auto" w:fill="FFFFFF" w:themeFill="background1"/>
          </w:tcPr>
          <w:p w:rsidR="00740F59" w:rsidRDefault="00740F59" w:rsidP="00C55E5E">
            <w:pPr>
              <w:pStyle w:val="TableBodyText"/>
              <w:keepNext w:val="0"/>
              <w:keepLines w:val="0"/>
              <w:widowControl w:val="0"/>
              <w:jc w:val="left"/>
            </w:pPr>
            <w:r>
              <w:t xml:space="preserve">Mental health care days are days of admitted patient care provided to admitted patients in psychiatric hospitals, designated psychiatric units and days of residential care provided to residents in residential mental health services. Accrued mental health care days can also be referred to as occupied bed days in specialised mental health services. </w:t>
            </w:r>
            <w:r w:rsidRPr="003302DA">
              <w:t xml:space="preserve">The days to be counted are only those days occurring within the reference period, </w:t>
            </w:r>
            <w:r>
              <w:t>that is</w:t>
            </w:r>
            <w:r w:rsidRPr="003302DA">
              <w:t xml:space="preserve"> from 1 July to the </w:t>
            </w:r>
            <w:r w:rsidRPr="003302DA">
              <w:lastRenderedPageBreak/>
              <w:t>following 30 June for the relevant period, even if the patient/resident was admitted prior to the reference period or discharged after the reference period.</w:t>
            </w:r>
          </w:p>
          <w:p w:rsidR="00740F59" w:rsidRDefault="00740F59" w:rsidP="00C55E5E">
            <w:pPr>
              <w:pStyle w:val="TableBodyText"/>
              <w:keepNext w:val="0"/>
              <w:keepLines w:val="0"/>
              <w:widowControl w:val="0"/>
              <w:jc w:val="left"/>
            </w:pPr>
            <w:r>
              <w:t>The key basic rules to calculate the number of accrued mental health care days are as follows:</w:t>
            </w:r>
          </w:p>
          <w:p w:rsidR="00740F59" w:rsidRPr="0051659D" w:rsidRDefault="00740F59" w:rsidP="00C55E5E">
            <w:pPr>
              <w:pStyle w:val="TableBullet"/>
              <w:keepNext w:val="0"/>
              <w:keepLines w:val="0"/>
              <w:widowControl w:val="0"/>
            </w:pPr>
            <w:r>
              <w:t>For a patient admitted and discharged on different days, all days are counted as mental health care days except the day of discharge and any leave days.</w:t>
            </w:r>
          </w:p>
          <w:p w:rsidR="00740F59" w:rsidRPr="0051659D" w:rsidRDefault="00740F59" w:rsidP="00C55E5E">
            <w:pPr>
              <w:pStyle w:val="TableBullet"/>
              <w:keepNext w:val="0"/>
              <w:keepLines w:val="0"/>
              <w:widowControl w:val="0"/>
            </w:pPr>
            <w:r w:rsidRPr="0051659D">
              <w:t>Admission and discharge on the same day are equal to one patient day.</w:t>
            </w:r>
          </w:p>
          <w:p w:rsidR="00740F59" w:rsidRPr="0051659D" w:rsidRDefault="00740F59" w:rsidP="00C55E5E">
            <w:pPr>
              <w:pStyle w:val="TableBullet"/>
              <w:keepNext w:val="0"/>
              <w:keepLines w:val="0"/>
              <w:widowControl w:val="0"/>
            </w:pPr>
            <w:r>
              <w:t>Leave days involving an overnight absence are not counted</w:t>
            </w:r>
            <w:r w:rsidRPr="0051659D">
              <w:t>.</w:t>
            </w:r>
          </w:p>
          <w:p w:rsidR="00740F59" w:rsidRPr="0051659D" w:rsidRDefault="00740F59" w:rsidP="00C55E5E">
            <w:pPr>
              <w:pStyle w:val="TableBullet"/>
              <w:keepNext w:val="0"/>
              <w:keepLines w:val="0"/>
              <w:widowControl w:val="0"/>
            </w:pPr>
            <w:r w:rsidRPr="0051659D">
              <w:t>A patient day is recorded on the day of return from leave.</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lastRenderedPageBreak/>
              <w:t>Affective disorders</w:t>
            </w:r>
          </w:p>
        </w:tc>
        <w:tc>
          <w:tcPr>
            <w:tcW w:w="6379" w:type="dxa"/>
          </w:tcPr>
          <w:p w:rsidR="00740F59" w:rsidRPr="0051659D" w:rsidRDefault="00740F59" w:rsidP="00C55E5E">
            <w:pPr>
              <w:pStyle w:val="TableBodyText"/>
              <w:keepNext w:val="0"/>
              <w:keepLines w:val="0"/>
              <w:widowControl w:val="0"/>
              <w:jc w:val="left"/>
            </w:pPr>
            <w:r w:rsidRPr="0051659D">
              <w:t>A mood disturbance, including mania, hypomania, bipolar affective disorder, depression and dysthymia.</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Ambulatory care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Mental health services dedicated to the assessment, treatment, rehabilitation or care of non</w:t>
            </w:r>
            <w:r>
              <w:noBreakHyphen/>
            </w:r>
            <w:r w:rsidRPr="0051659D">
              <w:t>admitted inpatients, including but not confined to crisis assessment and treatment services, mobile assessment and treatment services, outpatient clinic services (whether provided from a hospital or community mental health centre), child and adolescent outpatient treatment teams, social and living skills programs (including day programs, day hospitals and living skills centres), and psychogeriatric assessment teams and day programs.</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Anxiety disorders</w:t>
            </w:r>
          </w:p>
        </w:tc>
        <w:tc>
          <w:tcPr>
            <w:tcW w:w="6379" w:type="dxa"/>
          </w:tcPr>
          <w:p w:rsidR="00740F59" w:rsidRPr="0051659D" w:rsidRDefault="00740F59" w:rsidP="00354A01">
            <w:pPr>
              <w:pStyle w:val="TableBodyText"/>
              <w:keepNext w:val="0"/>
              <w:keepLines w:val="0"/>
              <w:widowControl w:val="0"/>
              <w:jc w:val="left"/>
            </w:pPr>
            <w:r w:rsidRPr="0051659D">
              <w:t>Feelings of tension, distress or nervousness. Includes agoraphobia, social phobia, panic disorder, generalised anxiety disorder, obsessive–compulsive disorder and post</w:t>
            </w:r>
            <w:r>
              <w:noBreakHyphen/>
            </w:r>
            <w:r w:rsidRPr="0051659D">
              <w:t>traumatic stress disorder.</w:t>
            </w:r>
          </w:p>
        </w:tc>
      </w:tr>
      <w:tr w:rsidR="00740F59" w:rsidRPr="0051659D" w:rsidTr="00C55E5E">
        <w:tc>
          <w:tcPr>
            <w:tcW w:w="2410" w:type="dxa"/>
            <w:shd w:val="clear" w:color="auto" w:fill="FFFFFF" w:themeFill="background1"/>
          </w:tcPr>
          <w:p w:rsidR="00740F59" w:rsidRPr="0051659D" w:rsidRDefault="00740F59" w:rsidP="00C55E5E">
            <w:pPr>
              <w:pStyle w:val="TableBodyText"/>
              <w:keepNext w:val="0"/>
              <w:keepLines w:val="0"/>
              <w:widowControl w:val="0"/>
              <w:jc w:val="left"/>
              <w:rPr>
                <w:b/>
              </w:rPr>
            </w:pPr>
            <w:r>
              <w:rPr>
                <w:b/>
              </w:rPr>
              <w:t>Average a</w:t>
            </w:r>
            <w:r w:rsidRPr="0051659D">
              <w:rPr>
                <w:b/>
              </w:rPr>
              <w:t>vailable beds</w:t>
            </w:r>
          </w:p>
        </w:tc>
        <w:tc>
          <w:tcPr>
            <w:tcW w:w="6379" w:type="dxa"/>
            <w:shd w:val="clear" w:color="auto" w:fill="FFFFFF" w:themeFill="background1"/>
          </w:tcPr>
          <w:p w:rsidR="00740F59" w:rsidRPr="0051659D" w:rsidRDefault="00740F59" w:rsidP="00C55E5E">
            <w:pPr>
              <w:pStyle w:val="TableBodyText"/>
              <w:keepNext w:val="0"/>
              <w:keepLines w:val="0"/>
              <w:widowControl w:val="0"/>
              <w:jc w:val="left"/>
            </w:pPr>
            <w:r>
              <w:rPr>
                <w:rFonts w:cs="Arial"/>
              </w:rPr>
              <w:t>The number of beds available to provide overnight accommodation for patients admitted to hospital (other than neonatal cots [non</w:t>
            </w:r>
            <w:r>
              <w:rPr>
                <w:rFonts w:cs="Arial"/>
              </w:rPr>
              <w:noBreakHyphen/>
              <w:t>special</w:t>
            </w:r>
            <w:r>
              <w:rPr>
                <w:rFonts w:cs="Arial"/>
              </w:rPr>
              <w:noBreakHyphen/>
              <w:t>care] and beds occupied by hospital</w:t>
            </w:r>
            <w:r>
              <w:rPr>
                <w:rFonts w:cs="Arial"/>
              </w:rPr>
              <w:noBreakHyphen/>
              <w:t>in</w:t>
            </w:r>
            <w:r>
              <w:rPr>
                <w:rFonts w:cs="Arial"/>
              </w:rPr>
              <w:noBreakHyphen/>
              <w:t>the</w:t>
            </w:r>
            <w:r>
              <w:rPr>
                <w:rFonts w:cs="Arial"/>
              </w:rPr>
              <w:noBreakHyphen/>
              <w:t>home patients) or to specialised residential mental health care, averaged over the counting period. Beds are available only if they are suitably located and equipped to provide care and the necessary financial and human resources can be provided.</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Child and adolescent mental health services</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 xml:space="preserve">Services principally targeted at children and young people up to the age of 18 years. Classification of services in this category requires recognition by the regional or central funding authority of the special focus of the inpatient service on children or adolescents. These services can include a forensic component. </w:t>
            </w:r>
          </w:p>
        </w:tc>
      </w:tr>
      <w:tr w:rsidR="00740F59" w:rsidRPr="0051659D" w:rsidTr="00C55E5E">
        <w:tc>
          <w:tcPr>
            <w:tcW w:w="2410" w:type="dxa"/>
          </w:tcPr>
          <w:p w:rsidR="00740F59" w:rsidRPr="0051659D" w:rsidRDefault="00740F59" w:rsidP="00C55E5E">
            <w:pPr>
              <w:pStyle w:val="TableBodyText"/>
              <w:keepNext w:val="0"/>
              <w:keepLines w:val="0"/>
              <w:widowControl w:val="0"/>
              <w:jc w:val="left"/>
              <w:rPr>
                <w:b/>
              </w:rPr>
            </w:pPr>
            <w:r w:rsidRPr="0051659D">
              <w:rPr>
                <w:b/>
              </w:rPr>
              <w:t>Community</w:t>
            </w:r>
            <w:r>
              <w:rPr>
                <w:b/>
              </w:rPr>
              <w:noBreakHyphen/>
            </w:r>
            <w:r w:rsidRPr="0051659D">
              <w:rPr>
                <w:b/>
              </w:rPr>
              <w:t xml:space="preserve">based residential services </w:t>
            </w:r>
            <w:r w:rsidRPr="0051659D">
              <w:rPr>
                <w:b/>
              </w:rPr>
              <w:br/>
            </w:r>
          </w:p>
        </w:tc>
        <w:tc>
          <w:tcPr>
            <w:tcW w:w="6379" w:type="dxa"/>
          </w:tcPr>
          <w:p w:rsidR="00740F59" w:rsidRPr="0051659D" w:rsidRDefault="00740F59" w:rsidP="00C55E5E">
            <w:pPr>
              <w:pStyle w:val="TableBodyText"/>
              <w:keepNext w:val="0"/>
              <w:keepLines w:val="0"/>
              <w:widowControl w:val="0"/>
              <w:jc w:val="left"/>
            </w:pPr>
            <w:r w:rsidRPr="0051659D">
              <w:t>Staffed residential units established in community settings that provide specialised treatment, rehabilitation or care for people affected by a mental illness or psychiatric disability. To be defined as community</w:t>
            </w:r>
            <w:r w:rsidRPr="0051659D">
              <w:noBreakHyphen/>
              <w:t>based residences, the services must: provide residential care to people with mental illnesses or psychiatric disability; be located in a community setting external to the campus of a general hospital or psychiatric institution; employ onsite staff for at least some part of the day; and be government funded.</w:t>
            </w:r>
          </w:p>
        </w:tc>
      </w:tr>
      <w:tr w:rsidR="00740F59" w:rsidRPr="0051659D" w:rsidTr="009E765C">
        <w:tc>
          <w:tcPr>
            <w:tcW w:w="2410" w:type="dxa"/>
          </w:tcPr>
          <w:p w:rsidR="00740F59" w:rsidRPr="0051659D" w:rsidRDefault="00740F59" w:rsidP="00C55E5E">
            <w:pPr>
              <w:pStyle w:val="TableBodyText"/>
              <w:keepNext w:val="0"/>
              <w:keepLines w:val="0"/>
              <w:widowControl w:val="0"/>
              <w:jc w:val="left"/>
              <w:rPr>
                <w:b/>
              </w:rPr>
            </w:pPr>
            <w:r w:rsidRPr="0051659D">
              <w:rPr>
                <w:b/>
              </w:rPr>
              <w:t>Co</w:t>
            </w:r>
            <w:r>
              <w:rPr>
                <w:b/>
              </w:rPr>
              <w:noBreakHyphen/>
            </w:r>
            <w:r w:rsidRPr="0051659D">
              <w:rPr>
                <w:b/>
              </w:rPr>
              <w:t>morbidity</w:t>
            </w:r>
            <w:r w:rsidRPr="0051659D">
              <w:rPr>
                <w:b/>
              </w:rPr>
              <w:br/>
            </w:r>
          </w:p>
        </w:tc>
        <w:tc>
          <w:tcPr>
            <w:tcW w:w="6379" w:type="dxa"/>
            <w:shd w:val="clear" w:color="auto" w:fill="FFFFFF" w:themeFill="background1"/>
          </w:tcPr>
          <w:p w:rsidR="00740F59" w:rsidRPr="0051659D" w:rsidRDefault="00740F59" w:rsidP="00C55E5E">
            <w:pPr>
              <w:pStyle w:val="TableBodyText"/>
              <w:keepNext w:val="0"/>
              <w:keepLines w:val="0"/>
              <w:widowControl w:val="0"/>
              <w:jc w:val="left"/>
            </w:pPr>
            <w:r w:rsidRPr="0051659D">
              <w:t>The simultaneous occurrence of two or more illnesses such as depressive illness with anxiety disorder, or depressive disorder with anorexia.</w:t>
            </w:r>
          </w:p>
        </w:tc>
      </w:tr>
      <w:tr w:rsidR="00E649D2" w:rsidRPr="0051659D" w:rsidTr="009E765C">
        <w:tc>
          <w:tcPr>
            <w:tcW w:w="2410" w:type="dxa"/>
          </w:tcPr>
          <w:p w:rsidR="00E649D2" w:rsidRPr="00CD50C4" w:rsidRDefault="00E649D2" w:rsidP="00B57498">
            <w:pPr>
              <w:pStyle w:val="TableBodyText"/>
              <w:jc w:val="left"/>
              <w:rPr>
                <w:b/>
              </w:rPr>
            </w:pPr>
            <w:r w:rsidRPr="00CD50C4">
              <w:rPr>
                <w:b/>
              </w:rPr>
              <w:t>Comparability</w:t>
            </w:r>
          </w:p>
        </w:tc>
        <w:tc>
          <w:tcPr>
            <w:tcW w:w="6379" w:type="dxa"/>
            <w:shd w:val="clear" w:color="auto" w:fill="FFFFFF" w:themeFill="background1"/>
          </w:tcPr>
          <w:p w:rsidR="00E649D2" w:rsidRDefault="00E649D2" w:rsidP="002B2C9A">
            <w:pPr>
              <w:pStyle w:val="TableBodyText"/>
              <w:keepNext w:val="0"/>
              <w:keepLines w:val="0"/>
              <w:widowControl w:val="0"/>
              <w:jc w:val="left"/>
              <w:rPr>
                <w:lang w:eastAsia="en-US"/>
              </w:rPr>
            </w:pPr>
            <w:r>
              <w:t xml:space="preserve">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E649D2" w:rsidRPr="0051659D" w:rsidTr="009E765C">
        <w:tc>
          <w:tcPr>
            <w:tcW w:w="2410" w:type="dxa"/>
          </w:tcPr>
          <w:p w:rsidR="00E649D2" w:rsidRPr="00CD50C4" w:rsidRDefault="00E649D2" w:rsidP="00B57498">
            <w:pPr>
              <w:pStyle w:val="TableBodyText"/>
              <w:jc w:val="left"/>
              <w:rPr>
                <w:b/>
              </w:rPr>
            </w:pPr>
            <w:r w:rsidRPr="00CD50C4">
              <w:rPr>
                <w:b/>
              </w:rPr>
              <w:t>Completeness</w:t>
            </w:r>
          </w:p>
        </w:tc>
        <w:tc>
          <w:tcPr>
            <w:tcW w:w="6379" w:type="dxa"/>
            <w:shd w:val="clear" w:color="auto" w:fill="FFFFFF" w:themeFill="background1"/>
          </w:tcPr>
          <w:p w:rsidR="00E649D2" w:rsidRDefault="00E649D2" w:rsidP="002B2C9A">
            <w:pPr>
              <w:pStyle w:val="TableBodyText"/>
              <w:keepNext w:val="0"/>
              <w:keepLines w:val="0"/>
              <w:widowControl w:val="0"/>
              <w:jc w:val="left"/>
              <w:rPr>
                <w:lang w:eastAsia="en-US"/>
              </w:rPr>
            </w:pPr>
            <w:r>
              <w:t>Data are considered complete if all required data are available for all jurisdictions that provide the service.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Cost per inpatient </w:t>
            </w:r>
            <w:r w:rsidRPr="0051659D">
              <w:rPr>
                <w:b/>
              </w:rPr>
              <w:br/>
              <w:t>bed day</w:t>
            </w:r>
          </w:p>
        </w:tc>
        <w:tc>
          <w:tcPr>
            <w:tcW w:w="6379" w:type="dxa"/>
          </w:tcPr>
          <w:p w:rsidR="00E649D2" w:rsidRPr="0051659D" w:rsidRDefault="00E649D2" w:rsidP="00C55E5E">
            <w:pPr>
              <w:pStyle w:val="TableBodyText"/>
              <w:keepNext w:val="0"/>
              <w:keepLines w:val="0"/>
              <w:widowControl w:val="0"/>
              <w:jc w:val="left"/>
            </w:pPr>
            <w:r w:rsidRPr="0051659D">
              <w:t>The average patient day cost according to the inpatient type.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Depression</w:t>
            </w:r>
          </w:p>
        </w:tc>
        <w:tc>
          <w:tcPr>
            <w:tcW w:w="6379" w:type="dxa"/>
          </w:tcPr>
          <w:p w:rsidR="00E649D2" w:rsidRPr="0051659D" w:rsidRDefault="00E649D2" w:rsidP="00C55E5E">
            <w:pPr>
              <w:pStyle w:val="TableBodyText"/>
              <w:keepNext w:val="0"/>
              <w:keepLines w:val="0"/>
              <w:widowControl w:val="0"/>
              <w:jc w:val="left"/>
            </w:pPr>
            <w:r w:rsidRPr="0051659D">
              <w:t>A state of gloom, despondency or sadness lasting at least two weeks. The person usually suffers from low mood, loss of interest and enjoyment, and reduced energy. Sleep, appetite and concentration can be affected.</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Forensic mental health services</w:t>
            </w:r>
            <w:r w:rsidRPr="0051659D">
              <w:rPr>
                <w:b/>
              </w:rPr>
              <w:br/>
            </w:r>
          </w:p>
        </w:tc>
        <w:tc>
          <w:tcPr>
            <w:tcW w:w="6379" w:type="dxa"/>
          </w:tcPr>
          <w:p w:rsidR="00E649D2" w:rsidRPr="0051659D" w:rsidRDefault="00E649D2" w:rsidP="008707C7">
            <w:pPr>
              <w:pStyle w:val="TableBodyText"/>
              <w:keepNext w:val="0"/>
              <w:keepLines w:val="0"/>
              <w:widowControl w:val="0"/>
              <w:jc w:val="left"/>
            </w:pPr>
            <w:r w:rsidRPr="0051659D">
              <w:t>Services principally providing assessment, treatment and care of mentally ill individuals whose behaviour has led them to commit criminal offences or makes it likely that they will offend in the future if not adequately treated and contained. This includes prison</w:t>
            </w:r>
            <w:r>
              <w:noBreakHyphen/>
            </w:r>
            <w:r w:rsidRPr="0051659D">
              <w:t xml:space="preserve">based services, but excludes services that are primarily for children and adolescents and for older people even where they </w:t>
            </w:r>
            <w:r w:rsidRPr="0051659D">
              <w:lastRenderedPageBreak/>
              <w:t>include a forensic component.</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lastRenderedPageBreak/>
              <w:t>General mental health services</w:t>
            </w:r>
          </w:p>
        </w:tc>
        <w:tc>
          <w:tcPr>
            <w:tcW w:w="6379" w:type="dxa"/>
          </w:tcPr>
          <w:p w:rsidR="00E649D2" w:rsidRPr="0051659D" w:rsidRDefault="00E649D2" w:rsidP="00C55E5E">
            <w:pPr>
              <w:pStyle w:val="TableBodyText"/>
              <w:keepNext w:val="0"/>
              <w:keepLines w:val="0"/>
              <w:widowControl w:val="0"/>
              <w:jc w:val="left"/>
            </w:pPr>
            <w:r w:rsidRPr="0051659D">
              <w:t xml:space="preserve">Services that principally target the general adult population </w:t>
            </w:r>
            <w:r w:rsidRPr="0051659D">
              <w:br/>
              <w:t xml:space="preserve">(18–65 years old) but that can provide services to children, adolescents or older people. Includes, therefore, those services that cannot be described as specialised child and adolescent, </w:t>
            </w:r>
            <w:r>
              <w:t xml:space="preserve">youth, </w:t>
            </w:r>
            <w:r w:rsidRPr="0051659D">
              <w:t xml:space="preserve">older people’s or forensic services. </w:t>
            </w:r>
          </w:p>
          <w:p w:rsidR="00E649D2" w:rsidRPr="0051659D" w:rsidRDefault="00E649D2" w:rsidP="00C55E5E">
            <w:pPr>
              <w:pStyle w:val="TableBodyText"/>
              <w:keepNext w:val="0"/>
              <w:keepLines w:val="0"/>
              <w:widowControl w:val="0"/>
              <w:jc w:val="left"/>
            </w:pPr>
            <w:r w:rsidRPr="0051659D">
              <w:t xml:space="preserve">General mental health services include hospital units whose principal function is to provide some form of specialised service to the general adult population (for example, inpatient psychotherapy) or to focus on specific clinical disorders within the adult population (for example, </w:t>
            </w:r>
            <w:r w:rsidR="00BD5F3E" w:rsidRPr="0051659D">
              <w:t>post</w:t>
            </w:r>
            <w:r w:rsidR="00BD5F3E">
              <w:t>n</w:t>
            </w:r>
            <w:r w:rsidR="00BD5F3E" w:rsidRPr="0051659D">
              <w:t>atal</w:t>
            </w:r>
            <w:r w:rsidRPr="0051659D">
              <w:t xml:space="preserve"> depression, anxiety disorders).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illness</w:t>
            </w:r>
          </w:p>
        </w:tc>
        <w:tc>
          <w:tcPr>
            <w:tcW w:w="6379" w:type="dxa"/>
          </w:tcPr>
          <w:p w:rsidR="00E649D2" w:rsidRPr="0051659D" w:rsidRDefault="00E649D2" w:rsidP="00C55E5E">
            <w:pPr>
              <w:pStyle w:val="TableBodyText"/>
              <w:keepNext w:val="0"/>
              <w:keepLines w:val="0"/>
              <w:widowControl w:val="0"/>
              <w:jc w:val="left"/>
            </w:pPr>
            <w:r w:rsidRPr="0051659D">
              <w:t>A diagnosable illness that significantly interferes with an individual’s cognitive, emotional and/or social abilities.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health</w:t>
            </w:r>
          </w:p>
        </w:tc>
        <w:tc>
          <w:tcPr>
            <w:tcW w:w="6379" w:type="dxa"/>
          </w:tcPr>
          <w:p w:rsidR="00E649D2" w:rsidRPr="0051659D" w:rsidRDefault="00E649D2" w:rsidP="00C55E5E">
            <w:pPr>
              <w:pStyle w:val="TableBodyText"/>
              <w:keepNext w:val="0"/>
              <w:keepLines w:val="0"/>
              <w:widowControl w:val="0"/>
              <w:jc w:val="left"/>
            </w:pPr>
            <w:r w:rsidRPr="0051659D">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Mental health </w:t>
            </w:r>
            <w:r w:rsidRPr="0051659D">
              <w:rPr>
                <w:b/>
              </w:rPr>
              <w:br/>
              <w:t>problems</w:t>
            </w:r>
          </w:p>
        </w:tc>
        <w:tc>
          <w:tcPr>
            <w:tcW w:w="6379" w:type="dxa"/>
          </w:tcPr>
          <w:p w:rsidR="00E649D2" w:rsidRPr="0051659D" w:rsidRDefault="00E649D2" w:rsidP="00C55E5E">
            <w:pPr>
              <w:pStyle w:val="TableBodyText"/>
              <w:keepNext w:val="0"/>
              <w:keepLines w:val="0"/>
              <w:widowControl w:val="0"/>
              <w:jc w:val="left"/>
            </w:pPr>
            <w:r w:rsidRPr="0051659D">
              <w:t>Diminished cognitive, emotional or social abilities, but not to the extent of meeting the criteria for a mental illness.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health promotion</w:t>
            </w:r>
          </w:p>
        </w:tc>
        <w:tc>
          <w:tcPr>
            <w:tcW w:w="6379" w:type="dxa"/>
          </w:tcPr>
          <w:p w:rsidR="00E649D2" w:rsidRPr="0051659D" w:rsidRDefault="00E649D2" w:rsidP="00C55E5E">
            <w:pPr>
              <w:pStyle w:val="TableBodyText"/>
              <w:keepNext w:val="0"/>
              <w:keepLines w:val="0"/>
              <w:widowControl w:val="0"/>
              <w:jc w:val="left"/>
            </w:pPr>
            <w:r w:rsidRPr="0051659D">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Mental illness prevention</w:t>
            </w:r>
          </w:p>
        </w:tc>
        <w:tc>
          <w:tcPr>
            <w:tcW w:w="6379" w:type="dxa"/>
          </w:tcPr>
          <w:p w:rsidR="00E649D2" w:rsidRPr="0051659D" w:rsidRDefault="00E649D2" w:rsidP="00C55E5E">
            <w:pPr>
              <w:pStyle w:val="TableBodyText"/>
              <w:keepNext w:val="0"/>
              <w:keepLines w:val="0"/>
              <w:widowControl w:val="0"/>
              <w:jc w:val="left"/>
            </w:pPr>
            <w:r w:rsidRPr="0051659D">
              <w:t>Interventions that occur before the initial onset of a</w:t>
            </w:r>
            <w:r>
              <w:t>n</w:t>
            </w:r>
            <w:r w:rsidRPr="0051659D">
              <w:t xml:space="preserve"> illness to prevent its development. The goal of prevention interventions is to reduce the incidence and prevalence of mental health problems and mental illnesses.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Non</w:t>
            </w:r>
            <w:r>
              <w:rPr>
                <w:b/>
              </w:rPr>
              <w:noBreakHyphen/>
            </w:r>
            <w:r w:rsidRPr="0051659D">
              <w:rPr>
                <w:b/>
              </w:rPr>
              <w:t xml:space="preserve">acute </w:t>
            </w:r>
            <w:r w:rsidRPr="0051659D">
              <w:rPr>
                <w:b/>
              </w:rPr>
              <w:br/>
              <w:t xml:space="preserve">services </w:t>
            </w:r>
          </w:p>
        </w:tc>
        <w:tc>
          <w:tcPr>
            <w:tcW w:w="6379" w:type="dxa"/>
          </w:tcPr>
          <w:p w:rsidR="00E649D2" w:rsidRPr="0051659D" w:rsidRDefault="00E649D2" w:rsidP="00C55E5E">
            <w:pPr>
              <w:pStyle w:val="TableBodyText"/>
              <w:keepNext w:val="0"/>
              <w:keepLines w:val="0"/>
              <w:widowControl w:val="0"/>
              <w:jc w:val="left"/>
            </w:pPr>
            <w:r w:rsidRPr="0051659D">
              <w:t>Non</w:t>
            </w:r>
            <w:r>
              <w:noBreakHyphen/>
            </w:r>
            <w:r w:rsidRPr="0051659D">
              <w:t>acute services are defined by two categories:</w:t>
            </w:r>
          </w:p>
          <w:p w:rsidR="00E649D2" w:rsidRPr="0051659D" w:rsidRDefault="00E649D2" w:rsidP="00C55E5E">
            <w:pPr>
              <w:pStyle w:val="TableBullet"/>
              <w:keepNext w:val="0"/>
              <w:keepLines w:val="0"/>
              <w:widowControl w:val="0"/>
            </w:pPr>
            <w:r w:rsidRPr="0051659D">
              <w:t>Rehabilitation services that have a primary focus on intervention to reduce functional impairments that limit the independence of patients. Rehabilitation services are focused on disability and the promotion of personal recovery. They are characterised by an expectation of substantial improvement over the short to mid</w:t>
            </w:r>
            <w:r>
              <w:noBreakHyphen/>
            </w:r>
            <w:r w:rsidRPr="0051659D">
              <w:t>term. Patients treated by rehabilitation services usually have a relatively stable pattern of clinical symptoms.</w:t>
            </w:r>
          </w:p>
          <w:p w:rsidR="00E649D2" w:rsidRPr="0051659D" w:rsidRDefault="00E649D2" w:rsidP="00C55E5E">
            <w:pPr>
              <w:pStyle w:val="TableBullet"/>
              <w:keepNext w:val="0"/>
              <w:keepLines w:val="0"/>
              <w:widowControl w:val="0"/>
            </w:pPr>
            <w:r w:rsidRPr="0051659D">
              <w:t>Extended care services that primarily provide care over an indefinite period for patients who have a stable but severe level of functional impairment and an inability to function independently, thus requiring extensive care and support. Patients of extended care services present a stable pattern of clinical symptoms, which can include high levels of severe unremitting symptoms of mental illness. Treatment is focused on preventing deterioration and reducing impairment; improvement is expected to occur slowly.</w:t>
            </w:r>
          </w:p>
        </w:tc>
      </w:tr>
      <w:tr w:rsidR="00E649D2" w:rsidRPr="0051659D" w:rsidTr="00C55E5E">
        <w:tc>
          <w:tcPr>
            <w:tcW w:w="2410" w:type="dxa"/>
          </w:tcPr>
          <w:p w:rsidR="00E649D2" w:rsidRPr="0051659D" w:rsidRDefault="00E649D2" w:rsidP="00A64644">
            <w:pPr>
              <w:pStyle w:val="TableBodyText"/>
              <w:keepNext w:val="0"/>
              <w:keepLines w:val="0"/>
              <w:widowControl w:val="0"/>
              <w:jc w:val="left"/>
              <w:rPr>
                <w:b/>
              </w:rPr>
            </w:pPr>
            <w:r w:rsidRPr="0051659D">
              <w:rPr>
                <w:b/>
              </w:rPr>
              <w:t>Non</w:t>
            </w:r>
            <w:r>
              <w:rPr>
                <w:b/>
              </w:rPr>
              <w:noBreakHyphen/>
            </w:r>
            <w:r w:rsidRPr="0051659D">
              <w:rPr>
                <w:b/>
              </w:rPr>
              <w:t xml:space="preserve">government organisations </w:t>
            </w:r>
            <w:r w:rsidR="00A64644">
              <w:rPr>
                <w:b/>
              </w:rPr>
              <w:t>(NGOs)</w:t>
            </w:r>
            <w:r w:rsidRPr="0051659D">
              <w:rPr>
                <w:b/>
              </w:rPr>
              <w:br/>
            </w:r>
          </w:p>
        </w:tc>
        <w:tc>
          <w:tcPr>
            <w:tcW w:w="6379" w:type="dxa"/>
          </w:tcPr>
          <w:p w:rsidR="00E649D2" w:rsidRPr="0051659D" w:rsidRDefault="00E649D2" w:rsidP="00A64644">
            <w:pPr>
              <w:pStyle w:val="TableBodyText"/>
              <w:keepNext w:val="0"/>
              <w:keepLines w:val="0"/>
              <w:widowControl w:val="0"/>
              <w:jc w:val="left"/>
            </w:pPr>
            <w:r w:rsidRPr="0051659D">
              <w:t>Private not</w:t>
            </w:r>
            <w:r>
              <w:noBreakHyphen/>
            </w:r>
            <w:r w:rsidRPr="0051659D">
              <w:t>for</w:t>
            </w:r>
            <w:r>
              <w:noBreakHyphen/>
            </w:r>
            <w:r w:rsidRPr="0051659D">
              <w:t xml:space="preserve">profit community managed organisations that receive State and Territory government funding specifically for the purpose of providing community support services for people affected by a mental illness or psychiatric disability. Programs provided by the </w:t>
            </w:r>
            <w:r w:rsidR="00A64644">
              <w:t>NGOs</w:t>
            </w:r>
            <w:r w:rsidRPr="0051659D">
              <w:t xml:space="preserve"> sector can include supported accommodation services (including community</w:t>
            </w:r>
            <w:r>
              <w:noBreakHyphen/>
            </w:r>
            <w:r w:rsidRPr="0051659D">
              <w:t>based crisis and respite beds), vocational rehabilitation programs, advocacy programs (including system advocacy), consumer self</w:t>
            </w:r>
            <w:r>
              <w:noBreakHyphen/>
            </w:r>
            <w:r w:rsidRPr="0051659D">
              <w:t>help services, and support services for families and primary carers.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Older people’s mental health services</w:t>
            </w:r>
          </w:p>
        </w:tc>
        <w:tc>
          <w:tcPr>
            <w:tcW w:w="6379" w:type="dxa"/>
          </w:tcPr>
          <w:p w:rsidR="00E649D2" w:rsidRPr="0051659D" w:rsidRDefault="00E649D2" w:rsidP="00C55E5E">
            <w:pPr>
              <w:pStyle w:val="TableBodyText"/>
              <w:keepNext w:val="0"/>
              <w:keepLines w:val="0"/>
              <w:widowControl w:val="0"/>
              <w:jc w:val="left"/>
            </w:pPr>
            <w:r w:rsidRPr="0051659D">
              <w:t xml:space="preserve">Services principally targeting people in the age group 65 years or over. Classification of services in this category requires recognition by the regional or central funding authority of the special focus of the inpatient service on aged people. These services can include a forensic component. Excludes general mental health services that may treat older people as part of a more general service. </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Outpatient services </w:t>
            </w:r>
            <w:r w:rsidRPr="0051659D">
              <w:rPr>
                <w:b/>
              </w:rPr>
              <w:br/>
            </w:r>
            <w:r w:rsidR="0022260C">
              <w:rPr>
                <w:b/>
              </w:rPr>
              <w:t xml:space="preserve"> </w:t>
            </w:r>
            <w:r w:rsidRPr="0051659D">
              <w:rPr>
                <w:b/>
              </w:rPr>
              <w:t>— community</w:t>
            </w:r>
            <w:r>
              <w:rPr>
                <w:b/>
              </w:rPr>
              <w:noBreakHyphen/>
            </w:r>
            <w:r w:rsidRPr="0051659D">
              <w:rPr>
                <w:b/>
              </w:rPr>
              <w:t>based</w:t>
            </w:r>
          </w:p>
        </w:tc>
        <w:tc>
          <w:tcPr>
            <w:tcW w:w="6379" w:type="dxa"/>
          </w:tcPr>
          <w:p w:rsidR="00E649D2" w:rsidRPr="0051659D" w:rsidRDefault="00E649D2" w:rsidP="00C55E5E">
            <w:pPr>
              <w:pStyle w:val="TableBodyText"/>
              <w:keepNext w:val="0"/>
              <w:keepLines w:val="0"/>
              <w:widowControl w:val="0"/>
              <w:jc w:val="left"/>
            </w:pPr>
            <w:r w:rsidRPr="0051659D">
              <w:t>Services primarily provided to non</w:t>
            </w:r>
            <w:r>
              <w:noBreakHyphen/>
            </w:r>
            <w:r w:rsidRPr="0051659D">
              <w:t>admitted patients on an appointment basis and delivered from health centres located in community settings, physically separated within hospital sites. They can include outreach or domiciliary care as an adjunct to services provided from the centre base.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 xml:space="preserve">Outpatient services </w:t>
            </w:r>
            <w:r w:rsidRPr="0051659D">
              <w:rPr>
                <w:b/>
              </w:rPr>
              <w:br/>
            </w:r>
            <w:r w:rsidR="0022260C">
              <w:rPr>
                <w:b/>
              </w:rPr>
              <w:t xml:space="preserve"> </w:t>
            </w:r>
            <w:r w:rsidRPr="0051659D">
              <w:rPr>
                <w:b/>
              </w:rPr>
              <w:t>— hospital</w:t>
            </w:r>
            <w:r>
              <w:rPr>
                <w:b/>
              </w:rPr>
              <w:noBreakHyphen/>
            </w:r>
            <w:r w:rsidRPr="0051659D">
              <w:rPr>
                <w:b/>
              </w:rPr>
              <w:t>based</w:t>
            </w:r>
          </w:p>
        </w:tc>
        <w:tc>
          <w:tcPr>
            <w:tcW w:w="6379" w:type="dxa"/>
          </w:tcPr>
          <w:p w:rsidR="00E649D2" w:rsidRPr="0051659D" w:rsidRDefault="00E649D2" w:rsidP="00C55E5E">
            <w:pPr>
              <w:pStyle w:val="TableBodyText"/>
              <w:keepNext w:val="0"/>
              <w:keepLines w:val="0"/>
              <w:widowControl w:val="0"/>
              <w:jc w:val="left"/>
            </w:pPr>
            <w:r w:rsidRPr="0051659D">
              <w:t>Services primarily provided to non</w:t>
            </w:r>
            <w:r>
              <w:noBreakHyphen/>
            </w:r>
            <w:r w:rsidRPr="0051659D">
              <w:t>admitted patients on an appointment basis and delivered from clinics located within hospitals. They can include outreach or domiciliary care as an adjunct to services provided from the clinic base.</w:t>
            </w:r>
          </w:p>
        </w:tc>
      </w:tr>
      <w:tr w:rsidR="00DC6691" w:rsidRPr="0051659D" w:rsidTr="00C55E5E">
        <w:tc>
          <w:tcPr>
            <w:tcW w:w="2410" w:type="dxa"/>
          </w:tcPr>
          <w:p w:rsidR="00DC6691" w:rsidRPr="0051659D" w:rsidRDefault="00DC6691" w:rsidP="00C55E5E">
            <w:pPr>
              <w:pStyle w:val="TableBodyText"/>
              <w:keepNext w:val="0"/>
              <w:keepLines w:val="0"/>
              <w:widowControl w:val="0"/>
              <w:jc w:val="left"/>
              <w:rPr>
                <w:b/>
              </w:rPr>
            </w:pPr>
            <w:r>
              <w:rPr>
                <w:b/>
              </w:rPr>
              <w:lastRenderedPageBreak/>
              <w:t xml:space="preserve">Outcomes measurement </w:t>
            </w:r>
            <w:r>
              <w:rPr>
                <w:rFonts w:ascii="Calibri" w:hAnsi="Calibri"/>
                <w:b/>
              </w:rPr>
              <w:t>—</w:t>
            </w:r>
            <w:r>
              <w:rPr>
                <w:b/>
              </w:rPr>
              <w:t xml:space="preserve"> calculating the consumers ‘score’.</w:t>
            </w:r>
          </w:p>
        </w:tc>
        <w:tc>
          <w:tcPr>
            <w:tcW w:w="6379" w:type="dxa"/>
          </w:tcPr>
          <w:p w:rsidR="00DC6691" w:rsidRPr="0051659D" w:rsidRDefault="00DC6691" w:rsidP="00524693">
            <w:pPr>
              <w:pStyle w:val="TableBodyText"/>
              <w:keepNext w:val="0"/>
              <w:keepLines w:val="0"/>
              <w:widowControl w:val="0"/>
              <w:jc w:val="left"/>
            </w:pPr>
            <w:r>
              <w:t>The assessment of a consumer’s clinical mental health outcomes is based on the changes reported in a consumer’s ‘score’ on a rating scale known as the Health of the Nation Outcomes Scale (</w:t>
            </w:r>
            <w:proofErr w:type="spellStart"/>
            <w:r>
              <w:t>HoNOS</w:t>
            </w:r>
            <w:proofErr w:type="spellEnd"/>
            <w:r>
              <w:t>), or for children and adolescents, the Health of the Nation Outcome Scales for Children and Adolescents (</w:t>
            </w:r>
            <w:proofErr w:type="spellStart"/>
            <w:r>
              <w:t>HoNOSCA</w:t>
            </w:r>
            <w:proofErr w:type="spellEnd"/>
            <w:r>
              <w:t>). Outcome scores are classified based on effect size — a statistic used to assess the magnitude of a treatment effect (</w:t>
            </w:r>
            <w:proofErr w:type="spellStart"/>
            <w:r>
              <w:t>AHMC</w:t>
            </w:r>
            <w:proofErr w:type="spellEnd"/>
            <w:r w:rsidR="00524693">
              <w:t> </w:t>
            </w:r>
            <w:r>
              <w:t>2012). The effect size is based on the ratio of the difference between the pre</w:t>
            </w:r>
            <w:r>
              <w:noBreakHyphen/>
              <w:t xml:space="preserve"> and post</w:t>
            </w:r>
            <w:r>
              <w:noBreakHyphen/>
              <w:t>scores to the standard deviation of the pre</w:t>
            </w:r>
            <w:r>
              <w:noBreakHyphen/>
              <w:t xml:space="preserve">score. Individual episodes are classified as ‘significant improvement’ if the effect size index is </w:t>
            </w:r>
            <w:r w:rsidRPr="00B33D98">
              <w:rPr>
                <w:shd w:val="clear" w:color="auto" w:fill="FFFFFF" w:themeFill="background1"/>
              </w:rPr>
              <w:t xml:space="preserve">greater than or equal to positive 0.5; ‘no change’ if the index is between 0.5 and </w:t>
            </w:r>
            <w:r w:rsidR="00463329">
              <w:rPr>
                <w:shd w:val="clear" w:color="auto" w:fill="FFFFFF" w:themeFill="background1"/>
              </w:rPr>
              <w:noBreakHyphen/>
            </w:r>
            <w:r w:rsidR="00F81005" w:rsidRPr="00B33D98">
              <w:rPr>
                <w:shd w:val="clear" w:color="auto" w:fill="FFFFFF" w:themeFill="background1"/>
              </w:rPr>
              <w:t>0.5</w:t>
            </w:r>
            <w:r w:rsidRPr="00B33D98">
              <w:rPr>
                <w:shd w:val="clear" w:color="auto" w:fill="FFFFFF" w:themeFill="background1"/>
              </w:rPr>
              <w:t>; and ‘significant</w:t>
            </w:r>
            <w:r>
              <w:t xml:space="preserve"> deterioration’ if the effect size index is less than or equal to </w:t>
            </w:r>
            <w:r w:rsidR="00463329">
              <w:noBreakHyphen/>
            </w:r>
            <w:r>
              <w:t>0.5 (</w:t>
            </w:r>
            <w:proofErr w:type="spellStart"/>
            <w:r>
              <w:t>AHMC</w:t>
            </w:r>
            <w:proofErr w:type="spellEnd"/>
            <w:r>
              <w:t xml:space="preserve"> 2012)</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Prevalence</w:t>
            </w:r>
          </w:p>
        </w:tc>
        <w:tc>
          <w:tcPr>
            <w:tcW w:w="6379" w:type="dxa"/>
          </w:tcPr>
          <w:p w:rsidR="00E649D2" w:rsidRPr="0051659D" w:rsidRDefault="00E649D2" w:rsidP="00C55E5E">
            <w:pPr>
              <w:pStyle w:val="TableBodyText"/>
              <w:keepNext w:val="0"/>
              <w:keepLines w:val="0"/>
              <w:widowControl w:val="0"/>
              <w:jc w:val="left"/>
            </w:pPr>
            <w:r w:rsidRPr="0051659D">
              <w:t>The number of cases of a disease present in a population at a given time (point prevalence) or during a given period (period prevalence).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Preventive interventions</w:t>
            </w:r>
          </w:p>
        </w:tc>
        <w:tc>
          <w:tcPr>
            <w:tcW w:w="6379" w:type="dxa"/>
          </w:tcPr>
          <w:p w:rsidR="00E649D2" w:rsidRPr="0051659D" w:rsidRDefault="00E649D2" w:rsidP="00C55E5E">
            <w:pPr>
              <w:pStyle w:val="TableBodyText"/>
              <w:keepNext w:val="0"/>
              <w:keepLines w:val="0"/>
              <w:widowControl w:val="0"/>
              <w:jc w:val="left"/>
            </w:pPr>
            <w:r w:rsidRPr="0051659D">
              <w:t>Programs designed to decrease the incidence, prevalence and negative outcomes of illnesses.</w:t>
            </w:r>
          </w:p>
        </w:tc>
      </w:tr>
      <w:tr w:rsidR="00E649D2" w:rsidRPr="0051659D" w:rsidTr="00C55E5E">
        <w:tc>
          <w:tcPr>
            <w:tcW w:w="2410" w:type="dxa"/>
          </w:tcPr>
          <w:p w:rsidR="00E649D2" w:rsidRPr="003C07EB" w:rsidRDefault="00E649D2" w:rsidP="00C55E5E">
            <w:pPr>
              <w:pStyle w:val="TableBodyText"/>
              <w:keepNext w:val="0"/>
              <w:keepLines w:val="0"/>
              <w:widowControl w:val="0"/>
              <w:jc w:val="left"/>
              <w:rPr>
                <w:b/>
              </w:rPr>
            </w:pPr>
            <w:r w:rsidRPr="003C07EB">
              <w:rPr>
                <w:b/>
              </w:rPr>
              <w:t>Psychiatrist</w:t>
            </w:r>
          </w:p>
        </w:tc>
        <w:tc>
          <w:tcPr>
            <w:tcW w:w="6379" w:type="dxa"/>
          </w:tcPr>
          <w:p w:rsidR="00E649D2" w:rsidRPr="0051659D" w:rsidRDefault="00E649D2" w:rsidP="00C55E5E">
            <w:pPr>
              <w:pStyle w:val="TableBodyText"/>
              <w:keepNext w:val="0"/>
              <w:keepLines w:val="0"/>
              <w:widowControl w:val="0"/>
              <w:jc w:val="left"/>
            </w:pPr>
            <w:r w:rsidRPr="0051659D">
              <w:t>A medical practitioner with specialist training in psychiatry.</w:t>
            </w:r>
          </w:p>
        </w:tc>
      </w:tr>
      <w:tr w:rsidR="00E649D2" w:rsidRPr="0051659D" w:rsidTr="00B0676C">
        <w:trPr>
          <w:cantSplit/>
        </w:trPr>
        <w:tc>
          <w:tcPr>
            <w:tcW w:w="2410" w:type="dxa"/>
          </w:tcPr>
          <w:p w:rsidR="00E649D2" w:rsidRPr="0051659D" w:rsidRDefault="00E649D2" w:rsidP="00C55E5E">
            <w:pPr>
              <w:pStyle w:val="TableBodyText"/>
              <w:keepNext w:val="0"/>
              <w:keepLines w:val="0"/>
              <w:widowControl w:val="0"/>
              <w:jc w:val="left"/>
              <w:rPr>
                <w:b/>
              </w:rPr>
            </w:pPr>
            <w:r w:rsidRPr="0051659D">
              <w:rPr>
                <w:b/>
              </w:rPr>
              <w:t>Public health</w:t>
            </w:r>
          </w:p>
          <w:p w:rsidR="00E649D2" w:rsidRPr="0051659D" w:rsidRDefault="00E649D2" w:rsidP="00C55E5E">
            <w:pPr>
              <w:pStyle w:val="TableBodyText"/>
              <w:keepNext w:val="0"/>
              <w:keepLines w:val="0"/>
              <w:widowControl w:val="0"/>
              <w:jc w:val="left"/>
              <w:rPr>
                <w:b/>
              </w:rPr>
            </w:pPr>
          </w:p>
        </w:tc>
        <w:tc>
          <w:tcPr>
            <w:tcW w:w="6379" w:type="dxa"/>
          </w:tcPr>
          <w:p w:rsidR="00E649D2" w:rsidRPr="0051659D" w:rsidRDefault="00E649D2" w:rsidP="00C55E5E">
            <w:pPr>
              <w:pStyle w:val="TableBodyText"/>
              <w:keepNext w:val="0"/>
              <w:keepLines w:val="0"/>
              <w:widowControl w:val="0"/>
              <w:jc w:val="left"/>
            </w:pPr>
            <w:r w:rsidRPr="0051659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noBreakHyphen/>
            </w:r>
            <w:r w:rsidRPr="0051659D">
              <w:t>risk groups) and complements clinical provision of health care services.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Public (non</w:t>
            </w:r>
            <w:r>
              <w:rPr>
                <w:b/>
              </w:rPr>
              <w:noBreakHyphen/>
            </w:r>
            <w:r w:rsidRPr="0051659D">
              <w:rPr>
                <w:b/>
              </w:rPr>
              <w:t>psychiatric) hospital</w:t>
            </w:r>
          </w:p>
        </w:tc>
        <w:tc>
          <w:tcPr>
            <w:tcW w:w="6379" w:type="dxa"/>
          </w:tcPr>
          <w:p w:rsidR="00E649D2" w:rsidRPr="0051659D" w:rsidRDefault="00E649D2" w:rsidP="00C55E5E">
            <w:pPr>
              <w:pStyle w:val="TableBodyText"/>
              <w:keepNext w:val="0"/>
              <w:keepLines w:val="0"/>
              <w:widowControl w:val="0"/>
              <w:jc w:val="left"/>
            </w:pPr>
            <w:r w:rsidRPr="0051659D">
              <w:t>A hospital that provides at least minimum medical, surgical or obstetric services for inpatient treatment and/or care, and around</w:t>
            </w:r>
            <w:r>
              <w:noBreakHyphen/>
            </w:r>
            <w:r w:rsidRPr="0051659D">
              <w:t>the</w:t>
            </w:r>
            <w:r>
              <w:noBreakHyphen/>
            </w:r>
            <w:r w:rsidRPr="0051659D">
              <w:t>clock, comprehensive, qualified nursing services, as well as other necessary professional services.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Schizophrenia</w:t>
            </w:r>
          </w:p>
        </w:tc>
        <w:tc>
          <w:tcPr>
            <w:tcW w:w="6379" w:type="dxa"/>
          </w:tcPr>
          <w:p w:rsidR="00E649D2" w:rsidRPr="0051659D" w:rsidRDefault="00E649D2" w:rsidP="00C55E5E">
            <w:pPr>
              <w:pStyle w:val="TableBodyText"/>
              <w:keepNext w:val="0"/>
              <w:keepLines w:val="0"/>
              <w:widowControl w:val="0"/>
              <w:jc w:val="left"/>
            </w:pPr>
            <w:r w:rsidRPr="0051659D">
              <w:t>A combination of signs and symptoms that can include delusions, hallucinations, disorganised speech or behaviour, a flattening in emotions, and restrictions in thought, speech and goal directed behaviour.</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CF7808">
              <w:rPr>
                <w:b/>
              </w:rPr>
              <w:t>Seclusion</w:t>
            </w:r>
          </w:p>
        </w:tc>
        <w:tc>
          <w:tcPr>
            <w:tcW w:w="6379" w:type="dxa"/>
          </w:tcPr>
          <w:p w:rsidR="00E649D2" w:rsidRPr="00CF7808" w:rsidRDefault="00E649D2" w:rsidP="00C55E5E">
            <w:pPr>
              <w:pStyle w:val="TableBodyText"/>
              <w:keepNext w:val="0"/>
              <w:keepLines w:val="0"/>
              <w:widowControl w:val="0"/>
              <w:jc w:val="left"/>
            </w:pPr>
            <w:r w:rsidRPr="00CF7808">
              <w:t>Seclusion is the confinement of the consumer at any time of the day or night alone in a room or area from which free exit is prevented.</w:t>
            </w:r>
            <w:r>
              <w:t xml:space="preserve"> </w:t>
            </w:r>
            <w:r w:rsidRPr="00CF7808">
              <w:t>The intended purpose of the confinement is not relevant in determining what is or is not seclusion. Seclusion applies even if the consumer agrees or requests the confinement</w:t>
            </w:r>
            <w:r>
              <w:t xml:space="preserve"> (</w:t>
            </w:r>
            <w:proofErr w:type="spellStart"/>
            <w:r>
              <w:t>NMHPSC</w:t>
            </w:r>
            <w:proofErr w:type="spellEnd"/>
            <w:r>
              <w:t xml:space="preserve"> </w:t>
            </w:r>
            <w:proofErr w:type="spellStart"/>
            <w:r>
              <w:t>2011b</w:t>
            </w:r>
            <w:proofErr w:type="spellEnd"/>
            <w:r>
              <w:t>)</w:t>
            </w:r>
            <w:r w:rsidRPr="00CF7808">
              <w:t>.</w:t>
            </w:r>
          </w:p>
          <w:p w:rsidR="00E649D2" w:rsidRPr="0051659D" w:rsidRDefault="00E649D2" w:rsidP="00A7677C">
            <w:pPr>
              <w:pStyle w:val="TableBodyText"/>
              <w:keepNext w:val="0"/>
              <w:keepLines w:val="0"/>
              <w:widowControl w:val="0"/>
              <w:jc w:val="left"/>
            </w:pPr>
            <w:r w:rsidRPr="00CF7808">
              <w:t>The awareness of the consumer that they are confined alone and denied exit is not relevant in determining what is or is not seclusion. The structure and dimensions of the area to which the consumer is confined is not relevant in determining what is or is not seclusion. The area may be an open area, for example, a courtyard. Seclusion does not include confinement of consumers to High Dependency sections of gazetted mental health units, unless it meets the definition</w:t>
            </w:r>
            <w:r>
              <w:t xml:space="preserve"> (AIHW </w:t>
            </w:r>
            <w:r w:rsidR="00A7677C">
              <w:t>2015</w:t>
            </w:r>
            <w:r>
              <w:t>)</w:t>
            </w:r>
            <w:r w:rsidRPr="00CF7808">
              <w:t>.</w:t>
            </w:r>
          </w:p>
        </w:tc>
      </w:tr>
      <w:tr w:rsidR="00E649D2" w:rsidRPr="0051659D" w:rsidTr="00C55E5E">
        <w:tc>
          <w:tcPr>
            <w:tcW w:w="2410" w:type="dxa"/>
          </w:tcPr>
          <w:p w:rsidR="00E649D2" w:rsidRPr="00CF7808" w:rsidRDefault="00E649D2" w:rsidP="00C55E5E">
            <w:pPr>
              <w:pStyle w:val="TableBodyText"/>
              <w:keepNext w:val="0"/>
              <w:keepLines w:val="0"/>
              <w:widowControl w:val="0"/>
              <w:jc w:val="left"/>
              <w:rPr>
                <w:b/>
              </w:rPr>
            </w:pPr>
            <w:r>
              <w:rPr>
                <w:b/>
              </w:rPr>
              <w:t>Seclusion event</w:t>
            </w:r>
          </w:p>
        </w:tc>
        <w:tc>
          <w:tcPr>
            <w:tcW w:w="6379" w:type="dxa"/>
          </w:tcPr>
          <w:p w:rsidR="00E649D2" w:rsidRPr="00CF7808" w:rsidRDefault="00E649D2" w:rsidP="008707C7">
            <w:pPr>
              <w:pStyle w:val="TableBodyText"/>
              <w:keepNext w:val="0"/>
              <w:keepLines w:val="0"/>
              <w:widowControl w:val="0"/>
              <w:jc w:val="left"/>
            </w:pPr>
            <w:r>
              <w:t>An event is</w:t>
            </w:r>
            <w:r w:rsidRPr="00F2578D">
              <w:t xml:space="preserve"> when a consumer enters seclusion and when there is a clinical decision to cease seclusion. Following the clinical decision to cease seclusion, if a consumer re</w:t>
            </w:r>
            <w:r>
              <w:noBreakHyphen/>
            </w:r>
            <w:r w:rsidRPr="00F2578D">
              <w:t>enters seclusion within a short period of time this would be considered a new seclusion event. The term ‘seclusion event’ is utilised to differentiate it from the different definitions of ‘seclusion episode’ used across jurisdictions</w:t>
            </w:r>
            <w:r>
              <w:t xml:space="preserve"> (</w:t>
            </w:r>
            <w:proofErr w:type="spellStart"/>
            <w:r>
              <w:t>NMHPSC</w:t>
            </w:r>
            <w:proofErr w:type="spellEnd"/>
            <w:r>
              <w:t xml:space="preserve"> </w:t>
            </w:r>
            <w:proofErr w:type="spellStart"/>
            <w:r>
              <w:t>2011b</w:t>
            </w:r>
            <w:proofErr w:type="spellEnd"/>
            <w:r>
              <w:t>).</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Specialised mental health inpatient services</w:t>
            </w:r>
          </w:p>
        </w:tc>
        <w:tc>
          <w:tcPr>
            <w:tcW w:w="6379" w:type="dxa"/>
          </w:tcPr>
          <w:p w:rsidR="00E649D2" w:rsidRPr="0051659D" w:rsidRDefault="00E649D2" w:rsidP="00C55E5E">
            <w:pPr>
              <w:pStyle w:val="TableBodyText"/>
              <w:keepNext w:val="0"/>
              <w:keepLines w:val="0"/>
              <w:widowControl w:val="0"/>
              <w:jc w:val="left"/>
            </w:pPr>
            <w:r w:rsidRPr="0051659D">
              <w:t>Services provided to admitted patients in stand</w:t>
            </w:r>
            <w:r>
              <w:noBreakHyphen/>
            </w:r>
            <w:r w:rsidRPr="0051659D">
              <w:t>alone psychiatric hospitals or specialised psychiatric units located within general hospitals.</w:t>
            </w:r>
          </w:p>
        </w:tc>
      </w:tr>
      <w:tr w:rsidR="00E649D2" w:rsidRPr="0051659D" w:rsidTr="00C55E5E">
        <w:tc>
          <w:tcPr>
            <w:tcW w:w="2410" w:type="dxa"/>
          </w:tcPr>
          <w:p w:rsidR="00E649D2" w:rsidRPr="0051659D" w:rsidRDefault="00E649D2" w:rsidP="00C55E5E">
            <w:pPr>
              <w:pStyle w:val="TableBodyText"/>
              <w:keepNext w:val="0"/>
              <w:keepLines w:val="0"/>
              <w:widowControl w:val="0"/>
              <w:jc w:val="left"/>
            </w:pPr>
            <w:r w:rsidRPr="0051659D">
              <w:rPr>
                <w:b/>
              </w:rPr>
              <w:t>Specialised mental health services</w:t>
            </w:r>
          </w:p>
        </w:tc>
        <w:tc>
          <w:tcPr>
            <w:tcW w:w="6379" w:type="dxa"/>
          </w:tcPr>
          <w:p w:rsidR="00E649D2" w:rsidRPr="0051659D" w:rsidRDefault="00E649D2" w:rsidP="00C55E5E">
            <w:pPr>
              <w:pStyle w:val="TableBodyText"/>
              <w:keepNext w:val="0"/>
              <w:keepLines w:val="0"/>
              <w:widowControl w:val="0"/>
              <w:jc w:val="left"/>
            </w:pPr>
            <w:r w:rsidRPr="0051659D">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E649D2" w:rsidRPr="00FC0245" w:rsidTr="00C55E5E">
        <w:tc>
          <w:tcPr>
            <w:tcW w:w="2410" w:type="dxa"/>
          </w:tcPr>
          <w:p w:rsidR="00E649D2" w:rsidRPr="0093160E" w:rsidRDefault="00E649D2" w:rsidP="00C55E5E">
            <w:pPr>
              <w:pStyle w:val="TableBodyText"/>
              <w:keepNext w:val="0"/>
              <w:keepLines w:val="0"/>
              <w:widowControl w:val="0"/>
              <w:jc w:val="left"/>
            </w:pPr>
            <w:r w:rsidRPr="00FC0245">
              <w:rPr>
                <w:b/>
                <w:color w:val="FF0000"/>
                <w:u w:val="single"/>
              </w:rPr>
              <w:br w:type="page"/>
            </w:r>
            <w:r w:rsidRPr="0093160E">
              <w:rPr>
                <w:b/>
              </w:rPr>
              <w:t>Specialised residential services</w:t>
            </w:r>
          </w:p>
        </w:tc>
        <w:tc>
          <w:tcPr>
            <w:tcW w:w="6379" w:type="dxa"/>
          </w:tcPr>
          <w:p w:rsidR="00E649D2" w:rsidRPr="0093160E" w:rsidRDefault="00E649D2" w:rsidP="00C55E5E">
            <w:pPr>
              <w:pStyle w:val="TableBodyText"/>
              <w:keepNext w:val="0"/>
              <w:keepLines w:val="0"/>
              <w:widowControl w:val="0"/>
              <w:jc w:val="left"/>
            </w:pPr>
            <w:r w:rsidRPr="0093160E">
              <w:t>Services provided in the community that are staffed by mental health professionals on a non</w:t>
            </w:r>
            <w:r>
              <w:noBreakHyphen/>
            </w:r>
            <w:r w:rsidRPr="0093160E">
              <w:t>24 or 24</w:t>
            </w:r>
            <w:r>
              <w:noBreakHyphen/>
            </w:r>
            <w:r w:rsidRPr="0093160E">
              <w:t>hour basis.</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t>Staffing categories (mental health)</w:t>
            </w:r>
          </w:p>
        </w:tc>
        <w:tc>
          <w:tcPr>
            <w:tcW w:w="6379" w:type="dxa"/>
          </w:tcPr>
          <w:p w:rsidR="00E649D2" w:rsidRPr="0051659D" w:rsidRDefault="00E649D2" w:rsidP="00C55E5E">
            <w:pPr>
              <w:pStyle w:val="TableBodyText"/>
              <w:keepNext w:val="0"/>
              <w:keepLines w:val="0"/>
              <w:widowControl w:val="0"/>
              <w:jc w:val="left"/>
            </w:pPr>
            <w:r w:rsidRPr="0051659D">
              <w:t>Medical officers: all medical officers employed or engaged by the organisation on a full time or part time basis. Includes visiting medical officers who are engaged on an hourly, sessional or fee</w:t>
            </w:r>
            <w:r>
              <w:noBreakHyphen/>
            </w:r>
            <w:r w:rsidRPr="0051659D">
              <w:t>for</w:t>
            </w:r>
            <w:r>
              <w:noBreakHyphen/>
            </w:r>
            <w:r w:rsidRPr="0051659D">
              <w:t>service basis.</w:t>
            </w:r>
          </w:p>
          <w:p w:rsidR="00E649D2" w:rsidRPr="0051659D" w:rsidRDefault="00E649D2" w:rsidP="00C55E5E">
            <w:pPr>
              <w:pStyle w:val="TableBodyText"/>
              <w:keepNext w:val="0"/>
              <w:keepLines w:val="0"/>
              <w:widowControl w:val="0"/>
              <w:jc w:val="left"/>
            </w:pPr>
            <w:r w:rsidRPr="0051659D">
              <w:lastRenderedPageBreak/>
              <w:t>Psychiatrists and consultant psychiatrists: medical officers who are registered to practice psychiatry under the relevant State or Territory medical registration board; or who are fellows of the Royal Australian and New Zealand College of Psychiatrists or registered with Health Insurance Commission as a specialist in Psychiatry.</w:t>
            </w:r>
          </w:p>
          <w:p w:rsidR="00E649D2" w:rsidRPr="0051659D" w:rsidRDefault="00E649D2" w:rsidP="00C55E5E">
            <w:pPr>
              <w:pStyle w:val="TableBodyText"/>
              <w:keepNext w:val="0"/>
              <w:keepLines w:val="0"/>
              <w:widowControl w:val="0"/>
              <w:jc w:val="left"/>
            </w:pPr>
            <w:r w:rsidRPr="0051659D">
              <w:t>Psychiatry registrars and trainees: medical officers who are formal trainees within the Royal Australian and New Zealand College of Psychiatrists</w:t>
            </w:r>
            <w:r>
              <w:t>’</w:t>
            </w:r>
            <w:r w:rsidRPr="0051659D">
              <w:t xml:space="preserve"> Postgraduate Training Program.</w:t>
            </w:r>
          </w:p>
          <w:p w:rsidR="00E649D2" w:rsidRPr="0051659D" w:rsidRDefault="00E649D2" w:rsidP="00C55E5E">
            <w:pPr>
              <w:pStyle w:val="TableBodyText"/>
              <w:keepNext w:val="0"/>
              <w:keepLines w:val="0"/>
              <w:widowControl w:val="0"/>
              <w:jc w:val="left"/>
            </w:pPr>
            <w:r w:rsidRPr="0051659D">
              <w:t>Other medical officers: medical officers employed or engaged by the organisation who are not registered as psychiatrists within the State or Territory, or as formal trainees within the Royal Australian and New Zealand College of Psychiatrists</w:t>
            </w:r>
            <w:r>
              <w:t>’</w:t>
            </w:r>
            <w:r w:rsidRPr="0051659D">
              <w:t xml:space="preserve"> Postgraduate Training Program.</w:t>
            </w:r>
          </w:p>
          <w:p w:rsidR="00E649D2" w:rsidRPr="0051659D" w:rsidRDefault="00E649D2" w:rsidP="00C55E5E">
            <w:pPr>
              <w:pStyle w:val="TableBodyText"/>
              <w:keepNext w:val="0"/>
              <w:keepLines w:val="0"/>
              <w:widowControl w:val="0"/>
              <w:jc w:val="left"/>
            </w:pPr>
            <w:r w:rsidRPr="0051659D">
              <w:t>Nursing staff: all categories of registered nurses and enrolled nurses, employed or engaged by the organisation.</w:t>
            </w:r>
          </w:p>
          <w:p w:rsidR="00E649D2" w:rsidRPr="0051659D" w:rsidRDefault="00E649D2" w:rsidP="00C55E5E">
            <w:pPr>
              <w:pStyle w:val="TableBodyText"/>
              <w:keepNext w:val="0"/>
              <w:keepLines w:val="0"/>
              <w:widowControl w:val="0"/>
              <w:jc w:val="left"/>
            </w:pPr>
            <w:r w:rsidRPr="0051659D">
              <w:t>Registered nurses: people with at least a three year training certificate or tertiary qualification who are certified as being a registered nurse with the State or Territory registration board. This is a comprehensive category and includes general and specialised categories of registered nurses.</w:t>
            </w:r>
          </w:p>
          <w:p w:rsidR="00E649D2" w:rsidRPr="0051659D" w:rsidRDefault="00E649D2" w:rsidP="00C55E5E">
            <w:pPr>
              <w:pStyle w:val="TableBodyText"/>
              <w:keepNext w:val="0"/>
              <w:keepLines w:val="0"/>
              <w:widowControl w:val="0"/>
              <w:jc w:val="left"/>
            </w:pPr>
            <w:r w:rsidRPr="0051659D">
              <w:t xml:space="preserve">Enrolled nurses: </w:t>
            </w:r>
            <w:r>
              <w:t>r</w:t>
            </w:r>
            <w:r w:rsidRPr="0051659D">
              <w:t>efers to people who are second level nurses who are enrolled in all states except Victoria where they are registered by the state registration board to practise in this capacity. Includes general enrolled nurse and specialist enrolled nurse (e.g. mothercraft nurses in some states).</w:t>
            </w:r>
          </w:p>
          <w:p w:rsidR="00E649D2" w:rsidRPr="0051659D" w:rsidRDefault="00E649D2" w:rsidP="00C55E5E">
            <w:pPr>
              <w:pStyle w:val="TableBodyText"/>
              <w:keepNext w:val="0"/>
              <w:keepLines w:val="0"/>
              <w:widowControl w:val="0"/>
              <w:jc w:val="left"/>
            </w:pPr>
            <w:r w:rsidRPr="0051659D">
              <w:t>Diagnostic and health professionals</w:t>
            </w:r>
            <w:r>
              <w:t xml:space="preserve"> (allied health professionals)</w:t>
            </w:r>
            <w:r w:rsidRPr="0051659D">
              <w:t>: qualified staff (other than qualified medical or nursing staff) who are engaged in duties of a diagnostic, professional or technical nature. This category covers all allied health professionals, such as social workers, psychologists, occupational therapists, physiotherapists, and other diagnostic and health professionals.</w:t>
            </w:r>
          </w:p>
          <w:p w:rsidR="00E649D2" w:rsidRPr="0051659D" w:rsidRDefault="00E649D2" w:rsidP="00C55E5E">
            <w:pPr>
              <w:pStyle w:val="TableBodyText"/>
              <w:keepNext w:val="0"/>
              <w:keepLines w:val="0"/>
              <w:widowControl w:val="0"/>
              <w:jc w:val="left"/>
            </w:pPr>
            <w:r w:rsidRPr="0051659D">
              <w:t>Social workers: people who have completed a course of recognised training and are eligible for membership of the Australian Association of Social Workers.</w:t>
            </w:r>
          </w:p>
          <w:p w:rsidR="00E649D2" w:rsidRPr="0051659D" w:rsidRDefault="00E649D2" w:rsidP="00C55E5E">
            <w:pPr>
              <w:pStyle w:val="TableBodyText"/>
              <w:keepNext w:val="0"/>
              <w:keepLines w:val="0"/>
              <w:widowControl w:val="0"/>
              <w:jc w:val="left"/>
            </w:pPr>
            <w:r w:rsidRPr="0051659D">
              <w:t>Psychologists: people who are registered as psychologists with the relevant State or Territory registration board.</w:t>
            </w:r>
          </w:p>
          <w:p w:rsidR="00E649D2" w:rsidRPr="0051659D" w:rsidRDefault="00E649D2" w:rsidP="00C55E5E">
            <w:pPr>
              <w:pStyle w:val="TableBodyText"/>
              <w:keepNext w:val="0"/>
              <w:keepLines w:val="0"/>
              <w:widowControl w:val="0"/>
              <w:jc w:val="left"/>
            </w:pPr>
            <w:r w:rsidRPr="0051659D">
              <w:t>Occupational therapists: people who have completed a course of recognised training and who are eligible for membership of the Australian Association of Occupational Therapists.</w:t>
            </w:r>
          </w:p>
          <w:p w:rsidR="00E649D2" w:rsidRPr="0051659D" w:rsidRDefault="00E649D2" w:rsidP="00C55E5E">
            <w:pPr>
              <w:pStyle w:val="TableBodyText"/>
              <w:keepNext w:val="0"/>
              <w:keepLines w:val="0"/>
              <w:widowControl w:val="0"/>
              <w:jc w:val="left"/>
            </w:pPr>
            <w:r w:rsidRPr="0051659D">
              <w:t>Other personal care staff: attendants, assistants, home companions, family aides, ward helpers, warders, orderlies, ward assistants and nursing assistants who are engaged primarily in the provision of personal care to patients or residents, and who are not formally qualified or who are undergoing training in nursing or allied health professions.</w:t>
            </w:r>
          </w:p>
          <w:p w:rsidR="00E649D2" w:rsidRPr="0051659D" w:rsidRDefault="00E649D2" w:rsidP="00C55E5E">
            <w:pPr>
              <w:pStyle w:val="TableBodyText"/>
              <w:keepNext w:val="0"/>
              <w:keepLines w:val="0"/>
              <w:widowControl w:val="0"/>
              <w:jc w:val="left"/>
            </w:pPr>
            <w:r w:rsidRPr="0051659D">
              <w:t>Administrative and clerical staff: staff engaged in administrative and clerical duties. Excludes medical, nursing, diagnostic and health professional and domestic staff wholly or partly involved in administrative and clerical duties, who should be counted under their appropriate occupational categories. Civil engineers and computing staff are included in this category.</w:t>
            </w:r>
          </w:p>
          <w:p w:rsidR="00E649D2" w:rsidRPr="0051659D" w:rsidRDefault="00E649D2" w:rsidP="00C55E5E">
            <w:pPr>
              <w:pStyle w:val="TableBodyText"/>
              <w:keepNext w:val="0"/>
              <w:keepLines w:val="0"/>
              <w:widowControl w:val="0"/>
              <w:jc w:val="left"/>
            </w:pPr>
            <w:r w:rsidRPr="0051659D">
              <w:t>Domestic and other staff: staff involved in the provision of food and cleaning services including domestic staff primarily engaged in administrative duties such as food services manager. Dieticians are excluded.</w:t>
            </w:r>
          </w:p>
        </w:tc>
      </w:tr>
      <w:tr w:rsidR="00E649D2" w:rsidRPr="0051659D" w:rsidTr="00C55E5E">
        <w:tc>
          <w:tcPr>
            <w:tcW w:w="2410" w:type="dxa"/>
            <w:shd w:val="clear" w:color="auto" w:fill="FFFFFF" w:themeFill="background1"/>
          </w:tcPr>
          <w:p w:rsidR="00E649D2" w:rsidRPr="0051659D" w:rsidRDefault="00CC7E85" w:rsidP="00C55E5E">
            <w:pPr>
              <w:pStyle w:val="TableBodyText"/>
              <w:keepNext w:val="0"/>
              <w:keepLines w:val="0"/>
              <w:widowControl w:val="0"/>
              <w:jc w:val="left"/>
              <w:rPr>
                <w:b/>
              </w:rPr>
            </w:pPr>
            <w:r>
              <w:rPr>
                <w:b/>
              </w:rPr>
              <w:lastRenderedPageBreak/>
              <w:t>P</w:t>
            </w:r>
            <w:r w:rsidR="00E649D2" w:rsidRPr="0051659D">
              <w:rPr>
                <w:b/>
              </w:rPr>
              <w:t>sychiatric</w:t>
            </w:r>
            <w:r w:rsidR="00E649D2" w:rsidRPr="0051659D">
              <w:rPr>
                <w:b/>
              </w:rPr>
              <w:br/>
              <w:t>hospitals</w:t>
            </w:r>
          </w:p>
        </w:tc>
        <w:tc>
          <w:tcPr>
            <w:tcW w:w="6379" w:type="dxa"/>
            <w:shd w:val="clear" w:color="auto" w:fill="FFFFFF" w:themeFill="background1"/>
          </w:tcPr>
          <w:p w:rsidR="00E649D2" w:rsidRPr="00B350F0" w:rsidRDefault="00E649D2" w:rsidP="00C55E5E">
            <w:pPr>
              <w:pStyle w:val="TableBodyText"/>
              <w:keepNext w:val="0"/>
              <w:keepLines w:val="0"/>
              <w:widowControl w:val="0"/>
              <w:jc w:val="left"/>
            </w:pPr>
            <w:r w:rsidRPr="00B350F0">
              <w:t>Health establishments that are primarily devoted to the treatment and care of inpatients with psychiatric, mental or behavioural disorders, and that are situated at physically separate locations from a general hospital. Stand</w:t>
            </w:r>
            <w:r>
              <w:noBreakHyphen/>
            </w:r>
            <w:r w:rsidRPr="00B350F0">
              <w:t>alone hospitals may or may not be managed by the mainstream health system. Psychiatric hospitals situated at physically separate locations from a general hospital are included within the ‘stand</w:t>
            </w:r>
            <w:r>
              <w:noBreakHyphen/>
            </w:r>
            <w:r w:rsidRPr="00B350F0">
              <w:t>alone’ category regardless of whether they are under the management control of a general hospital. A health establishment that operates in a separate building but is located on, or immediately adjoining, the acute care hospital campus can also be a stand</w:t>
            </w:r>
            <w:r>
              <w:noBreakHyphen/>
            </w:r>
            <w:r w:rsidRPr="00B350F0">
              <w:t>alone hospitals if the following criteria are not met:</w:t>
            </w:r>
          </w:p>
          <w:p w:rsidR="00E649D2" w:rsidRPr="00B350F0" w:rsidRDefault="00E649D2" w:rsidP="00C55E5E">
            <w:pPr>
              <w:pStyle w:val="TableBullet"/>
              <w:keepNext w:val="0"/>
              <w:keepLines w:val="0"/>
              <w:widowControl w:val="0"/>
              <w:shd w:val="clear" w:color="auto" w:fill="FFFFFF" w:themeFill="background1"/>
            </w:pPr>
            <w:r w:rsidRPr="00B350F0">
              <w:t xml:space="preserve">a single organisational or management structure covers the acute care hospital and the psychiatric hospital </w:t>
            </w:r>
          </w:p>
          <w:p w:rsidR="00E649D2" w:rsidRPr="00B350F0" w:rsidRDefault="00E649D2" w:rsidP="00C55E5E">
            <w:pPr>
              <w:pStyle w:val="TableBullet"/>
              <w:keepNext w:val="0"/>
              <w:keepLines w:val="0"/>
              <w:widowControl w:val="0"/>
              <w:shd w:val="clear" w:color="auto" w:fill="FFFFFF" w:themeFill="background1"/>
            </w:pPr>
            <w:r w:rsidRPr="00B350F0">
              <w:t>a single employer covers the staff of the acute care hospital and the psychiatric hospital</w:t>
            </w:r>
          </w:p>
          <w:p w:rsidR="00E649D2" w:rsidRPr="00B350F0" w:rsidRDefault="00E649D2" w:rsidP="00C55E5E">
            <w:pPr>
              <w:pStyle w:val="TableBullet"/>
              <w:keepNext w:val="0"/>
              <w:keepLines w:val="0"/>
              <w:widowControl w:val="0"/>
              <w:shd w:val="clear" w:color="auto" w:fill="FFFFFF" w:themeFill="background1"/>
            </w:pPr>
            <w:r w:rsidRPr="00B350F0">
              <w:lastRenderedPageBreak/>
              <w:t xml:space="preserve">the location of the acute care hospital and psychiatric hospital can be regarded as part of a single overall hospital campus </w:t>
            </w:r>
          </w:p>
          <w:p w:rsidR="00E649D2" w:rsidRPr="0051659D" w:rsidRDefault="00E649D2" w:rsidP="00C55E5E">
            <w:pPr>
              <w:pStyle w:val="TableBullet"/>
              <w:keepNext w:val="0"/>
              <w:keepLines w:val="0"/>
              <w:widowControl w:val="0"/>
              <w:shd w:val="clear" w:color="auto" w:fill="FFFFFF" w:themeFill="background1"/>
            </w:pPr>
            <w:r w:rsidRPr="00B350F0">
              <w:t>the patients of the psychiatric hospital are regarded as patients of the single integrated health service.</w:t>
            </w:r>
          </w:p>
        </w:tc>
      </w:tr>
      <w:tr w:rsidR="00E649D2" w:rsidRPr="0051659D" w:rsidTr="00C55E5E">
        <w:tc>
          <w:tcPr>
            <w:tcW w:w="2410" w:type="dxa"/>
          </w:tcPr>
          <w:p w:rsidR="00E649D2" w:rsidRPr="0051659D" w:rsidRDefault="00E649D2" w:rsidP="00C55E5E">
            <w:pPr>
              <w:pStyle w:val="TableBodyText"/>
              <w:keepNext w:val="0"/>
              <w:keepLines w:val="0"/>
              <w:widowControl w:val="0"/>
              <w:jc w:val="left"/>
              <w:rPr>
                <w:b/>
              </w:rPr>
            </w:pPr>
            <w:r w:rsidRPr="0051659D">
              <w:rPr>
                <w:b/>
              </w:rPr>
              <w:lastRenderedPageBreak/>
              <w:t>Substance use disorders</w:t>
            </w:r>
          </w:p>
        </w:tc>
        <w:tc>
          <w:tcPr>
            <w:tcW w:w="6379" w:type="dxa"/>
          </w:tcPr>
          <w:p w:rsidR="00E649D2" w:rsidRPr="0051659D" w:rsidRDefault="00E649D2" w:rsidP="00C55E5E">
            <w:pPr>
              <w:pStyle w:val="TableBodyText"/>
              <w:keepNext w:val="0"/>
              <w:keepLines w:val="0"/>
              <w:widowControl w:val="0"/>
              <w:jc w:val="left"/>
            </w:pPr>
            <w:r w:rsidRPr="0051659D">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r w:rsidR="00E649D2" w:rsidRPr="0051659D" w:rsidTr="00C55E5E">
        <w:tc>
          <w:tcPr>
            <w:tcW w:w="2410" w:type="dxa"/>
            <w:shd w:val="clear" w:color="auto" w:fill="FFFFFF" w:themeFill="background1"/>
          </w:tcPr>
          <w:p w:rsidR="00E649D2" w:rsidRPr="0051659D" w:rsidRDefault="00E649D2" w:rsidP="00C55E5E">
            <w:pPr>
              <w:pStyle w:val="TableBodyText"/>
              <w:keepNext w:val="0"/>
              <w:keepLines w:val="0"/>
              <w:widowControl w:val="0"/>
              <w:jc w:val="left"/>
              <w:rPr>
                <w:b/>
              </w:rPr>
            </w:pPr>
            <w:r>
              <w:rPr>
                <w:b/>
              </w:rPr>
              <w:t xml:space="preserve">Youth </w:t>
            </w:r>
            <w:r w:rsidRPr="0051659D">
              <w:rPr>
                <w:b/>
              </w:rPr>
              <w:t>mental health services</w:t>
            </w:r>
          </w:p>
        </w:tc>
        <w:tc>
          <w:tcPr>
            <w:tcW w:w="6379" w:type="dxa"/>
            <w:shd w:val="clear" w:color="auto" w:fill="FFFFFF" w:themeFill="background1"/>
          </w:tcPr>
          <w:p w:rsidR="00E649D2" w:rsidRPr="0051659D" w:rsidRDefault="00E649D2" w:rsidP="00C55E5E">
            <w:pPr>
              <w:pStyle w:val="TableBodyText"/>
              <w:keepNext w:val="0"/>
              <w:keepLines w:val="0"/>
              <w:widowControl w:val="0"/>
              <w:jc w:val="left"/>
            </w:pPr>
            <w:r w:rsidRPr="00311B16">
              <w:t>Services principally target</w:t>
            </w:r>
            <w:r>
              <w:t>ing</w:t>
            </w:r>
            <w:r w:rsidRPr="00311B16">
              <w:t xml:space="preserve"> children and young people generally aged 16</w:t>
            </w:r>
            <w:r>
              <w:noBreakHyphen/>
            </w:r>
            <w:r w:rsidRPr="00311B16">
              <w:t>25 years. The classification of a service into this category requires recognition by the regional or central funding authority of the special focus of the service. These services may include a forensic component.</w:t>
            </w:r>
          </w:p>
        </w:tc>
      </w:tr>
    </w:tbl>
    <w:p w:rsidR="00740F59" w:rsidRDefault="006C520D" w:rsidP="00740F59">
      <w:pPr>
        <w:pStyle w:val="Heading2"/>
      </w:pPr>
      <w:bookmarkStart w:id="25" w:name="_Toc432092259"/>
      <w:r>
        <w:t>12.</w:t>
      </w:r>
      <w:r w:rsidR="00833D26">
        <w:rPr>
          <w:noProof/>
        </w:rPr>
        <w:t>6</w:t>
      </w:r>
      <w:r w:rsidR="00740F59">
        <w:tab/>
      </w:r>
      <w:r w:rsidR="00740F59" w:rsidRPr="00740F59">
        <w:t>List of attachment tables</w:t>
      </w:r>
      <w:bookmarkEnd w:id="25"/>
    </w:p>
    <w:p w:rsidR="00740F59" w:rsidRDefault="00740F59" w:rsidP="00792B10">
      <w:pPr>
        <w:pStyle w:val="BodyText"/>
      </w:pPr>
      <w:r w:rsidRPr="00740F59">
        <w:t>Attachment tables are identified in references throughout this chapter by a ‘</w:t>
      </w:r>
      <w:proofErr w:type="spellStart"/>
      <w:r w:rsidRPr="00740F59">
        <w:t>12A</w:t>
      </w:r>
      <w:proofErr w:type="spellEnd"/>
      <w:r w:rsidRPr="00740F59">
        <w:t>’ prefix (for example, table</w:t>
      </w:r>
      <w:r w:rsidR="0022260C">
        <w:t> </w:t>
      </w:r>
      <w:proofErr w:type="spellStart"/>
      <w:r w:rsidRPr="00740F59">
        <w:t>12A.1</w:t>
      </w:r>
      <w:proofErr w:type="spellEnd"/>
      <w:r w:rsidRPr="00740F59">
        <w:t>). Attachment tables are available on the website (</w:t>
      </w:r>
      <w:proofErr w:type="spellStart"/>
      <w:r w:rsidR="00625992" w:rsidRPr="006D4D2F">
        <w:t>www.pc.gov.au</w:t>
      </w:r>
      <w:proofErr w:type="spellEnd"/>
      <w:r w:rsidR="00625992" w:rsidRPr="006D4D2F">
        <w:t>/</w:t>
      </w:r>
      <w:proofErr w:type="spellStart"/>
      <w:r w:rsidR="00625992">
        <w:t>rogs</w:t>
      </w:r>
      <w:proofErr w:type="spellEnd"/>
      <w:r w:rsidR="00625992">
        <w:t>/2016</w:t>
      </w:r>
      <w:r w:rsidRPr="00740F59">
        <w:t>).</w:t>
      </w:r>
    </w:p>
    <w:p w:rsidR="005B706F" w:rsidRDefault="005B706F" w:rsidP="00625992">
      <w:pPr>
        <w:pStyle w:val="Figurespace"/>
      </w:pPr>
    </w:p>
    <w:tbl>
      <w:tblPr>
        <w:tblW w:w="8860" w:type="dxa"/>
        <w:tblInd w:w="108" w:type="dxa"/>
        <w:tblLook w:val="04A0" w:firstRow="1" w:lastRow="0" w:firstColumn="1" w:lastColumn="0" w:noHBand="0" w:noVBand="1"/>
      </w:tblPr>
      <w:tblGrid>
        <w:gridCol w:w="1456"/>
        <w:gridCol w:w="7404"/>
      </w:tblGrid>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Real estimated Australian Government expenditure on mental health services (2013</w:t>
            </w:r>
            <w:r w:rsidR="00463329">
              <w:rPr>
                <w:rFonts w:ascii="Arial" w:hAnsi="Arial" w:cs="Arial"/>
                <w:sz w:val="20"/>
                <w:szCs w:val="20"/>
              </w:rPr>
              <w:noBreakHyphen/>
            </w:r>
            <w:r w:rsidRPr="005B706F">
              <w:rPr>
                <w:rFonts w:ascii="Arial" w:hAnsi="Arial" w:cs="Arial"/>
                <w:sz w:val="20"/>
                <w:szCs w:val="20"/>
              </w:rPr>
              <w:t>14 dollars) ($million)</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Real estimated recurrent expenditure on State and Territory governments specialised mental health services</w:t>
            </w:r>
            <w:r w:rsidR="00463329">
              <w:rPr>
                <w:rFonts w:ascii="Arial" w:hAnsi="Arial" w:cs="Arial"/>
                <w:sz w:val="20"/>
                <w:szCs w:val="20"/>
              </w:rPr>
              <w:t xml:space="preserve"> </w:t>
            </w:r>
            <w:r w:rsidRPr="005B706F">
              <w:rPr>
                <w:rFonts w:ascii="Arial" w:hAnsi="Arial" w:cs="Arial"/>
                <w:sz w:val="20"/>
                <w:szCs w:val="20"/>
              </w:rPr>
              <w:t>(2013</w:t>
            </w:r>
            <w:r w:rsidR="00463329">
              <w:rPr>
                <w:rFonts w:ascii="Arial" w:hAnsi="Arial" w:cs="Arial"/>
                <w:sz w:val="20"/>
                <w:szCs w:val="20"/>
              </w:rPr>
              <w:noBreakHyphen/>
            </w:r>
            <w:r w:rsidRPr="005B706F">
              <w:rPr>
                <w:rFonts w:ascii="Arial" w:hAnsi="Arial" w:cs="Arial"/>
                <w:sz w:val="20"/>
                <w:szCs w:val="20"/>
              </w:rPr>
              <w:t>14 dollars)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Real estimated expenditure on State and Territory governments</w:t>
            </w:r>
            <w:r w:rsidR="00463329">
              <w:rPr>
                <w:rFonts w:ascii="Arial" w:hAnsi="Arial" w:cs="Arial"/>
                <w:sz w:val="20"/>
                <w:szCs w:val="20"/>
              </w:rPr>
              <w:t>’</w:t>
            </w:r>
            <w:r w:rsidRPr="005B706F">
              <w:rPr>
                <w:rFonts w:ascii="Arial" w:hAnsi="Arial" w:cs="Arial"/>
                <w:sz w:val="20"/>
                <w:szCs w:val="20"/>
              </w:rPr>
              <w:t xml:space="preserve"> specialised mental health services, by funding source (2013</w:t>
            </w:r>
            <w:r w:rsidR="00463329">
              <w:rPr>
                <w:rFonts w:ascii="Arial" w:hAnsi="Arial" w:cs="Arial"/>
                <w:sz w:val="20"/>
                <w:szCs w:val="20"/>
              </w:rPr>
              <w:noBreakHyphen/>
            </w:r>
            <w:r w:rsidRPr="005B706F">
              <w:rPr>
                <w:rFonts w:ascii="Arial" w:hAnsi="Arial" w:cs="Arial"/>
                <w:sz w:val="20"/>
                <w:szCs w:val="20"/>
              </w:rPr>
              <w:t>14 dollars) ($million)</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Real Australian, State and Territory governments expenditure on mental health services (2013</w:t>
            </w:r>
            <w:r w:rsidR="00463329">
              <w:rPr>
                <w:rFonts w:ascii="Arial" w:hAnsi="Arial" w:cs="Arial"/>
                <w:sz w:val="20"/>
                <w:szCs w:val="20"/>
              </w:rPr>
              <w:noBreakHyphen/>
            </w:r>
            <w:r w:rsidRPr="005B706F">
              <w:rPr>
                <w:rFonts w:ascii="Arial" w:hAnsi="Arial" w:cs="Arial"/>
                <w:sz w:val="20"/>
                <w:szCs w:val="20"/>
              </w:rPr>
              <w:t>14 dollars) ($million),</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Depreciation expenditure on State and Territory governments</w:t>
            </w:r>
            <w:r w:rsidR="00463329">
              <w:rPr>
                <w:rFonts w:ascii="Arial" w:hAnsi="Arial" w:cs="Arial"/>
                <w:sz w:val="20"/>
                <w:szCs w:val="20"/>
              </w:rPr>
              <w:t>’</w:t>
            </w:r>
            <w:r w:rsidRPr="005B706F">
              <w:rPr>
                <w:rFonts w:ascii="Arial" w:hAnsi="Arial" w:cs="Arial"/>
                <w:sz w:val="20"/>
                <w:szCs w:val="20"/>
              </w:rPr>
              <w:t xml:space="preserve"> specialised mental health services (current prices) ($million)</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Total state and territory recurrent expenditure on specialised mental health services (current prices)</w:t>
            </w:r>
            <w:r w:rsidR="00463329">
              <w:rPr>
                <w:rFonts w:ascii="Arial" w:hAnsi="Arial" w:cs="Arial"/>
                <w:sz w:val="20"/>
                <w:szCs w:val="20"/>
              </w:rPr>
              <w:t xml:space="preserve"> </w:t>
            </w:r>
          </w:p>
        </w:tc>
      </w:tr>
      <w:tr w:rsidR="005B706F" w:rsidRPr="005B706F" w:rsidTr="005B706F">
        <w:trPr>
          <w:trHeight w:val="593"/>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Functioning and quality of life measures, by 12</w:t>
            </w:r>
            <w:r w:rsidR="00463329">
              <w:rPr>
                <w:rFonts w:ascii="Arial" w:hAnsi="Arial" w:cs="Arial"/>
                <w:sz w:val="20"/>
                <w:szCs w:val="20"/>
              </w:rPr>
              <w:noBreakHyphen/>
            </w:r>
            <w:r w:rsidRPr="005B706F">
              <w:rPr>
                <w:rFonts w:ascii="Arial" w:hAnsi="Arial" w:cs="Arial"/>
                <w:sz w:val="20"/>
                <w:szCs w:val="20"/>
              </w:rPr>
              <w:t xml:space="preserve">month mental disorder status, 2007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w:t>
            </w:r>
            <w:proofErr w:type="spellEnd"/>
          </w:p>
        </w:tc>
        <w:tc>
          <w:tcPr>
            <w:tcW w:w="7404" w:type="dxa"/>
            <w:tcBorders>
              <w:top w:val="nil"/>
              <w:left w:val="nil"/>
              <w:bottom w:val="nil"/>
              <w:right w:val="nil"/>
            </w:tcBorders>
            <w:shd w:val="clear" w:color="auto" w:fill="auto"/>
            <w:hideMark/>
          </w:tcPr>
          <w:p w:rsidR="005B706F" w:rsidRPr="005B706F" w:rsidRDefault="000477EA" w:rsidP="005B706F">
            <w:pPr>
              <w:jc w:val="both"/>
              <w:rPr>
                <w:rFonts w:ascii="Arial" w:hAnsi="Arial" w:cs="Arial"/>
                <w:sz w:val="20"/>
                <w:szCs w:val="20"/>
              </w:rPr>
            </w:pPr>
            <w:r>
              <w:rPr>
                <w:rFonts w:ascii="Arial" w:hAnsi="Arial" w:cs="Arial"/>
                <w:sz w:val="20"/>
                <w:szCs w:val="20"/>
              </w:rPr>
              <w:t>Age-</w:t>
            </w:r>
            <w:r w:rsidR="005B706F" w:rsidRPr="005B706F">
              <w:rPr>
                <w:rFonts w:ascii="Arial" w:hAnsi="Arial" w:cs="Arial"/>
                <w:sz w:val="20"/>
                <w:szCs w:val="20"/>
              </w:rPr>
              <w:t>standardised rate of adults with very high levels of psychological distress, by State and Territory, 2011</w:t>
            </w:r>
            <w:r w:rsidR="00463329">
              <w:rPr>
                <w:rFonts w:ascii="Arial" w:hAnsi="Arial" w:cs="Arial"/>
                <w:sz w:val="20"/>
                <w:szCs w:val="20"/>
              </w:rPr>
              <w:noBreakHyphen/>
            </w:r>
            <w:r w:rsidR="005B706F" w:rsidRPr="005B706F">
              <w:rPr>
                <w:rFonts w:ascii="Arial" w:hAnsi="Arial" w:cs="Arial"/>
                <w:sz w:val="20"/>
                <w:szCs w:val="20"/>
              </w:rPr>
              <w:t>12</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w:t>
            </w:r>
            <w:proofErr w:type="spellEnd"/>
          </w:p>
        </w:tc>
        <w:tc>
          <w:tcPr>
            <w:tcW w:w="7404" w:type="dxa"/>
            <w:tcBorders>
              <w:top w:val="nil"/>
              <w:left w:val="nil"/>
              <w:bottom w:val="nil"/>
              <w:right w:val="nil"/>
            </w:tcBorders>
            <w:shd w:val="clear" w:color="auto" w:fill="auto"/>
            <w:hideMark/>
          </w:tcPr>
          <w:p w:rsidR="005B706F" w:rsidRPr="005B706F" w:rsidRDefault="005B706F" w:rsidP="000477EA">
            <w:pPr>
              <w:jc w:val="both"/>
              <w:rPr>
                <w:rFonts w:ascii="Arial" w:hAnsi="Arial" w:cs="Arial"/>
                <w:sz w:val="20"/>
                <w:szCs w:val="20"/>
              </w:rPr>
            </w:pPr>
            <w:r w:rsidRPr="005B706F">
              <w:rPr>
                <w:rFonts w:ascii="Arial" w:hAnsi="Arial" w:cs="Arial"/>
                <w:sz w:val="20"/>
                <w:szCs w:val="20"/>
              </w:rPr>
              <w:t>Age</w:t>
            </w:r>
            <w:r w:rsidR="000477EA">
              <w:rPr>
                <w:rFonts w:ascii="Arial" w:hAnsi="Arial" w:cs="Arial"/>
                <w:sz w:val="20"/>
                <w:szCs w:val="20"/>
              </w:rPr>
              <w:t>-</w:t>
            </w:r>
            <w:r w:rsidRPr="005B706F">
              <w:rPr>
                <w:rFonts w:ascii="Arial" w:hAnsi="Arial" w:cs="Arial"/>
                <w:sz w:val="20"/>
                <w:szCs w:val="20"/>
              </w:rPr>
              <w:t xml:space="preserve">standardised rate of adults with very high levels of psychological distress, by remoteness, </w:t>
            </w:r>
            <w:proofErr w:type="spellStart"/>
            <w:r w:rsidRPr="005B706F">
              <w:rPr>
                <w:rFonts w:ascii="Arial" w:hAnsi="Arial" w:cs="Arial"/>
                <w:sz w:val="20"/>
                <w:szCs w:val="20"/>
              </w:rPr>
              <w:t>SEIFA</w:t>
            </w:r>
            <w:proofErr w:type="spellEnd"/>
            <w:r w:rsidRPr="005B706F">
              <w:rPr>
                <w:rFonts w:ascii="Arial" w:hAnsi="Arial" w:cs="Arial"/>
                <w:sz w:val="20"/>
                <w:szCs w:val="20"/>
              </w:rPr>
              <w:t xml:space="preserve"> </w:t>
            </w:r>
            <w:proofErr w:type="spellStart"/>
            <w:r w:rsidRPr="005B706F">
              <w:rPr>
                <w:rFonts w:ascii="Arial" w:hAnsi="Arial" w:cs="Arial"/>
                <w:sz w:val="20"/>
                <w:szCs w:val="20"/>
              </w:rPr>
              <w:t>IRSD</w:t>
            </w:r>
            <w:proofErr w:type="spellEnd"/>
            <w:r w:rsidRPr="005B706F">
              <w:rPr>
                <w:rFonts w:ascii="Arial" w:hAnsi="Arial" w:cs="Arial"/>
                <w:sz w:val="20"/>
                <w:szCs w:val="20"/>
              </w:rPr>
              <w:t xml:space="preserve"> quintiles, </w:t>
            </w:r>
            <w:proofErr w:type="spellStart"/>
            <w:r w:rsidRPr="005B706F">
              <w:rPr>
                <w:rFonts w:ascii="Arial" w:hAnsi="Arial" w:cs="Arial"/>
                <w:sz w:val="20"/>
                <w:szCs w:val="20"/>
              </w:rPr>
              <w:t>SEIFA</w:t>
            </w:r>
            <w:proofErr w:type="spellEnd"/>
            <w:r w:rsidRPr="005B706F">
              <w:rPr>
                <w:rFonts w:ascii="Arial" w:hAnsi="Arial" w:cs="Arial"/>
                <w:sz w:val="20"/>
                <w:szCs w:val="20"/>
              </w:rPr>
              <w:t xml:space="preserve"> </w:t>
            </w:r>
            <w:proofErr w:type="spellStart"/>
            <w:r w:rsidRPr="005B706F">
              <w:rPr>
                <w:rFonts w:ascii="Arial" w:hAnsi="Arial" w:cs="Arial"/>
                <w:sz w:val="20"/>
                <w:szCs w:val="20"/>
              </w:rPr>
              <w:t>IRSD</w:t>
            </w:r>
            <w:proofErr w:type="spellEnd"/>
            <w:r w:rsidRPr="005B706F">
              <w:rPr>
                <w:rFonts w:ascii="Arial" w:hAnsi="Arial" w:cs="Arial"/>
                <w:sz w:val="20"/>
                <w:szCs w:val="20"/>
              </w:rPr>
              <w:t xml:space="preserve"> deciles, and disability status, 2011</w:t>
            </w:r>
            <w:r w:rsidR="00463329">
              <w:rPr>
                <w:rFonts w:ascii="Arial" w:hAnsi="Arial" w:cs="Arial"/>
                <w:sz w:val="20"/>
                <w:szCs w:val="20"/>
              </w:rPr>
              <w:noBreakHyphen/>
            </w:r>
            <w:r w:rsidRPr="005B706F">
              <w:rPr>
                <w:rFonts w:ascii="Arial" w:hAnsi="Arial" w:cs="Arial"/>
                <w:sz w:val="20"/>
                <w:szCs w:val="20"/>
              </w:rPr>
              <w:t>12</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12A.10</w:t>
            </w:r>
            <w:proofErr w:type="spellEnd"/>
          </w:p>
        </w:tc>
        <w:tc>
          <w:tcPr>
            <w:tcW w:w="7404" w:type="dxa"/>
            <w:tcBorders>
              <w:top w:val="nil"/>
              <w:left w:val="nil"/>
              <w:bottom w:val="nil"/>
              <w:right w:val="nil"/>
            </w:tcBorders>
            <w:shd w:val="clear" w:color="auto" w:fill="auto"/>
            <w:hideMark/>
          </w:tcPr>
          <w:p w:rsidR="005B706F" w:rsidRPr="005B706F" w:rsidRDefault="005B706F" w:rsidP="000477EA">
            <w:pPr>
              <w:jc w:val="both"/>
              <w:rPr>
                <w:rFonts w:ascii="Arial" w:hAnsi="Arial" w:cs="Arial"/>
                <w:sz w:val="20"/>
                <w:szCs w:val="20"/>
              </w:rPr>
            </w:pPr>
            <w:r w:rsidRPr="005B706F">
              <w:rPr>
                <w:rFonts w:ascii="Arial" w:hAnsi="Arial" w:cs="Arial"/>
                <w:sz w:val="20"/>
                <w:szCs w:val="20"/>
              </w:rPr>
              <w:t>Age</w:t>
            </w:r>
            <w:r w:rsidR="000477EA">
              <w:rPr>
                <w:rFonts w:ascii="Arial" w:hAnsi="Arial" w:cs="Arial"/>
                <w:sz w:val="20"/>
                <w:szCs w:val="20"/>
              </w:rPr>
              <w:t>-</w:t>
            </w:r>
            <w:r w:rsidRPr="005B706F">
              <w:rPr>
                <w:rFonts w:ascii="Arial" w:hAnsi="Arial" w:cs="Arial"/>
                <w:sz w:val="20"/>
                <w:szCs w:val="20"/>
              </w:rPr>
              <w:t>standardised rate of adults with high/ very high levels of psychological distress, by State and Territory, 2011</w:t>
            </w:r>
            <w:r w:rsidR="00463329">
              <w:rPr>
                <w:rFonts w:ascii="Arial" w:hAnsi="Arial" w:cs="Arial"/>
                <w:sz w:val="20"/>
                <w:szCs w:val="20"/>
              </w:rPr>
              <w:noBreakHyphen/>
            </w:r>
            <w:r w:rsidRPr="005B706F">
              <w:rPr>
                <w:rFonts w:ascii="Arial" w:hAnsi="Arial" w:cs="Arial"/>
                <w:sz w:val="20"/>
                <w:szCs w:val="20"/>
              </w:rPr>
              <w:t>12</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12A.11</w:t>
            </w:r>
            <w:proofErr w:type="spellEnd"/>
          </w:p>
        </w:tc>
        <w:tc>
          <w:tcPr>
            <w:tcW w:w="7404" w:type="dxa"/>
            <w:tcBorders>
              <w:top w:val="nil"/>
              <w:left w:val="nil"/>
              <w:bottom w:val="nil"/>
              <w:right w:val="nil"/>
            </w:tcBorders>
            <w:shd w:val="clear" w:color="auto" w:fill="auto"/>
            <w:hideMark/>
          </w:tcPr>
          <w:p w:rsidR="005B706F" w:rsidRPr="005B706F" w:rsidRDefault="005B706F" w:rsidP="000477EA">
            <w:pPr>
              <w:jc w:val="both"/>
              <w:rPr>
                <w:rFonts w:ascii="Arial" w:hAnsi="Arial" w:cs="Arial"/>
                <w:sz w:val="20"/>
                <w:szCs w:val="20"/>
              </w:rPr>
            </w:pPr>
            <w:r w:rsidRPr="005B706F">
              <w:rPr>
                <w:rFonts w:ascii="Arial" w:hAnsi="Arial" w:cs="Arial"/>
                <w:sz w:val="20"/>
                <w:szCs w:val="20"/>
              </w:rPr>
              <w:t>Age</w:t>
            </w:r>
            <w:r w:rsidR="000477EA">
              <w:rPr>
                <w:rFonts w:ascii="Arial" w:hAnsi="Arial" w:cs="Arial"/>
                <w:sz w:val="20"/>
                <w:szCs w:val="20"/>
              </w:rPr>
              <w:t>-</w:t>
            </w:r>
            <w:r w:rsidRPr="005B706F">
              <w:rPr>
                <w:rFonts w:ascii="Arial" w:hAnsi="Arial" w:cs="Arial"/>
                <w:sz w:val="20"/>
                <w:szCs w:val="20"/>
              </w:rPr>
              <w:t>standardised rate of adults with very high levels of psychological distress, by State and Territory, 2007</w:t>
            </w:r>
            <w:r w:rsidR="00463329">
              <w:rPr>
                <w:rFonts w:ascii="Arial" w:hAnsi="Arial" w:cs="Arial"/>
                <w:sz w:val="20"/>
                <w:szCs w:val="20"/>
              </w:rPr>
              <w:noBreakHyphen/>
            </w:r>
            <w:r w:rsidRPr="005B706F">
              <w:rPr>
                <w:rFonts w:ascii="Arial" w:hAnsi="Arial" w:cs="Arial"/>
                <w:sz w:val="20"/>
                <w:szCs w:val="20"/>
              </w:rPr>
              <w:t>08</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12A.12</w:t>
            </w:r>
            <w:proofErr w:type="spellEnd"/>
          </w:p>
        </w:tc>
        <w:tc>
          <w:tcPr>
            <w:tcW w:w="7404" w:type="dxa"/>
            <w:tcBorders>
              <w:top w:val="nil"/>
              <w:left w:val="nil"/>
              <w:bottom w:val="nil"/>
              <w:right w:val="nil"/>
            </w:tcBorders>
            <w:shd w:val="clear" w:color="auto" w:fill="auto"/>
            <w:hideMark/>
          </w:tcPr>
          <w:p w:rsidR="005B706F" w:rsidRPr="005B706F" w:rsidRDefault="005B706F" w:rsidP="000477EA">
            <w:pPr>
              <w:jc w:val="both"/>
              <w:rPr>
                <w:rFonts w:ascii="Arial" w:hAnsi="Arial" w:cs="Arial"/>
                <w:sz w:val="20"/>
                <w:szCs w:val="20"/>
              </w:rPr>
            </w:pPr>
            <w:r w:rsidRPr="005B706F">
              <w:rPr>
                <w:rFonts w:ascii="Arial" w:hAnsi="Arial" w:cs="Arial"/>
                <w:sz w:val="20"/>
                <w:szCs w:val="20"/>
              </w:rPr>
              <w:t>Age</w:t>
            </w:r>
            <w:r w:rsidR="000477EA">
              <w:rPr>
                <w:rFonts w:ascii="Arial" w:hAnsi="Arial" w:cs="Arial"/>
                <w:sz w:val="20"/>
                <w:szCs w:val="20"/>
              </w:rPr>
              <w:t>-</w:t>
            </w:r>
            <w:r w:rsidRPr="005B706F">
              <w:rPr>
                <w:rFonts w:ascii="Arial" w:hAnsi="Arial" w:cs="Arial"/>
                <w:sz w:val="20"/>
                <w:szCs w:val="20"/>
              </w:rPr>
              <w:t xml:space="preserve">standardised rate of adults with very high levels of psychological distress, by remoteness, </w:t>
            </w:r>
            <w:proofErr w:type="spellStart"/>
            <w:r w:rsidRPr="005B706F">
              <w:rPr>
                <w:rFonts w:ascii="Arial" w:hAnsi="Arial" w:cs="Arial"/>
                <w:sz w:val="20"/>
                <w:szCs w:val="20"/>
              </w:rPr>
              <w:t>SEIFA</w:t>
            </w:r>
            <w:proofErr w:type="spellEnd"/>
            <w:r w:rsidRPr="005B706F">
              <w:rPr>
                <w:rFonts w:ascii="Arial" w:hAnsi="Arial" w:cs="Arial"/>
                <w:sz w:val="20"/>
                <w:szCs w:val="20"/>
              </w:rPr>
              <w:t xml:space="preserve"> </w:t>
            </w:r>
            <w:proofErr w:type="spellStart"/>
            <w:r w:rsidRPr="005B706F">
              <w:rPr>
                <w:rFonts w:ascii="Arial" w:hAnsi="Arial" w:cs="Arial"/>
                <w:sz w:val="20"/>
                <w:szCs w:val="20"/>
              </w:rPr>
              <w:t>IRSD</w:t>
            </w:r>
            <w:proofErr w:type="spellEnd"/>
            <w:r w:rsidRPr="005B706F">
              <w:rPr>
                <w:rFonts w:ascii="Arial" w:hAnsi="Arial" w:cs="Arial"/>
                <w:sz w:val="20"/>
                <w:szCs w:val="20"/>
              </w:rPr>
              <w:t xml:space="preserve"> quintiles, </w:t>
            </w:r>
            <w:proofErr w:type="spellStart"/>
            <w:r w:rsidRPr="005B706F">
              <w:rPr>
                <w:rFonts w:ascii="Arial" w:hAnsi="Arial" w:cs="Arial"/>
                <w:sz w:val="20"/>
                <w:szCs w:val="20"/>
              </w:rPr>
              <w:t>SEIFA</w:t>
            </w:r>
            <w:proofErr w:type="spellEnd"/>
            <w:r w:rsidRPr="005B706F">
              <w:rPr>
                <w:rFonts w:ascii="Arial" w:hAnsi="Arial" w:cs="Arial"/>
                <w:sz w:val="20"/>
                <w:szCs w:val="20"/>
              </w:rPr>
              <w:t xml:space="preserve"> </w:t>
            </w:r>
            <w:proofErr w:type="spellStart"/>
            <w:r w:rsidRPr="005B706F">
              <w:rPr>
                <w:rFonts w:ascii="Arial" w:hAnsi="Arial" w:cs="Arial"/>
                <w:sz w:val="20"/>
                <w:szCs w:val="20"/>
              </w:rPr>
              <w:t>IRSD</w:t>
            </w:r>
            <w:proofErr w:type="spellEnd"/>
            <w:r w:rsidRPr="005B706F">
              <w:rPr>
                <w:rFonts w:ascii="Arial" w:hAnsi="Arial" w:cs="Arial"/>
                <w:sz w:val="20"/>
                <w:szCs w:val="20"/>
              </w:rPr>
              <w:t xml:space="preserve"> deciles, and disability status, 2007</w:t>
            </w:r>
            <w:r w:rsidR="00463329">
              <w:rPr>
                <w:rFonts w:ascii="Arial" w:hAnsi="Arial" w:cs="Arial"/>
                <w:sz w:val="20"/>
                <w:szCs w:val="20"/>
              </w:rPr>
              <w:noBreakHyphen/>
            </w:r>
            <w:r w:rsidRPr="005B706F">
              <w:rPr>
                <w:rFonts w:ascii="Arial" w:hAnsi="Arial" w:cs="Arial"/>
                <w:sz w:val="20"/>
                <w:szCs w:val="20"/>
              </w:rPr>
              <w:t>08</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lastRenderedPageBreak/>
              <w:t xml:space="preserve">Table </w:t>
            </w:r>
            <w:proofErr w:type="spellStart"/>
            <w:r w:rsidRPr="005B706F">
              <w:rPr>
                <w:rFonts w:ascii="Arial" w:hAnsi="Arial" w:cs="Arial"/>
                <w:b/>
                <w:bCs/>
                <w:color w:val="0000FF"/>
                <w:sz w:val="20"/>
                <w:szCs w:val="20"/>
              </w:rPr>
              <w:t>12A.13</w:t>
            </w:r>
            <w:proofErr w:type="spellEnd"/>
          </w:p>
        </w:tc>
        <w:tc>
          <w:tcPr>
            <w:tcW w:w="7404" w:type="dxa"/>
            <w:tcBorders>
              <w:top w:val="nil"/>
              <w:left w:val="nil"/>
              <w:bottom w:val="nil"/>
              <w:right w:val="nil"/>
            </w:tcBorders>
            <w:shd w:val="clear" w:color="auto" w:fill="auto"/>
            <w:hideMark/>
          </w:tcPr>
          <w:p w:rsidR="005B706F" w:rsidRPr="005B706F" w:rsidRDefault="005B706F" w:rsidP="000477EA">
            <w:pPr>
              <w:jc w:val="both"/>
              <w:rPr>
                <w:rFonts w:ascii="Arial" w:hAnsi="Arial" w:cs="Arial"/>
                <w:sz w:val="20"/>
                <w:szCs w:val="20"/>
              </w:rPr>
            </w:pPr>
            <w:r w:rsidRPr="005B706F">
              <w:rPr>
                <w:rFonts w:ascii="Arial" w:hAnsi="Arial" w:cs="Arial"/>
                <w:sz w:val="20"/>
                <w:szCs w:val="20"/>
              </w:rPr>
              <w:t>Age</w:t>
            </w:r>
            <w:r w:rsidR="000477EA">
              <w:rPr>
                <w:rFonts w:ascii="Arial" w:hAnsi="Arial" w:cs="Arial"/>
                <w:sz w:val="20"/>
                <w:szCs w:val="20"/>
              </w:rPr>
              <w:t>-</w:t>
            </w:r>
            <w:r w:rsidRPr="005B706F">
              <w:rPr>
                <w:rFonts w:ascii="Arial" w:hAnsi="Arial" w:cs="Arial"/>
                <w:sz w:val="20"/>
                <w:szCs w:val="20"/>
              </w:rPr>
              <w:t>standardised rate of adults with high/ very high levels of psychological distress, by State and Territory, 2007</w:t>
            </w:r>
            <w:r w:rsidR="00463329">
              <w:rPr>
                <w:rFonts w:ascii="Arial" w:hAnsi="Arial" w:cs="Arial"/>
                <w:sz w:val="20"/>
                <w:szCs w:val="20"/>
              </w:rPr>
              <w:noBreakHyphen/>
            </w:r>
            <w:r w:rsidRPr="005B706F">
              <w:rPr>
                <w:rFonts w:ascii="Arial" w:hAnsi="Arial" w:cs="Arial"/>
                <w:sz w:val="20"/>
                <w:szCs w:val="20"/>
              </w:rPr>
              <w:t>08</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Level of psychological distress </w:t>
            </w:r>
            <w:proofErr w:type="spellStart"/>
            <w:r w:rsidRPr="005B706F">
              <w:rPr>
                <w:rFonts w:ascii="Arial" w:hAnsi="Arial" w:cs="Arial"/>
                <w:sz w:val="20"/>
                <w:szCs w:val="20"/>
              </w:rPr>
              <w:t>K10</w:t>
            </w:r>
            <w:proofErr w:type="spellEnd"/>
            <w:r w:rsidRPr="005B706F">
              <w:rPr>
                <w:rFonts w:ascii="Arial" w:hAnsi="Arial" w:cs="Arial"/>
                <w:sz w:val="20"/>
                <w:szCs w:val="20"/>
              </w:rPr>
              <w:t>, 2007</w:t>
            </w:r>
            <w:r w:rsidR="00463329">
              <w:rPr>
                <w:rFonts w:ascii="Arial" w:hAnsi="Arial" w:cs="Arial"/>
                <w:sz w:val="20"/>
                <w:szCs w:val="20"/>
              </w:rPr>
              <w:noBreakHyphen/>
            </w:r>
            <w:r w:rsidRPr="005B706F">
              <w:rPr>
                <w:rFonts w:ascii="Arial" w:hAnsi="Arial" w:cs="Arial"/>
                <w:sz w:val="20"/>
                <w:szCs w:val="20"/>
              </w:rPr>
              <w:t>08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12A.15</w:t>
            </w:r>
            <w:proofErr w:type="spellEnd"/>
          </w:p>
        </w:tc>
        <w:tc>
          <w:tcPr>
            <w:tcW w:w="7404" w:type="dxa"/>
            <w:tcBorders>
              <w:top w:val="nil"/>
              <w:left w:val="nil"/>
              <w:bottom w:val="nil"/>
              <w:right w:val="nil"/>
            </w:tcBorders>
            <w:shd w:val="clear" w:color="auto" w:fill="auto"/>
            <w:hideMark/>
          </w:tcPr>
          <w:p w:rsidR="005B706F" w:rsidRPr="005B706F" w:rsidRDefault="005B706F" w:rsidP="004B7578">
            <w:pPr>
              <w:jc w:val="both"/>
              <w:rPr>
                <w:rFonts w:ascii="Arial" w:hAnsi="Arial" w:cs="Arial"/>
                <w:sz w:val="20"/>
                <w:szCs w:val="20"/>
              </w:rPr>
            </w:pPr>
            <w:r w:rsidRPr="005B706F">
              <w:rPr>
                <w:rFonts w:ascii="Arial" w:hAnsi="Arial" w:cs="Arial"/>
                <w:sz w:val="20"/>
                <w:szCs w:val="20"/>
              </w:rPr>
              <w:t>Age</w:t>
            </w:r>
            <w:r w:rsidR="004B7578">
              <w:rPr>
                <w:rFonts w:ascii="Arial" w:hAnsi="Arial" w:cs="Arial"/>
                <w:sz w:val="20"/>
                <w:szCs w:val="20"/>
              </w:rPr>
              <w:t>-</w:t>
            </w:r>
            <w:r w:rsidRPr="005B706F">
              <w:rPr>
                <w:rFonts w:ascii="Arial" w:hAnsi="Arial" w:cs="Arial"/>
                <w:sz w:val="20"/>
                <w:szCs w:val="20"/>
              </w:rPr>
              <w:t>standardised rate of adults with high/ very high levels of psychological distress, by State and Territory, by Indigenous status, 2011</w:t>
            </w:r>
            <w:r w:rsidR="00463329">
              <w:rPr>
                <w:rFonts w:ascii="Arial" w:hAnsi="Arial" w:cs="Arial"/>
                <w:sz w:val="20"/>
                <w:szCs w:val="20"/>
              </w:rPr>
              <w:t>–</w:t>
            </w:r>
            <w:r w:rsidRPr="005B706F">
              <w:rPr>
                <w:rFonts w:ascii="Arial" w:hAnsi="Arial" w:cs="Arial"/>
                <w:sz w:val="20"/>
                <w:szCs w:val="20"/>
              </w:rPr>
              <w:t>13</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Level of psychological distress </w:t>
            </w:r>
            <w:proofErr w:type="spellStart"/>
            <w:r w:rsidRPr="005B706F">
              <w:rPr>
                <w:rFonts w:ascii="Arial" w:hAnsi="Arial" w:cs="Arial"/>
                <w:sz w:val="20"/>
                <w:szCs w:val="20"/>
              </w:rPr>
              <w:t>K10</w:t>
            </w:r>
            <w:proofErr w:type="spellEnd"/>
            <w:r w:rsidRPr="005B706F">
              <w:rPr>
                <w:rFonts w:ascii="Arial" w:hAnsi="Arial" w:cs="Arial"/>
                <w:sz w:val="20"/>
                <w:szCs w:val="20"/>
              </w:rPr>
              <w:t>, 2004</w:t>
            </w:r>
            <w:r w:rsidR="00463329">
              <w:rPr>
                <w:rFonts w:ascii="Arial" w:hAnsi="Arial" w:cs="Arial"/>
                <w:sz w:val="20"/>
                <w:szCs w:val="20"/>
              </w:rPr>
              <w:noBreakHyphen/>
            </w:r>
            <w:r w:rsidRPr="005B706F">
              <w:rPr>
                <w:rFonts w:ascii="Arial" w:hAnsi="Arial" w:cs="Arial"/>
                <w:sz w:val="20"/>
                <w:szCs w:val="20"/>
              </w:rPr>
              <w:t>05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Mental health care specific </w:t>
            </w:r>
            <w:proofErr w:type="spellStart"/>
            <w:r w:rsidRPr="005B706F">
              <w:rPr>
                <w:rFonts w:ascii="Arial" w:hAnsi="Arial" w:cs="Arial"/>
                <w:sz w:val="20"/>
                <w:szCs w:val="20"/>
              </w:rPr>
              <w:t>MBS</w:t>
            </w:r>
            <w:proofErr w:type="spellEnd"/>
            <w:r w:rsidRPr="005B706F">
              <w:rPr>
                <w:rFonts w:ascii="Arial" w:hAnsi="Arial" w:cs="Arial"/>
                <w:sz w:val="20"/>
                <w:szCs w:val="20"/>
              </w:rPr>
              <w:t xml:space="preserve"> items processed</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GP mental health</w:t>
            </w:r>
            <w:r w:rsidR="00463329">
              <w:rPr>
                <w:rFonts w:ascii="Arial" w:hAnsi="Arial" w:cs="Arial"/>
                <w:sz w:val="20"/>
                <w:szCs w:val="20"/>
              </w:rPr>
              <w:noBreakHyphen/>
            </w:r>
            <w:r w:rsidRPr="005B706F">
              <w:rPr>
                <w:rFonts w:ascii="Arial" w:hAnsi="Arial" w:cs="Arial"/>
                <w:sz w:val="20"/>
                <w:szCs w:val="20"/>
              </w:rPr>
              <w:t xml:space="preserve">related encounters (general and mental health specific)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12A.19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GP mental health</w:t>
            </w:r>
            <w:r w:rsidR="00463329">
              <w:rPr>
                <w:rFonts w:ascii="Arial" w:hAnsi="Arial" w:cs="Arial"/>
                <w:sz w:val="20"/>
                <w:szCs w:val="20"/>
              </w:rPr>
              <w:noBreakHyphen/>
            </w:r>
            <w:r w:rsidRPr="005B706F">
              <w:rPr>
                <w:rFonts w:ascii="Arial" w:hAnsi="Arial" w:cs="Arial"/>
                <w:sz w:val="20"/>
                <w:szCs w:val="20"/>
              </w:rPr>
              <w:t>related encounters (general and mental health specific), by patient demographics, 2013</w:t>
            </w:r>
            <w:r w:rsidR="00463329">
              <w:rPr>
                <w:rFonts w:ascii="Arial" w:hAnsi="Arial" w:cs="Arial"/>
                <w:sz w:val="20"/>
                <w:szCs w:val="20"/>
              </w:rPr>
              <w:noBreakHyphen/>
            </w:r>
            <w:r w:rsidRPr="005B706F">
              <w:rPr>
                <w:rFonts w:ascii="Arial" w:hAnsi="Arial" w:cs="Arial"/>
                <w:sz w:val="20"/>
                <w:szCs w:val="20"/>
              </w:rPr>
              <w:t>14</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The 10 most frequent GP managed mental health</w:t>
            </w:r>
            <w:r w:rsidR="00463329">
              <w:rPr>
                <w:rFonts w:ascii="Arial" w:hAnsi="Arial" w:cs="Arial"/>
                <w:sz w:val="20"/>
                <w:szCs w:val="20"/>
              </w:rPr>
              <w:noBreakHyphen/>
            </w:r>
            <w:r w:rsidRPr="005B706F">
              <w:rPr>
                <w:rFonts w:ascii="Arial" w:hAnsi="Arial" w:cs="Arial"/>
                <w:sz w:val="20"/>
                <w:szCs w:val="20"/>
              </w:rPr>
              <w:t>related problems, by gender, 2013</w:t>
            </w:r>
            <w:r w:rsidR="00463329">
              <w:rPr>
                <w:rFonts w:ascii="Arial" w:hAnsi="Arial" w:cs="Arial"/>
                <w:sz w:val="20"/>
                <w:szCs w:val="20"/>
              </w:rPr>
              <w:noBreakHyphen/>
            </w:r>
            <w:r w:rsidRPr="005B706F">
              <w:rPr>
                <w:rFonts w:ascii="Arial" w:hAnsi="Arial" w:cs="Arial"/>
                <w:sz w:val="20"/>
                <w:szCs w:val="20"/>
              </w:rPr>
              <w:t>14</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Mental health patient days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Admitted patient mental health</w:t>
            </w:r>
            <w:r w:rsidR="00463329">
              <w:rPr>
                <w:rFonts w:ascii="Arial" w:hAnsi="Arial" w:cs="Arial"/>
                <w:sz w:val="20"/>
                <w:szCs w:val="20"/>
              </w:rPr>
              <w:noBreakHyphen/>
            </w:r>
            <w:r w:rsidRPr="005B706F">
              <w:rPr>
                <w:rFonts w:ascii="Arial" w:hAnsi="Arial" w:cs="Arial"/>
                <w:sz w:val="20"/>
                <w:szCs w:val="20"/>
              </w:rPr>
              <w:t xml:space="preserve">related separations with specialised psychiatric care, by principal diagnosis in </w:t>
            </w:r>
            <w:proofErr w:type="spellStart"/>
            <w:r w:rsidRPr="005B706F">
              <w:rPr>
                <w:rFonts w:ascii="Arial" w:hAnsi="Arial" w:cs="Arial"/>
                <w:sz w:val="20"/>
                <w:szCs w:val="20"/>
              </w:rPr>
              <w:t>ICD</w:t>
            </w:r>
            <w:proofErr w:type="spellEnd"/>
            <w:r w:rsidR="00463329">
              <w:rPr>
                <w:rFonts w:ascii="Arial" w:hAnsi="Arial" w:cs="Arial"/>
                <w:sz w:val="20"/>
                <w:szCs w:val="20"/>
              </w:rPr>
              <w:noBreakHyphen/>
            </w:r>
            <w:r w:rsidRPr="005B706F">
              <w:rPr>
                <w:rFonts w:ascii="Arial" w:hAnsi="Arial" w:cs="Arial"/>
                <w:sz w:val="20"/>
                <w:szCs w:val="20"/>
              </w:rPr>
              <w:t>10</w:t>
            </w:r>
            <w:r w:rsidR="00463329">
              <w:rPr>
                <w:rFonts w:ascii="Arial" w:hAnsi="Arial" w:cs="Arial"/>
                <w:sz w:val="20"/>
                <w:szCs w:val="20"/>
              </w:rPr>
              <w:noBreakHyphen/>
            </w:r>
            <w:r w:rsidRPr="005B706F">
              <w:rPr>
                <w:rFonts w:ascii="Arial" w:hAnsi="Arial" w:cs="Arial"/>
                <w:sz w:val="20"/>
                <w:szCs w:val="20"/>
              </w:rPr>
              <w:t xml:space="preserve">AM and hospital type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Ambulatory</w:t>
            </w:r>
            <w:r w:rsidR="00463329">
              <w:rPr>
                <w:rFonts w:ascii="Arial" w:hAnsi="Arial" w:cs="Arial"/>
                <w:sz w:val="20"/>
                <w:szCs w:val="20"/>
              </w:rPr>
              <w:noBreakHyphen/>
            </w:r>
            <w:r w:rsidRPr="005B706F">
              <w:rPr>
                <w:rFonts w:ascii="Arial" w:hAnsi="Arial" w:cs="Arial"/>
                <w:sz w:val="20"/>
                <w:szCs w:val="20"/>
              </w:rPr>
              <w:t>equivalent public mental health</w:t>
            </w:r>
            <w:r w:rsidR="00463329">
              <w:rPr>
                <w:rFonts w:ascii="Arial" w:hAnsi="Arial" w:cs="Arial"/>
                <w:sz w:val="20"/>
                <w:szCs w:val="20"/>
              </w:rPr>
              <w:noBreakHyphen/>
            </w:r>
            <w:r w:rsidRPr="005B706F">
              <w:rPr>
                <w:rFonts w:ascii="Arial" w:hAnsi="Arial" w:cs="Arial"/>
                <w:sz w:val="20"/>
                <w:szCs w:val="20"/>
              </w:rPr>
              <w:t>related separations with specialised psychiatric care, by principal diagnosis, 2012</w:t>
            </w:r>
            <w:r w:rsidR="00463329">
              <w:rPr>
                <w:rFonts w:ascii="Arial" w:hAnsi="Arial" w:cs="Arial"/>
                <w:sz w:val="20"/>
                <w:szCs w:val="20"/>
              </w:rPr>
              <w:noBreakHyphen/>
            </w:r>
            <w:r w:rsidRPr="005B706F">
              <w:rPr>
                <w:rFonts w:ascii="Arial" w:hAnsi="Arial" w:cs="Arial"/>
                <w:sz w:val="20"/>
                <w:szCs w:val="20"/>
              </w:rPr>
              <w:t xml:space="preserve">13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Community mental health service contacts, by sex and age group</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Specialised mental health care reported, by Indigenous status</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Available beds in State and Territory governments</w:t>
            </w:r>
            <w:r w:rsidR="00463329">
              <w:rPr>
                <w:rFonts w:ascii="Arial" w:hAnsi="Arial" w:cs="Arial"/>
                <w:sz w:val="20"/>
                <w:szCs w:val="20"/>
              </w:rPr>
              <w:t>’</w:t>
            </w:r>
            <w:r w:rsidRPr="005B706F">
              <w:rPr>
                <w:rFonts w:ascii="Arial" w:hAnsi="Arial" w:cs="Arial"/>
                <w:sz w:val="20"/>
                <w:szCs w:val="20"/>
              </w:rPr>
              <w:t xml:space="preserve"> specialised mental health services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12A.27</w:t>
            </w:r>
            <w:proofErr w:type="spellEnd"/>
          </w:p>
        </w:tc>
        <w:tc>
          <w:tcPr>
            <w:tcW w:w="7404" w:type="dxa"/>
            <w:tcBorders>
              <w:top w:val="nil"/>
              <w:left w:val="nil"/>
              <w:bottom w:val="nil"/>
              <w:right w:val="nil"/>
            </w:tcBorders>
            <w:shd w:val="clear" w:color="auto" w:fill="auto"/>
            <w:hideMark/>
          </w:tcPr>
          <w:p w:rsidR="005B706F" w:rsidRPr="005B706F" w:rsidRDefault="005B706F" w:rsidP="00EC64FD">
            <w:pPr>
              <w:jc w:val="both"/>
              <w:rPr>
                <w:rFonts w:ascii="Arial" w:hAnsi="Arial" w:cs="Arial"/>
                <w:sz w:val="20"/>
                <w:szCs w:val="20"/>
              </w:rPr>
            </w:pPr>
            <w:r w:rsidRPr="005B706F">
              <w:rPr>
                <w:rFonts w:ascii="Arial" w:hAnsi="Arial" w:cs="Arial"/>
                <w:sz w:val="20"/>
                <w:szCs w:val="20"/>
              </w:rPr>
              <w:t>Full</w:t>
            </w:r>
            <w:r w:rsidR="006F3EBA">
              <w:rPr>
                <w:rFonts w:ascii="Arial" w:hAnsi="Arial" w:cs="Arial"/>
                <w:sz w:val="20"/>
                <w:szCs w:val="20"/>
              </w:rPr>
              <w:t xml:space="preserve"> </w:t>
            </w:r>
            <w:r w:rsidRPr="005B706F">
              <w:rPr>
                <w:rFonts w:ascii="Arial" w:hAnsi="Arial" w:cs="Arial"/>
                <w:sz w:val="20"/>
                <w:szCs w:val="20"/>
              </w:rPr>
              <w:t>time equivalent (FTE) direct care staff employed in specialised mental health services by staff type (per 100 000 people)</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12A.28</w:t>
            </w:r>
            <w:proofErr w:type="spellEnd"/>
          </w:p>
        </w:tc>
        <w:tc>
          <w:tcPr>
            <w:tcW w:w="7404" w:type="dxa"/>
            <w:tcBorders>
              <w:top w:val="nil"/>
              <w:left w:val="nil"/>
              <w:bottom w:val="nil"/>
              <w:right w:val="nil"/>
            </w:tcBorders>
            <w:shd w:val="clear" w:color="auto" w:fill="auto"/>
            <w:hideMark/>
          </w:tcPr>
          <w:p w:rsidR="005B706F" w:rsidRPr="005B706F" w:rsidRDefault="006F3EBA" w:rsidP="00EC64FD">
            <w:pPr>
              <w:jc w:val="both"/>
              <w:rPr>
                <w:rFonts w:ascii="Arial" w:hAnsi="Arial" w:cs="Arial"/>
                <w:sz w:val="20"/>
                <w:szCs w:val="20"/>
              </w:rPr>
            </w:pPr>
            <w:r>
              <w:rPr>
                <w:rFonts w:ascii="Arial" w:hAnsi="Arial" w:cs="Arial"/>
                <w:sz w:val="20"/>
                <w:szCs w:val="20"/>
              </w:rPr>
              <w:t>FTE</w:t>
            </w:r>
            <w:r w:rsidR="005B706F" w:rsidRPr="005B706F">
              <w:rPr>
                <w:rFonts w:ascii="Arial" w:hAnsi="Arial" w:cs="Arial"/>
                <w:sz w:val="20"/>
                <w:szCs w:val="20"/>
              </w:rPr>
              <w:t xml:space="preserve"> direct care staff employed in specialised mental health services, by service setting (per 100 000 people)</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12A.29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Targeted Community Care (Mental Health) program participants (number)</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Admitted patient mental health</w:t>
            </w:r>
            <w:r w:rsidR="00463329">
              <w:rPr>
                <w:rFonts w:ascii="Arial" w:hAnsi="Arial" w:cs="Arial"/>
                <w:sz w:val="20"/>
                <w:szCs w:val="20"/>
              </w:rPr>
              <w:noBreakHyphen/>
            </w:r>
            <w:r w:rsidRPr="005B706F">
              <w:rPr>
                <w:rFonts w:ascii="Arial" w:hAnsi="Arial" w:cs="Arial"/>
                <w:sz w:val="20"/>
                <w:szCs w:val="20"/>
              </w:rPr>
              <w:t xml:space="preserve">related separations without specialised psychiatric care, by principal diagnosis in </w:t>
            </w:r>
            <w:proofErr w:type="spellStart"/>
            <w:r w:rsidRPr="005B706F">
              <w:rPr>
                <w:rFonts w:ascii="Arial" w:hAnsi="Arial" w:cs="Arial"/>
                <w:sz w:val="20"/>
                <w:szCs w:val="20"/>
              </w:rPr>
              <w:t>ICD</w:t>
            </w:r>
            <w:proofErr w:type="spellEnd"/>
            <w:r w:rsidR="00463329">
              <w:rPr>
                <w:rFonts w:ascii="Arial" w:hAnsi="Arial" w:cs="Arial"/>
                <w:sz w:val="20"/>
                <w:szCs w:val="20"/>
              </w:rPr>
              <w:noBreakHyphen/>
            </w:r>
            <w:r w:rsidRPr="005B706F">
              <w:rPr>
                <w:rFonts w:ascii="Arial" w:hAnsi="Arial" w:cs="Arial"/>
                <w:sz w:val="20"/>
                <w:szCs w:val="20"/>
              </w:rPr>
              <w:t>10</w:t>
            </w:r>
            <w:r w:rsidR="00463329">
              <w:rPr>
                <w:rFonts w:ascii="Arial" w:hAnsi="Arial" w:cs="Arial"/>
                <w:sz w:val="20"/>
                <w:szCs w:val="20"/>
              </w:rPr>
              <w:noBreakHyphen/>
            </w:r>
            <w:r w:rsidRPr="005B706F">
              <w:rPr>
                <w:rFonts w:ascii="Arial" w:hAnsi="Arial" w:cs="Arial"/>
                <w:sz w:val="20"/>
                <w:szCs w:val="20"/>
              </w:rPr>
              <w:t>AM groupings, 2012</w:t>
            </w:r>
            <w:r w:rsidR="00463329">
              <w:rPr>
                <w:rFonts w:ascii="Arial" w:hAnsi="Arial" w:cs="Arial"/>
                <w:sz w:val="20"/>
                <w:szCs w:val="20"/>
              </w:rPr>
              <w:noBreakHyphen/>
            </w:r>
            <w:r w:rsidRPr="005B706F">
              <w:rPr>
                <w:rFonts w:ascii="Arial" w:hAnsi="Arial" w:cs="Arial"/>
                <w:sz w:val="20"/>
                <w:szCs w:val="20"/>
              </w:rPr>
              <w:t>13</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Ambulatory</w:t>
            </w:r>
            <w:r w:rsidR="00463329">
              <w:rPr>
                <w:rFonts w:ascii="Arial" w:hAnsi="Arial" w:cs="Arial"/>
                <w:sz w:val="20"/>
                <w:szCs w:val="20"/>
              </w:rPr>
              <w:noBreakHyphen/>
            </w:r>
            <w:r w:rsidRPr="005B706F">
              <w:rPr>
                <w:rFonts w:ascii="Arial" w:hAnsi="Arial" w:cs="Arial"/>
                <w:sz w:val="20"/>
                <w:szCs w:val="20"/>
              </w:rPr>
              <w:t>equivalent mental health</w:t>
            </w:r>
            <w:r w:rsidR="00463329">
              <w:rPr>
                <w:rFonts w:ascii="Arial" w:hAnsi="Arial" w:cs="Arial"/>
                <w:sz w:val="20"/>
                <w:szCs w:val="20"/>
              </w:rPr>
              <w:noBreakHyphen/>
            </w:r>
            <w:r w:rsidRPr="005B706F">
              <w:rPr>
                <w:rFonts w:ascii="Arial" w:hAnsi="Arial" w:cs="Arial"/>
                <w:sz w:val="20"/>
                <w:szCs w:val="20"/>
              </w:rPr>
              <w:t>related separations without specialised psychiatric care, by principal diagnosis, 2012</w:t>
            </w:r>
            <w:r w:rsidR="00463329">
              <w:rPr>
                <w:rFonts w:ascii="Arial" w:hAnsi="Arial" w:cs="Arial"/>
                <w:sz w:val="20"/>
                <w:szCs w:val="20"/>
              </w:rPr>
              <w:noBreakHyphen/>
            </w:r>
            <w:r w:rsidRPr="005B706F">
              <w:rPr>
                <w:rFonts w:ascii="Arial" w:hAnsi="Arial" w:cs="Arial"/>
                <w:sz w:val="20"/>
                <w:szCs w:val="20"/>
              </w:rPr>
              <w:t xml:space="preserve">13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Mental health</w:t>
            </w:r>
            <w:r w:rsidR="00463329">
              <w:rPr>
                <w:rFonts w:ascii="Arial" w:hAnsi="Arial" w:cs="Arial"/>
                <w:sz w:val="20"/>
                <w:szCs w:val="20"/>
              </w:rPr>
              <w:noBreakHyphen/>
            </w:r>
            <w:r w:rsidRPr="005B706F">
              <w:rPr>
                <w:rFonts w:ascii="Arial" w:hAnsi="Arial" w:cs="Arial"/>
                <w:sz w:val="20"/>
                <w:szCs w:val="20"/>
              </w:rPr>
              <w:t>related emergency department occasions of service in public hospitals, by episode end status, 2012</w:t>
            </w:r>
            <w:r w:rsidR="00463329">
              <w:rPr>
                <w:rFonts w:ascii="Arial" w:hAnsi="Arial" w:cs="Arial"/>
                <w:sz w:val="20"/>
                <w:szCs w:val="20"/>
              </w:rPr>
              <w:noBreakHyphen/>
            </w:r>
            <w:r w:rsidRPr="005B706F">
              <w:rPr>
                <w:rFonts w:ascii="Arial" w:hAnsi="Arial" w:cs="Arial"/>
                <w:sz w:val="20"/>
                <w:szCs w:val="20"/>
              </w:rPr>
              <w:t xml:space="preserve">13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New clients as a proportion of total clients under the care of State or Territory specialised public mental health services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New clients as a proportion of total clients under the care of State or Territory specialised public mental health services, by selected characteristics, 2013</w:t>
            </w:r>
            <w:r w:rsidR="00463329">
              <w:rPr>
                <w:rFonts w:ascii="Arial" w:hAnsi="Arial" w:cs="Arial"/>
                <w:sz w:val="20"/>
                <w:szCs w:val="20"/>
              </w:rPr>
              <w:noBreakHyphen/>
            </w:r>
            <w:r w:rsidRPr="005B706F">
              <w:rPr>
                <w:rFonts w:ascii="Arial" w:hAnsi="Arial" w:cs="Arial"/>
                <w:sz w:val="20"/>
                <w:szCs w:val="20"/>
              </w:rPr>
              <w:t>14</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New clients as a proportion of total clients of </w:t>
            </w:r>
            <w:proofErr w:type="spellStart"/>
            <w:r w:rsidRPr="005B706F">
              <w:rPr>
                <w:rFonts w:ascii="Arial" w:hAnsi="Arial" w:cs="Arial"/>
                <w:sz w:val="20"/>
                <w:szCs w:val="20"/>
              </w:rPr>
              <w:t>MBS</w:t>
            </w:r>
            <w:proofErr w:type="spellEnd"/>
            <w:r w:rsidRPr="005B706F">
              <w:rPr>
                <w:rFonts w:ascii="Arial" w:hAnsi="Arial" w:cs="Arial"/>
                <w:sz w:val="20"/>
                <w:szCs w:val="20"/>
              </w:rPr>
              <w:t xml:space="preserve"> subsidised mental health services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12A.36</w:t>
            </w:r>
            <w:proofErr w:type="spellEnd"/>
          </w:p>
        </w:tc>
        <w:tc>
          <w:tcPr>
            <w:tcW w:w="7404" w:type="dxa"/>
            <w:tcBorders>
              <w:top w:val="nil"/>
              <w:left w:val="nil"/>
              <w:bottom w:val="nil"/>
              <w:right w:val="nil"/>
            </w:tcBorders>
            <w:shd w:val="clear" w:color="auto" w:fill="auto"/>
            <w:hideMark/>
          </w:tcPr>
          <w:p w:rsidR="005B706F" w:rsidRPr="005B706F" w:rsidRDefault="00C4273C" w:rsidP="007F3DCA">
            <w:pPr>
              <w:jc w:val="both"/>
              <w:rPr>
                <w:rFonts w:ascii="Arial" w:hAnsi="Arial" w:cs="Arial"/>
                <w:sz w:val="20"/>
                <w:szCs w:val="20"/>
              </w:rPr>
            </w:pPr>
            <w:r w:rsidRPr="005B706F">
              <w:rPr>
                <w:rFonts w:ascii="Arial" w:hAnsi="Arial" w:cs="Arial"/>
                <w:sz w:val="20"/>
                <w:szCs w:val="20"/>
              </w:rPr>
              <w:t xml:space="preserve">New clients as a proportion of total clients under the care of </w:t>
            </w:r>
            <w:proofErr w:type="spellStart"/>
            <w:r w:rsidRPr="005B706F">
              <w:rPr>
                <w:rFonts w:ascii="Arial" w:hAnsi="Arial" w:cs="Arial"/>
                <w:sz w:val="20"/>
                <w:szCs w:val="20"/>
              </w:rPr>
              <w:t>MBS</w:t>
            </w:r>
            <w:proofErr w:type="spellEnd"/>
            <w:r w:rsidRPr="005B706F">
              <w:rPr>
                <w:rFonts w:ascii="Arial" w:hAnsi="Arial" w:cs="Arial"/>
                <w:sz w:val="20"/>
                <w:szCs w:val="20"/>
              </w:rPr>
              <w:t xml:space="preserve"> subsidised mental health services, by selected characteristics, 201</w:t>
            </w:r>
            <w:r w:rsidR="007F3DCA">
              <w:rPr>
                <w:rFonts w:ascii="Arial" w:hAnsi="Arial" w:cs="Arial"/>
                <w:sz w:val="20"/>
                <w:szCs w:val="20"/>
              </w:rPr>
              <w:t>4</w:t>
            </w:r>
            <w:r w:rsidR="00463329">
              <w:rPr>
                <w:rFonts w:ascii="Arial" w:hAnsi="Arial" w:cs="Arial"/>
                <w:sz w:val="20"/>
                <w:szCs w:val="20"/>
              </w:rPr>
              <w:noBreakHyphen/>
            </w:r>
            <w:r w:rsidRPr="005B706F">
              <w:rPr>
                <w:rFonts w:ascii="Arial" w:hAnsi="Arial" w:cs="Arial"/>
                <w:sz w:val="20"/>
                <w:szCs w:val="20"/>
              </w:rPr>
              <w:t>1</w:t>
            </w:r>
            <w:r w:rsidR="007F3DCA">
              <w:rPr>
                <w:rFonts w:ascii="Arial" w:hAnsi="Arial" w:cs="Arial"/>
                <w:sz w:val="20"/>
                <w:szCs w:val="20"/>
              </w:rPr>
              <w:t>5</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Proportion of people receiving clinical mental health services by service type and Indigenous status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lastRenderedPageBreak/>
              <w:t xml:space="preserve">Table </w:t>
            </w:r>
            <w:proofErr w:type="spellStart"/>
            <w:r w:rsidRPr="005B706F">
              <w:rPr>
                <w:rFonts w:ascii="Arial" w:hAnsi="Arial" w:cs="Arial"/>
                <w:b/>
                <w:bCs/>
                <w:color w:val="0000FF"/>
                <w:sz w:val="20"/>
                <w:szCs w:val="20"/>
              </w:rPr>
              <w:t>12A.38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Proportion of people receiving clinical mental health services by service type and remoteness area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12A.39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Proportion of people receiving clinical mental health services by service type and SEIFA</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People receiving clinical public mental health services, by age group and gender, 2013</w:t>
            </w:r>
            <w:r w:rsidR="00463329">
              <w:rPr>
                <w:rFonts w:ascii="Arial" w:hAnsi="Arial" w:cs="Arial"/>
                <w:sz w:val="20"/>
                <w:szCs w:val="20"/>
              </w:rPr>
              <w:noBreakHyphen/>
            </w:r>
            <w:r w:rsidRPr="005B706F">
              <w:rPr>
                <w:rFonts w:ascii="Arial" w:hAnsi="Arial" w:cs="Arial"/>
                <w:sz w:val="20"/>
                <w:szCs w:val="20"/>
              </w:rPr>
              <w:t>14</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Proportion of people receiving clinical mental health services, by service type and </w:t>
            </w:r>
            <w:proofErr w:type="spellStart"/>
            <w:r w:rsidRPr="005B706F">
              <w:rPr>
                <w:rFonts w:ascii="Arial" w:hAnsi="Arial" w:cs="Arial"/>
                <w:sz w:val="20"/>
                <w:szCs w:val="20"/>
              </w:rPr>
              <w:t>SEIFA</w:t>
            </w:r>
            <w:proofErr w:type="spellEnd"/>
            <w:r w:rsidRPr="005B706F">
              <w:rPr>
                <w:rFonts w:ascii="Arial" w:hAnsi="Arial" w:cs="Arial"/>
                <w:sz w:val="20"/>
                <w:szCs w:val="20"/>
              </w:rPr>
              <w:t xml:space="preserve"> </w:t>
            </w:r>
            <w:proofErr w:type="spellStart"/>
            <w:r w:rsidRPr="005B706F">
              <w:rPr>
                <w:rFonts w:ascii="Arial" w:hAnsi="Arial" w:cs="Arial"/>
                <w:sz w:val="20"/>
                <w:szCs w:val="20"/>
              </w:rPr>
              <w:t>IRSD</w:t>
            </w:r>
            <w:proofErr w:type="spellEnd"/>
            <w:r w:rsidRPr="005B706F">
              <w:rPr>
                <w:rFonts w:ascii="Arial" w:hAnsi="Arial" w:cs="Arial"/>
                <w:sz w:val="20"/>
                <w:szCs w:val="20"/>
              </w:rPr>
              <w:t xml:space="preserve"> </w:t>
            </w:r>
            <w:proofErr w:type="spellStart"/>
            <w:r w:rsidR="00A64644">
              <w:rPr>
                <w:rFonts w:ascii="Arial" w:hAnsi="Arial" w:cs="Arial"/>
                <w:sz w:val="20"/>
                <w:szCs w:val="20"/>
              </w:rPr>
              <w:t>deciles</w:t>
            </w:r>
            <w:proofErr w:type="spellEnd"/>
            <w:r w:rsidR="00A64644">
              <w:rPr>
                <w:rFonts w:ascii="Arial" w:hAnsi="Arial" w:cs="Arial"/>
                <w:sz w:val="20"/>
                <w:szCs w:val="20"/>
              </w:rPr>
              <w:t xml:space="preserve"> (age</w:t>
            </w:r>
            <w:r w:rsidR="00463329">
              <w:rPr>
                <w:rFonts w:ascii="Arial" w:hAnsi="Arial" w:cs="Arial"/>
                <w:sz w:val="20"/>
                <w:szCs w:val="20"/>
              </w:rPr>
              <w:noBreakHyphen/>
            </w:r>
            <w:r w:rsidRPr="005B706F">
              <w:rPr>
                <w:rFonts w:ascii="Arial" w:hAnsi="Arial" w:cs="Arial"/>
                <w:sz w:val="20"/>
                <w:szCs w:val="20"/>
              </w:rPr>
              <w:t>standardised rate)</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Proportion of people receiving clinical mental health services by service type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Services used for mental health problems, Australia, 2007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Services used for mental health, by mental disorder status, 2007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Young </w:t>
            </w:r>
            <w:r w:rsidR="00A64644">
              <w:rPr>
                <w:rFonts w:ascii="Arial" w:hAnsi="Arial" w:cs="Arial"/>
                <w:sz w:val="20"/>
                <w:szCs w:val="20"/>
              </w:rPr>
              <w:t xml:space="preserve">people who had contact with </w:t>
            </w:r>
            <w:proofErr w:type="spellStart"/>
            <w:r w:rsidR="00A64644">
              <w:rPr>
                <w:rFonts w:ascii="Arial" w:hAnsi="Arial" w:cs="Arial"/>
                <w:sz w:val="20"/>
                <w:szCs w:val="20"/>
              </w:rPr>
              <w:t>MBS</w:t>
            </w:r>
            <w:proofErr w:type="spellEnd"/>
            <w:r w:rsidR="00A64644">
              <w:rPr>
                <w:rFonts w:ascii="Arial" w:hAnsi="Arial" w:cs="Arial"/>
                <w:sz w:val="20"/>
                <w:szCs w:val="20"/>
              </w:rPr>
              <w:t xml:space="preserve"> </w:t>
            </w:r>
            <w:r w:rsidRPr="005B706F">
              <w:rPr>
                <w:rFonts w:ascii="Arial" w:hAnsi="Arial" w:cs="Arial"/>
                <w:sz w:val="20"/>
                <w:szCs w:val="20"/>
              </w:rPr>
              <w:t>subsidised primary mental health care services, by age group</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12A.46</w:t>
            </w:r>
            <w:proofErr w:type="spellEnd"/>
          </w:p>
        </w:tc>
        <w:tc>
          <w:tcPr>
            <w:tcW w:w="7404" w:type="dxa"/>
            <w:tcBorders>
              <w:top w:val="nil"/>
              <w:left w:val="nil"/>
              <w:bottom w:val="nil"/>
              <w:right w:val="nil"/>
            </w:tcBorders>
            <w:shd w:val="clear" w:color="auto" w:fill="auto"/>
            <w:hideMark/>
          </w:tcPr>
          <w:p w:rsidR="005B706F" w:rsidRPr="005B706F" w:rsidRDefault="005B706F" w:rsidP="00A64644">
            <w:pPr>
              <w:jc w:val="both"/>
              <w:rPr>
                <w:rFonts w:ascii="Arial" w:hAnsi="Arial" w:cs="Arial"/>
                <w:sz w:val="20"/>
                <w:szCs w:val="20"/>
              </w:rPr>
            </w:pPr>
            <w:r w:rsidRPr="005B706F">
              <w:rPr>
                <w:rFonts w:ascii="Arial" w:hAnsi="Arial" w:cs="Arial"/>
                <w:sz w:val="20"/>
                <w:szCs w:val="20"/>
              </w:rPr>
              <w:t xml:space="preserve">Proportion of young people (aged &lt; 25 years) who had contact with </w:t>
            </w:r>
            <w:proofErr w:type="spellStart"/>
            <w:r w:rsidRPr="005B706F">
              <w:rPr>
                <w:rFonts w:ascii="Arial" w:hAnsi="Arial" w:cs="Arial"/>
                <w:sz w:val="20"/>
                <w:szCs w:val="20"/>
              </w:rPr>
              <w:t>MBS</w:t>
            </w:r>
            <w:proofErr w:type="spellEnd"/>
            <w:r w:rsidR="00A64644">
              <w:rPr>
                <w:rFonts w:ascii="Arial" w:hAnsi="Arial" w:cs="Arial"/>
                <w:sz w:val="20"/>
                <w:szCs w:val="20"/>
              </w:rPr>
              <w:t xml:space="preserve"> </w:t>
            </w:r>
            <w:r w:rsidRPr="005B706F">
              <w:rPr>
                <w:rFonts w:ascii="Arial" w:hAnsi="Arial" w:cs="Arial"/>
                <w:sz w:val="20"/>
                <w:szCs w:val="20"/>
              </w:rPr>
              <w:t>subsidised primary mental health care services, by selected characteristics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12A.47</w:t>
            </w:r>
            <w:proofErr w:type="spellEnd"/>
          </w:p>
        </w:tc>
        <w:tc>
          <w:tcPr>
            <w:tcW w:w="7404" w:type="dxa"/>
            <w:tcBorders>
              <w:top w:val="nil"/>
              <w:left w:val="nil"/>
              <w:bottom w:val="nil"/>
              <w:right w:val="nil"/>
            </w:tcBorders>
            <w:shd w:val="clear" w:color="auto" w:fill="auto"/>
            <w:hideMark/>
          </w:tcPr>
          <w:p w:rsidR="005B706F" w:rsidRPr="005B706F" w:rsidRDefault="005B706F" w:rsidP="00A64644">
            <w:pPr>
              <w:jc w:val="both"/>
              <w:rPr>
                <w:rFonts w:ascii="Arial" w:hAnsi="Arial" w:cs="Arial"/>
                <w:sz w:val="20"/>
                <w:szCs w:val="20"/>
              </w:rPr>
            </w:pPr>
            <w:r w:rsidRPr="005B706F">
              <w:rPr>
                <w:rFonts w:ascii="Arial" w:hAnsi="Arial" w:cs="Arial"/>
                <w:sz w:val="20"/>
                <w:szCs w:val="20"/>
              </w:rPr>
              <w:t xml:space="preserve">Proportion of young people (aged &lt; 25 years) who had contact with </w:t>
            </w:r>
            <w:proofErr w:type="spellStart"/>
            <w:r w:rsidRPr="005B706F">
              <w:rPr>
                <w:rFonts w:ascii="Arial" w:hAnsi="Arial" w:cs="Arial"/>
                <w:sz w:val="20"/>
                <w:szCs w:val="20"/>
              </w:rPr>
              <w:t>MBS</w:t>
            </w:r>
            <w:proofErr w:type="spellEnd"/>
            <w:r w:rsidR="00A64644">
              <w:rPr>
                <w:rFonts w:ascii="Arial" w:hAnsi="Arial" w:cs="Arial"/>
                <w:sz w:val="20"/>
                <w:szCs w:val="20"/>
              </w:rPr>
              <w:t xml:space="preserve"> </w:t>
            </w:r>
            <w:r w:rsidRPr="005B706F">
              <w:rPr>
                <w:rFonts w:ascii="Arial" w:hAnsi="Arial" w:cs="Arial"/>
                <w:sz w:val="20"/>
                <w:szCs w:val="20"/>
              </w:rPr>
              <w:t>subsidised primary mental health care services, by service type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Specialised public mental health services reviewed against National Standards for Mental Health Services, 30 June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12A.49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Recurrent expenditure on community</w:t>
            </w:r>
            <w:r w:rsidR="00463329">
              <w:rPr>
                <w:rFonts w:ascii="Arial" w:hAnsi="Arial" w:cs="Arial"/>
                <w:sz w:val="20"/>
                <w:szCs w:val="20"/>
              </w:rPr>
              <w:noBreakHyphen/>
            </w:r>
            <w:r w:rsidRPr="005B706F">
              <w:rPr>
                <w:rFonts w:ascii="Arial" w:hAnsi="Arial" w:cs="Arial"/>
                <w:sz w:val="20"/>
                <w:szCs w:val="20"/>
              </w:rPr>
              <w:t>based services as a proportion of total spending on mental health services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Specialised public mental health services episodes with completed consumer outcomes measures collected</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Rate and duration of seclusion events in public specialised mental health acute inpatient units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Rate and duration of seclusion events in public specialised mental health acute inpatient units (per 1000 patient days), by target population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Consumer and carer participation</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12A.54</w:t>
            </w:r>
            <w:proofErr w:type="spellEnd"/>
          </w:p>
        </w:tc>
        <w:tc>
          <w:tcPr>
            <w:tcW w:w="7404" w:type="dxa"/>
            <w:tcBorders>
              <w:top w:val="nil"/>
              <w:left w:val="nil"/>
              <w:bottom w:val="nil"/>
              <w:right w:val="nil"/>
            </w:tcBorders>
            <w:shd w:val="clear" w:color="auto" w:fill="auto"/>
            <w:hideMark/>
          </w:tcPr>
          <w:p w:rsidR="005B706F" w:rsidRPr="005B706F" w:rsidRDefault="00CF2E50" w:rsidP="005B706F">
            <w:pPr>
              <w:jc w:val="both"/>
              <w:rPr>
                <w:rFonts w:ascii="Arial" w:hAnsi="Arial" w:cs="Arial"/>
                <w:sz w:val="20"/>
                <w:szCs w:val="20"/>
              </w:rPr>
            </w:pPr>
            <w:r>
              <w:rPr>
                <w:rFonts w:ascii="Arial" w:hAnsi="Arial" w:cs="Arial"/>
                <w:sz w:val="20"/>
                <w:szCs w:val="20"/>
              </w:rPr>
              <w:t>Rates of community follow-</w:t>
            </w:r>
            <w:r w:rsidR="005B706F" w:rsidRPr="005B706F">
              <w:rPr>
                <w:rFonts w:ascii="Arial" w:hAnsi="Arial" w:cs="Arial"/>
                <w:sz w:val="20"/>
                <w:szCs w:val="20"/>
              </w:rPr>
              <w:t xml:space="preserve">up for people within the first seven days of discharge from hospital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Rate</w:t>
            </w:r>
            <w:r w:rsidR="00AC5EEA">
              <w:rPr>
                <w:rFonts w:ascii="Arial" w:hAnsi="Arial" w:cs="Arial"/>
                <w:sz w:val="20"/>
                <w:szCs w:val="20"/>
              </w:rPr>
              <w:t>s</w:t>
            </w:r>
            <w:r w:rsidR="00CF2E50">
              <w:rPr>
                <w:rFonts w:ascii="Arial" w:hAnsi="Arial" w:cs="Arial"/>
                <w:sz w:val="20"/>
                <w:szCs w:val="20"/>
              </w:rPr>
              <w:t xml:space="preserve"> of community follow-</w:t>
            </w:r>
            <w:r w:rsidRPr="005B706F">
              <w:rPr>
                <w:rFonts w:ascii="Arial" w:hAnsi="Arial" w:cs="Arial"/>
                <w:sz w:val="20"/>
                <w:szCs w:val="20"/>
              </w:rPr>
              <w:t>up within first seven days of discharge from a psychiatric admission, by State and Territory, by Indigenous status and remoteness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Rate</w:t>
            </w:r>
            <w:r w:rsidR="00AC5EEA">
              <w:rPr>
                <w:rFonts w:ascii="Arial" w:hAnsi="Arial" w:cs="Arial"/>
                <w:sz w:val="20"/>
                <w:szCs w:val="20"/>
              </w:rPr>
              <w:t>s</w:t>
            </w:r>
            <w:r w:rsidR="00CF2E50">
              <w:rPr>
                <w:rFonts w:ascii="Arial" w:hAnsi="Arial" w:cs="Arial"/>
                <w:sz w:val="20"/>
                <w:szCs w:val="20"/>
              </w:rPr>
              <w:t xml:space="preserve"> of community follow-</w:t>
            </w:r>
            <w:r w:rsidRPr="005B706F">
              <w:rPr>
                <w:rFonts w:ascii="Arial" w:hAnsi="Arial" w:cs="Arial"/>
                <w:sz w:val="20"/>
                <w:szCs w:val="20"/>
              </w:rPr>
              <w:t>up within first seven days of discharge from a psychiatric admission, by age group, gender and SEIFA quintiles, 2013</w:t>
            </w:r>
            <w:r w:rsidR="00463329">
              <w:rPr>
                <w:rFonts w:ascii="Arial" w:hAnsi="Arial" w:cs="Arial"/>
                <w:sz w:val="20"/>
                <w:szCs w:val="20"/>
              </w:rPr>
              <w:noBreakHyphen/>
            </w:r>
            <w:r w:rsidRPr="005B706F">
              <w:rPr>
                <w:rFonts w:ascii="Arial" w:hAnsi="Arial" w:cs="Arial"/>
                <w:sz w:val="20"/>
                <w:szCs w:val="20"/>
              </w:rPr>
              <w:t>14</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Readmissions to hospital within 28 days of discharge</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Readmissions to hospital within 28 days of discharge, by selected characteristics, 2013</w:t>
            </w:r>
            <w:r w:rsidR="00463329">
              <w:rPr>
                <w:rFonts w:ascii="Arial" w:hAnsi="Arial" w:cs="Arial"/>
                <w:sz w:val="20"/>
                <w:szCs w:val="20"/>
              </w:rPr>
              <w:noBreakHyphen/>
            </w:r>
            <w:r w:rsidRPr="005B706F">
              <w:rPr>
                <w:rFonts w:ascii="Arial" w:hAnsi="Arial" w:cs="Arial"/>
                <w:sz w:val="20"/>
                <w:szCs w:val="20"/>
              </w:rPr>
              <w:t>14</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12A.59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recurrent real costs per inpatient bed day, public hospitals, by target population (2013</w:t>
            </w:r>
            <w:r w:rsidR="00463329">
              <w:rPr>
                <w:rFonts w:ascii="Arial" w:hAnsi="Arial" w:cs="Arial"/>
                <w:sz w:val="20"/>
                <w:szCs w:val="20"/>
              </w:rPr>
              <w:noBreakHyphen/>
            </w:r>
            <w:r w:rsidRPr="005B706F">
              <w:rPr>
                <w:rFonts w:ascii="Arial" w:hAnsi="Arial" w:cs="Arial"/>
                <w:sz w:val="20"/>
                <w:szCs w:val="20"/>
              </w:rPr>
              <w:t>14 dollars)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recurrent costs per inpatient bed day, public hospitals, by target population and care type (2013</w:t>
            </w:r>
            <w:r w:rsidR="00463329">
              <w:rPr>
                <w:rFonts w:ascii="Arial" w:hAnsi="Arial" w:cs="Arial"/>
                <w:sz w:val="20"/>
                <w:szCs w:val="20"/>
              </w:rPr>
              <w:noBreakHyphen/>
            </w:r>
            <w:r w:rsidRPr="005B706F">
              <w:rPr>
                <w:rFonts w:ascii="Arial" w:hAnsi="Arial" w:cs="Arial"/>
                <w:sz w:val="20"/>
                <w:szCs w:val="20"/>
              </w:rPr>
              <w:t>14 dollars)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lastRenderedPageBreak/>
              <w:t xml:space="preserve">Table </w:t>
            </w:r>
            <w:proofErr w:type="spellStart"/>
            <w:r w:rsidRPr="005B706F">
              <w:rPr>
                <w:rFonts w:ascii="Arial" w:hAnsi="Arial" w:cs="Arial"/>
                <w:b/>
                <w:bCs/>
                <w:color w:val="0000FF"/>
                <w:sz w:val="20"/>
                <w:szCs w:val="20"/>
              </w:rPr>
              <w:t>12A.61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length of stay, public hospitals acute units, by target population (no. of days)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recurrent cost per inpatient bed day, by public hospital type (2013</w:t>
            </w:r>
            <w:r w:rsidR="00463329">
              <w:rPr>
                <w:rFonts w:ascii="Arial" w:hAnsi="Arial" w:cs="Arial"/>
                <w:sz w:val="20"/>
                <w:szCs w:val="20"/>
              </w:rPr>
              <w:noBreakHyphen/>
            </w:r>
            <w:r w:rsidRPr="005B706F">
              <w:rPr>
                <w:rFonts w:ascii="Arial" w:hAnsi="Arial" w:cs="Arial"/>
                <w:sz w:val="20"/>
                <w:szCs w:val="20"/>
              </w:rPr>
              <w:t>14 dollars)</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recurrent cost per patient day for community residential services (2013</w:t>
            </w:r>
            <w:r w:rsidR="00463329">
              <w:rPr>
                <w:rFonts w:ascii="Arial" w:hAnsi="Arial" w:cs="Arial"/>
                <w:sz w:val="20"/>
                <w:szCs w:val="20"/>
              </w:rPr>
              <w:noBreakHyphen/>
            </w:r>
            <w:r w:rsidRPr="005B706F">
              <w:rPr>
                <w:rFonts w:ascii="Arial" w:hAnsi="Arial" w:cs="Arial"/>
                <w:sz w:val="20"/>
                <w:szCs w:val="20"/>
              </w:rPr>
              <w:t>14 dollars)</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Average cost, and treatment days per episode, of ambulatory care</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Risk status recent drinkers (in last 12 months) aged 14 years or over, 2013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Recent drinkers lifetime and single occasion risk, people aged 14 years or older, by social characteristics, 2013 (per cent)</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Recent alcohol and illicit drug use, people aged 14 years or over, by substance, 2013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Use of cannabis, by age group, 2013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12A.69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Risk status recent drinkers (in last 12 months) aged 14 years or over, 2010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Recent alcohol and illicit drug use, people aged 14 years or over, by substance, 2010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Lifetime risk status recent drinkers (in last 12 months) aged 14 years or over, by age group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Single occasion risk status recent drinkers (in last 12 months) aged 14 years or over, by age group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Selected illicit drug use, by substance and age group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Selected illicit drug use by people aged 18 years or over, by level of psychological distress and</w:t>
            </w:r>
            <w:r w:rsidR="00463329">
              <w:rPr>
                <w:rFonts w:ascii="Arial" w:hAnsi="Arial" w:cs="Arial"/>
                <w:sz w:val="20"/>
                <w:szCs w:val="20"/>
              </w:rPr>
              <w:t xml:space="preserve"> </w:t>
            </w:r>
            <w:r w:rsidRPr="005B706F">
              <w:rPr>
                <w:rFonts w:ascii="Arial" w:hAnsi="Arial" w:cs="Arial"/>
                <w:sz w:val="20"/>
                <w:szCs w:val="20"/>
              </w:rPr>
              <w:t>self</w:t>
            </w:r>
            <w:r w:rsidR="00463329">
              <w:rPr>
                <w:rFonts w:ascii="Arial" w:hAnsi="Arial" w:cs="Arial"/>
                <w:sz w:val="20"/>
                <w:szCs w:val="20"/>
              </w:rPr>
              <w:noBreakHyphen/>
            </w:r>
            <w:r w:rsidRPr="005B706F">
              <w:rPr>
                <w:rFonts w:ascii="Arial" w:hAnsi="Arial" w:cs="Arial"/>
                <w:sz w:val="20"/>
                <w:szCs w:val="20"/>
              </w:rPr>
              <w:t>reported health conditions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Illicit drug use, people aged 14 years or older, by social characteristics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Prevalence of lifetime mental disorders among adults aged 16–85 years, 2007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Prevalence of lifetime mental disorders among adults aged 16–85 years, by sex, 2007 (per cent)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Prevalence of lifetime mental disorders among adults, by age, 2007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12A.79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Prevalence of lifetime mental disorders among adults, by disadvantage and section of state, 2007 (per cent)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12A.80</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Suicides and mortality rate, by sex, Australia</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Suicides and mortality rate, by age and sex, Australia</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 deaths and death rate</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 deaths and death rate of people aged 15–24 years</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 deaths and suicide death rate, by area</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Suicide deaths, by Indigenous status, 2009–2013</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Age</w:t>
            </w:r>
            <w:r w:rsidR="00463329">
              <w:rPr>
                <w:rFonts w:ascii="Arial" w:hAnsi="Arial" w:cs="Arial"/>
                <w:sz w:val="20"/>
                <w:szCs w:val="20"/>
              </w:rPr>
              <w:noBreakHyphen/>
            </w:r>
            <w:r w:rsidRPr="005B706F">
              <w:rPr>
                <w:rFonts w:ascii="Arial" w:hAnsi="Arial" w:cs="Arial"/>
                <w:sz w:val="20"/>
                <w:szCs w:val="20"/>
              </w:rPr>
              <w:t>standardised proportions of adults by health risk factors and mental illness status, 2011</w:t>
            </w:r>
            <w:r w:rsidR="00463329">
              <w:rPr>
                <w:rFonts w:ascii="Arial" w:hAnsi="Arial" w:cs="Arial"/>
                <w:sz w:val="20"/>
                <w:szCs w:val="20"/>
              </w:rPr>
              <w:noBreakHyphen/>
            </w:r>
            <w:r w:rsidRPr="005B706F">
              <w:rPr>
                <w:rFonts w:ascii="Arial" w:hAnsi="Arial" w:cs="Arial"/>
                <w:sz w:val="20"/>
                <w:szCs w:val="20"/>
              </w:rPr>
              <w:t>12</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lastRenderedPageBreak/>
              <w:t xml:space="preserve">Table </w:t>
            </w:r>
            <w:proofErr w:type="spellStart"/>
            <w:r w:rsidRPr="005B706F">
              <w:rPr>
                <w:rFonts w:ascii="Arial" w:hAnsi="Arial" w:cs="Arial"/>
                <w:b/>
                <w:bCs/>
                <w:color w:val="0000FF"/>
                <w:sz w:val="20"/>
                <w:szCs w:val="20"/>
              </w:rPr>
              <w:t>12A.87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Age</w:t>
            </w:r>
            <w:r w:rsidR="00463329">
              <w:rPr>
                <w:rFonts w:ascii="Arial" w:hAnsi="Arial" w:cs="Arial"/>
                <w:sz w:val="20"/>
                <w:szCs w:val="20"/>
              </w:rPr>
              <w:noBreakHyphen/>
            </w:r>
            <w:r w:rsidRPr="005B706F">
              <w:rPr>
                <w:rFonts w:ascii="Arial" w:hAnsi="Arial" w:cs="Arial"/>
                <w:sz w:val="20"/>
                <w:szCs w:val="20"/>
              </w:rPr>
              <w:t>standardised proportions of adults by long</w:t>
            </w:r>
            <w:r w:rsidR="00463329">
              <w:rPr>
                <w:rFonts w:ascii="Arial" w:hAnsi="Arial" w:cs="Arial"/>
                <w:sz w:val="20"/>
                <w:szCs w:val="20"/>
              </w:rPr>
              <w:noBreakHyphen/>
            </w:r>
            <w:r w:rsidRPr="005B706F">
              <w:rPr>
                <w:rFonts w:ascii="Arial" w:hAnsi="Arial" w:cs="Arial"/>
                <w:sz w:val="20"/>
                <w:szCs w:val="20"/>
              </w:rPr>
              <w:t>term health conditions and mental illness status, 2011</w:t>
            </w:r>
            <w:r w:rsidR="00463329">
              <w:rPr>
                <w:rFonts w:ascii="Arial" w:hAnsi="Arial" w:cs="Arial"/>
                <w:sz w:val="20"/>
                <w:szCs w:val="20"/>
              </w:rPr>
              <w:noBreakHyphen/>
            </w:r>
            <w:r w:rsidRPr="005B706F">
              <w:rPr>
                <w:rFonts w:ascii="Arial" w:hAnsi="Arial" w:cs="Arial"/>
                <w:sz w:val="20"/>
                <w:szCs w:val="20"/>
              </w:rPr>
              <w:t>12</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12A.88</w:t>
            </w:r>
            <w:proofErr w:type="spellEnd"/>
          </w:p>
        </w:tc>
        <w:tc>
          <w:tcPr>
            <w:tcW w:w="7404" w:type="dxa"/>
            <w:tcBorders>
              <w:top w:val="nil"/>
              <w:left w:val="nil"/>
              <w:bottom w:val="nil"/>
              <w:right w:val="nil"/>
            </w:tcBorders>
            <w:shd w:val="clear" w:color="auto" w:fill="auto"/>
            <w:hideMark/>
          </w:tcPr>
          <w:p w:rsidR="005B706F" w:rsidRPr="005B706F" w:rsidRDefault="004B7578" w:rsidP="005B706F">
            <w:pPr>
              <w:jc w:val="both"/>
              <w:rPr>
                <w:rFonts w:ascii="Arial" w:hAnsi="Arial" w:cs="Arial"/>
                <w:sz w:val="20"/>
                <w:szCs w:val="20"/>
              </w:rPr>
            </w:pPr>
            <w:r>
              <w:rPr>
                <w:rFonts w:ascii="Arial" w:hAnsi="Arial" w:cs="Arial"/>
                <w:sz w:val="20"/>
                <w:szCs w:val="20"/>
              </w:rPr>
              <w:t>Age-</w:t>
            </w:r>
            <w:r w:rsidR="005B706F" w:rsidRPr="005B706F">
              <w:rPr>
                <w:rFonts w:ascii="Arial" w:hAnsi="Arial" w:cs="Arial"/>
                <w:sz w:val="20"/>
                <w:szCs w:val="20"/>
              </w:rPr>
              <w:t>standardised proportion of people aged 16–64 years who are employed, by mental illness status, 2011</w:t>
            </w:r>
            <w:r w:rsidR="00463329">
              <w:rPr>
                <w:rFonts w:ascii="Arial" w:hAnsi="Arial" w:cs="Arial"/>
                <w:sz w:val="20"/>
                <w:szCs w:val="20"/>
              </w:rPr>
              <w:noBreakHyphen/>
            </w:r>
            <w:r w:rsidR="005B706F" w:rsidRPr="005B706F">
              <w:rPr>
                <w:rFonts w:ascii="Arial" w:hAnsi="Arial" w:cs="Arial"/>
                <w:sz w:val="20"/>
                <w:szCs w:val="20"/>
              </w:rPr>
              <w:t>12 (per cent)</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12A.89</w:t>
            </w:r>
            <w:proofErr w:type="spellEnd"/>
          </w:p>
        </w:tc>
        <w:tc>
          <w:tcPr>
            <w:tcW w:w="7404" w:type="dxa"/>
            <w:tcBorders>
              <w:top w:val="nil"/>
              <w:left w:val="nil"/>
              <w:bottom w:val="nil"/>
              <w:right w:val="nil"/>
            </w:tcBorders>
            <w:shd w:val="clear" w:color="auto" w:fill="auto"/>
            <w:hideMark/>
          </w:tcPr>
          <w:p w:rsidR="005B706F" w:rsidRPr="005B706F" w:rsidRDefault="004B7578" w:rsidP="005B706F">
            <w:pPr>
              <w:jc w:val="both"/>
              <w:rPr>
                <w:rFonts w:ascii="Arial" w:hAnsi="Arial" w:cs="Arial"/>
                <w:sz w:val="20"/>
                <w:szCs w:val="20"/>
              </w:rPr>
            </w:pPr>
            <w:r>
              <w:rPr>
                <w:rFonts w:ascii="Arial" w:hAnsi="Arial" w:cs="Arial"/>
                <w:sz w:val="20"/>
                <w:szCs w:val="20"/>
              </w:rPr>
              <w:t>Age-</w:t>
            </w:r>
            <w:r w:rsidR="005B706F" w:rsidRPr="005B706F">
              <w:rPr>
                <w:rFonts w:ascii="Arial" w:hAnsi="Arial" w:cs="Arial"/>
                <w:sz w:val="20"/>
                <w:szCs w:val="20"/>
              </w:rPr>
              <w:t>standardised proportion of the population aged 16–30 years who are employed and/or are enrolled for study in a formal secondary or tertiary qualification (full or part</w:t>
            </w:r>
            <w:r w:rsidR="00463329">
              <w:rPr>
                <w:rFonts w:ascii="Arial" w:hAnsi="Arial" w:cs="Arial"/>
                <w:sz w:val="20"/>
                <w:szCs w:val="20"/>
              </w:rPr>
              <w:noBreakHyphen/>
            </w:r>
            <w:r w:rsidR="005B706F" w:rsidRPr="005B706F">
              <w:rPr>
                <w:rFonts w:ascii="Arial" w:hAnsi="Arial" w:cs="Arial"/>
                <w:sz w:val="20"/>
                <w:szCs w:val="20"/>
              </w:rPr>
              <w:t>time), by mental health status, 2011</w:t>
            </w:r>
            <w:r w:rsidR="00463329">
              <w:rPr>
                <w:rFonts w:ascii="Arial" w:hAnsi="Arial" w:cs="Arial"/>
                <w:sz w:val="20"/>
                <w:szCs w:val="20"/>
              </w:rPr>
              <w:noBreakHyphen/>
            </w:r>
            <w:r w:rsidR="005B706F" w:rsidRPr="005B706F">
              <w:rPr>
                <w:rFonts w:ascii="Arial" w:hAnsi="Arial" w:cs="Arial"/>
                <w:sz w:val="20"/>
                <w:szCs w:val="20"/>
              </w:rPr>
              <w:t>12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12A.90</w:t>
            </w:r>
            <w:proofErr w:type="spellEnd"/>
          </w:p>
        </w:tc>
        <w:tc>
          <w:tcPr>
            <w:tcW w:w="7404" w:type="dxa"/>
            <w:tcBorders>
              <w:top w:val="nil"/>
              <w:left w:val="nil"/>
              <w:bottom w:val="nil"/>
              <w:right w:val="nil"/>
            </w:tcBorders>
            <w:shd w:val="clear" w:color="auto" w:fill="auto"/>
            <w:hideMark/>
          </w:tcPr>
          <w:p w:rsidR="005B706F" w:rsidRPr="005B706F" w:rsidRDefault="004B7578" w:rsidP="005B706F">
            <w:pPr>
              <w:jc w:val="both"/>
              <w:rPr>
                <w:rFonts w:ascii="Arial" w:hAnsi="Arial" w:cs="Arial"/>
                <w:sz w:val="20"/>
                <w:szCs w:val="20"/>
              </w:rPr>
            </w:pPr>
            <w:r>
              <w:rPr>
                <w:rFonts w:ascii="Arial" w:hAnsi="Arial" w:cs="Arial"/>
                <w:sz w:val="20"/>
                <w:szCs w:val="20"/>
              </w:rPr>
              <w:t>Age-</w:t>
            </w:r>
            <w:r w:rsidR="005B706F" w:rsidRPr="005B706F">
              <w:rPr>
                <w:rFonts w:ascii="Arial" w:hAnsi="Arial" w:cs="Arial"/>
                <w:sz w:val="20"/>
                <w:szCs w:val="20"/>
              </w:rPr>
              <w:t>standardised proportion of people aged 16–64 years who are employed, by mental illness status, 2007</w:t>
            </w:r>
            <w:r w:rsidR="00463329">
              <w:rPr>
                <w:rFonts w:ascii="Arial" w:hAnsi="Arial" w:cs="Arial"/>
                <w:sz w:val="20"/>
                <w:szCs w:val="20"/>
              </w:rPr>
              <w:noBreakHyphen/>
            </w:r>
            <w:r w:rsidR="005B706F" w:rsidRPr="005B706F">
              <w:rPr>
                <w:rFonts w:ascii="Arial" w:hAnsi="Arial" w:cs="Arial"/>
                <w:sz w:val="20"/>
                <w:szCs w:val="20"/>
              </w:rPr>
              <w:t>08 (per cent)</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12A.91</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Population aged 16–30 years who are employed and/or are enrolled for study in a formal secondary or tertiary qualification (full or part</w:t>
            </w:r>
            <w:r w:rsidR="00463329">
              <w:rPr>
                <w:rFonts w:ascii="Arial" w:hAnsi="Arial" w:cs="Arial"/>
                <w:sz w:val="20"/>
                <w:szCs w:val="20"/>
              </w:rPr>
              <w:noBreakHyphen/>
            </w:r>
            <w:r w:rsidRPr="005B706F">
              <w:rPr>
                <w:rFonts w:ascii="Arial" w:hAnsi="Arial" w:cs="Arial"/>
                <w:sz w:val="20"/>
                <w:szCs w:val="20"/>
              </w:rPr>
              <w:t>time), by mental health status, 2007</w:t>
            </w:r>
            <w:r w:rsidR="00463329">
              <w:rPr>
                <w:rFonts w:ascii="Arial" w:hAnsi="Arial" w:cs="Arial"/>
                <w:sz w:val="20"/>
                <w:szCs w:val="20"/>
              </w:rPr>
              <w:noBreakHyphen/>
            </w:r>
            <w:r w:rsidRPr="005B706F">
              <w:rPr>
                <w:rFonts w:ascii="Arial" w:hAnsi="Arial" w:cs="Arial"/>
                <w:sz w:val="20"/>
                <w:szCs w:val="20"/>
              </w:rPr>
              <w:t>08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12A.92</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Labour force and employment participation among adults aged 16–64 years, by mental disorder status, 2007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12A.93</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Education, training and employment participation among adults aged 16–30 years, by mental disorder status, 2007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12A.94</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Labour force and employment participation among adults aged 16–30 years, by mental disorder status, 2007 (per cent)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12A.95</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Proportion of people who had face</w:t>
            </w:r>
            <w:r w:rsidR="00463329">
              <w:rPr>
                <w:rFonts w:ascii="Arial" w:hAnsi="Arial" w:cs="Arial"/>
                <w:sz w:val="20"/>
                <w:szCs w:val="20"/>
              </w:rPr>
              <w:noBreakHyphen/>
            </w:r>
            <w:r w:rsidRPr="005B706F">
              <w:rPr>
                <w:rFonts w:ascii="Arial" w:hAnsi="Arial" w:cs="Arial"/>
                <w:sz w:val="20"/>
                <w:szCs w:val="20"/>
              </w:rPr>
              <w:t>to</w:t>
            </w:r>
            <w:r w:rsidR="00463329">
              <w:rPr>
                <w:rFonts w:ascii="Arial" w:hAnsi="Arial" w:cs="Arial"/>
                <w:sz w:val="20"/>
                <w:szCs w:val="20"/>
              </w:rPr>
              <w:noBreakHyphen/>
            </w:r>
            <w:r w:rsidRPr="005B706F">
              <w:rPr>
                <w:rFonts w:ascii="Arial" w:hAnsi="Arial" w:cs="Arial"/>
                <w:sz w:val="20"/>
                <w:szCs w:val="20"/>
              </w:rPr>
              <w:t>face contact with family or friends living outside the household in the last week, by mental illness status, 2014 (per cent)</w:t>
            </w:r>
            <w:r w:rsidR="00463329">
              <w:rPr>
                <w:rFonts w:ascii="Arial" w:hAnsi="Arial" w:cs="Arial"/>
                <w:sz w:val="20"/>
                <w:szCs w:val="20"/>
              </w:rPr>
              <w:t xml:space="preserve"> </w:t>
            </w:r>
          </w:p>
        </w:tc>
      </w:tr>
      <w:tr w:rsidR="005B706F" w:rsidRPr="005B706F" w:rsidTr="005B706F">
        <w:trPr>
          <w:trHeight w:val="612"/>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12A.96</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Clinical outcomes of people receiving various types of mental health care provided by State and Territory public mental health services (per cent)</w:t>
            </w:r>
            <w:r w:rsidR="00463329">
              <w:rPr>
                <w:rFonts w:ascii="Arial" w:hAnsi="Arial" w:cs="Arial"/>
                <w:sz w:val="20"/>
                <w:szCs w:val="20"/>
              </w:rPr>
              <w:t xml:space="preserve"> </w:t>
            </w:r>
          </w:p>
        </w:tc>
      </w:tr>
      <w:tr w:rsidR="005B706F" w:rsidRPr="005B706F" w:rsidTr="005B706F">
        <w:trPr>
          <w:trHeight w:val="86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12A.97</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People who received mental health care provided by State and Territory public mental health services and who significantly improved, by service type and age group (per cent)</w:t>
            </w:r>
            <w:r w:rsidR="00463329">
              <w:rPr>
                <w:rFonts w:ascii="Arial" w:hAnsi="Arial" w:cs="Arial"/>
                <w:sz w:val="20"/>
                <w:szCs w:val="20"/>
              </w:rPr>
              <w:t xml:space="preserv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12A.98</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Deflators used to calculate real State and Territory mental health expenditure </w:t>
            </w:r>
          </w:p>
        </w:tc>
      </w:tr>
      <w:tr w:rsidR="005B706F" w:rsidRPr="005B706F" w:rsidTr="005B706F">
        <w:trPr>
          <w:trHeight w:val="357"/>
        </w:trPr>
        <w:tc>
          <w:tcPr>
            <w:tcW w:w="1456" w:type="dxa"/>
            <w:tcBorders>
              <w:top w:val="nil"/>
              <w:left w:val="nil"/>
              <w:bottom w:val="nil"/>
              <w:right w:val="nil"/>
            </w:tcBorders>
            <w:shd w:val="clear" w:color="auto" w:fill="auto"/>
            <w:noWrap/>
            <w:hideMark/>
          </w:tcPr>
          <w:p w:rsidR="005B706F" w:rsidRPr="005B706F" w:rsidRDefault="005B706F" w:rsidP="005B706F">
            <w:pPr>
              <w:rPr>
                <w:rFonts w:ascii="Arial" w:hAnsi="Arial" w:cs="Arial"/>
                <w:b/>
                <w:bCs/>
                <w:color w:val="0000FF"/>
                <w:sz w:val="20"/>
                <w:szCs w:val="20"/>
              </w:rPr>
            </w:pPr>
            <w:r w:rsidRPr="005B706F">
              <w:rPr>
                <w:rFonts w:ascii="Arial" w:hAnsi="Arial" w:cs="Arial"/>
                <w:b/>
                <w:bCs/>
                <w:color w:val="0000FF"/>
                <w:sz w:val="20"/>
                <w:szCs w:val="20"/>
              </w:rPr>
              <w:t xml:space="preserve">Table </w:t>
            </w:r>
            <w:proofErr w:type="spellStart"/>
            <w:r w:rsidRPr="005B706F">
              <w:rPr>
                <w:rFonts w:ascii="Arial" w:hAnsi="Arial" w:cs="Arial"/>
                <w:b/>
                <w:bCs/>
                <w:color w:val="0000FF"/>
                <w:sz w:val="20"/>
                <w:szCs w:val="20"/>
              </w:rPr>
              <w:t>12A.99</w:t>
            </w:r>
            <w:proofErr w:type="spellEnd"/>
          </w:p>
        </w:tc>
        <w:tc>
          <w:tcPr>
            <w:tcW w:w="7404" w:type="dxa"/>
            <w:tcBorders>
              <w:top w:val="nil"/>
              <w:left w:val="nil"/>
              <w:bottom w:val="nil"/>
              <w:right w:val="nil"/>
            </w:tcBorders>
            <w:shd w:val="clear" w:color="auto" w:fill="auto"/>
            <w:hideMark/>
          </w:tcPr>
          <w:p w:rsidR="005B706F" w:rsidRPr="005B706F" w:rsidRDefault="005B706F" w:rsidP="005B706F">
            <w:pPr>
              <w:jc w:val="both"/>
              <w:rPr>
                <w:rFonts w:ascii="Arial" w:hAnsi="Arial" w:cs="Arial"/>
                <w:sz w:val="20"/>
                <w:szCs w:val="20"/>
              </w:rPr>
            </w:pPr>
            <w:r w:rsidRPr="005B706F">
              <w:rPr>
                <w:rFonts w:ascii="Arial" w:hAnsi="Arial" w:cs="Arial"/>
                <w:sz w:val="20"/>
                <w:szCs w:val="20"/>
              </w:rPr>
              <w:t xml:space="preserve">Estimated resident populations used in mental health per head calculations </w:t>
            </w:r>
          </w:p>
        </w:tc>
      </w:tr>
    </w:tbl>
    <w:p w:rsidR="00740F59" w:rsidRDefault="006C520D" w:rsidP="00740F59">
      <w:pPr>
        <w:pStyle w:val="Heading2"/>
      </w:pPr>
      <w:bookmarkStart w:id="26" w:name="_Toc432092260"/>
      <w:r>
        <w:t>12.</w:t>
      </w:r>
      <w:r w:rsidR="00833D26">
        <w:rPr>
          <w:noProof/>
        </w:rPr>
        <w:t>7</w:t>
      </w:r>
      <w:r w:rsidR="00740F59">
        <w:tab/>
      </w:r>
      <w:r w:rsidR="00740F59" w:rsidRPr="00740F59">
        <w:t>References</w:t>
      </w:r>
      <w:bookmarkEnd w:id="26"/>
    </w:p>
    <w:p w:rsidR="00740F59" w:rsidRDefault="00740F59" w:rsidP="00AC2FB8">
      <w:pPr>
        <w:pStyle w:val="Reference"/>
      </w:pPr>
      <w:r>
        <w:t xml:space="preserve">ABS (Australian Bureau of Statistics) 2012, </w:t>
      </w:r>
      <w:r w:rsidRPr="00740F59">
        <w:rPr>
          <w:i/>
        </w:rPr>
        <w:t>Information Paper: Use of the Kessler Psychological Distress Scale in ABS Health Surveys</w:t>
      </w:r>
      <w:r w:rsidR="00881ABA">
        <w:t>, Australia, 2007</w:t>
      </w:r>
      <w:r w:rsidR="00881ABA">
        <w:noBreakHyphen/>
        <w:t>08, Cat. </w:t>
      </w:r>
      <w:r>
        <w:t>no.</w:t>
      </w:r>
      <w:r w:rsidR="00881ABA">
        <w:t> </w:t>
      </w:r>
      <w:r>
        <w:t>4817.0.55.001, Canberra.</w:t>
      </w:r>
    </w:p>
    <w:p w:rsidR="00740F59" w:rsidRDefault="00740F59" w:rsidP="00740F59">
      <w:pPr>
        <w:pStyle w:val="Reference"/>
      </w:pPr>
      <w:r>
        <w:t xml:space="preserve">Australian Health Ministers 1991, </w:t>
      </w:r>
      <w:r w:rsidRPr="00740F59">
        <w:rPr>
          <w:i/>
        </w:rPr>
        <w:t>Mental Health Statement of Rights and Responsibilities</w:t>
      </w:r>
      <w:r>
        <w:t>, Australian Government Publishing Service, Canberra.</w:t>
      </w:r>
    </w:p>
    <w:p w:rsidR="00740F59" w:rsidRDefault="00740F59" w:rsidP="00740F59">
      <w:pPr>
        <w:pStyle w:val="Reference"/>
      </w:pPr>
      <w:proofErr w:type="spellStart"/>
      <w:r>
        <w:t>AHMC</w:t>
      </w:r>
      <w:proofErr w:type="spellEnd"/>
      <w:r>
        <w:t xml:space="preserve"> (Australian Health Ministers’ Conference) 2008, </w:t>
      </w:r>
      <w:r w:rsidRPr="00740F59">
        <w:rPr>
          <w:i/>
        </w:rPr>
        <w:t>Council of Australian Governments National Action Plan for Mental Health 2006–2011: Progress Report 2006</w:t>
      </w:r>
      <w:r>
        <w:rPr>
          <w:i/>
        </w:rPr>
        <w:noBreakHyphen/>
      </w:r>
      <w:r w:rsidRPr="00740F59">
        <w:rPr>
          <w:i/>
        </w:rPr>
        <w:t>07</w:t>
      </w:r>
      <w:r>
        <w:t xml:space="preserve">, Report prepared under the auspice of the Mental Health Standing Committee of the Australian Health Ministers’ Advisory Council, </w:t>
      </w:r>
      <w:proofErr w:type="spellStart"/>
      <w:r>
        <w:t>www.coag.gov.au</w:t>
      </w:r>
      <w:proofErr w:type="spellEnd"/>
      <w:r>
        <w:t>/node/195 (accessed 16</w:t>
      </w:r>
      <w:r w:rsidR="00463329">
        <w:t> </w:t>
      </w:r>
      <w:r>
        <w:t>November 2012).</w:t>
      </w:r>
    </w:p>
    <w:p w:rsidR="00740F59" w:rsidRDefault="000477EA" w:rsidP="00740F59">
      <w:pPr>
        <w:pStyle w:val="Reference"/>
      </w:pPr>
      <w:r>
        <w:t>—</w:t>
      </w:r>
      <w:r w:rsidR="00740F59">
        <w:t xml:space="preserve"> 2010, </w:t>
      </w:r>
      <w:r w:rsidR="00740F59" w:rsidRPr="00740F59">
        <w:rPr>
          <w:i/>
        </w:rPr>
        <w:t>National Standards for Mental Health Services 2010</w:t>
      </w:r>
      <w:r w:rsidR="00740F59">
        <w:t>, Canberra.</w:t>
      </w:r>
    </w:p>
    <w:p w:rsidR="00740F59" w:rsidRDefault="00740F59" w:rsidP="00740F59">
      <w:pPr>
        <w:pStyle w:val="Reference"/>
      </w:pPr>
      <w:r>
        <w:lastRenderedPageBreak/>
        <w:t xml:space="preserve">—— 2012, </w:t>
      </w:r>
      <w:r w:rsidRPr="00740F59">
        <w:rPr>
          <w:i/>
        </w:rPr>
        <w:t>Council of Australian Governments National Action Plan for Mental Health 2006–2011: Progress Report 2009</w:t>
      </w:r>
      <w:r w:rsidRPr="00740F59">
        <w:rPr>
          <w:i/>
        </w:rPr>
        <w:noBreakHyphen/>
        <w:t>10</w:t>
      </w:r>
      <w:r>
        <w:t xml:space="preserve">, Report prepared under the auspice of the Mental Health Standing Committee of the Australian Health Ministers’ Advisory Council, </w:t>
      </w:r>
      <w:proofErr w:type="spellStart"/>
      <w:r>
        <w:t>www.coag.gov.au</w:t>
      </w:r>
      <w:proofErr w:type="spellEnd"/>
      <w:r>
        <w:t>/node/441 (accessed 16</w:t>
      </w:r>
      <w:r w:rsidR="00463329">
        <w:t> </w:t>
      </w:r>
      <w:r>
        <w:t>November 2012).</w:t>
      </w:r>
    </w:p>
    <w:p w:rsidR="00EE0A70" w:rsidRDefault="00740F59" w:rsidP="00A7677C">
      <w:pPr>
        <w:pStyle w:val="Reference"/>
      </w:pPr>
      <w:r>
        <w:t xml:space="preserve">AIHW (Australian Institute of Health and Welfare) </w:t>
      </w:r>
      <w:r w:rsidR="00EE0A70">
        <w:t xml:space="preserve">2014, </w:t>
      </w:r>
      <w:r w:rsidR="00EE0A70" w:rsidRPr="00740F59">
        <w:rPr>
          <w:i/>
        </w:rPr>
        <w:t>Mental Health Services in Australia Online</w:t>
      </w:r>
      <w:r w:rsidR="00EE0A70">
        <w:t>, mhsa.aihw.gov.au/home/ (accessed 1</w:t>
      </w:r>
      <w:r w:rsidR="00463329">
        <w:t> </w:t>
      </w:r>
      <w:r w:rsidR="00EE0A70">
        <w:t>October 2014</w:t>
      </w:r>
      <w:r w:rsidR="0078628D">
        <w:t xml:space="preserve"> and 17</w:t>
      </w:r>
      <w:r w:rsidR="00463329">
        <w:t> </w:t>
      </w:r>
      <w:r w:rsidR="0078628D">
        <w:t>December 2014</w:t>
      </w:r>
      <w:r w:rsidR="00EE0A70">
        <w:t>).</w:t>
      </w:r>
    </w:p>
    <w:p w:rsidR="00A7677C" w:rsidRDefault="000477EA" w:rsidP="00740F59">
      <w:pPr>
        <w:pStyle w:val="Reference"/>
      </w:pPr>
      <w:r>
        <w:t>——</w:t>
      </w:r>
      <w:r w:rsidR="00A7677C">
        <w:t xml:space="preserve"> 2015, </w:t>
      </w:r>
      <w:r w:rsidR="00A7677C" w:rsidRPr="00740F59">
        <w:rPr>
          <w:i/>
        </w:rPr>
        <w:t>Mental Health Services in Australia Online</w:t>
      </w:r>
      <w:r w:rsidR="00A7677C">
        <w:t>, mhsa.aihw.gov.au/home/ (accessed 28</w:t>
      </w:r>
      <w:r w:rsidR="00463329">
        <w:t> </w:t>
      </w:r>
      <w:r w:rsidR="00A7677C">
        <w:t>September 2015).</w:t>
      </w:r>
    </w:p>
    <w:p w:rsidR="00740F59" w:rsidRDefault="00740F59" w:rsidP="00740F59">
      <w:pPr>
        <w:pStyle w:val="Reference"/>
      </w:pPr>
      <w:proofErr w:type="spellStart"/>
      <w:r>
        <w:t>Begg</w:t>
      </w:r>
      <w:proofErr w:type="spellEnd"/>
      <w:r>
        <w:t xml:space="preserve">, S., </w:t>
      </w:r>
      <w:proofErr w:type="spellStart"/>
      <w:r>
        <w:t>Vos</w:t>
      </w:r>
      <w:proofErr w:type="spellEnd"/>
      <w:r>
        <w:t xml:space="preserve">, T., Barker, B., Stevenson, C., Stanley, L. and Lopez, A. 2007, </w:t>
      </w:r>
      <w:r w:rsidRPr="00981C68">
        <w:rPr>
          <w:i/>
        </w:rPr>
        <w:t>The burden of disease and injury in Australia, 2003</w:t>
      </w:r>
      <w:r w:rsidR="00881ABA">
        <w:t>, Cat. </w:t>
      </w:r>
      <w:r>
        <w:t>no.</w:t>
      </w:r>
      <w:r w:rsidR="00881ABA">
        <w:t> </w:t>
      </w:r>
      <w:proofErr w:type="spellStart"/>
      <w:r w:rsidR="00881ABA">
        <w:t>PHE</w:t>
      </w:r>
      <w:proofErr w:type="spellEnd"/>
      <w:r w:rsidR="00881ABA">
        <w:t> </w:t>
      </w:r>
      <w:r>
        <w:t xml:space="preserve">82, </w:t>
      </w:r>
      <w:proofErr w:type="spellStart"/>
      <w:r>
        <w:t>AIHW</w:t>
      </w:r>
      <w:proofErr w:type="spellEnd"/>
      <w:r>
        <w:t>, Canberra.</w:t>
      </w:r>
    </w:p>
    <w:p w:rsidR="007437B9" w:rsidRDefault="007437B9" w:rsidP="00740F59">
      <w:pPr>
        <w:pStyle w:val="Reference"/>
      </w:pPr>
      <w:r w:rsidRPr="007437B9">
        <w:t xml:space="preserve">Berry, H., Rodgers, B. and Dear, K. 2007, </w:t>
      </w:r>
      <w:r>
        <w:t>‘</w:t>
      </w:r>
      <w:r w:rsidRPr="007437B9">
        <w:t>Preliminary development and validation of an Australian community participation questionnaire: Types of participation and associations with distress in a coastal community</w:t>
      </w:r>
      <w:r>
        <w:t>’</w:t>
      </w:r>
      <w:r w:rsidRPr="007437B9">
        <w:t xml:space="preserve">, </w:t>
      </w:r>
      <w:r w:rsidRPr="00D71789">
        <w:rPr>
          <w:i/>
        </w:rPr>
        <w:t>Social Science &amp; Medicine</w:t>
      </w:r>
      <w:r w:rsidRPr="007437B9">
        <w:t>, vol. 64, pp.</w:t>
      </w:r>
      <w:r w:rsidR="00463329">
        <w:t> </w:t>
      </w:r>
      <w:r w:rsidRPr="007437B9">
        <w:t>1719</w:t>
      </w:r>
      <w:r>
        <w:sym w:font="Symbol" w:char="F02D"/>
      </w:r>
      <w:r w:rsidRPr="007437B9">
        <w:t>1737.</w:t>
      </w:r>
    </w:p>
    <w:p w:rsidR="00740F59" w:rsidRDefault="00740F59" w:rsidP="00740F59">
      <w:pPr>
        <w:pStyle w:val="Reference"/>
      </w:pPr>
      <w:proofErr w:type="spellStart"/>
      <w:r>
        <w:t>Coghlan</w:t>
      </w:r>
      <w:proofErr w:type="spellEnd"/>
      <w:r>
        <w:t xml:space="preserve">, R., Lawrence D., Holman D. and </w:t>
      </w:r>
      <w:proofErr w:type="spellStart"/>
      <w:r>
        <w:t>Jablensky</w:t>
      </w:r>
      <w:proofErr w:type="spellEnd"/>
      <w:r>
        <w:t xml:space="preserve"> A. 2001, </w:t>
      </w:r>
      <w:r w:rsidRPr="00981C68">
        <w:rPr>
          <w:i/>
        </w:rPr>
        <w:t>Duty to Care: Physical Illness in People with Mental Illness</w:t>
      </w:r>
      <w:r>
        <w:t>, University of Western Australia, Perth.</w:t>
      </w:r>
    </w:p>
    <w:p w:rsidR="003346FA" w:rsidRDefault="003346FA" w:rsidP="00740F59">
      <w:pPr>
        <w:pStyle w:val="Reference"/>
      </w:pPr>
      <w:r>
        <w:t xml:space="preserve">Department of Health 2014, </w:t>
      </w:r>
      <w:r w:rsidRPr="00D71789">
        <w:rPr>
          <w:i/>
        </w:rPr>
        <w:t>National mental health strategy</w:t>
      </w:r>
      <w:r>
        <w:rPr>
          <w:i/>
        </w:rPr>
        <w:t xml:space="preserve"> </w:t>
      </w:r>
      <w:r w:rsidRPr="00D71789">
        <w:t>(available at www.health.gov.au/internet/main/publishing.nsf/content/mental</w:t>
      </w:r>
      <w:r w:rsidR="00463329">
        <w:noBreakHyphen/>
      </w:r>
      <w:r w:rsidRPr="00D71789">
        <w:t>strat</w:t>
      </w:r>
      <w:r>
        <w:t>).</w:t>
      </w:r>
    </w:p>
    <w:p w:rsidR="00740F59" w:rsidRDefault="00740F59" w:rsidP="00740F59">
      <w:pPr>
        <w:pStyle w:val="Reference"/>
      </w:pPr>
      <w:r>
        <w:t xml:space="preserve">DoHA (Department of Health and Ageing) 2010, </w:t>
      </w:r>
      <w:r w:rsidRPr="00981C68">
        <w:rPr>
          <w:i/>
        </w:rPr>
        <w:t>National Mental Health Report 2010: Summary of 15 years of reform in Australia’s Mental Health Services under the National Mental Health Strategy 1993–2008</w:t>
      </w:r>
      <w:r>
        <w:t>, Australian Government, Canberra.</w:t>
      </w:r>
    </w:p>
    <w:p w:rsidR="00740F59" w:rsidRDefault="00740F59" w:rsidP="00740F59">
      <w:pPr>
        <w:pStyle w:val="Reference"/>
      </w:pPr>
      <w:proofErr w:type="spellStart"/>
      <w:r>
        <w:t>DHAC</w:t>
      </w:r>
      <w:proofErr w:type="spellEnd"/>
      <w:r>
        <w:t xml:space="preserve"> (Australian Government Department of Health and Community Services) and AIHW 1999, </w:t>
      </w:r>
      <w:r w:rsidRPr="00981C68">
        <w:rPr>
          <w:i/>
        </w:rPr>
        <w:t>National Health Priority Areas Report: Mental Health 1998</w:t>
      </w:r>
      <w:r>
        <w:t>, AIHW</w:t>
      </w:r>
      <w:r w:rsidR="00981C68">
        <w:t> </w:t>
      </w:r>
      <w:r>
        <w:t>Cat.</w:t>
      </w:r>
      <w:r w:rsidR="00981C68">
        <w:t> </w:t>
      </w:r>
      <w:r>
        <w:t xml:space="preserve">no. </w:t>
      </w:r>
      <w:proofErr w:type="spellStart"/>
      <w:r>
        <w:t>PHE</w:t>
      </w:r>
      <w:proofErr w:type="spellEnd"/>
      <w:r w:rsidR="00881ABA">
        <w:t> </w:t>
      </w:r>
      <w:r>
        <w:t>13, Canberra.</w:t>
      </w:r>
    </w:p>
    <w:p w:rsidR="00D015BF" w:rsidRDefault="00D015BF" w:rsidP="00D015BF">
      <w:pPr>
        <w:pStyle w:val="Reference"/>
      </w:pPr>
      <w:proofErr w:type="spellStart"/>
      <w:r>
        <w:t>Happell</w:t>
      </w:r>
      <w:proofErr w:type="spellEnd"/>
      <w:r>
        <w:t>,</w:t>
      </w:r>
      <w:r w:rsidRPr="00D015BF">
        <w:t xml:space="preserve"> </w:t>
      </w:r>
      <w:r>
        <w:t xml:space="preserve">B., </w:t>
      </w:r>
      <w:proofErr w:type="spellStart"/>
      <w:r>
        <w:t>Platania</w:t>
      </w:r>
      <w:r w:rsidR="00463329">
        <w:noBreakHyphen/>
      </w:r>
      <w:r>
        <w:t>Phung</w:t>
      </w:r>
      <w:proofErr w:type="spellEnd"/>
      <w:r>
        <w:t>, C., Webster, S., McKenna, B., Millar,</w:t>
      </w:r>
      <w:r w:rsidRPr="00D015BF">
        <w:t xml:space="preserve"> </w:t>
      </w:r>
      <w:r>
        <w:t>F., Stanton,</w:t>
      </w:r>
      <w:r w:rsidRPr="00D015BF">
        <w:t xml:space="preserve"> </w:t>
      </w:r>
      <w:r>
        <w:t xml:space="preserve">R., </w:t>
      </w:r>
      <w:proofErr w:type="spellStart"/>
      <w:r>
        <w:t>Galletly</w:t>
      </w:r>
      <w:proofErr w:type="spellEnd"/>
      <w:r>
        <w:t>, C., Castle, D., Furness, T., Liu,</w:t>
      </w:r>
      <w:r w:rsidRPr="00D015BF">
        <w:t xml:space="preserve"> </w:t>
      </w:r>
      <w:r>
        <w:t>D. and</w:t>
      </w:r>
      <w:r w:rsidRPr="00D015BF">
        <w:t xml:space="preserve"> </w:t>
      </w:r>
      <w:r>
        <w:t>Scott, D 2015, ‘Applying the World Health Organization Mental Health Action Plan to evaluate policy on addressing co</w:t>
      </w:r>
      <w:r>
        <w:noBreakHyphen/>
        <w:t xml:space="preserve">occurrence of physical and mental illnesses in Australia’, </w:t>
      </w:r>
      <w:r w:rsidRPr="00D015BF">
        <w:rPr>
          <w:i/>
        </w:rPr>
        <w:t>Australian Health Review</w:t>
      </w:r>
      <w:r>
        <w:t>, Vol. 39, pp.</w:t>
      </w:r>
      <w:r w:rsidR="00463329">
        <w:t> </w:t>
      </w:r>
      <w:r>
        <w:t xml:space="preserve">370–378, </w:t>
      </w:r>
      <w:proofErr w:type="spellStart"/>
      <w:r>
        <w:t>CSRIO</w:t>
      </w:r>
      <w:proofErr w:type="spellEnd"/>
      <w:r>
        <w:t xml:space="preserve"> Publishing (available at </w:t>
      </w:r>
      <w:r w:rsidRPr="00D015BF">
        <w:t>http://</w:t>
      </w:r>
      <w:proofErr w:type="spellStart"/>
      <w:r w:rsidRPr="00D015BF">
        <w:t>dx.doi.org</w:t>
      </w:r>
      <w:proofErr w:type="spellEnd"/>
      <w:r w:rsidRPr="00D015BF">
        <w:t>/10.1071</w:t>
      </w:r>
      <w:r>
        <w:br/>
        <w:t>/</w:t>
      </w:r>
      <w:proofErr w:type="spellStart"/>
      <w:r>
        <w:t>AH14098</w:t>
      </w:r>
      <w:proofErr w:type="spellEnd"/>
      <w:r>
        <w:t>).</w:t>
      </w:r>
    </w:p>
    <w:p w:rsidR="00740F59" w:rsidRDefault="00740F59" w:rsidP="00740F59">
      <w:pPr>
        <w:pStyle w:val="Reference"/>
      </w:pPr>
      <w:r>
        <w:t xml:space="preserve">Joukamaa, M., Heliovaara, M., Knekt, P., Aromaa, A., Raitasalo, R. and Lehtinen, V. 2001, ‘Mental disorders and cause specific mortality’, </w:t>
      </w:r>
      <w:r w:rsidRPr="00981C68">
        <w:rPr>
          <w:i/>
        </w:rPr>
        <w:t>The British Journal of Psychiatry</w:t>
      </w:r>
      <w:r w:rsidR="00881ABA">
        <w:t>, vol. </w:t>
      </w:r>
      <w:r>
        <w:t>179, no.</w:t>
      </w:r>
      <w:r w:rsidR="00881ABA">
        <w:t> </w:t>
      </w:r>
      <w:r>
        <w:t>6, pp.</w:t>
      </w:r>
      <w:r w:rsidR="0022260C">
        <w:t> </w:t>
      </w:r>
      <w:r>
        <w:t>498–502.</w:t>
      </w:r>
    </w:p>
    <w:p w:rsidR="00740F59" w:rsidRDefault="00740F59" w:rsidP="00740F59">
      <w:pPr>
        <w:pStyle w:val="Reference"/>
      </w:pPr>
      <w:r>
        <w:t xml:space="preserve">Lawrence, D., Hancock, K. and Kisely S. 2013, ‘The gap in life expectancy from preventable physical illness in psychiatric patients in Western Australia: retrospective analysis of population based registers’, </w:t>
      </w:r>
      <w:r w:rsidRPr="00981C68">
        <w:rPr>
          <w:i/>
        </w:rPr>
        <w:t>British Medical Journal</w:t>
      </w:r>
      <w:r>
        <w:t>, Vol.</w:t>
      </w:r>
      <w:r w:rsidR="00881ABA">
        <w:t> </w:t>
      </w:r>
      <w:r>
        <w:t>346.</w:t>
      </w:r>
    </w:p>
    <w:p w:rsidR="00CC7E85" w:rsidRDefault="00CC7E85" w:rsidP="00CC7E85">
      <w:pPr>
        <w:pStyle w:val="Reference"/>
      </w:pPr>
      <w:r>
        <w:t>Lawrence, D., Johnson, S., Hafekost, J., Boterhoven, K., Sawyer, M., Ainley, J., Zubrick,</w:t>
      </w:r>
      <w:r w:rsidR="00053085">
        <w:t> </w:t>
      </w:r>
      <w:r>
        <w:t xml:space="preserve">S. 2015, </w:t>
      </w:r>
      <w:r w:rsidRPr="00D71789">
        <w:rPr>
          <w:i/>
        </w:rPr>
        <w:t xml:space="preserve">The Mental Health of Children and Adolescents. Report on the </w:t>
      </w:r>
      <w:r w:rsidRPr="00D71789">
        <w:rPr>
          <w:i/>
        </w:rPr>
        <w:lastRenderedPageBreak/>
        <w:t>second Australian Child and Adolescent Survey of Mental Health and Wellbeing</w:t>
      </w:r>
      <w:r>
        <w:t>, Department of Health, Canberra.</w:t>
      </w:r>
    </w:p>
    <w:p w:rsidR="00740F59" w:rsidRDefault="00740F59" w:rsidP="00740F59">
      <w:pPr>
        <w:pStyle w:val="Reference"/>
      </w:pPr>
      <w:r>
        <w:t xml:space="preserve">Morgan, V., Waterreus, A., Jablensky, A., Mackinnon, A., McGrath, J., Carr, V., Bush, R., Castle, D., Cohen, M., Harvey, C., Galletly, C., Stain, H., Neil, A. McGorry, P., Hocking, B., Shah, S., Saw, S. 2011, </w:t>
      </w:r>
      <w:r w:rsidRPr="00981C68">
        <w:rPr>
          <w:i/>
        </w:rPr>
        <w:t>People Living With Psychotic Illness 2010, Report on the Second Australian National Survey</w:t>
      </w:r>
      <w:r>
        <w:t>, Australian Government, Canberra.</w:t>
      </w:r>
    </w:p>
    <w:p w:rsidR="00740F59" w:rsidRDefault="00740F59" w:rsidP="00740F59">
      <w:pPr>
        <w:pStyle w:val="Reference"/>
      </w:pPr>
      <w:r>
        <w:t xml:space="preserve">NMHPSC (National Mental Health Performance Subcommittee) 2011a, </w:t>
      </w:r>
      <w:r w:rsidRPr="00981C68">
        <w:rPr>
          <w:i/>
        </w:rPr>
        <w:t>The Fourth National Mental Health Plan Measurement Strategy 2011</w:t>
      </w:r>
      <w:r>
        <w:t>, Report produced for the Australian Health Ministers Advisory Council Mental Health Standing Committee, www.health.gov.au/internet/mhsc/publishing.nsf/Content/publications 1 (accessed</w:t>
      </w:r>
      <w:r w:rsidR="00881ABA">
        <w:t xml:space="preserve"> </w:t>
      </w:r>
      <w:r>
        <w:t>30</w:t>
      </w:r>
      <w:r w:rsidR="002951E4">
        <w:t> </w:t>
      </w:r>
      <w:r>
        <w:t>September 2011).</w:t>
      </w:r>
    </w:p>
    <w:p w:rsidR="00740F59" w:rsidRDefault="00740F59" w:rsidP="00740F59">
      <w:pPr>
        <w:pStyle w:val="Reference"/>
      </w:pPr>
      <w:r>
        <w:t xml:space="preserve">—— 2011b, </w:t>
      </w:r>
      <w:r w:rsidRPr="00981C68">
        <w:rPr>
          <w:i/>
        </w:rPr>
        <w:t>Key performance indicators for Australian public mental health services: second edition 2011</w:t>
      </w:r>
      <w:r>
        <w:t>, Report produced for the Australian Health Ministers Advisory Council Mental Health Standing Committee, www.health.gov.au/internet/</w:t>
      </w:r>
      <w:r w:rsidR="00981C68">
        <w:br/>
      </w:r>
      <w:r>
        <w:t>mhsc/Australian Health Ministers Advisory Council Mental Health Standing Committee publishing.nsf/Content/ publications 1 (accessed 6</w:t>
      </w:r>
      <w:r w:rsidR="00463329">
        <w:t> </w:t>
      </w:r>
      <w:r>
        <w:t>October 2013).</w:t>
      </w:r>
    </w:p>
    <w:p w:rsidR="00740F59" w:rsidRDefault="00FB3BDA" w:rsidP="00740F59">
      <w:pPr>
        <w:pStyle w:val="Reference"/>
      </w:pPr>
      <w:r w:rsidRPr="00FB3BDA">
        <w:t>National Mental Health Working Group</w:t>
      </w:r>
      <w:r w:rsidR="00740F59">
        <w:t xml:space="preserve"> Information Strategy Committee Performance Indicator Drafting Group 2005, </w:t>
      </w:r>
      <w:r w:rsidR="00740F59" w:rsidRPr="00981C68">
        <w:rPr>
          <w:i/>
        </w:rPr>
        <w:t>Key Performance Indicators for Australian Public Mental Health Services</w:t>
      </w:r>
      <w:r w:rsidR="00740F59">
        <w:t xml:space="preserve">, ISC Discussion Paper no. 6, Australian Government Department of Health and Ageing, Canberra. </w:t>
      </w:r>
    </w:p>
    <w:p w:rsidR="00740F59" w:rsidRDefault="00740F59" w:rsidP="00740F59">
      <w:pPr>
        <w:pStyle w:val="Reference"/>
      </w:pPr>
      <w:r>
        <w:t xml:space="preserve">Sartorius, N. 2007, ‘Physical illness in people with mental disorders’, </w:t>
      </w:r>
      <w:r w:rsidRPr="00981C68">
        <w:rPr>
          <w:i/>
        </w:rPr>
        <w:t>World Psychiatry</w:t>
      </w:r>
      <w:r>
        <w:t>, vol.</w:t>
      </w:r>
      <w:r w:rsidR="00881ABA">
        <w:t> </w:t>
      </w:r>
      <w:r>
        <w:t>6, no.</w:t>
      </w:r>
      <w:r w:rsidR="00881ABA">
        <w:t> </w:t>
      </w:r>
      <w:r>
        <w:t>1, pp.</w:t>
      </w:r>
      <w:r w:rsidR="0022260C">
        <w:t> </w:t>
      </w:r>
      <w:r>
        <w:t>3–4.</w:t>
      </w:r>
    </w:p>
    <w:p w:rsidR="00740F59" w:rsidRPr="00740F59" w:rsidRDefault="00740F59" w:rsidP="00740F59">
      <w:pPr>
        <w:pStyle w:val="Reference"/>
      </w:pPr>
      <w:r>
        <w:t xml:space="preserve">WHO (World Health Organization) 2001, </w:t>
      </w:r>
      <w:r w:rsidRPr="00981C68">
        <w:rPr>
          <w:i/>
        </w:rPr>
        <w:t>Strengthening mental health promotion</w:t>
      </w:r>
      <w:r>
        <w:t>, Fact</w:t>
      </w:r>
      <w:r w:rsidR="00881ABA">
        <w:t> </w:t>
      </w:r>
      <w:r>
        <w:t xml:space="preserve">sheet </w:t>
      </w:r>
      <w:r w:rsidR="00881ABA">
        <w:t>no. </w:t>
      </w:r>
      <w:r>
        <w:t>220, Geneva.</w:t>
      </w:r>
    </w:p>
    <w:sectPr w:rsidR="00740F59" w:rsidRPr="00740F59" w:rsidSect="009F29F9">
      <w:headerReference w:type="even" r:id="rId51"/>
      <w:headerReference w:type="default" r:id="rId52"/>
      <w:footerReference w:type="even" r:id="rId53"/>
      <w:footerReference w:type="default" r:id="rId54"/>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B09" w:rsidRDefault="001B7B09">
      <w:r>
        <w:separator/>
      </w:r>
    </w:p>
    <w:p w:rsidR="001B7B09" w:rsidRDefault="001B7B09"/>
  </w:endnote>
  <w:endnote w:type="continuationSeparator" w:id="0">
    <w:p w:rsidR="001B7B09" w:rsidRDefault="001B7B09">
      <w:r>
        <w:continuationSeparator/>
      </w:r>
    </w:p>
    <w:p w:rsidR="001B7B09" w:rsidRDefault="001B7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7B09" w:rsidTr="005F48ED">
      <w:trPr>
        <w:trHeight w:hRule="exact" w:val="567"/>
      </w:trPr>
      <w:tc>
        <w:tcPr>
          <w:tcW w:w="510" w:type="dxa"/>
        </w:tcPr>
        <w:p w:rsidR="001B7B09" w:rsidRPr="00A24443" w:rsidRDefault="001B7B09" w:rsidP="0019293B">
          <w:pPr>
            <w:pStyle w:val="Footer"/>
            <w:tabs>
              <w:tab w:val="left" w:pos="0"/>
            </w:tabs>
            <w:ind w:right="0"/>
            <w:rPr>
              <w:rStyle w:val="PageNumbe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35DD2">
            <w:rPr>
              <w:rStyle w:val="PageNumber"/>
              <w:caps w:val="0"/>
              <w:noProof/>
            </w:rPr>
            <w:t>64</w:t>
          </w:r>
          <w:r w:rsidRPr="00A24443">
            <w:rPr>
              <w:rStyle w:val="PageNumber"/>
              <w:caps w:val="0"/>
            </w:rPr>
            <w:fldChar w:fldCharType="end"/>
          </w:r>
        </w:p>
      </w:tc>
      <w:tc>
        <w:tcPr>
          <w:tcW w:w="7767" w:type="dxa"/>
        </w:tcPr>
        <w:p w:rsidR="001B7B09" w:rsidRPr="0013739A" w:rsidRDefault="001B7B09" w:rsidP="001F6B10">
          <w:pPr>
            <w:pStyle w:val="Footer"/>
            <w:rPr>
              <w:rFonts w:cs="Arial"/>
            </w:rPr>
          </w:pPr>
          <w:r>
            <w:rPr>
              <w:rFonts w:cs="Arial"/>
            </w:rPr>
            <w:t>Report on Government Services 2016</w:t>
          </w:r>
          <w:bookmarkStart w:id="27" w:name="DraftReportEven"/>
          <w:bookmarkEnd w:id="27"/>
        </w:p>
      </w:tc>
      <w:tc>
        <w:tcPr>
          <w:tcW w:w="510" w:type="dxa"/>
        </w:tcPr>
        <w:p w:rsidR="001B7B09" w:rsidRDefault="001B7B09" w:rsidP="0019293B">
          <w:pPr>
            <w:pStyle w:val="Footer"/>
          </w:pPr>
        </w:p>
      </w:tc>
    </w:tr>
  </w:tbl>
  <w:p w:rsidR="001B7B09" w:rsidRDefault="001B7B09" w:rsidP="0019293B">
    <w:pPr>
      <w:pStyle w:val="FooterEnd"/>
    </w:pPr>
  </w:p>
  <w:p w:rsidR="001B7B09" w:rsidRDefault="001B7B0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B7B09" w:rsidTr="005F48ED">
      <w:trPr>
        <w:trHeight w:hRule="exact" w:val="567"/>
      </w:trPr>
      <w:tc>
        <w:tcPr>
          <w:tcW w:w="510" w:type="dxa"/>
        </w:tcPr>
        <w:p w:rsidR="001B7B09" w:rsidRDefault="001B7B09">
          <w:pPr>
            <w:pStyle w:val="Footer"/>
            <w:ind w:right="360" w:firstLine="360"/>
          </w:pPr>
        </w:p>
      </w:tc>
      <w:tc>
        <w:tcPr>
          <w:tcW w:w="7767" w:type="dxa"/>
        </w:tcPr>
        <w:p w:rsidR="001B7B09" w:rsidRPr="00BA5B14" w:rsidRDefault="001B7B09" w:rsidP="0013739A">
          <w:pPr>
            <w:pStyle w:val="Footer"/>
            <w:jc w:val="right"/>
            <w:rPr>
              <w:rFonts w:cs="Arial"/>
            </w:rPr>
          </w:pPr>
          <w:r>
            <w:rPr>
              <w:rFonts w:cs="Arial"/>
            </w:rPr>
            <w:t>Mental health management</w:t>
          </w:r>
          <w:bookmarkStart w:id="28" w:name="DraftReportOdd"/>
          <w:bookmarkEnd w:id="28"/>
        </w:p>
      </w:tc>
      <w:tc>
        <w:tcPr>
          <w:tcW w:w="510" w:type="dxa"/>
        </w:tcPr>
        <w:p w:rsidR="001B7B09" w:rsidRPr="00A24443" w:rsidRDefault="001B7B09">
          <w:pPr>
            <w:pStyle w:val="Footer"/>
            <w:jc w:val="right"/>
            <w:rPr>
              <w:caps w:val="0"/>
            </w:rPr>
          </w:pPr>
          <w:r>
            <w:rPr>
              <w:rStyle w:val="PageNumber"/>
              <w:caps w:val="0"/>
            </w:rPr>
            <w:t>12.</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35DD2">
            <w:rPr>
              <w:rStyle w:val="PageNumber"/>
              <w:caps w:val="0"/>
              <w:noProof/>
            </w:rPr>
            <w:t>1</w:t>
          </w:r>
          <w:r w:rsidRPr="00A24443">
            <w:rPr>
              <w:rStyle w:val="PageNumber"/>
              <w:caps w:val="0"/>
            </w:rPr>
            <w:fldChar w:fldCharType="end"/>
          </w:r>
        </w:p>
      </w:tc>
    </w:tr>
  </w:tbl>
  <w:p w:rsidR="001B7B09" w:rsidRDefault="001B7B09">
    <w:pPr>
      <w:pStyle w:val="FooterEnd"/>
    </w:pPr>
  </w:p>
  <w:p w:rsidR="001B7B09" w:rsidRDefault="001B7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B09" w:rsidRDefault="001B7B09">
      <w:r>
        <w:separator/>
      </w:r>
    </w:p>
    <w:p w:rsidR="001B7B09" w:rsidRDefault="001B7B09"/>
  </w:footnote>
  <w:footnote w:type="continuationSeparator" w:id="0">
    <w:p w:rsidR="001B7B09" w:rsidRDefault="001B7B09">
      <w:r>
        <w:continuationSeparator/>
      </w:r>
    </w:p>
    <w:p w:rsidR="001B7B09" w:rsidRDefault="001B7B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B7B09">
      <w:tc>
        <w:tcPr>
          <w:tcW w:w="2155" w:type="dxa"/>
          <w:tcBorders>
            <w:top w:val="single" w:sz="24" w:space="0" w:color="auto"/>
          </w:tcBorders>
        </w:tcPr>
        <w:p w:rsidR="001B7B09" w:rsidRDefault="001B7B09" w:rsidP="0019293B">
          <w:pPr>
            <w:pStyle w:val="HeaderEven"/>
          </w:pPr>
        </w:p>
      </w:tc>
      <w:tc>
        <w:tcPr>
          <w:tcW w:w="6634" w:type="dxa"/>
          <w:tcBorders>
            <w:top w:val="single" w:sz="6" w:space="0" w:color="auto"/>
          </w:tcBorders>
        </w:tcPr>
        <w:p w:rsidR="001B7B09" w:rsidRDefault="001B7B09" w:rsidP="0019293B">
          <w:pPr>
            <w:pStyle w:val="HeaderEven"/>
          </w:pPr>
        </w:p>
      </w:tc>
    </w:tr>
  </w:tbl>
  <w:p w:rsidR="001B7B09" w:rsidRDefault="001B7B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B7B09">
      <w:tc>
        <w:tcPr>
          <w:tcW w:w="6634" w:type="dxa"/>
          <w:tcBorders>
            <w:top w:val="single" w:sz="6" w:space="0" w:color="auto"/>
          </w:tcBorders>
        </w:tcPr>
        <w:p w:rsidR="001B7B09" w:rsidRDefault="001B7B09" w:rsidP="00E669E2">
          <w:pPr>
            <w:pStyle w:val="HeaderOdd"/>
          </w:pPr>
        </w:p>
      </w:tc>
      <w:tc>
        <w:tcPr>
          <w:tcW w:w="2155" w:type="dxa"/>
          <w:tcBorders>
            <w:top w:val="single" w:sz="24" w:space="0" w:color="auto"/>
          </w:tcBorders>
        </w:tcPr>
        <w:p w:rsidR="001B7B09" w:rsidRDefault="001B7B09" w:rsidP="00E669E2">
          <w:pPr>
            <w:pStyle w:val="HeaderOdd"/>
          </w:pPr>
        </w:p>
      </w:tc>
    </w:tr>
  </w:tbl>
  <w:p w:rsidR="001B7B09" w:rsidRDefault="001B7B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43A1A47"/>
    <w:multiLevelType w:val="hybridMultilevel"/>
    <w:tmpl w:val="9F8AEB2C"/>
    <w:lvl w:ilvl="0" w:tplc="5826351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4"/>
  </w:num>
  <w:num w:numId="23">
    <w:abstractNumId w:val="11"/>
  </w:num>
  <w:num w:numId="24">
    <w:abstractNumId w:val="11"/>
  </w:num>
  <w:num w:numId="25">
    <w:abstractNumId w:val="14"/>
  </w:num>
  <w:num w:numId="26">
    <w:abstractNumId w:val="11"/>
  </w:num>
  <w:num w:numId="27">
    <w:abstractNumId w:val="11"/>
  </w:num>
  <w:num w:numId="28">
    <w:abstractNumId w:val="14"/>
  </w:num>
  <w:num w:numId="29">
    <w:abstractNumId w:val="11"/>
  </w:num>
  <w:num w:numId="30">
    <w:abstractNumId w:val="14"/>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4"/>
  </w:num>
  <w:num w:numId="38">
    <w:abstractNumId w:val="14"/>
  </w:num>
  <w:num w:numId="39">
    <w:abstractNumId w:val="11"/>
  </w:num>
  <w:num w:numId="40">
    <w:abstractNumId w:val="11"/>
  </w:num>
  <w:num w:numId="41">
    <w:abstractNumId w:val="11"/>
  </w:num>
  <w:num w:numId="42">
    <w:abstractNumId w:val="14"/>
  </w:num>
  <w:num w:numId="43">
    <w:abstractNumId w:val="14"/>
  </w:num>
  <w:num w:numId="44">
    <w:abstractNumId w:val="11"/>
  </w:num>
  <w:num w:numId="45">
    <w:abstractNumId w:val="11"/>
  </w:num>
  <w:num w:numId="46">
    <w:abstractNumId w:val="11"/>
  </w:num>
  <w:num w:numId="47">
    <w:abstractNumId w:val="14"/>
  </w:num>
  <w:num w:numId="48">
    <w:abstractNumId w:val="14"/>
  </w:num>
  <w:num w:numId="49">
    <w:abstractNumId w:val="11"/>
  </w:num>
  <w:num w:numId="5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ntal health management"/>
    <w:docVar w:name="ShortReportTitle" w:val="Report on Government Services 2016"/>
  </w:docVars>
  <w:rsids>
    <w:rsidRoot w:val="005F2EAC"/>
    <w:rsid w:val="00002EAD"/>
    <w:rsid w:val="00002F92"/>
    <w:rsid w:val="00004A54"/>
    <w:rsid w:val="0000655A"/>
    <w:rsid w:val="00006D4D"/>
    <w:rsid w:val="00011F18"/>
    <w:rsid w:val="000157A1"/>
    <w:rsid w:val="00017BED"/>
    <w:rsid w:val="00017CF8"/>
    <w:rsid w:val="000227D5"/>
    <w:rsid w:val="00023358"/>
    <w:rsid w:val="000245AA"/>
    <w:rsid w:val="00027874"/>
    <w:rsid w:val="00027C10"/>
    <w:rsid w:val="0003050E"/>
    <w:rsid w:val="0003664B"/>
    <w:rsid w:val="00037B56"/>
    <w:rsid w:val="0004111F"/>
    <w:rsid w:val="00041DCC"/>
    <w:rsid w:val="000430B1"/>
    <w:rsid w:val="000433AF"/>
    <w:rsid w:val="000440B4"/>
    <w:rsid w:val="000477EA"/>
    <w:rsid w:val="00050249"/>
    <w:rsid w:val="00050F87"/>
    <w:rsid w:val="0005146A"/>
    <w:rsid w:val="00052549"/>
    <w:rsid w:val="00052FA5"/>
    <w:rsid w:val="00053085"/>
    <w:rsid w:val="0005415E"/>
    <w:rsid w:val="00055077"/>
    <w:rsid w:val="0005606A"/>
    <w:rsid w:val="000565B3"/>
    <w:rsid w:val="00061376"/>
    <w:rsid w:val="00062DA8"/>
    <w:rsid w:val="00062F01"/>
    <w:rsid w:val="0006364C"/>
    <w:rsid w:val="00063E26"/>
    <w:rsid w:val="00066FE7"/>
    <w:rsid w:val="00067BA2"/>
    <w:rsid w:val="0007150B"/>
    <w:rsid w:val="00073E4F"/>
    <w:rsid w:val="00073E98"/>
    <w:rsid w:val="00074BE9"/>
    <w:rsid w:val="00080390"/>
    <w:rsid w:val="000806A8"/>
    <w:rsid w:val="00080D30"/>
    <w:rsid w:val="00081EAC"/>
    <w:rsid w:val="0008223D"/>
    <w:rsid w:val="00083260"/>
    <w:rsid w:val="00083882"/>
    <w:rsid w:val="00085CAE"/>
    <w:rsid w:val="00086B08"/>
    <w:rsid w:val="00087685"/>
    <w:rsid w:val="00090017"/>
    <w:rsid w:val="000938E3"/>
    <w:rsid w:val="000938F5"/>
    <w:rsid w:val="00095094"/>
    <w:rsid w:val="00095663"/>
    <w:rsid w:val="00095FDD"/>
    <w:rsid w:val="00096E55"/>
    <w:rsid w:val="0009783E"/>
    <w:rsid w:val="000A0EAC"/>
    <w:rsid w:val="000A2452"/>
    <w:rsid w:val="000A274A"/>
    <w:rsid w:val="000A2B36"/>
    <w:rsid w:val="000A3D4D"/>
    <w:rsid w:val="000A422F"/>
    <w:rsid w:val="000A530B"/>
    <w:rsid w:val="000A7F2B"/>
    <w:rsid w:val="000B1022"/>
    <w:rsid w:val="000B290D"/>
    <w:rsid w:val="000B3B63"/>
    <w:rsid w:val="000B601B"/>
    <w:rsid w:val="000B69A0"/>
    <w:rsid w:val="000B7725"/>
    <w:rsid w:val="000B7774"/>
    <w:rsid w:val="000C0C8F"/>
    <w:rsid w:val="000C1315"/>
    <w:rsid w:val="000C1D1B"/>
    <w:rsid w:val="000C207E"/>
    <w:rsid w:val="000C2197"/>
    <w:rsid w:val="000C2D55"/>
    <w:rsid w:val="000C5D75"/>
    <w:rsid w:val="000C75D3"/>
    <w:rsid w:val="000D0785"/>
    <w:rsid w:val="000D1472"/>
    <w:rsid w:val="000D23A9"/>
    <w:rsid w:val="000D41E9"/>
    <w:rsid w:val="000D5A4D"/>
    <w:rsid w:val="000D5DA9"/>
    <w:rsid w:val="000D68F2"/>
    <w:rsid w:val="000D7CBB"/>
    <w:rsid w:val="000E00AE"/>
    <w:rsid w:val="000E069F"/>
    <w:rsid w:val="000E1737"/>
    <w:rsid w:val="000E3455"/>
    <w:rsid w:val="000E41EF"/>
    <w:rsid w:val="000E784B"/>
    <w:rsid w:val="000F0035"/>
    <w:rsid w:val="000F04E7"/>
    <w:rsid w:val="000F060A"/>
    <w:rsid w:val="000F35C7"/>
    <w:rsid w:val="000F420B"/>
    <w:rsid w:val="000F43D2"/>
    <w:rsid w:val="000F67C1"/>
    <w:rsid w:val="00100ED0"/>
    <w:rsid w:val="00101926"/>
    <w:rsid w:val="00101BAC"/>
    <w:rsid w:val="0010468D"/>
    <w:rsid w:val="001058BE"/>
    <w:rsid w:val="00110116"/>
    <w:rsid w:val="00110613"/>
    <w:rsid w:val="00112C83"/>
    <w:rsid w:val="00113CBF"/>
    <w:rsid w:val="001163D9"/>
    <w:rsid w:val="001170E1"/>
    <w:rsid w:val="00120072"/>
    <w:rsid w:val="001261E0"/>
    <w:rsid w:val="00126EB8"/>
    <w:rsid w:val="00127333"/>
    <w:rsid w:val="001274D4"/>
    <w:rsid w:val="00127C22"/>
    <w:rsid w:val="0013032D"/>
    <w:rsid w:val="0013108A"/>
    <w:rsid w:val="001320A4"/>
    <w:rsid w:val="001323F8"/>
    <w:rsid w:val="0013451D"/>
    <w:rsid w:val="001359B2"/>
    <w:rsid w:val="00135AE5"/>
    <w:rsid w:val="001363AA"/>
    <w:rsid w:val="00136F58"/>
    <w:rsid w:val="0013739A"/>
    <w:rsid w:val="00141436"/>
    <w:rsid w:val="00142165"/>
    <w:rsid w:val="001424C4"/>
    <w:rsid w:val="0014325B"/>
    <w:rsid w:val="00143BEA"/>
    <w:rsid w:val="0014546C"/>
    <w:rsid w:val="00146269"/>
    <w:rsid w:val="001469F2"/>
    <w:rsid w:val="00150BFF"/>
    <w:rsid w:val="00150FEC"/>
    <w:rsid w:val="00152D0F"/>
    <w:rsid w:val="00153F23"/>
    <w:rsid w:val="00153FA1"/>
    <w:rsid w:val="00155304"/>
    <w:rsid w:val="00155F24"/>
    <w:rsid w:val="00162434"/>
    <w:rsid w:val="0016301B"/>
    <w:rsid w:val="00163190"/>
    <w:rsid w:val="00164921"/>
    <w:rsid w:val="001664CF"/>
    <w:rsid w:val="00166FD8"/>
    <w:rsid w:val="0016725C"/>
    <w:rsid w:val="001745D0"/>
    <w:rsid w:val="00175597"/>
    <w:rsid w:val="001758BF"/>
    <w:rsid w:val="00176969"/>
    <w:rsid w:val="00177AE1"/>
    <w:rsid w:val="00183E82"/>
    <w:rsid w:val="00185B0D"/>
    <w:rsid w:val="00186BB3"/>
    <w:rsid w:val="001878BB"/>
    <w:rsid w:val="0019115A"/>
    <w:rsid w:val="00191AE0"/>
    <w:rsid w:val="0019293B"/>
    <w:rsid w:val="00193BD5"/>
    <w:rsid w:val="0019426B"/>
    <w:rsid w:val="001950CE"/>
    <w:rsid w:val="0019585A"/>
    <w:rsid w:val="00195F4E"/>
    <w:rsid w:val="001A05B7"/>
    <w:rsid w:val="001A0CD9"/>
    <w:rsid w:val="001A1088"/>
    <w:rsid w:val="001A2B31"/>
    <w:rsid w:val="001A5367"/>
    <w:rsid w:val="001A66B6"/>
    <w:rsid w:val="001A6A4B"/>
    <w:rsid w:val="001B0EBD"/>
    <w:rsid w:val="001B13F4"/>
    <w:rsid w:val="001B194D"/>
    <w:rsid w:val="001B3117"/>
    <w:rsid w:val="001B4661"/>
    <w:rsid w:val="001B4E73"/>
    <w:rsid w:val="001B6C2F"/>
    <w:rsid w:val="001B7B09"/>
    <w:rsid w:val="001C0539"/>
    <w:rsid w:val="001C0865"/>
    <w:rsid w:val="001C0AED"/>
    <w:rsid w:val="001C1480"/>
    <w:rsid w:val="001C220F"/>
    <w:rsid w:val="001C3ABA"/>
    <w:rsid w:val="001C5111"/>
    <w:rsid w:val="001C65DC"/>
    <w:rsid w:val="001D04A1"/>
    <w:rsid w:val="001D1186"/>
    <w:rsid w:val="001D1E22"/>
    <w:rsid w:val="001D475A"/>
    <w:rsid w:val="001D5143"/>
    <w:rsid w:val="001D5B88"/>
    <w:rsid w:val="001D727E"/>
    <w:rsid w:val="001E3F0B"/>
    <w:rsid w:val="001E5BD5"/>
    <w:rsid w:val="001E7B1B"/>
    <w:rsid w:val="001E7BE8"/>
    <w:rsid w:val="001E7DCB"/>
    <w:rsid w:val="001F0248"/>
    <w:rsid w:val="001F1DD0"/>
    <w:rsid w:val="001F3324"/>
    <w:rsid w:val="001F3467"/>
    <w:rsid w:val="001F37F4"/>
    <w:rsid w:val="001F3EB3"/>
    <w:rsid w:val="001F491C"/>
    <w:rsid w:val="001F4F86"/>
    <w:rsid w:val="001F5F43"/>
    <w:rsid w:val="001F6682"/>
    <w:rsid w:val="001F6B10"/>
    <w:rsid w:val="001F7910"/>
    <w:rsid w:val="00201973"/>
    <w:rsid w:val="00202C2C"/>
    <w:rsid w:val="00203050"/>
    <w:rsid w:val="00203522"/>
    <w:rsid w:val="002041CA"/>
    <w:rsid w:val="00205587"/>
    <w:rsid w:val="002058DD"/>
    <w:rsid w:val="00206030"/>
    <w:rsid w:val="00206106"/>
    <w:rsid w:val="00206D26"/>
    <w:rsid w:val="00207682"/>
    <w:rsid w:val="00210501"/>
    <w:rsid w:val="0021143A"/>
    <w:rsid w:val="00211E47"/>
    <w:rsid w:val="00212377"/>
    <w:rsid w:val="0021315E"/>
    <w:rsid w:val="002135AB"/>
    <w:rsid w:val="0021367A"/>
    <w:rsid w:val="0021384F"/>
    <w:rsid w:val="002144BE"/>
    <w:rsid w:val="0021696B"/>
    <w:rsid w:val="0022060C"/>
    <w:rsid w:val="00221C87"/>
    <w:rsid w:val="00221C8C"/>
    <w:rsid w:val="00222551"/>
    <w:rsid w:val="0022260C"/>
    <w:rsid w:val="002228CF"/>
    <w:rsid w:val="002241CC"/>
    <w:rsid w:val="002245A4"/>
    <w:rsid w:val="00224BEA"/>
    <w:rsid w:val="00226784"/>
    <w:rsid w:val="002278F4"/>
    <w:rsid w:val="00230A82"/>
    <w:rsid w:val="002315C6"/>
    <w:rsid w:val="00235CB4"/>
    <w:rsid w:val="00237482"/>
    <w:rsid w:val="002404C0"/>
    <w:rsid w:val="002405C4"/>
    <w:rsid w:val="00241393"/>
    <w:rsid w:val="00242279"/>
    <w:rsid w:val="0024394F"/>
    <w:rsid w:val="00243997"/>
    <w:rsid w:val="00243D34"/>
    <w:rsid w:val="00243E8F"/>
    <w:rsid w:val="0024516C"/>
    <w:rsid w:val="00245C82"/>
    <w:rsid w:val="002501B5"/>
    <w:rsid w:val="00250456"/>
    <w:rsid w:val="00253F05"/>
    <w:rsid w:val="00254F5F"/>
    <w:rsid w:val="00257B3C"/>
    <w:rsid w:val="00257CA3"/>
    <w:rsid w:val="00260EBD"/>
    <w:rsid w:val="00262C26"/>
    <w:rsid w:val="00263B04"/>
    <w:rsid w:val="00266512"/>
    <w:rsid w:val="002672F8"/>
    <w:rsid w:val="00270DBB"/>
    <w:rsid w:val="002724BA"/>
    <w:rsid w:val="00272E3D"/>
    <w:rsid w:val="00273334"/>
    <w:rsid w:val="0027441C"/>
    <w:rsid w:val="00275E59"/>
    <w:rsid w:val="00277325"/>
    <w:rsid w:val="002822ED"/>
    <w:rsid w:val="00283D04"/>
    <w:rsid w:val="002857F5"/>
    <w:rsid w:val="00291B40"/>
    <w:rsid w:val="002935AA"/>
    <w:rsid w:val="0029420D"/>
    <w:rsid w:val="002951E4"/>
    <w:rsid w:val="00296306"/>
    <w:rsid w:val="00297E2A"/>
    <w:rsid w:val="002A102D"/>
    <w:rsid w:val="002A1101"/>
    <w:rsid w:val="002A164E"/>
    <w:rsid w:val="002A206D"/>
    <w:rsid w:val="002A2F8C"/>
    <w:rsid w:val="002B1784"/>
    <w:rsid w:val="002B2C9A"/>
    <w:rsid w:val="002B2D64"/>
    <w:rsid w:val="002B4008"/>
    <w:rsid w:val="002B49F2"/>
    <w:rsid w:val="002B57E3"/>
    <w:rsid w:val="002B6282"/>
    <w:rsid w:val="002B70A7"/>
    <w:rsid w:val="002C0FB8"/>
    <w:rsid w:val="002C2211"/>
    <w:rsid w:val="002C439F"/>
    <w:rsid w:val="002C563A"/>
    <w:rsid w:val="002C5790"/>
    <w:rsid w:val="002C5F6A"/>
    <w:rsid w:val="002C60FB"/>
    <w:rsid w:val="002C6AE7"/>
    <w:rsid w:val="002D0C42"/>
    <w:rsid w:val="002D0D07"/>
    <w:rsid w:val="002D0E8E"/>
    <w:rsid w:val="002D2C14"/>
    <w:rsid w:val="002D36B2"/>
    <w:rsid w:val="002D596E"/>
    <w:rsid w:val="002E02E8"/>
    <w:rsid w:val="002E0DAD"/>
    <w:rsid w:val="002E271C"/>
    <w:rsid w:val="002E485F"/>
    <w:rsid w:val="002E5031"/>
    <w:rsid w:val="002E5C98"/>
    <w:rsid w:val="002E63D4"/>
    <w:rsid w:val="002E6619"/>
    <w:rsid w:val="002E77D5"/>
    <w:rsid w:val="002F225B"/>
    <w:rsid w:val="002F2357"/>
    <w:rsid w:val="002F5428"/>
    <w:rsid w:val="002F6582"/>
    <w:rsid w:val="002F6BDB"/>
    <w:rsid w:val="00301189"/>
    <w:rsid w:val="0030181A"/>
    <w:rsid w:val="00301E4A"/>
    <w:rsid w:val="003021AD"/>
    <w:rsid w:val="003033DB"/>
    <w:rsid w:val="00303B02"/>
    <w:rsid w:val="003059B1"/>
    <w:rsid w:val="00305B68"/>
    <w:rsid w:val="0030688E"/>
    <w:rsid w:val="003106E4"/>
    <w:rsid w:val="00312661"/>
    <w:rsid w:val="0031327A"/>
    <w:rsid w:val="00313810"/>
    <w:rsid w:val="00314728"/>
    <w:rsid w:val="003168B8"/>
    <w:rsid w:val="0031725E"/>
    <w:rsid w:val="00320374"/>
    <w:rsid w:val="00322D64"/>
    <w:rsid w:val="00323E09"/>
    <w:rsid w:val="00325922"/>
    <w:rsid w:val="00325FED"/>
    <w:rsid w:val="00326E47"/>
    <w:rsid w:val="003270B5"/>
    <w:rsid w:val="0033314A"/>
    <w:rsid w:val="00333932"/>
    <w:rsid w:val="00333F0C"/>
    <w:rsid w:val="003346FA"/>
    <w:rsid w:val="00335B81"/>
    <w:rsid w:val="00335EB0"/>
    <w:rsid w:val="00337C8B"/>
    <w:rsid w:val="00341A68"/>
    <w:rsid w:val="00341D46"/>
    <w:rsid w:val="003426D1"/>
    <w:rsid w:val="003477ED"/>
    <w:rsid w:val="00347D4D"/>
    <w:rsid w:val="003500A0"/>
    <w:rsid w:val="003518AA"/>
    <w:rsid w:val="00351F02"/>
    <w:rsid w:val="00352165"/>
    <w:rsid w:val="00352CB2"/>
    <w:rsid w:val="00353182"/>
    <w:rsid w:val="00354A01"/>
    <w:rsid w:val="003565D9"/>
    <w:rsid w:val="003566BA"/>
    <w:rsid w:val="00360224"/>
    <w:rsid w:val="003602E1"/>
    <w:rsid w:val="00361EB3"/>
    <w:rsid w:val="00362D44"/>
    <w:rsid w:val="00363650"/>
    <w:rsid w:val="00364299"/>
    <w:rsid w:val="00364D09"/>
    <w:rsid w:val="003701B1"/>
    <w:rsid w:val="0037026F"/>
    <w:rsid w:val="00371240"/>
    <w:rsid w:val="003718D8"/>
    <w:rsid w:val="00372ED6"/>
    <w:rsid w:val="0037391B"/>
    <w:rsid w:val="00373E3A"/>
    <w:rsid w:val="00374731"/>
    <w:rsid w:val="00375E1F"/>
    <w:rsid w:val="00376E59"/>
    <w:rsid w:val="00377EC1"/>
    <w:rsid w:val="00380340"/>
    <w:rsid w:val="00382529"/>
    <w:rsid w:val="00383A9A"/>
    <w:rsid w:val="00384DED"/>
    <w:rsid w:val="003869A3"/>
    <w:rsid w:val="00387A3C"/>
    <w:rsid w:val="00390D98"/>
    <w:rsid w:val="003919F9"/>
    <w:rsid w:val="00391EB3"/>
    <w:rsid w:val="00391EBF"/>
    <w:rsid w:val="003920CF"/>
    <w:rsid w:val="00396578"/>
    <w:rsid w:val="003978B7"/>
    <w:rsid w:val="003A42DB"/>
    <w:rsid w:val="003A4F0B"/>
    <w:rsid w:val="003A5D23"/>
    <w:rsid w:val="003A6EEF"/>
    <w:rsid w:val="003B23C2"/>
    <w:rsid w:val="003C1976"/>
    <w:rsid w:val="003C3880"/>
    <w:rsid w:val="003C38B5"/>
    <w:rsid w:val="003C5354"/>
    <w:rsid w:val="003C5878"/>
    <w:rsid w:val="003C5D99"/>
    <w:rsid w:val="003C78E9"/>
    <w:rsid w:val="003D08FE"/>
    <w:rsid w:val="003D1087"/>
    <w:rsid w:val="003D17D4"/>
    <w:rsid w:val="003D48F6"/>
    <w:rsid w:val="003D4AC1"/>
    <w:rsid w:val="003D6F27"/>
    <w:rsid w:val="003D755A"/>
    <w:rsid w:val="003E18E3"/>
    <w:rsid w:val="003E26EB"/>
    <w:rsid w:val="003E2F59"/>
    <w:rsid w:val="003E3E5B"/>
    <w:rsid w:val="003E71A2"/>
    <w:rsid w:val="003E746B"/>
    <w:rsid w:val="003F0789"/>
    <w:rsid w:val="003F2816"/>
    <w:rsid w:val="003F30DF"/>
    <w:rsid w:val="003F39FC"/>
    <w:rsid w:val="003F4207"/>
    <w:rsid w:val="003F5144"/>
    <w:rsid w:val="00401882"/>
    <w:rsid w:val="00403158"/>
    <w:rsid w:val="00405E55"/>
    <w:rsid w:val="004100C8"/>
    <w:rsid w:val="00411DBD"/>
    <w:rsid w:val="00412ACE"/>
    <w:rsid w:val="004145D2"/>
    <w:rsid w:val="0041464B"/>
    <w:rsid w:val="004147C0"/>
    <w:rsid w:val="0042055E"/>
    <w:rsid w:val="0042364B"/>
    <w:rsid w:val="00424E42"/>
    <w:rsid w:val="004257C6"/>
    <w:rsid w:val="004265D0"/>
    <w:rsid w:val="004267CC"/>
    <w:rsid w:val="00426CB4"/>
    <w:rsid w:val="0042779E"/>
    <w:rsid w:val="00427BDE"/>
    <w:rsid w:val="00430E8D"/>
    <w:rsid w:val="00431249"/>
    <w:rsid w:val="00431F3B"/>
    <w:rsid w:val="00432F35"/>
    <w:rsid w:val="00433098"/>
    <w:rsid w:val="00434C19"/>
    <w:rsid w:val="00435FAB"/>
    <w:rsid w:val="00442684"/>
    <w:rsid w:val="004502D8"/>
    <w:rsid w:val="00450425"/>
    <w:rsid w:val="00450810"/>
    <w:rsid w:val="00450F78"/>
    <w:rsid w:val="004571CC"/>
    <w:rsid w:val="00457632"/>
    <w:rsid w:val="00460879"/>
    <w:rsid w:val="00460F79"/>
    <w:rsid w:val="00461255"/>
    <w:rsid w:val="00461318"/>
    <w:rsid w:val="00462C59"/>
    <w:rsid w:val="004631AD"/>
    <w:rsid w:val="00463329"/>
    <w:rsid w:val="0047006B"/>
    <w:rsid w:val="00470737"/>
    <w:rsid w:val="00472958"/>
    <w:rsid w:val="00472E02"/>
    <w:rsid w:val="004737F4"/>
    <w:rsid w:val="00474C6E"/>
    <w:rsid w:val="00477144"/>
    <w:rsid w:val="00481BBE"/>
    <w:rsid w:val="00481CF5"/>
    <w:rsid w:val="004837CA"/>
    <w:rsid w:val="0048555E"/>
    <w:rsid w:val="00485686"/>
    <w:rsid w:val="00491144"/>
    <w:rsid w:val="00491380"/>
    <w:rsid w:val="0049338A"/>
    <w:rsid w:val="0049459F"/>
    <w:rsid w:val="00496856"/>
    <w:rsid w:val="004A11D8"/>
    <w:rsid w:val="004A2830"/>
    <w:rsid w:val="004A38DD"/>
    <w:rsid w:val="004A491A"/>
    <w:rsid w:val="004B16D7"/>
    <w:rsid w:val="004B1C3C"/>
    <w:rsid w:val="004B2FFD"/>
    <w:rsid w:val="004B3E30"/>
    <w:rsid w:val="004B43AE"/>
    <w:rsid w:val="004B4DEC"/>
    <w:rsid w:val="004B70A3"/>
    <w:rsid w:val="004B7578"/>
    <w:rsid w:val="004C193F"/>
    <w:rsid w:val="004C2D4E"/>
    <w:rsid w:val="004C30ED"/>
    <w:rsid w:val="004C6034"/>
    <w:rsid w:val="004D1012"/>
    <w:rsid w:val="004D1357"/>
    <w:rsid w:val="004D1567"/>
    <w:rsid w:val="004D4228"/>
    <w:rsid w:val="004D5675"/>
    <w:rsid w:val="004D630B"/>
    <w:rsid w:val="004D6777"/>
    <w:rsid w:val="004E0681"/>
    <w:rsid w:val="004E0904"/>
    <w:rsid w:val="004E2926"/>
    <w:rsid w:val="004E5781"/>
    <w:rsid w:val="004E617E"/>
    <w:rsid w:val="004E618E"/>
    <w:rsid w:val="004E74D4"/>
    <w:rsid w:val="004F3625"/>
    <w:rsid w:val="004F646E"/>
    <w:rsid w:val="004F7DEB"/>
    <w:rsid w:val="00500201"/>
    <w:rsid w:val="00502755"/>
    <w:rsid w:val="005031F4"/>
    <w:rsid w:val="00503A87"/>
    <w:rsid w:val="00504317"/>
    <w:rsid w:val="005047F7"/>
    <w:rsid w:val="00505BA0"/>
    <w:rsid w:val="00511F10"/>
    <w:rsid w:val="005138C7"/>
    <w:rsid w:val="00513EA7"/>
    <w:rsid w:val="00516780"/>
    <w:rsid w:val="00517795"/>
    <w:rsid w:val="00523639"/>
    <w:rsid w:val="00524693"/>
    <w:rsid w:val="00525F2A"/>
    <w:rsid w:val="0052634E"/>
    <w:rsid w:val="0053031F"/>
    <w:rsid w:val="005310DC"/>
    <w:rsid w:val="0053115D"/>
    <w:rsid w:val="00531C7C"/>
    <w:rsid w:val="00531FE5"/>
    <w:rsid w:val="00532E57"/>
    <w:rsid w:val="00533757"/>
    <w:rsid w:val="0053471B"/>
    <w:rsid w:val="00534796"/>
    <w:rsid w:val="00536CCF"/>
    <w:rsid w:val="005402FA"/>
    <w:rsid w:val="00540ED4"/>
    <w:rsid w:val="005448DE"/>
    <w:rsid w:val="00544964"/>
    <w:rsid w:val="00547C6E"/>
    <w:rsid w:val="005528C4"/>
    <w:rsid w:val="0055322D"/>
    <w:rsid w:val="005566E6"/>
    <w:rsid w:val="00557783"/>
    <w:rsid w:val="005625A7"/>
    <w:rsid w:val="005627AB"/>
    <w:rsid w:val="00563C61"/>
    <w:rsid w:val="00565744"/>
    <w:rsid w:val="005673E9"/>
    <w:rsid w:val="005676B0"/>
    <w:rsid w:val="00570B09"/>
    <w:rsid w:val="005729BD"/>
    <w:rsid w:val="00573C3C"/>
    <w:rsid w:val="00576003"/>
    <w:rsid w:val="00576076"/>
    <w:rsid w:val="00577D51"/>
    <w:rsid w:val="00580154"/>
    <w:rsid w:val="005812B9"/>
    <w:rsid w:val="00581A4D"/>
    <w:rsid w:val="0058223C"/>
    <w:rsid w:val="00582388"/>
    <w:rsid w:val="00582728"/>
    <w:rsid w:val="005829D5"/>
    <w:rsid w:val="00583C39"/>
    <w:rsid w:val="00586450"/>
    <w:rsid w:val="00586A90"/>
    <w:rsid w:val="00586CEA"/>
    <w:rsid w:val="00587F28"/>
    <w:rsid w:val="0059068F"/>
    <w:rsid w:val="005909CF"/>
    <w:rsid w:val="00591E71"/>
    <w:rsid w:val="005A004D"/>
    <w:rsid w:val="005A0D41"/>
    <w:rsid w:val="005A2E5E"/>
    <w:rsid w:val="005A3A24"/>
    <w:rsid w:val="005A48BD"/>
    <w:rsid w:val="005A5A21"/>
    <w:rsid w:val="005A67F7"/>
    <w:rsid w:val="005B392F"/>
    <w:rsid w:val="005B4543"/>
    <w:rsid w:val="005B706F"/>
    <w:rsid w:val="005C1E7C"/>
    <w:rsid w:val="005C249D"/>
    <w:rsid w:val="005C3013"/>
    <w:rsid w:val="005C3A72"/>
    <w:rsid w:val="005C4946"/>
    <w:rsid w:val="005C669C"/>
    <w:rsid w:val="005D18BF"/>
    <w:rsid w:val="005D1B75"/>
    <w:rsid w:val="005D1E22"/>
    <w:rsid w:val="005D26CF"/>
    <w:rsid w:val="005D329F"/>
    <w:rsid w:val="005D3A47"/>
    <w:rsid w:val="005D573B"/>
    <w:rsid w:val="005D63AF"/>
    <w:rsid w:val="005D7553"/>
    <w:rsid w:val="005E05C9"/>
    <w:rsid w:val="005E4135"/>
    <w:rsid w:val="005E50F9"/>
    <w:rsid w:val="005E65D7"/>
    <w:rsid w:val="005E71FF"/>
    <w:rsid w:val="005E7E46"/>
    <w:rsid w:val="005F1766"/>
    <w:rsid w:val="005F2EAC"/>
    <w:rsid w:val="005F2F0F"/>
    <w:rsid w:val="005F4273"/>
    <w:rsid w:val="005F48ED"/>
    <w:rsid w:val="005F5456"/>
    <w:rsid w:val="005F670E"/>
    <w:rsid w:val="005F7444"/>
    <w:rsid w:val="00600FB4"/>
    <w:rsid w:val="00602F21"/>
    <w:rsid w:val="00605841"/>
    <w:rsid w:val="006062EF"/>
    <w:rsid w:val="00606E78"/>
    <w:rsid w:val="0060776C"/>
    <w:rsid w:val="00607BF1"/>
    <w:rsid w:val="006113AE"/>
    <w:rsid w:val="00613479"/>
    <w:rsid w:val="00620664"/>
    <w:rsid w:val="00621107"/>
    <w:rsid w:val="0062466A"/>
    <w:rsid w:val="00625992"/>
    <w:rsid w:val="00630BD1"/>
    <w:rsid w:val="00630D4D"/>
    <w:rsid w:val="00630E86"/>
    <w:rsid w:val="00632A74"/>
    <w:rsid w:val="006351C9"/>
    <w:rsid w:val="00636A3B"/>
    <w:rsid w:val="00640E58"/>
    <w:rsid w:val="00642C47"/>
    <w:rsid w:val="00643186"/>
    <w:rsid w:val="006447D6"/>
    <w:rsid w:val="0065166A"/>
    <w:rsid w:val="00652625"/>
    <w:rsid w:val="00654D42"/>
    <w:rsid w:val="006554FC"/>
    <w:rsid w:val="00655C4E"/>
    <w:rsid w:val="00662783"/>
    <w:rsid w:val="0066416C"/>
    <w:rsid w:val="0066539A"/>
    <w:rsid w:val="00666E02"/>
    <w:rsid w:val="006737AD"/>
    <w:rsid w:val="0068010B"/>
    <w:rsid w:val="006821CD"/>
    <w:rsid w:val="00683A48"/>
    <w:rsid w:val="006865C8"/>
    <w:rsid w:val="00695C45"/>
    <w:rsid w:val="006975D4"/>
    <w:rsid w:val="00697BFF"/>
    <w:rsid w:val="006A00E3"/>
    <w:rsid w:val="006A0CA5"/>
    <w:rsid w:val="006A3D99"/>
    <w:rsid w:val="006A4655"/>
    <w:rsid w:val="006A6797"/>
    <w:rsid w:val="006A71D8"/>
    <w:rsid w:val="006B2B3C"/>
    <w:rsid w:val="006B2C08"/>
    <w:rsid w:val="006B63EF"/>
    <w:rsid w:val="006C1695"/>
    <w:rsid w:val="006C17CC"/>
    <w:rsid w:val="006C1D81"/>
    <w:rsid w:val="006C2192"/>
    <w:rsid w:val="006C3116"/>
    <w:rsid w:val="006C520D"/>
    <w:rsid w:val="006C7038"/>
    <w:rsid w:val="006D0E15"/>
    <w:rsid w:val="006D1761"/>
    <w:rsid w:val="006D1AD2"/>
    <w:rsid w:val="006D1F93"/>
    <w:rsid w:val="006D2F6B"/>
    <w:rsid w:val="006D321E"/>
    <w:rsid w:val="006D3A03"/>
    <w:rsid w:val="006D42C6"/>
    <w:rsid w:val="006D50A5"/>
    <w:rsid w:val="006D5E3A"/>
    <w:rsid w:val="006D714C"/>
    <w:rsid w:val="006E0E7E"/>
    <w:rsid w:val="006E28CD"/>
    <w:rsid w:val="006E4B87"/>
    <w:rsid w:val="006E6F6D"/>
    <w:rsid w:val="006E73EF"/>
    <w:rsid w:val="006E744F"/>
    <w:rsid w:val="006E75F6"/>
    <w:rsid w:val="006F050E"/>
    <w:rsid w:val="006F2D82"/>
    <w:rsid w:val="006F3EBA"/>
    <w:rsid w:val="006F3F0F"/>
    <w:rsid w:val="006F4273"/>
    <w:rsid w:val="006F439A"/>
    <w:rsid w:val="006F5E0F"/>
    <w:rsid w:val="006F72FE"/>
    <w:rsid w:val="006F7A0C"/>
    <w:rsid w:val="006F7DB2"/>
    <w:rsid w:val="007011C0"/>
    <w:rsid w:val="00702CD3"/>
    <w:rsid w:val="00703679"/>
    <w:rsid w:val="007055CE"/>
    <w:rsid w:val="007079C9"/>
    <w:rsid w:val="007127ED"/>
    <w:rsid w:val="00714D4D"/>
    <w:rsid w:val="00715275"/>
    <w:rsid w:val="007173D8"/>
    <w:rsid w:val="007174AA"/>
    <w:rsid w:val="00720071"/>
    <w:rsid w:val="0072032B"/>
    <w:rsid w:val="00722DCE"/>
    <w:rsid w:val="00723050"/>
    <w:rsid w:val="00723141"/>
    <w:rsid w:val="0072632B"/>
    <w:rsid w:val="007266D3"/>
    <w:rsid w:val="00727055"/>
    <w:rsid w:val="00732029"/>
    <w:rsid w:val="007322C8"/>
    <w:rsid w:val="00733169"/>
    <w:rsid w:val="00733FC0"/>
    <w:rsid w:val="00735268"/>
    <w:rsid w:val="00737F95"/>
    <w:rsid w:val="00740F59"/>
    <w:rsid w:val="00742C89"/>
    <w:rsid w:val="00743733"/>
    <w:rsid w:val="007437B9"/>
    <w:rsid w:val="007441A3"/>
    <w:rsid w:val="00745971"/>
    <w:rsid w:val="00745A71"/>
    <w:rsid w:val="00752AFE"/>
    <w:rsid w:val="00752F28"/>
    <w:rsid w:val="00753547"/>
    <w:rsid w:val="00756FA2"/>
    <w:rsid w:val="00757344"/>
    <w:rsid w:val="007604BB"/>
    <w:rsid w:val="0076213D"/>
    <w:rsid w:val="0076216C"/>
    <w:rsid w:val="007634C0"/>
    <w:rsid w:val="00766444"/>
    <w:rsid w:val="00767441"/>
    <w:rsid w:val="00770022"/>
    <w:rsid w:val="00771616"/>
    <w:rsid w:val="00772909"/>
    <w:rsid w:val="00772E2A"/>
    <w:rsid w:val="00774D89"/>
    <w:rsid w:val="00775225"/>
    <w:rsid w:val="00777A59"/>
    <w:rsid w:val="007805AB"/>
    <w:rsid w:val="0078244B"/>
    <w:rsid w:val="007829BE"/>
    <w:rsid w:val="00785232"/>
    <w:rsid w:val="0078531C"/>
    <w:rsid w:val="00786196"/>
    <w:rsid w:val="0078628D"/>
    <w:rsid w:val="007862CE"/>
    <w:rsid w:val="00787F92"/>
    <w:rsid w:val="00790D18"/>
    <w:rsid w:val="007913AF"/>
    <w:rsid w:val="00792720"/>
    <w:rsid w:val="00792B10"/>
    <w:rsid w:val="0079380A"/>
    <w:rsid w:val="0079701E"/>
    <w:rsid w:val="007971EF"/>
    <w:rsid w:val="00797870"/>
    <w:rsid w:val="00797A40"/>
    <w:rsid w:val="00797BA2"/>
    <w:rsid w:val="007A21EB"/>
    <w:rsid w:val="007A3C9D"/>
    <w:rsid w:val="007A4E85"/>
    <w:rsid w:val="007A5197"/>
    <w:rsid w:val="007A7F8D"/>
    <w:rsid w:val="007B15C2"/>
    <w:rsid w:val="007B17AF"/>
    <w:rsid w:val="007B1A93"/>
    <w:rsid w:val="007B23D6"/>
    <w:rsid w:val="007B30ED"/>
    <w:rsid w:val="007C36C9"/>
    <w:rsid w:val="007C5B6F"/>
    <w:rsid w:val="007C5D6F"/>
    <w:rsid w:val="007C700D"/>
    <w:rsid w:val="007D01B5"/>
    <w:rsid w:val="007D1295"/>
    <w:rsid w:val="007D1853"/>
    <w:rsid w:val="007D2176"/>
    <w:rsid w:val="007D3AA3"/>
    <w:rsid w:val="007D3B28"/>
    <w:rsid w:val="007D5813"/>
    <w:rsid w:val="007D6401"/>
    <w:rsid w:val="007D6A11"/>
    <w:rsid w:val="007D6F85"/>
    <w:rsid w:val="007E01E4"/>
    <w:rsid w:val="007E077F"/>
    <w:rsid w:val="007E2039"/>
    <w:rsid w:val="007E4928"/>
    <w:rsid w:val="007E5CBA"/>
    <w:rsid w:val="007E7A12"/>
    <w:rsid w:val="007F3961"/>
    <w:rsid w:val="007F3DCA"/>
    <w:rsid w:val="007F3EC8"/>
    <w:rsid w:val="007F41C8"/>
    <w:rsid w:val="007F492C"/>
    <w:rsid w:val="007F688B"/>
    <w:rsid w:val="007F692A"/>
    <w:rsid w:val="007F7107"/>
    <w:rsid w:val="008004E1"/>
    <w:rsid w:val="00800D4C"/>
    <w:rsid w:val="00801235"/>
    <w:rsid w:val="008017C5"/>
    <w:rsid w:val="00802F85"/>
    <w:rsid w:val="00803146"/>
    <w:rsid w:val="008033AF"/>
    <w:rsid w:val="008036EF"/>
    <w:rsid w:val="00804599"/>
    <w:rsid w:val="008051D7"/>
    <w:rsid w:val="0080574B"/>
    <w:rsid w:val="0081030F"/>
    <w:rsid w:val="00810CC3"/>
    <w:rsid w:val="0081130F"/>
    <w:rsid w:val="00811C03"/>
    <w:rsid w:val="00812F4A"/>
    <w:rsid w:val="008132F5"/>
    <w:rsid w:val="00814C8A"/>
    <w:rsid w:val="0081517E"/>
    <w:rsid w:val="00817AAC"/>
    <w:rsid w:val="0082087D"/>
    <w:rsid w:val="00821504"/>
    <w:rsid w:val="0082175B"/>
    <w:rsid w:val="00821FE5"/>
    <w:rsid w:val="008239CF"/>
    <w:rsid w:val="00824425"/>
    <w:rsid w:val="00825687"/>
    <w:rsid w:val="00830006"/>
    <w:rsid w:val="00830B8E"/>
    <w:rsid w:val="00833D26"/>
    <w:rsid w:val="00833D83"/>
    <w:rsid w:val="008355A8"/>
    <w:rsid w:val="00835771"/>
    <w:rsid w:val="008361A0"/>
    <w:rsid w:val="008361EA"/>
    <w:rsid w:val="00837556"/>
    <w:rsid w:val="00837878"/>
    <w:rsid w:val="00837B40"/>
    <w:rsid w:val="00840AC5"/>
    <w:rsid w:val="0084243E"/>
    <w:rsid w:val="0084283F"/>
    <w:rsid w:val="00842933"/>
    <w:rsid w:val="008459EC"/>
    <w:rsid w:val="00847CB2"/>
    <w:rsid w:val="008562F8"/>
    <w:rsid w:val="008577EE"/>
    <w:rsid w:val="0086082C"/>
    <w:rsid w:val="00861D90"/>
    <w:rsid w:val="0086249B"/>
    <w:rsid w:val="008632EB"/>
    <w:rsid w:val="00864ADC"/>
    <w:rsid w:val="008664ED"/>
    <w:rsid w:val="008707C7"/>
    <w:rsid w:val="008718D9"/>
    <w:rsid w:val="00871970"/>
    <w:rsid w:val="00871F08"/>
    <w:rsid w:val="008728DA"/>
    <w:rsid w:val="008773C0"/>
    <w:rsid w:val="00877CCB"/>
    <w:rsid w:val="00880153"/>
    <w:rsid w:val="008803B1"/>
    <w:rsid w:val="00880F97"/>
    <w:rsid w:val="0088133A"/>
    <w:rsid w:val="00881ABA"/>
    <w:rsid w:val="0088451C"/>
    <w:rsid w:val="00884EA1"/>
    <w:rsid w:val="0089285E"/>
    <w:rsid w:val="0089436C"/>
    <w:rsid w:val="008A1598"/>
    <w:rsid w:val="008A1CEA"/>
    <w:rsid w:val="008A2016"/>
    <w:rsid w:val="008A3A60"/>
    <w:rsid w:val="008A3DDD"/>
    <w:rsid w:val="008A44A9"/>
    <w:rsid w:val="008A4BDB"/>
    <w:rsid w:val="008A4DE9"/>
    <w:rsid w:val="008A4E80"/>
    <w:rsid w:val="008A756C"/>
    <w:rsid w:val="008A7E0F"/>
    <w:rsid w:val="008B0AD5"/>
    <w:rsid w:val="008B17D7"/>
    <w:rsid w:val="008B1A32"/>
    <w:rsid w:val="008B23A1"/>
    <w:rsid w:val="008B5483"/>
    <w:rsid w:val="008B65FC"/>
    <w:rsid w:val="008B6814"/>
    <w:rsid w:val="008C604C"/>
    <w:rsid w:val="008C77E1"/>
    <w:rsid w:val="008D07FD"/>
    <w:rsid w:val="008D1974"/>
    <w:rsid w:val="008D33DB"/>
    <w:rsid w:val="008D365C"/>
    <w:rsid w:val="008D42EB"/>
    <w:rsid w:val="008D58DD"/>
    <w:rsid w:val="008D62CA"/>
    <w:rsid w:val="008D7622"/>
    <w:rsid w:val="008E0A18"/>
    <w:rsid w:val="008E2482"/>
    <w:rsid w:val="008E29B9"/>
    <w:rsid w:val="008F11A6"/>
    <w:rsid w:val="008F4E2F"/>
    <w:rsid w:val="008F6347"/>
    <w:rsid w:val="008F6C73"/>
    <w:rsid w:val="008F6EAE"/>
    <w:rsid w:val="008F71B7"/>
    <w:rsid w:val="0090096D"/>
    <w:rsid w:val="009021A6"/>
    <w:rsid w:val="009030BF"/>
    <w:rsid w:val="00903B52"/>
    <w:rsid w:val="00906BC4"/>
    <w:rsid w:val="0091032F"/>
    <w:rsid w:val="009125B7"/>
    <w:rsid w:val="00914368"/>
    <w:rsid w:val="00915C98"/>
    <w:rsid w:val="00916303"/>
    <w:rsid w:val="00917099"/>
    <w:rsid w:val="009206DB"/>
    <w:rsid w:val="00922EAE"/>
    <w:rsid w:val="0092485F"/>
    <w:rsid w:val="00927E69"/>
    <w:rsid w:val="00930671"/>
    <w:rsid w:val="00931076"/>
    <w:rsid w:val="0093195A"/>
    <w:rsid w:val="009345D9"/>
    <w:rsid w:val="00934B15"/>
    <w:rsid w:val="009358ED"/>
    <w:rsid w:val="00936905"/>
    <w:rsid w:val="0093691E"/>
    <w:rsid w:val="00936DF7"/>
    <w:rsid w:val="00937C51"/>
    <w:rsid w:val="00940426"/>
    <w:rsid w:val="00940C87"/>
    <w:rsid w:val="009428BA"/>
    <w:rsid w:val="00942B62"/>
    <w:rsid w:val="00945186"/>
    <w:rsid w:val="009452E9"/>
    <w:rsid w:val="00946608"/>
    <w:rsid w:val="00946EDA"/>
    <w:rsid w:val="00947F53"/>
    <w:rsid w:val="0095258D"/>
    <w:rsid w:val="0095323B"/>
    <w:rsid w:val="00956A0C"/>
    <w:rsid w:val="00956ADF"/>
    <w:rsid w:val="00956BD9"/>
    <w:rsid w:val="00962489"/>
    <w:rsid w:val="0096339F"/>
    <w:rsid w:val="00965302"/>
    <w:rsid w:val="009656F1"/>
    <w:rsid w:val="00966C30"/>
    <w:rsid w:val="00967064"/>
    <w:rsid w:val="00967CD3"/>
    <w:rsid w:val="009701A5"/>
    <w:rsid w:val="00971BA1"/>
    <w:rsid w:val="00974092"/>
    <w:rsid w:val="00977300"/>
    <w:rsid w:val="00977572"/>
    <w:rsid w:val="0097779E"/>
    <w:rsid w:val="00980134"/>
    <w:rsid w:val="00981C68"/>
    <w:rsid w:val="00985AF1"/>
    <w:rsid w:val="00986809"/>
    <w:rsid w:val="00990C2C"/>
    <w:rsid w:val="00996CCB"/>
    <w:rsid w:val="009A0C19"/>
    <w:rsid w:val="009A16E2"/>
    <w:rsid w:val="009A2CEB"/>
    <w:rsid w:val="009A2E2E"/>
    <w:rsid w:val="009A5171"/>
    <w:rsid w:val="009A605A"/>
    <w:rsid w:val="009A65C7"/>
    <w:rsid w:val="009A66BC"/>
    <w:rsid w:val="009B115C"/>
    <w:rsid w:val="009B1F5D"/>
    <w:rsid w:val="009B3983"/>
    <w:rsid w:val="009B45D5"/>
    <w:rsid w:val="009B4764"/>
    <w:rsid w:val="009B620E"/>
    <w:rsid w:val="009C3271"/>
    <w:rsid w:val="009C522C"/>
    <w:rsid w:val="009C6528"/>
    <w:rsid w:val="009C7A69"/>
    <w:rsid w:val="009C7BB1"/>
    <w:rsid w:val="009D30C4"/>
    <w:rsid w:val="009D4675"/>
    <w:rsid w:val="009D4957"/>
    <w:rsid w:val="009D4B2E"/>
    <w:rsid w:val="009D613D"/>
    <w:rsid w:val="009D620E"/>
    <w:rsid w:val="009E169A"/>
    <w:rsid w:val="009E1844"/>
    <w:rsid w:val="009E19D1"/>
    <w:rsid w:val="009E25F1"/>
    <w:rsid w:val="009E2922"/>
    <w:rsid w:val="009E3F2F"/>
    <w:rsid w:val="009E42E3"/>
    <w:rsid w:val="009E6B98"/>
    <w:rsid w:val="009E765C"/>
    <w:rsid w:val="009F0D1B"/>
    <w:rsid w:val="009F29F9"/>
    <w:rsid w:val="009F42BD"/>
    <w:rsid w:val="009F51F0"/>
    <w:rsid w:val="009F5BBD"/>
    <w:rsid w:val="009F5D70"/>
    <w:rsid w:val="009F696D"/>
    <w:rsid w:val="009F6BC6"/>
    <w:rsid w:val="009F73C0"/>
    <w:rsid w:val="009F74EF"/>
    <w:rsid w:val="00A006BC"/>
    <w:rsid w:val="00A02826"/>
    <w:rsid w:val="00A02E53"/>
    <w:rsid w:val="00A05C99"/>
    <w:rsid w:val="00A10B41"/>
    <w:rsid w:val="00A12F20"/>
    <w:rsid w:val="00A15A32"/>
    <w:rsid w:val="00A15D5A"/>
    <w:rsid w:val="00A164F9"/>
    <w:rsid w:val="00A17328"/>
    <w:rsid w:val="00A212BE"/>
    <w:rsid w:val="00A2226E"/>
    <w:rsid w:val="00A23757"/>
    <w:rsid w:val="00A23A20"/>
    <w:rsid w:val="00A24443"/>
    <w:rsid w:val="00A251E8"/>
    <w:rsid w:val="00A25A0B"/>
    <w:rsid w:val="00A268B9"/>
    <w:rsid w:val="00A2703A"/>
    <w:rsid w:val="00A302C5"/>
    <w:rsid w:val="00A3301A"/>
    <w:rsid w:val="00A33DFF"/>
    <w:rsid w:val="00A35115"/>
    <w:rsid w:val="00A36D9A"/>
    <w:rsid w:val="00A37A13"/>
    <w:rsid w:val="00A400C1"/>
    <w:rsid w:val="00A434A7"/>
    <w:rsid w:val="00A451DC"/>
    <w:rsid w:val="00A50703"/>
    <w:rsid w:val="00A51A23"/>
    <w:rsid w:val="00A527C7"/>
    <w:rsid w:val="00A535E2"/>
    <w:rsid w:val="00A54902"/>
    <w:rsid w:val="00A554AB"/>
    <w:rsid w:val="00A57062"/>
    <w:rsid w:val="00A5796C"/>
    <w:rsid w:val="00A64331"/>
    <w:rsid w:val="00A64644"/>
    <w:rsid w:val="00A66A51"/>
    <w:rsid w:val="00A67781"/>
    <w:rsid w:val="00A67C02"/>
    <w:rsid w:val="00A704F8"/>
    <w:rsid w:val="00A70E5B"/>
    <w:rsid w:val="00A71512"/>
    <w:rsid w:val="00A71B2F"/>
    <w:rsid w:val="00A72555"/>
    <w:rsid w:val="00A74860"/>
    <w:rsid w:val="00A7514D"/>
    <w:rsid w:val="00A761F9"/>
    <w:rsid w:val="00A7677C"/>
    <w:rsid w:val="00A77532"/>
    <w:rsid w:val="00A83748"/>
    <w:rsid w:val="00A83FA4"/>
    <w:rsid w:val="00A860CA"/>
    <w:rsid w:val="00A92B53"/>
    <w:rsid w:val="00A940F4"/>
    <w:rsid w:val="00A94FA6"/>
    <w:rsid w:val="00A96ADF"/>
    <w:rsid w:val="00AA49A0"/>
    <w:rsid w:val="00AA6710"/>
    <w:rsid w:val="00AB0424"/>
    <w:rsid w:val="00AB0681"/>
    <w:rsid w:val="00AB1CAB"/>
    <w:rsid w:val="00AB32AE"/>
    <w:rsid w:val="00AB4331"/>
    <w:rsid w:val="00AB57DF"/>
    <w:rsid w:val="00AB5CBB"/>
    <w:rsid w:val="00AB783B"/>
    <w:rsid w:val="00AC0C48"/>
    <w:rsid w:val="00AC2071"/>
    <w:rsid w:val="00AC2FB8"/>
    <w:rsid w:val="00AC3466"/>
    <w:rsid w:val="00AC3A15"/>
    <w:rsid w:val="00AC4144"/>
    <w:rsid w:val="00AC4803"/>
    <w:rsid w:val="00AC5EEA"/>
    <w:rsid w:val="00AC7E4B"/>
    <w:rsid w:val="00AD015B"/>
    <w:rsid w:val="00AD02E0"/>
    <w:rsid w:val="00AD0EA9"/>
    <w:rsid w:val="00AD12E1"/>
    <w:rsid w:val="00AD520B"/>
    <w:rsid w:val="00AE1139"/>
    <w:rsid w:val="00AE22D8"/>
    <w:rsid w:val="00AE3BCC"/>
    <w:rsid w:val="00AE4807"/>
    <w:rsid w:val="00AE5ABA"/>
    <w:rsid w:val="00AE7145"/>
    <w:rsid w:val="00AE75E6"/>
    <w:rsid w:val="00AF1345"/>
    <w:rsid w:val="00AF57D6"/>
    <w:rsid w:val="00B01ABB"/>
    <w:rsid w:val="00B03D01"/>
    <w:rsid w:val="00B03D4A"/>
    <w:rsid w:val="00B0676C"/>
    <w:rsid w:val="00B15C1C"/>
    <w:rsid w:val="00B1670A"/>
    <w:rsid w:val="00B27B33"/>
    <w:rsid w:val="00B27FC5"/>
    <w:rsid w:val="00B31B47"/>
    <w:rsid w:val="00B33C6B"/>
    <w:rsid w:val="00B33D98"/>
    <w:rsid w:val="00B34301"/>
    <w:rsid w:val="00B36D43"/>
    <w:rsid w:val="00B37BE6"/>
    <w:rsid w:val="00B37FC9"/>
    <w:rsid w:val="00B40516"/>
    <w:rsid w:val="00B425A2"/>
    <w:rsid w:val="00B425C3"/>
    <w:rsid w:val="00B440AD"/>
    <w:rsid w:val="00B46DC1"/>
    <w:rsid w:val="00B479BB"/>
    <w:rsid w:val="00B50953"/>
    <w:rsid w:val="00B53E7E"/>
    <w:rsid w:val="00B55D54"/>
    <w:rsid w:val="00B57498"/>
    <w:rsid w:val="00B632E7"/>
    <w:rsid w:val="00B6342E"/>
    <w:rsid w:val="00B63E5F"/>
    <w:rsid w:val="00B64695"/>
    <w:rsid w:val="00B658BD"/>
    <w:rsid w:val="00B65B61"/>
    <w:rsid w:val="00B7113F"/>
    <w:rsid w:val="00B7435D"/>
    <w:rsid w:val="00B776D3"/>
    <w:rsid w:val="00B77A40"/>
    <w:rsid w:val="00B802F4"/>
    <w:rsid w:val="00B81A50"/>
    <w:rsid w:val="00B827D1"/>
    <w:rsid w:val="00B83560"/>
    <w:rsid w:val="00B84D8B"/>
    <w:rsid w:val="00B858BF"/>
    <w:rsid w:val="00B85ED1"/>
    <w:rsid w:val="00B866E1"/>
    <w:rsid w:val="00B878AD"/>
    <w:rsid w:val="00B90894"/>
    <w:rsid w:val="00B90FD0"/>
    <w:rsid w:val="00B93F05"/>
    <w:rsid w:val="00B94C1D"/>
    <w:rsid w:val="00B95A51"/>
    <w:rsid w:val="00B9731F"/>
    <w:rsid w:val="00BA0C18"/>
    <w:rsid w:val="00BA10E1"/>
    <w:rsid w:val="00BA15F4"/>
    <w:rsid w:val="00BA2BCF"/>
    <w:rsid w:val="00BA41E4"/>
    <w:rsid w:val="00BA5B14"/>
    <w:rsid w:val="00BA73B6"/>
    <w:rsid w:val="00BA7419"/>
    <w:rsid w:val="00BA7E27"/>
    <w:rsid w:val="00BB2603"/>
    <w:rsid w:val="00BB4FCD"/>
    <w:rsid w:val="00BB65A6"/>
    <w:rsid w:val="00BC04E9"/>
    <w:rsid w:val="00BC0842"/>
    <w:rsid w:val="00BC2E33"/>
    <w:rsid w:val="00BC4259"/>
    <w:rsid w:val="00BC6561"/>
    <w:rsid w:val="00BD0933"/>
    <w:rsid w:val="00BD13EA"/>
    <w:rsid w:val="00BD3A10"/>
    <w:rsid w:val="00BD3DAB"/>
    <w:rsid w:val="00BD41AF"/>
    <w:rsid w:val="00BD5C71"/>
    <w:rsid w:val="00BD5D96"/>
    <w:rsid w:val="00BD5F3E"/>
    <w:rsid w:val="00BD6A72"/>
    <w:rsid w:val="00BD789E"/>
    <w:rsid w:val="00BE3808"/>
    <w:rsid w:val="00BE6AEE"/>
    <w:rsid w:val="00BE72E5"/>
    <w:rsid w:val="00BF2AD5"/>
    <w:rsid w:val="00BF2EB2"/>
    <w:rsid w:val="00BF3E92"/>
    <w:rsid w:val="00BF5E14"/>
    <w:rsid w:val="00C005B9"/>
    <w:rsid w:val="00C01131"/>
    <w:rsid w:val="00C022E6"/>
    <w:rsid w:val="00C028A4"/>
    <w:rsid w:val="00C03B88"/>
    <w:rsid w:val="00C045ED"/>
    <w:rsid w:val="00C04D03"/>
    <w:rsid w:val="00C058AB"/>
    <w:rsid w:val="00C062E9"/>
    <w:rsid w:val="00C06D02"/>
    <w:rsid w:val="00C0788B"/>
    <w:rsid w:val="00C0799C"/>
    <w:rsid w:val="00C07B64"/>
    <w:rsid w:val="00C07D96"/>
    <w:rsid w:val="00C11365"/>
    <w:rsid w:val="00C1209D"/>
    <w:rsid w:val="00C12122"/>
    <w:rsid w:val="00C12E29"/>
    <w:rsid w:val="00C13721"/>
    <w:rsid w:val="00C13E48"/>
    <w:rsid w:val="00C14122"/>
    <w:rsid w:val="00C14136"/>
    <w:rsid w:val="00C14FE4"/>
    <w:rsid w:val="00C1610B"/>
    <w:rsid w:val="00C17438"/>
    <w:rsid w:val="00C17A71"/>
    <w:rsid w:val="00C2046A"/>
    <w:rsid w:val="00C212E6"/>
    <w:rsid w:val="00C21539"/>
    <w:rsid w:val="00C22BE2"/>
    <w:rsid w:val="00C2723A"/>
    <w:rsid w:val="00C27828"/>
    <w:rsid w:val="00C3025D"/>
    <w:rsid w:val="00C3066D"/>
    <w:rsid w:val="00C30CEA"/>
    <w:rsid w:val="00C30E1B"/>
    <w:rsid w:val="00C35FFA"/>
    <w:rsid w:val="00C41B24"/>
    <w:rsid w:val="00C4273C"/>
    <w:rsid w:val="00C43A31"/>
    <w:rsid w:val="00C51B51"/>
    <w:rsid w:val="00C52416"/>
    <w:rsid w:val="00C543F4"/>
    <w:rsid w:val="00C55E5E"/>
    <w:rsid w:val="00C57749"/>
    <w:rsid w:val="00C6291C"/>
    <w:rsid w:val="00C62EFB"/>
    <w:rsid w:val="00C633CB"/>
    <w:rsid w:val="00C65019"/>
    <w:rsid w:val="00C654A4"/>
    <w:rsid w:val="00C6566D"/>
    <w:rsid w:val="00C65A1F"/>
    <w:rsid w:val="00C664CD"/>
    <w:rsid w:val="00C715F0"/>
    <w:rsid w:val="00C730E9"/>
    <w:rsid w:val="00C736B7"/>
    <w:rsid w:val="00C80964"/>
    <w:rsid w:val="00C80C4E"/>
    <w:rsid w:val="00C81D4A"/>
    <w:rsid w:val="00C84441"/>
    <w:rsid w:val="00C84BA6"/>
    <w:rsid w:val="00C84F85"/>
    <w:rsid w:val="00C86AB0"/>
    <w:rsid w:val="00C8762C"/>
    <w:rsid w:val="00C9107A"/>
    <w:rsid w:val="00C91794"/>
    <w:rsid w:val="00C9207F"/>
    <w:rsid w:val="00C92DEA"/>
    <w:rsid w:val="00C92F15"/>
    <w:rsid w:val="00C9418E"/>
    <w:rsid w:val="00C95390"/>
    <w:rsid w:val="00C972B4"/>
    <w:rsid w:val="00CA00F9"/>
    <w:rsid w:val="00CA2961"/>
    <w:rsid w:val="00CB129F"/>
    <w:rsid w:val="00CB24B4"/>
    <w:rsid w:val="00CB50D7"/>
    <w:rsid w:val="00CB53E8"/>
    <w:rsid w:val="00CB7001"/>
    <w:rsid w:val="00CB7177"/>
    <w:rsid w:val="00CB7CED"/>
    <w:rsid w:val="00CC04B0"/>
    <w:rsid w:val="00CC070F"/>
    <w:rsid w:val="00CC0F2C"/>
    <w:rsid w:val="00CC1998"/>
    <w:rsid w:val="00CC2B3F"/>
    <w:rsid w:val="00CC3C28"/>
    <w:rsid w:val="00CC4946"/>
    <w:rsid w:val="00CC56ED"/>
    <w:rsid w:val="00CC5A6E"/>
    <w:rsid w:val="00CC64A1"/>
    <w:rsid w:val="00CC7E85"/>
    <w:rsid w:val="00CD2713"/>
    <w:rsid w:val="00CD69F2"/>
    <w:rsid w:val="00CE1191"/>
    <w:rsid w:val="00CE28E8"/>
    <w:rsid w:val="00CE4E0A"/>
    <w:rsid w:val="00CE52A3"/>
    <w:rsid w:val="00CE56FD"/>
    <w:rsid w:val="00CE76E7"/>
    <w:rsid w:val="00CF189E"/>
    <w:rsid w:val="00CF2E50"/>
    <w:rsid w:val="00CF3728"/>
    <w:rsid w:val="00CF3B11"/>
    <w:rsid w:val="00CF4016"/>
    <w:rsid w:val="00CF42DA"/>
    <w:rsid w:val="00CF7EDE"/>
    <w:rsid w:val="00CF7F5D"/>
    <w:rsid w:val="00D008B5"/>
    <w:rsid w:val="00D015BF"/>
    <w:rsid w:val="00D057C4"/>
    <w:rsid w:val="00D05922"/>
    <w:rsid w:val="00D05FDC"/>
    <w:rsid w:val="00D06DD4"/>
    <w:rsid w:val="00D106B9"/>
    <w:rsid w:val="00D11E81"/>
    <w:rsid w:val="00D15DFA"/>
    <w:rsid w:val="00D15F48"/>
    <w:rsid w:val="00D170AB"/>
    <w:rsid w:val="00D20CA6"/>
    <w:rsid w:val="00D2172E"/>
    <w:rsid w:val="00D21E7D"/>
    <w:rsid w:val="00D229EB"/>
    <w:rsid w:val="00D23D4A"/>
    <w:rsid w:val="00D2574F"/>
    <w:rsid w:val="00D25863"/>
    <w:rsid w:val="00D25B20"/>
    <w:rsid w:val="00D2648B"/>
    <w:rsid w:val="00D270A4"/>
    <w:rsid w:val="00D27822"/>
    <w:rsid w:val="00D31FE9"/>
    <w:rsid w:val="00D32F96"/>
    <w:rsid w:val="00D340C7"/>
    <w:rsid w:val="00D34546"/>
    <w:rsid w:val="00D34E1B"/>
    <w:rsid w:val="00D35272"/>
    <w:rsid w:val="00D36125"/>
    <w:rsid w:val="00D3627B"/>
    <w:rsid w:val="00D36522"/>
    <w:rsid w:val="00D376BA"/>
    <w:rsid w:val="00D40FB0"/>
    <w:rsid w:val="00D41651"/>
    <w:rsid w:val="00D41A2F"/>
    <w:rsid w:val="00D42332"/>
    <w:rsid w:val="00D43272"/>
    <w:rsid w:val="00D434A0"/>
    <w:rsid w:val="00D45634"/>
    <w:rsid w:val="00D4673B"/>
    <w:rsid w:val="00D47706"/>
    <w:rsid w:val="00D47EA9"/>
    <w:rsid w:val="00D51092"/>
    <w:rsid w:val="00D5419A"/>
    <w:rsid w:val="00D55428"/>
    <w:rsid w:val="00D5568A"/>
    <w:rsid w:val="00D600AD"/>
    <w:rsid w:val="00D61A40"/>
    <w:rsid w:val="00D62DEA"/>
    <w:rsid w:val="00D63D73"/>
    <w:rsid w:val="00D6417E"/>
    <w:rsid w:val="00D6423C"/>
    <w:rsid w:val="00D64452"/>
    <w:rsid w:val="00D64AD8"/>
    <w:rsid w:val="00D658A0"/>
    <w:rsid w:val="00D6627D"/>
    <w:rsid w:val="00D669ED"/>
    <w:rsid w:val="00D66E1E"/>
    <w:rsid w:val="00D66E3D"/>
    <w:rsid w:val="00D67541"/>
    <w:rsid w:val="00D70696"/>
    <w:rsid w:val="00D71789"/>
    <w:rsid w:val="00D7343B"/>
    <w:rsid w:val="00D743EF"/>
    <w:rsid w:val="00D75722"/>
    <w:rsid w:val="00D80759"/>
    <w:rsid w:val="00D80CF5"/>
    <w:rsid w:val="00D83892"/>
    <w:rsid w:val="00D83D9C"/>
    <w:rsid w:val="00D846D8"/>
    <w:rsid w:val="00D86858"/>
    <w:rsid w:val="00D868FD"/>
    <w:rsid w:val="00D869E4"/>
    <w:rsid w:val="00D875F4"/>
    <w:rsid w:val="00D877BD"/>
    <w:rsid w:val="00D903E8"/>
    <w:rsid w:val="00D90B46"/>
    <w:rsid w:val="00D9129F"/>
    <w:rsid w:val="00D939DC"/>
    <w:rsid w:val="00D95E5E"/>
    <w:rsid w:val="00D965EA"/>
    <w:rsid w:val="00DA1263"/>
    <w:rsid w:val="00DA16ED"/>
    <w:rsid w:val="00DA172E"/>
    <w:rsid w:val="00DA1F51"/>
    <w:rsid w:val="00DA25E5"/>
    <w:rsid w:val="00DA275C"/>
    <w:rsid w:val="00DA384F"/>
    <w:rsid w:val="00DA38CE"/>
    <w:rsid w:val="00DA5BBA"/>
    <w:rsid w:val="00DB26D2"/>
    <w:rsid w:val="00DB3AEB"/>
    <w:rsid w:val="00DB427B"/>
    <w:rsid w:val="00DB6012"/>
    <w:rsid w:val="00DB6602"/>
    <w:rsid w:val="00DB66B2"/>
    <w:rsid w:val="00DB67C9"/>
    <w:rsid w:val="00DC05D8"/>
    <w:rsid w:val="00DC0C95"/>
    <w:rsid w:val="00DC0E09"/>
    <w:rsid w:val="00DC19F8"/>
    <w:rsid w:val="00DC28B6"/>
    <w:rsid w:val="00DC2C60"/>
    <w:rsid w:val="00DC3402"/>
    <w:rsid w:val="00DC4F0B"/>
    <w:rsid w:val="00DC5F71"/>
    <w:rsid w:val="00DC6691"/>
    <w:rsid w:val="00DC71B5"/>
    <w:rsid w:val="00DC71D6"/>
    <w:rsid w:val="00DC7CEB"/>
    <w:rsid w:val="00DD0A8E"/>
    <w:rsid w:val="00DD0D68"/>
    <w:rsid w:val="00DD2C41"/>
    <w:rsid w:val="00DD6580"/>
    <w:rsid w:val="00DD6806"/>
    <w:rsid w:val="00DE4DD0"/>
    <w:rsid w:val="00DE57F7"/>
    <w:rsid w:val="00DF20C6"/>
    <w:rsid w:val="00DF26D3"/>
    <w:rsid w:val="00DF2722"/>
    <w:rsid w:val="00DF3130"/>
    <w:rsid w:val="00DF33BC"/>
    <w:rsid w:val="00DF4D53"/>
    <w:rsid w:val="00DF5985"/>
    <w:rsid w:val="00E01D7F"/>
    <w:rsid w:val="00E04C4C"/>
    <w:rsid w:val="00E05C03"/>
    <w:rsid w:val="00E112DD"/>
    <w:rsid w:val="00E124F2"/>
    <w:rsid w:val="00E12A63"/>
    <w:rsid w:val="00E139A4"/>
    <w:rsid w:val="00E16CB8"/>
    <w:rsid w:val="00E17C72"/>
    <w:rsid w:val="00E21FC6"/>
    <w:rsid w:val="00E22E4C"/>
    <w:rsid w:val="00E230EC"/>
    <w:rsid w:val="00E262CD"/>
    <w:rsid w:val="00E3296E"/>
    <w:rsid w:val="00E332B4"/>
    <w:rsid w:val="00E34176"/>
    <w:rsid w:val="00E3550C"/>
    <w:rsid w:val="00E35EFA"/>
    <w:rsid w:val="00E411B5"/>
    <w:rsid w:val="00E41507"/>
    <w:rsid w:val="00E42C5F"/>
    <w:rsid w:val="00E431A9"/>
    <w:rsid w:val="00E43450"/>
    <w:rsid w:val="00E44A7C"/>
    <w:rsid w:val="00E45840"/>
    <w:rsid w:val="00E5099A"/>
    <w:rsid w:val="00E50B23"/>
    <w:rsid w:val="00E53499"/>
    <w:rsid w:val="00E53591"/>
    <w:rsid w:val="00E53C74"/>
    <w:rsid w:val="00E551D7"/>
    <w:rsid w:val="00E63123"/>
    <w:rsid w:val="00E6376C"/>
    <w:rsid w:val="00E63FAB"/>
    <w:rsid w:val="00E649D2"/>
    <w:rsid w:val="00E6502F"/>
    <w:rsid w:val="00E65CA4"/>
    <w:rsid w:val="00E669E2"/>
    <w:rsid w:val="00E672B1"/>
    <w:rsid w:val="00E708E0"/>
    <w:rsid w:val="00E70A51"/>
    <w:rsid w:val="00E72BA1"/>
    <w:rsid w:val="00E73529"/>
    <w:rsid w:val="00E740BE"/>
    <w:rsid w:val="00E7488B"/>
    <w:rsid w:val="00E76135"/>
    <w:rsid w:val="00E77B2A"/>
    <w:rsid w:val="00E82F4F"/>
    <w:rsid w:val="00E83A45"/>
    <w:rsid w:val="00E841DE"/>
    <w:rsid w:val="00E848BF"/>
    <w:rsid w:val="00E858DD"/>
    <w:rsid w:val="00E864DF"/>
    <w:rsid w:val="00E91279"/>
    <w:rsid w:val="00E93177"/>
    <w:rsid w:val="00EA090C"/>
    <w:rsid w:val="00EA0BD3"/>
    <w:rsid w:val="00EA2D62"/>
    <w:rsid w:val="00EA5C56"/>
    <w:rsid w:val="00EB040E"/>
    <w:rsid w:val="00EB2266"/>
    <w:rsid w:val="00EB2CC3"/>
    <w:rsid w:val="00EB5DCB"/>
    <w:rsid w:val="00EB7B49"/>
    <w:rsid w:val="00EB7BBB"/>
    <w:rsid w:val="00EC233F"/>
    <w:rsid w:val="00EC23F7"/>
    <w:rsid w:val="00EC2844"/>
    <w:rsid w:val="00EC489B"/>
    <w:rsid w:val="00EC49ED"/>
    <w:rsid w:val="00EC4B61"/>
    <w:rsid w:val="00EC5500"/>
    <w:rsid w:val="00EC64FD"/>
    <w:rsid w:val="00EC77C6"/>
    <w:rsid w:val="00ED18F8"/>
    <w:rsid w:val="00ED2D5D"/>
    <w:rsid w:val="00ED4141"/>
    <w:rsid w:val="00ED4418"/>
    <w:rsid w:val="00ED558D"/>
    <w:rsid w:val="00ED5ED2"/>
    <w:rsid w:val="00EE047B"/>
    <w:rsid w:val="00EE0A70"/>
    <w:rsid w:val="00EE44F9"/>
    <w:rsid w:val="00EE4F08"/>
    <w:rsid w:val="00EE5843"/>
    <w:rsid w:val="00EE6EDA"/>
    <w:rsid w:val="00EE75BC"/>
    <w:rsid w:val="00EE778E"/>
    <w:rsid w:val="00EF0111"/>
    <w:rsid w:val="00EF039D"/>
    <w:rsid w:val="00EF13E7"/>
    <w:rsid w:val="00EF2227"/>
    <w:rsid w:val="00EF2450"/>
    <w:rsid w:val="00EF3E3A"/>
    <w:rsid w:val="00EF6719"/>
    <w:rsid w:val="00EF6C6C"/>
    <w:rsid w:val="00F00F06"/>
    <w:rsid w:val="00F00FCC"/>
    <w:rsid w:val="00F01381"/>
    <w:rsid w:val="00F022A2"/>
    <w:rsid w:val="00F02353"/>
    <w:rsid w:val="00F049CD"/>
    <w:rsid w:val="00F05120"/>
    <w:rsid w:val="00F056FC"/>
    <w:rsid w:val="00F0632F"/>
    <w:rsid w:val="00F069AE"/>
    <w:rsid w:val="00F07270"/>
    <w:rsid w:val="00F10476"/>
    <w:rsid w:val="00F12BAA"/>
    <w:rsid w:val="00F134FE"/>
    <w:rsid w:val="00F135D8"/>
    <w:rsid w:val="00F13C54"/>
    <w:rsid w:val="00F168C3"/>
    <w:rsid w:val="00F17AE1"/>
    <w:rsid w:val="00F20418"/>
    <w:rsid w:val="00F229DB"/>
    <w:rsid w:val="00F24CD8"/>
    <w:rsid w:val="00F27BE6"/>
    <w:rsid w:val="00F31299"/>
    <w:rsid w:val="00F33621"/>
    <w:rsid w:val="00F34B03"/>
    <w:rsid w:val="00F34DC0"/>
    <w:rsid w:val="00F34F73"/>
    <w:rsid w:val="00F35098"/>
    <w:rsid w:val="00F3534A"/>
    <w:rsid w:val="00F35B20"/>
    <w:rsid w:val="00F35BFB"/>
    <w:rsid w:val="00F35DD2"/>
    <w:rsid w:val="00F36ACC"/>
    <w:rsid w:val="00F40E83"/>
    <w:rsid w:val="00F41A8F"/>
    <w:rsid w:val="00F43F04"/>
    <w:rsid w:val="00F455BE"/>
    <w:rsid w:val="00F47854"/>
    <w:rsid w:val="00F51609"/>
    <w:rsid w:val="00F52D65"/>
    <w:rsid w:val="00F5598C"/>
    <w:rsid w:val="00F55C25"/>
    <w:rsid w:val="00F55C8A"/>
    <w:rsid w:val="00F60FA5"/>
    <w:rsid w:val="00F63973"/>
    <w:rsid w:val="00F63DDC"/>
    <w:rsid w:val="00F63EDA"/>
    <w:rsid w:val="00F63EE8"/>
    <w:rsid w:val="00F651B7"/>
    <w:rsid w:val="00F66EF7"/>
    <w:rsid w:val="00F6766B"/>
    <w:rsid w:val="00F73727"/>
    <w:rsid w:val="00F75BFB"/>
    <w:rsid w:val="00F766A7"/>
    <w:rsid w:val="00F76FC7"/>
    <w:rsid w:val="00F8020F"/>
    <w:rsid w:val="00F80A0E"/>
    <w:rsid w:val="00F81005"/>
    <w:rsid w:val="00F81006"/>
    <w:rsid w:val="00F825E7"/>
    <w:rsid w:val="00F83E11"/>
    <w:rsid w:val="00F84265"/>
    <w:rsid w:val="00F85325"/>
    <w:rsid w:val="00F85F80"/>
    <w:rsid w:val="00F86525"/>
    <w:rsid w:val="00F93833"/>
    <w:rsid w:val="00F977E4"/>
    <w:rsid w:val="00FA296C"/>
    <w:rsid w:val="00FA2DC0"/>
    <w:rsid w:val="00FA3917"/>
    <w:rsid w:val="00FA3AF1"/>
    <w:rsid w:val="00FB2EEE"/>
    <w:rsid w:val="00FB365A"/>
    <w:rsid w:val="00FB3BDA"/>
    <w:rsid w:val="00FB41BF"/>
    <w:rsid w:val="00FB6063"/>
    <w:rsid w:val="00FB6878"/>
    <w:rsid w:val="00FC1E0A"/>
    <w:rsid w:val="00FC23E4"/>
    <w:rsid w:val="00FC4446"/>
    <w:rsid w:val="00FC4FE7"/>
    <w:rsid w:val="00FC5B8B"/>
    <w:rsid w:val="00FC6BEA"/>
    <w:rsid w:val="00FD0D33"/>
    <w:rsid w:val="00FD22B1"/>
    <w:rsid w:val="00FD33F1"/>
    <w:rsid w:val="00FD3566"/>
    <w:rsid w:val="00FD3BD6"/>
    <w:rsid w:val="00FD5780"/>
    <w:rsid w:val="00FD73A4"/>
    <w:rsid w:val="00FE0E99"/>
    <w:rsid w:val="00FE0FA3"/>
    <w:rsid w:val="00FE1163"/>
    <w:rsid w:val="00FE356A"/>
    <w:rsid w:val="00FE4A06"/>
    <w:rsid w:val="00FE5397"/>
    <w:rsid w:val="00FF1B02"/>
    <w:rsid w:val="00FF1B64"/>
    <w:rsid w:val="00FF58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2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23757"/>
    <w:rPr>
      <w:sz w:val="24"/>
      <w:szCs w:val="24"/>
    </w:rPr>
  </w:style>
  <w:style w:type="paragraph" w:styleId="Heading1">
    <w:name w:val="heading 1"/>
    <w:basedOn w:val="BodyText"/>
    <w:next w:val="BodyText"/>
    <w:rsid w:val="00A237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237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23757"/>
    <w:pPr>
      <w:spacing w:before="560" w:line="320" w:lineRule="exact"/>
      <w:ind w:left="0" w:firstLine="0"/>
      <w:outlineLvl w:val="2"/>
    </w:pPr>
    <w:rPr>
      <w:sz w:val="26"/>
    </w:rPr>
  </w:style>
  <w:style w:type="paragraph" w:styleId="Heading4">
    <w:name w:val="heading 4"/>
    <w:basedOn w:val="Heading3"/>
    <w:next w:val="BodyText"/>
    <w:qFormat/>
    <w:rsid w:val="00A23757"/>
    <w:pPr>
      <w:spacing w:before="480"/>
      <w:outlineLvl w:val="3"/>
    </w:pPr>
    <w:rPr>
      <w:b w:val="0"/>
      <w:sz w:val="24"/>
    </w:rPr>
  </w:style>
  <w:style w:type="paragraph" w:styleId="Heading5">
    <w:name w:val="heading 5"/>
    <w:basedOn w:val="Heading4"/>
    <w:next w:val="BodyText"/>
    <w:link w:val="Heading5Char"/>
    <w:qFormat/>
    <w:rsid w:val="00A23757"/>
    <w:pPr>
      <w:outlineLvl w:val="4"/>
    </w:pPr>
    <w:rPr>
      <w:i/>
      <w:sz w:val="22"/>
    </w:rPr>
  </w:style>
  <w:style w:type="paragraph" w:styleId="Heading6">
    <w:name w:val="heading 6"/>
    <w:basedOn w:val="BodyText"/>
    <w:next w:val="BodyText"/>
    <w:semiHidden/>
    <w:rsid w:val="00A23757"/>
    <w:pPr>
      <w:spacing w:after="60"/>
      <w:jc w:val="left"/>
      <w:outlineLvl w:val="5"/>
    </w:pPr>
    <w:rPr>
      <w:i/>
      <w:sz w:val="22"/>
    </w:rPr>
  </w:style>
  <w:style w:type="paragraph" w:styleId="Heading7">
    <w:name w:val="heading 7"/>
    <w:basedOn w:val="BodyText"/>
    <w:next w:val="BodyText"/>
    <w:semiHidden/>
    <w:rsid w:val="00A23757"/>
    <w:pPr>
      <w:spacing w:after="60" w:line="240" w:lineRule="auto"/>
      <w:jc w:val="left"/>
      <w:outlineLvl w:val="6"/>
    </w:pPr>
    <w:rPr>
      <w:rFonts w:ascii="Arial" w:hAnsi="Arial"/>
      <w:sz w:val="20"/>
    </w:rPr>
  </w:style>
  <w:style w:type="paragraph" w:styleId="Heading8">
    <w:name w:val="heading 8"/>
    <w:basedOn w:val="BodyText"/>
    <w:next w:val="BodyText"/>
    <w:semiHidden/>
    <w:rsid w:val="00A23757"/>
    <w:pPr>
      <w:spacing w:after="60" w:line="240" w:lineRule="auto"/>
      <w:jc w:val="left"/>
      <w:outlineLvl w:val="7"/>
    </w:pPr>
    <w:rPr>
      <w:rFonts w:ascii="Arial" w:hAnsi="Arial"/>
      <w:i/>
      <w:sz w:val="20"/>
    </w:rPr>
  </w:style>
  <w:style w:type="paragraph" w:styleId="Heading9">
    <w:name w:val="heading 9"/>
    <w:basedOn w:val="BodyText"/>
    <w:next w:val="BodyText"/>
    <w:semiHidden/>
    <w:rsid w:val="00A237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23757"/>
    <w:pPr>
      <w:spacing w:before="240" w:line="300" w:lineRule="atLeast"/>
      <w:jc w:val="both"/>
    </w:pPr>
    <w:rPr>
      <w:sz w:val="24"/>
    </w:rPr>
  </w:style>
  <w:style w:type="paragraph" w:styleId="Footer">
    <w:name w:val="footer"/>
    <w:basedOn w:val="BodyText"/>
    <w:link w:val="FooterChar"/>
    <w:semiHidden/>
    <w:rsid w:val="00A23757"/>
    <w:pPr>
      <w:spacing w:before="80" w:line="200" w:lineRule="exact"/>
      <w:ind w:right="6"/>
      <w:jc w:val="left"/>
    </w:pPr>
    <w:rPr>
      <w:rFonts w:ascii="Arial" w:hAnsi="Arial"/>
      <w:caps/>
      <w:spacing w:val="-4"/>
      <w:sz w:val="16"/>
    </w:rPr>
  </w:style>
  <w:style w:type="paragraph" w:customStyle="1" w:styleId="FooterEnd">
    <w:name w:val="Footer End"/>
    <w:basedOn w:val="Footer"/>
    <w:rsid w:val="00A23757"/>
    <w:pPr>
      <w:spacing w:before="0" w:line="20" w:lineRule="exact"/>
    </w:pPr>
  </w:style>
  <w:style w:type="paragraph" w:styleId="Header">
    <w:name w:val="header"/>
    <w:basedOn w:val="BodyText"/>
    <w:rsid w:val="00A237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23757"/>
    <w:pPr>
      <w:spacing w:line="20" w:lineRule="exact"/>
    </w:pPr>
    <w:rPr>
      <w:sz w:val="16"/>
    </w:rPr>
  </w:style>
  <w:style w:type="paragraph" w:customStyle="1" w:styleId="HeaderEven">
    <w:name w:val="Header Even"/>
    <w:basedOn w:val="Header"/>
    <w:semiHidden/>
    <w:rsid w:val="00A23757"/>
  </w:style>
  <w:style w:type="paragraph" w:customStyle="1" w:styleId="HeaderOdd">
    <w:name w:val="Header Odd"/>
    <w:basedOn w:val="Header"/>
    <w:semiHidden/>
    <w:rsid w:val="00A23757"/>
  </w:style>
  <w:style w:type="character" w:styleId="PageNumber">
    <w:name w:val="page number"/>
    <w:basedOn w:val="DefaultParagraphFont"/>
    <w:rsid w:val="00A23757"/>
    <w:rPr>
      <w:rFonts w:ascii="Arial" w:hAnsi="Arial"/>
      <w:b/>
      <w:sz w:val="16"/>
    </w:rPr>
  </w:style>
  <w:style w:type="paragraph" w:customStyle="1" w:styleId="Abbreviation">
    <w:name w:val="Abbreviation"/>
    <w:basedOn w:val="BodyText"/>
    <w:rsid w:val="00A23757"/>
    <w:pPr>
      <w:spacing w:before="120"/>
      <w:ind w:left="2381" w:hanging="2381"/>
      <w:jc w:val="left"/>
    </w:pPr>
  </w:style>
  <w:style w:type="paragraph" w:customStyle="1" w:styleId="Box">
    <w:name w:val="Box"/>
    <w:basedOn w:val="BodyText"/>
    <w:qFormat/>
    <w:rsid w:val="00A23757"/>
    <w:pPr>
      <w:keepNext/>
      <w:spacing w:before="120" w:line="260" w:lineRule="atLeast"/>
    </w:pPr>
    <w:rPr>
      <w:rFonts w:ascii="Arial" w:hAnsi="Arial"/>
      <w:sz w:val="20"/>
    </w:rPr>
  </w:style>
  <w:style w:type="paragraph" w:customStyle="1" w:styleId="BoxContinued">
    <w:name w:val="Box Continued"/>
    <w:basedOn w:val="BodyText"/>
    <w:next w:val="BodyText"/>
    <w:semiHidden/>
    <w:rsid w:val="00A23757"/>
    <w:pPr>
      <w:spacing w:before="180" w:line="220" w:lineRule="exact"/>
      <w:jc w:val="right"/>
    </w:pPr>
    <w:rPr>
      <w:rFonts w:ascii="Arial" w:hAnsi="Arial"/>
      <w:sz w:val="18"/>
    </w:rPr>
  </w:style>
  <w:style w:type="paragraph" w:customStyle="1" w:styleId="BoxHeading1">
    <w:name w:val="Box Heading 1"/>
    <w:basedOn w:val="BodyText"/>
    <w:next w:val="Box"/>
    <w:rsid w:val="00A23757"/>
    <w:pPr>
      <w:keepNext/>
      <w:spacing w:before="200" w:line="280" w:lineRule="atLeast"/>
    </w:pPr>
    <w:rPr>
      <w:rFonts w:ascii="Arial" w:hAnsi="Arial"/>
      <w:b/>
      <w:sz w:val="22"/>
    </w:rPr>
  </w:style>
  <w:style w:type="paragraph" w:customStyle="1" w:styleId="BoxHeading2">
    <w:name w:val="Box Heading 2"/>
    <w:basedOn w:val="BoxHeading1"/>
    <w:next w:val="Normal"/>
    <w:rsid w:val="00A23757"/>
    <w:rPr>
      <w:b w:val="0"/>
      <w:i/>
    </w:rPr>
  </w:style>
  <w:style w:type="paragraph" w:customStyle="1" w:styleId="BoxListBullet">
    <w:name w:val="Box List Bullet"/>
    <w:basedOn w:val="BodyText"/>
    <w:rsid w:val="00A237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23757"/>
    <w:pPr>
      <w:numPr>
        <w:numId w:val="13"/>
      </w:numPr>
      <w:ind w:left="568" w:hanging="284"/>
    </w:pPr>
  </w:style>
  <w:style w:type="paragraph" w:customStyle="1" w:styleId="BoxListNumber">
    <w:name w:val="Box List Number"/>
    <w:basedOn w:val="BodyText"/>
    <w:rsid w:val="00A2375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23757"/>
    <w:pPr>
      <w:numPr>
        <w:ilvl w:val="1"/>
      </w:numPr>
      <w:ind w:left="681" w:hanging="397"/>
    </w:pPr>
  </w:style>
  <w:style w:type="paragraph" w:customStyle="1" w:styleId="BoxQuote">
    <w:name w:val="Box Quote"/>
    <w:basedOn w:val="BodyText"/>
    <w:next w:val="Box"/>
    <w:qFormat/>
    <w:rsid w:val="00A23757"/>
    <w:pPr>
      <w:keepNext/>
      <w:spacing w:before="60" w:line="240" w:lineRule="exact"/>
      <w:ind w:left="284"/>
    </w:pPr>
    <w:rPr>
      <w:rFonts w:ascii="Arial" w:hAnsi="Arial"/>
      <w:sz w:val="18"/>
    </w:rPr>
  </w:style>
  <w:style w:type="paragraph" w:customStyle="1" w:styleId="Note">
    <w:name w:val="Note"/>
    <w:basedOn w:val="BodyText"/>
    <w:next w:val="BodyText"/>
    <w:rsid w:val="00A23757"/>
    <w:pPr>
      <w:keepLines/>
      <w:spacing w:before="80" w:line="220" w:lineRule="exact"/>
    </w:pPr>
    <w:rPr>
      <w:rFonts w:ascii="Arial" w:hAnsi="Arial"/>
      <w:sz w:val="18"/>
    </w:rPr>
  </w:style>
  <w:style w:type="paragraph" w:customStyle="1" w:styleId="Source">
    <w:name w:val="Source"/>
    <w:basedOn w:val="Normal"/>
    <w:next w:val="BodyText"/>
    <w:rsid w:val="00A23757"/>
    <w:pPr>
      <w:keepLines/>
      <w:spacing w:before="80" w:line="220" w:lineRule="exact"/>
      <w:jc w:val="both"/>
    </w:pPr>
    <w:rPr>
      <w:rFonts w:ascii="Arial" w:hAnsi="Arial"/>
      <w:sz w:val="18"/>
      <w:szCs w:val="20"/>
    </w:rPr>
  </w:style>
  <w:style w:type="paragraph" w:customStyle="1" w:styleId="BoxSource">
    <w:name w:val="Box Source"/>
    <w:basedOn w:val="Source"/>
    <w:next w:val="BodyText"/>
    <w:rsid w:val="00A23757"/>
    <w:pPr>
      <w:spacing w:before="120"/>
    </w:pPr>
  </w:style>
  <w:style w:type="paragraph" w:customStyle="1" w:styleId="BoxSpaceAbove">
    <w:name w:val="Box Space Above"/>
    <w:basedOn w:val="BodyText"/>
    <w:rsid w:val="00A23757"/>
    <w:pPr>
      <w:keepNext/>
      <w:spacing w:before="360" w:line="80" w:lineRule="exact"/>
      <w:jc w:val="left"/>
    </w:pPr>
  </w:style>
  <w:style w:type="paragraph" w:styleId="Caption">
    <w:name w:val="caption"/>
    <w:basedOn w:val="Normal"/>
    <w:next w:val="BodyText"/>
    <w:rsid w:val="00A237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23757"/>
    <w:pPr>
      <w:spacing w:before="120" w:after="0"/>
    </w:pPr>
  </w:style>
  <w:style w:type="paragraph" w:customStyle="1" w:styleId="BoxSubtitle">
    <w:name w:val="Box Subtitle"/>
    <w:basedOn w:val="BoxTitle"/>
    <w:next w:val="Normal"/>
    <w:rsid w:val="00A23757"/>
    <w:pPr>
      <w:spacing w:after="80" w:line="200" w:lineRule="exact"/>
      <w:ind w:firstLine="0"/>
    </w:pPr>
    <w:rPr>
      <w:b w:val="0"/>
      <w:sz w:val="20"/>
    </w:rPr>
  </w:style>
  <w:style w:type="paragraph" w:customStyle="1" w:styleId="Chapter">
    <w:name w:val="Chapter"/>
    <w:basedOn w:val="Heading1"/>
    <w:next w:val="BodyText"/>
    <w:semiHidden/>
    <w:rsid w:val="00A23757"/>
    <w:pPr>
      <w:ind w:left="0" w:firstLine="0"/>
      <w:outlineLvl w:val="9"/>
    </w:pPr>
  </w:style>
  <w:style w:type="paragraph" w:customStyle="1" w:styleId="ChapterSummary">
    <w:name w:val="Chapter Summary"/>
    <w:basedOn w:val="BodyText"/>
    <w:rsid w:val="00A23757"/>
    <w:pPr>
      <w:spacing w:line="280" w:lineRule="atLeast"/>
      <w:ind w:left="907"/>
    </w:pPr>
    <w:rPr>
      <w:rFonts w:ascii="Arial" w:hAnsi="Arial"/>
      <w:b/>
      <w:sz w:val="20"/>
    </w:rPr>
  </w:style>
  <w:style w:type="character" w:styleId="CommentReference">
    <w:name w:val="annotation reference"/>
    <w:basedOn w:val="DefaultParagraphFont"/>
    <w:semiHidden/>
    <w:rsid w:val="00A23757"/>
    <w:rPr>
      <w:b/>
      <w:vanish/>
      <w:color w:val="FF00FF"/>
      <w:sz w:val="20"/>
    </w:rPr>
  </w:style>
  <w:style w:type="paragraph" w:styleId="CommentText">
    <w:name w:val="annotation text"/>
    <w:basedOn w:val="Normal"/>
    <w:link w:val="CommentTextChar"/>
    <w:semiHidden/>
    <w:rsid w:val="00A23757"/>
    <w:pPr>
      <w:spacing w:before="120" w:line="240" w:lineRule="atLeast"/>
      <w:ind w:left="567" w:hanging="567"/>
    </w:pPr>
    <w:rPr>
      <w:sz w:val="20"/>
    </w:rPr>
  </w:style>
  <w:style w:type="paragraph" w:customStyle="1" w:styleId="Continued">
    <w:name w:val="Continued"/>
    <w:basedOn w:val="BoxContinued"/>
    <w:next w:val="BodyText"/>
    <w:rsid w:val="00A23757"/>
  </w:style>
  <w:style w:type="character" w:customStyle="1" w:styleId="DocumentInfo">
    <w:name w:val="Document Info"/>
    <w:basedOn w:val="DefaultParagraphFont"/>
    <w:semiHidden/>
    <w:rsid w:val="00A23757"/>
    <w:rPr>
      <w:rFonts w:ascii="Arial" w:hAnsi="Arial"/>
      <w:sz w:val="14"/>
    </w:rPr>
  </w:style>
  <w:style w:type="character" w:customStyle="1" w:styleId="DraftingNote">
    <w:name w:val="Drafting Note"/>
    <w:basedOn w:val="DefaultParagraphFont"/>
    <w:rsid w:val="00A23757"/>
    <w:rPr>
      <w:b/>
      <w:color w:val="FF0000"/>
      <w:sz w:val="24"/>
      <w:u w:val="dotted"/>
    </w:rPr>
  </w:style>
  <w:style w:type="paragraph" w:customStyle="1" w:styleId="Figure">
    <w:name w:val="Figure"/>
    <w:basedOn w:val="BodyText"/>
    <w:rsid w:val="00A23757"/>
    <w:pPr>
      <w:keepNext/>
      <w:spacing w:before="120" w:after="120" w:line="240" w:lineRule="atLeast"/>
      <w:jc w:val="center"/>
    </w:pPr>
  </w:style>
  <w:style w:type="paragraph" w:customStyle="1" w:styleId="FigureTitle">
    <w:name w:val="Figure Title"/>
    <w:basedOn w:val="Caption"/>
    <w:next w:val="Subtitle"/>
    <w:rsid w:val="00A23757"/>
    <w:pPr>
      <w:spacing w:before="120"/>
    </w:pPr>
  </w:style>
  <w:style w:type="paragraph" w:styleId="Subtitle">
    <w:name w:val="Subtitle"/>
    <w:basedOn w:val="Caption"/>
    <w:link w:val="SubtitleChar"/>
    <w:qFormat/>
    <w:rsid w:val="00A23757"/>
    <w:pPr>
      <w:spacing w:before="0" w:line="200" w:lineRule="exact"/>
      <w:ind w:firstLine="0"/>
    </w:pPr>
    <w:rPr>
      <w:b w:val="0"/>
      <w:sz w:val="20"/>
    </w:rPr>
  </w:style>
  <w:style w:type="paragraph" w:customStyle="1" w:styleId="Finding">
    <w:name w:val="Finding"/>
    <w:basedOn w:val="BodyText"/>
    <w:rsid w:val="00A23757"/>
    <w:pPr>
      <w:keepLines/>
      <w:spacing w:before="120" w:line="280" w:lineRule="atLeast"/>
    </w:pPr>
    <w:rPr>
      <w:rFonts w:ascii="Arial" w:hAnsi="Arial"/>
      <w:sz w:val="22"/>
    </w:rPr>
  </w:style>
  <w:style w:type="paragraph" w:customStyle="1" w:styleId="FindingBullet">
    <w:name w:val="Finding Bullet"/>
    <w:basedOn w:val="Finding"/>
    <w:rsid w:val="00A23757"/>
    <w:pPr>
      <w:numPr>
        <w:numId w:val="15"/>
      </w:numPr>
      <w:spacing w:before="80"/>
    </w:pPr>
  </w:style>
  <w:style w:type="paragraph" w:customStyle="1" w:styleId="FindingNoTitle">
    <w:name w:val="Finding NoTitle"/>
    <w:basedOn w:val="Finding"/>
    <w:semiHidden/>
    <w:rsid w:val="00A23757"/>
    <w:pPr>
      <w:spacing w:before="240"/>
    </w:pPr>
  </w:style>
  <w:style w:type="paragraph" w:customStyle="1" w:styleId="RecTitle">
    <w:name w:val="Rec Title"/>
    <w:basedOn w:val="BodyText"/>
    <w:next w:val="Rec"/>
    <w:qFormat/>
    <w:rsid w:val="00A23757"/>
    <w:pPr>
      <w:keepNext/>
      <w:keepLines/>
      <w:spacing w:line="280" w:lineRule="atLeast"/>
    </w:pPr>
    <w:rPr>
      <w:rFonts w:ascii="Arial" w:hAnsi="Arial"/>
      <w:caps/>
      <w:sz w:val="18"/>
    </w:rPr>
  </w:style>
  <w:style w:type="paragraph" w:customStyle="1" w:styleId="FindingTitle">
    <w:name w:val="Finding Title"/>
    <w:basedOn w:val="RecTitle"/>
    <w:next w:val="Finding"/>
    <w:rsid w:val="00A23757"/>
  </w:style>
  <w:style w:type="character" w:styleId="FootnoteReference">
    <w:name w:val="footnote reference"/>
    <w:basedOn w:val="DefaultParagraphFont"/>
    <w:semiHidden/>
    <w:rsid w:val="00A23757"/>
    <w:rPr>
      <w:rFonts w:ascii="Times New Roman" w:hAnsi="Times New Roman"/>
      <w:position w:val="6"/>
      <w:sz w:val="20"/>
      <w:vertAlign w:val="baseline"/>
    </w:rPr>
  </w:style>
  <w:style w:type="paragraph" w:styleId="FootnoteText">
    <w:name w:val="footnote text"/>
    <w:basedOn w:val="BodyText"/>
    <w:rsid w:val="00A237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23757"/>
    <w:rPr>
      <w:i/>
    </w:rPr>
  </w:style>
  <w:style w:type="paragraph" w:customStyle="1" w:styleId="Jurisdictioncommentsbodytext">
    <w:name w:val="Jurisdiction comments body text"/>
    <w:rsid w:val="00A23757"/>
    <w:pPr>
      <w:spacing w:after="140"/>
      <w:jc w:val="both"/>
    </w:pPr>
    <w:rPr>
      <w:rFonts w:ascii="Arial" w:hAnsi="Arial"/>
      <w:sz w:val="24"/>
      <w:lang w:eastAsia="en-US"/>
    </w:rPr>
  </w:style>
  <w:style w:type="paragraph" w:customStyle="1" w:styleId="Jurisdictioncommentsheading">
    <w:name w:val="Jurisdiction comments heading"/>
    <w:rsid w:val="00A237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23757"/>
    <w:pPr>
      <w:numPr>
        <w:numId w:val="2"/>
      </w:numPr>
      <w:spacing w:after="140"/>
      <w:jc w:val="both"/>
    </w:pPr>
    <w:rPr>
      <w:rFonts w:ascii="Arial" w:hAnsi="Arial"/>
      <w:sz w:val="24"/>
      <w:lang w:eastAsia="en-US"/>
    </w:rPr>
  </w:style>
  <w:style w:type="paragraph" w:styleId="ListBullet">
    <w:name w:val="List Bullet"/>
    <w:basedOn w:val="BodyText"/>
    <w:rsid w:val="00A23757"/>
    <w:pPr>
      <w:numPr>
        <w:numId w:val="3"/>
      </w:numPr>
      <w:spacing w:before="120"/>
    </w:pPr>
  </w:style>
  <w:style w:type="paragraph" w:styleId="ListBullet2">
    <w:name w:val="List Bullet 2"/>
    <w:basedOn w:val="BodyText"/>
    <w:rsid w:val="00A23757"/>
    <w:pPr>
      <w:numPr>
        <w:numId w:val="4"/>
      </w:numPr>
      <w:spacing w:before="120"/>
    </w:pPr>
  </w:style>
  <w:style w:type="paragraph" w:styleId="ListBullet3">
    <w:name w:val="List Bullet 3"/>
    <w:basedOn w:val="BodyText"/>
    <w:rsid w:val="00A23757"/>
    <w:pPr>
      <w:numPr>
        <w:numId w:val="5"/>
      </w:numPr>
      <w:spacing w:before="120"/>
      <w:ind w:left="1020" w:hanging="340"/>
    </w:pPr>
  </w:style>
  <w:style w:type="paragraph" w:styleId="ListNumber">
    <w:name w:val="List Number"/>
    <w:basedOn w:val="BodyText"/>
    <w:rsid w:val="00A23757"/>
    <w:pPr>
      <w:numPr>
        <w:numId w:val="9"/>
      </w:numPr>
      <w:spacing w:before="120"/>
    </w:pPr>
  </w:style>
  <w:style w:type="paragraph" w:styleId="ListNumber2">
    <w:name w:val="List Number 2"/>
    <w:basedOn w:val="ListNumber"/>
    <w:rsid w:val="00A23757"/>
    <w:pPr>
      <w:numPr>
        <w:ilvl w:val="1"/>
      </w:numPr>
    </w:pPr>
  </w:style>
  <w:style w:type="paragraph" w:styleId="ListNumber3">
    <w:name w:val="List Number 3"/>
    <w:basedOn w:val="ListNumber2"/>
    <w:rsid w:val="00A23757"/>
    <w:pPr>
      <w:numPr>
        <w:ilvl w:val="2"/>
      </w:numPr>
    </w:pPr>
  </w:style>
  <w:style w:type="character" w:customStyle="1" w:styleId="NoteLabel">
    <w:name w:val="Note Label"/>
    <w:basedOn w:val="DefaultParagraphFont"/>
    <w:rsid w:val="00A23757"/>
    <w:rPr>
      <w:rFonts w:ascii="Arial" w:hAnsi="Arial"/>
      <w:b/>
      <w:position w:val="6"/>
      <w:sz w:val="18"/>
    </w:rPr>
  </w:style>
  <w:style w:type="paragraph" w:customStyle="1" w:styleId="PartDivider">
    <w:name w:val="Part Divider"/>
    <w:basedOn w:val="BodyText"/>
    <w:next w:val="BodyText"/>
    <w:semiHidden/>
    <w:rsid w:val="00A23757"/>
    <w:pPr>
      <w:spacing w:before="0" w:line="40" w:lineRule="exact"/>
      <w:jc w:val="right"/>
    </w:pPr>
    <w:rPr>
      <w:smallCaps/>
      <w:sz w:val="16"/>
    </w:rPr>
  </w:style>
  <w:style w:type="paragraph" w:customStyle="1" w:styleId="PartNumber">
    <w:name w:val="Part Number"/>
    <w:basedOn w:val="BodyText"/>
    <w:next w:val="BodyText"/>
    <w:semiHidden/>
    <w:rsid w:val="00A23757"/>
    <w:pPr>
      <w:spacing w:before="4000" w:line="320" w:lineRule="exact"/>
      <w:ind w:left="6634"/>
      <w:jc w:val="right"/>
    </w:pPr>
    <w:rPr>
      <w:smallCaps/>
      <w:spacing w:val="60"/>
      <w:sz w:val="32"/>
    </w:rPr>
  </w:style>
  <w:style w:type="paragraph" w:customStyle="1" w:styleId="PartTitle">
    <w:name w:val="Part Title"/>
    <w:basedOn w:val="BodyText"/>
    <w:semiHidden/>
    <w:rsid w:val="00A23757"/>
    <w:pPr>
      <w:spacing w:before="160" w:after="1360" w:line="520" w:lineRule="exact"/>
      <w:ind w:right="2381"/>
      <w:jc w:val="right"/>
    </w:pPr>
    <w:rPr>
      <w:smallCaps/>
      <w:sz w:val="52"/>
    </w:rPr>
  </w:style>
  <w:style w:type="paragraph" w:styleId="Quote">
    <w:name w:val="Quote"/>
    <w:basedOn w:val="BodyText"/>
    <w:next w:val="BodyText"/>
    <w:qFormat/>
    <w:rsid w:val="00A23757"/>
    <w:pPr>
      <w:spacing w:before="120" w:line="280" w:lineRule="exact"/>
      <w:ind w:left="340"/>
    </w:pPr>
    <w:rPr>
      <w:sz w:val="22"/>
    </w:rPr>
  </w:style>
  <w:style w:type="paragraph" w:customStyle="1" w:styleId="QuoteBullet">
    <w:name w:val="Quote Bullet"/>
    <w:basedOn w:val="Quote"/>
    <w:rsid w:val="00A23757"/>
    <w:pPr>
      <w:numPr>
        <w:numId w:val="6"/>
      </w:numPr>
    </w:pPr>
  </w:style>
  <w:style w:type="paragraph" w:customStyle="1" w:styleId="Rec">
    <w:name w:val="Rec"/>
    <w:basedOn w:val="BodyText"/>
    <w:qFormat/>
    <w:rsid w:val="00A23757"/>
    <w:pPr>
      <w:keepLines/>
      <w:spacing w:before="120" w:line="280" w:lineRule="atLeast"/>
    </w:pPr>
    <w:rPr>
      <w:rFonts w:ascii="Arial" w:hAnsi="Arial"/>
      <w:sz w:val="22"/>
    </w:rPr>
  </w:style>
  <w:style w:type="paragraph" w:customStyle="1" w:styleId="RecBullet">
    <w:name w:val="Rec Bullet"/>
    <w:basedOn w:val="Rec"/>
    <w:rsid w:val="00A23757"/>
    <w:pPr>
      <w:numPr>
        <w:numId w:val="17"/>
      </w:numPr>
      <w:spacing w:before="80"/>
    </w:pPr>
  </w:style>
  <w:style w:type="paragraph" w:customStyle="1" w:styleId="RecB">
    <w:name w:val="RecB"/>
    <w:basedOn w:val="Normal"/>
    <w:semiHidden/>
    <w:rsid w:val="00A2375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23757"/>
    <w:pPr>
      <w:numPr>
        <w:numId w:val="11"/>
      </w:numPr>
      <w:spacing w:before="80"/>
    </w:pPr>
  </w:style>
  <w:style w:type="paragraph" w:customStyle="1" w:styleId="RecBNoTitle">
    <w:name w:val="RecB NoTitle"/>
    <w:basedOn w:val="RecB"/>
    <w:semiHidden/>
    <w:rsid w:val="00A23757"/>
    <w:pPr>
      <w:spacing w:before="240"/>
    </w:pPr>
  </w:style>
  <w:style w:type="paragraph" w:customStyle="1" w:styleId="Reference">
    <w:name w:val="Reference"/>
    <w:basedOn w:val="BodyText"/>
    <w:rsid w:val="00A23757"/>
    <w:pPr>
      <w:spacing w:before="120"/>
      <w:ind w:left="340" w:hanging="340"/>
    </w:pPr>
  </w:style>
  <w:style w:type="paragraph" w:customStyle="1" w:styleId="SequenceInfo">
    <w:name w:val="Sequence Info"/>
    <w:basedOn w:val="BodyText"/>
    <w:semiHidden/>
    <w:rsid w:val="00A23757"/>
    <w:rPr>
      <w:vanish/>
      <w:sz w:val="16"/>
    </w:rPr>
  </w:style>
  <w:style w:type="paragraph" w:customStyle="1" w:styleId="SideNote">
    <w:name w:val="Side Note"/>
    <w:basedOn w:val="BodyText"/>
    <w:next w:val="BodyText"/>
    <w:semiHidden/>
    <w:rsid w:val="00A237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23757"/>
    <w:pPr>
      <w:framePr w:wrap="around"/>
      <w:numPr>
        <w:numId w:val="7"/>
      </w:numPr>
      <w:tabs>
        <w:tab w:val="left" w:pos="227"/>
      </w:tabs>
    </w:pPr>
  </w:style>
  <w:style w:type="paragraph" w:customStyle="1" w:styleId="SideNoteGraphic">
    <w:name w:val="Side Note Graphic"/>
    <w:basedOn w:val="SideNote"/>
    <w:next w:val="BodyText"/>
    <w:semiHidden/>
    <w:rsid w:val="00A23757"/>
    <w:pPr>
      <w:framePr w:wrap="around"/>
    </w:pPr>
  </w:style>
  <w:style w:type="paragraph" w:customStyle="1" w:styleId="TableBodyText">
    <w:name w:val="Table Body Text"/>
    <w:basedOn w:val="BodyText"/>
    <w:link w:val="TableBodyTextChar"/>
    <w:rsid w:val="00A237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23757"/>
    <w:pPr>
      <w:numPr>
        <w:numId w:val="8"/>
      </w:numPr>
      <w:jc w:val="left"/>
    </w:pPr>
  </w:style>
  <w:style w:type="paragraph" w:customStyle="1" w:styleId="TableColumnHeading">
    <w:name w:val="Table Column Heading"/>
    <w:basedOn w:val="TableBodyText"/>
    <w:rsid w:val="00A23757"/>
    <w:pPr>
      <w:spacing w:before="80" w:after="80"/>
    </w:pPr>
    <w:rPr>
      <w:i/>
    </w:rPr>
  </w:style>
  <w:style w:type="paragraph" w:styleId="TOC2">
    <w:name w:val="toc 2"/>
    <w:basedOn w:val="TOC1"/>
    <w:rsid w:val="00A23757"/>
    <w:pPr>
      <w:ind w:left="1134" w:hanging="624"/>
    </w:pPr>
    <w:rPr>
      <w:b w:val="0"/>
    </w:rPr>
  </w:style>
  <w:style w:type="paragraph" w:styleId="TOC3">
    <w:name w:val="toc 3"/>
    <w:basedOn w:val="TOC2"/>
    <w:rsid w:val="00A23757"/>
    <w:pPr>
      <w:spacing w:before="60"/>
      <w:ind w:left="1190" w:hanging="680"/>
    </w:pPr>
  </w:style>
  <w:style w:type="paragraph" w:styleId="TableofFigures">
    <w:name w:val="table of figures"/>
    <w:basedOn w:val="TOC3"/>
    <w:next w:val="BodyText"/>
    <w:semiHidden/>
    <w:rsid w:val="00A23757"/>
    <w:pPr>
      <w:ind w:left="737" w:hanging="737"/>
    </w:pPr>
  </w:style>
  <w:style w:type="paragraph" w:customStyle="1" w:styleId="TableTitle">
    <w:name w:val="Table Title"/>
    <w:basedOn w:val="Caption"/>
    <w:next w:val="Subtitle"/>
    <w:qFormat/>
    <w:rsid w:val="00A23757"/>
    <w:pPr>
      <w:spacing w:before="120"/>
    </w:pPr>
  </w:style>
  <w:style w:type="paragraph" w:customStyle="1" w:styleId="TableUnitsRow">
    <w:name w:val="Table Units Row"/>
    <w:basedOn w:val="TableBodyText"/>
    <w:rsid w:val="00A23757"/>
    <w:pPr>
      <w:spacing w:before="40"/>
    </w:pPr>
  </w:style>
  <w:style w:type="paragraph" w:styleId="TOC1">
    <w:name w:val="toc 1"/>
    <w:basedOn w:val="Normal"/>
    <w:next w:val="TOC2"/>
    <w:link w:val="TOC1Char"/>
    <w:rsid w:val="00A237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23757"/>
    <w:pPr>
      <w:ind w:left="1191" w:firstLine="0"/>
    </w:pPr>
  </w:style>
  <w:style w:type="paragraph" w:customStyle="1" w:styleId="RecBBullet2">
    <w:name w:val="RecB Bullet 2"/>
    <w:basedOn w:val="ListBullet2"/>
    <w:semiHidden/>
    <w:rsid w:val="00A23757"/>
    <w:pPr>
      <w:pBdr>
        <w:left w:val="single" w:sz="24" w:space="29" w:color="C0C0C0"/>
      </w:pBdr>
    </w:pPr>
    <w:rPr>
      <w:b/>
      <w:i/>
    </w:rPr>
  </w:style>
  <w:style w:type="paragraph" w:styleId="BalloonText">
    <w:name w:val="Balloon Text"/>
    <w:basedOn w:val="Normal"/>
    <w:link w:val="BalloonTextChar"/>
    <w:rsid w:val="00A23757"/>
    <w:rPr>
      <w:rFonts w:ascii="Tahoma" w:hAnsi="Tahoma" w:cs="Tahoma"/>
      <w:sz w:val="16"/>
      <w:szCs w:val="16"/>
    </w:rPr>
  </w:style>
  <w:style w:type="character" w:customStyle="1" w:styleId="BalloonTextChar">
    <w:name w:val="Balloon Text Char"/>
    <w:basedOn w:val="DefaultParagraphFont"/>
    <w:link w:val="BalloonText"/>
    <w:rsid w:val="00A23757"/>
    <w:rPr>
      <w:rFonts w:ascii="Tahoma" w:hAnsi="Tahoma" w:cs="Tahoma"/>
      <w:sz w:val="16"/>
      <w:szCs w:val="16"/>
    </w:rPr>
  </w:style>
  <w:style w:type="character" w:customStyle="1" w:styleId="SubtitleChar">
    <w:name w:val="Subtitle Char"/>
    <w:basedOn w:val="DefaultParagraphFont"/>
    <w:link w:val="Subtitle"/>
    <w:rsid w:val="00A23757"/>
    <w:rPr>
      <w:rFonts w:ascii="Arial" w:hAnsi="Arial"/>
      <w:szCs w:val="24"/>
    </w:rPr>
  </w:style>
  <w:style w:type="paragraph" w:customStyle="1" w:styleId="BoxListBullet3">
    <w:name w:val="Box List Bullet 3"/>
    <w:basedOn w:val="ListBullet3"/>
    <w:rsid w:val="00A2375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23757"/>
    <w:rPr>
      <w:i/>
      <w:iCs/>
    </w:rPr>
  </w:style>
  <w:style w:type="paragraph" w:customStyle="1" w:styleId="BoxQuoteBullet">
    <w:name w:val="Box Quote Bullet"/>
    <w:basedOn w:val="BoxQuote"/>
    <w:next w:val="Box"/>
    <w:rsid w:val="00A23757"/>
    <w:pPr>
      <w:numPr>
        <w:numId w:val="12"/>
      </w:numPr>
      <w:ind w:left="568" w:hanging="284"/>
    </w:pPr>
  </w:style>
  <w:style w:type="paragraph" w:customStyle="1" w:styleId="InformationRequestBullet">
    <w:name w:val="Information Request Bullet"/>
    <w:basedOn w:val="ListBullet"/>
    <w:next w:val="BodyText"/>
    <w:rsid w:val="00A2375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23757"/>
    <w:pPr>
      <w:keepNext w:val="0"/>
      <w:spacing w:before="60" w:after="60" w:line="80" w:lineRule="exact"/>
    </w:pPr>
    <w:rPr>
      <w:sz w:val="14"/>
    </w:rPr>
  </w:style>
  <w:style w:type="paragraph" w:customStyle="1" w:styleId="KeyPointsListBullet">
    <w:name w:val="Key Points List Bullet"/>
    <w:basedOn w:val="Normal"/>
    <w:qFormat/>
    <w:rsid w:val="00A237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23757"/>
    <w:pPr>
      <w:numPr>
        <w:numId w:val="21"/>
      </w:numPr>
      <w:ind w:left="568" w:hanging="284"/>
    </w:pPr>
  </w:style>
  <w:style w:type="paragraph" w:customStyle="1" w:styleId="InformationRequestTitle">
    <w:name w:val="Information Request Title"/>
    <w:basedOn w:val="FindingTitle"/>
    <w:next w:val="InformationRequest"/>
    <w:rsid w:val="00A23757"/>
    <w:rPr>
      <w:i/>
    </w:rPr>
  </w:style>
  <w:style w:type="paragraph" w:customStyle="1" w:styleId="Space">
    <w:name w:val="Space"/>
    <w:basedOn w:val="Normal"/>
    <w:rsid w:val="00A23757"/>
    <w:pPr>
      <w:keepNext/>
      <w:spacing w:line="120" w:lineRule="exact"/>
      <w:jc w:val="both"/>
    </w:pPr>
    <w:rPr>
      <w:rFonts w:ascii="Arial" w:hAnsi="Arial"/>
      <w:sz w:val="20"/>
      <w:szCs w:val="20"/>
    </w:rPr>
  </w:style>
  <w:style w:type="paragraph" w:customStyle="1" w:styleId="Heading1nochapterno">
    <w:name w:val="Heading 1 (no chapter no.)"/>
    <w:basedOn w:val="Heading1"/>
    <w:rsid w:val="00A23757"/>
    <w:pPr>
      <w:spacing w:before="0"/>
      <w:ind w:left="0" w:firstLine="0"/>
    </w:pPr>
  </w:style>
  <w:style w:type="paragraph" w:customStyle="1" w:styleId="Heading2nosectionno">
    <w:name w:val="Heading 2 (no section no.)"/>
    <w:basedOn w:val="Heading2"/>
    <w:rsid w:val="00A23757"/>
    <w:pPr>
      <w:ind w:left="0" w:firstLine="0"/>
    </w:pPr>
  </w:style>
  <w:style w:type="character" w:customStyle="1" w:styleId="Heading5Char">
    <w:name w:val="Heading 5 Char"/>
    <w:basedOn w:val="DefaultParagraphFont"/>
    <w:link w:val="Heading5"/>
    <w:rsid w:val="00A23757"/>
    <w:rPr>
      <w:rFonts w:ascii="Arial" w:hAnsi="Arial"/>
      <w:i/>
      <w:sz w:val="22"/>
    </w:rPr>
  </w:style>
  <w:style w:type="paragraph" w:customStyle="1" w:styleId="Figurespace">
    <w:name w:val="Figure space"/>
    <w:basedOn w:val="Box"/>
    <w:rsid w:val="00A23757"/>
    <w:pPr>
      <w:spacing w:before="0" w:line="120" w:lineRule="exact"/>
    </w:pPr>
  </w:style>
  <w:style w:type="paragraph" w:customStyle="1" w:styleId="FooterDraftReport">
    <w:name w:val="FooterDraftReport"/>
    <w:basedOn w:val="Footer"/>
    <w:link w:val="FooterDraftReportChar"/>
    <w:rsid w:val="00A237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23757"/>
    <w:rPr>
      <w:sz w:val="24"/>
    </w:rPr>
  </w:style>
  <w:style w:type="character" w:customStyle="1" w:styleId="FooterChar">
    <w:name w:val="Footer Char"/>
    <w:basedOn w:val="BodyTextChar"/>
    <w:link w:val="Footer"/>
    <w:semiHidden/>
    <w:rsid w:val="00A23757"/>
    <w:rPr>
      <w:rFonts w:ascii="Arial" w:hAnsi="Arial"/>
      <w:caps/>
      <w:spacing w:val="-4"/>
      <w:sz w:val="16"/>
    </w:rPr>
  </w:style>
  <w:style w:type="character" w:customStyle="1" w:styleId="FooterDraftReportChar">
    <w:name w:val="FooterDraftReport Char"/>
    <w:basedOn w:val="FooterChar"/>
    <w:link w:val="FooterDraftReport"/>
    <w:rsid w:val="00A237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237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23757"/>
    <w:rPr>
      <w:rFonts w:ascii="Arial" w:hAnsi="Arial"/>
      <w:b/>
      <w:sz w:val="26"/>
      <w:szCs w:val="26"/>
      <w:lang w:eastAsia="en-US"/>
    </w:rPr>
  </w:style>
  <w:style w:type="character" w:styleId="Hyperlink">
    <w:name w:val="Hyperlink"/>
    <w:basedOn w:val="DefaultParagraphFont"/>
    <w:uiPriority w:val="99"/>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 w:type="paragraph" w:styleId="Revision">
    <w:name w:val="Revision"/>
    <w:hidden/>
    <w:uiPriority w:val="99"/>
    <w:semiHidden/>
    <w:rsid w:val="00B31B4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23757"/>
    <w:rPr>
      <w:sz w:val="24"/>
      <w:szCs w:val="24"/>
    </w:rPr>
  </w:style>
  <w:style w:type="paragraph" w:styleId="Heading1">
    <w:name w:val="heading 1"/>
    <w:basedOn w:val="BodyText"/>
    <w:next w:val="BodyText"/>
    <w:rsid w:val="00A23757"/>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23757"/>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23757"/>
    <w:pPr>
      <w:spacing w:before="560" w:line="320" w:lineRule="exact"/>
      <w:ind w:left="0" w:firstLine="0"/>
      <w:outlineLvl w:val="2"/>
    </w:pPr>
    <w:rPr>
      <w:sz w:val="26"/>
    </w:rPr>
  </w:style>
  <w:style w:type="paragraph" w:styleId="Heading4">
    <w:name w:val="heading 4"/>
    <w:basedOn w:val="Heading3"/>
    <w:next w:val="BodyText"/>
    <w:qFormat/>
    <w:rsid w:val="00A23757"/>
    <w:pPr>
      <w:spacing w:before="480"/>
      <w:outlineLvl w:val="3"/>
    </w:pPr>
    <w:rPr>
      <w:b w:val="0"/>
      <w:sz w:val="24"/>
    </w:rPr>
  </w:style>
  <w:style w:type="paragraph" w:styleId="Heading5">
    <w:name w:val="heading 5"/>
    <w:basedOn w:val="Heading4"/>
    <w:next w:val="BodyText"/>
    <w:link w:val="Heading5Char"/>
    <w:qFormat/>
    <w:rsid w:val="00A23757"/>
    <w:pPr>
      <w:outlineLvl w:val="4"/>
    </w:pPr>
    <w:rPr>
      <w:i/>
      <w:sz w:val="22"/>
    </w:rPr>
  </w:style>
  <w:style w:type="paragraph" w:styleId="Heading6">
    <w:name w:val="heading 6"/>
    <w:basedOn w:val="BodyText"/>
    <w:next w:val="BodyText"/>
    <w:semiHidden/>
    <w:rsid w:val="00A23757"/>
    <w:pPr>
      <w:spacing w:after="60"/>
      <w:jc w:val="left"/>
      <w:outlineLvl w:val="5"/>
    </w:pPr>
    <w:rPr>
      <w:i/>
      <w:sz w:val="22"/>
    </w:rPr>
  </w:style>
  <w:style w:type="paragraph" w:styleId="Heading7">
    <w:name w:val="heading 7"/>
    <w:basedOn w:val="BodyText"/>
    <w:next w:val="BodyText"/>
    <w:semiHidden/>
    <w:rsid w:val="00A23757"/>
    <w:pPr>
      <w:spacing w:after="60" w:line="240" w:lineRule="auto"/>
      <w:jc w:val="left"/>
      <w:outlineLvl w:val="6"/>
    </w:pPr>
    <w:rPr>
      <w:rFonts w:ascii="Arial" w:hAnsi="Arial"/>
      <w:sz w:val="20"/>
    </w:rPr>
  </w:style>
  <w:style w:type="paragraph" w:styleId="Heading8">
    <w:name w:val="heading 8"/>
    <w:basedOn w:val="BodyText"/>
    <w:next w:val="BodyText"/>
    <w:semiHidden/>
    <w:rsid w:val="00A23757"/>
    <w:pPr>
      <w:spacing w:after="60" w:line="240" w:lineRule="auto"/>
      <w:jc w:val="left"/>
      <w:outlineLvl w:val="7"/>
    </w:pPr>
    <w:rPr>
      <w:rFonts w:ascii="Arial" w:hAnsi="Arial"/>
      <w:i/>
      <w:sz w:val="20"/>
    </w:rPr>
  </w:style>
  <w:style w:type="paragraph" w:styleId="Heading9">
    <w:name w:val="heading 9"/>
    <w:basedOn w:val="BodyText"/>
    <w:next w:val="BodyText"/>
    <w:semiHidden/>
    <w:rsid w:val="00A23757"/>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23757"/>
    <w:pPr>
      <w:spacing w:before="240" w:line="300" w:lineRule="atLeast"/>
      <w:jc w:val="both"/>
    </w:pPr>
    <w:rPr>
      <w:sz w:val="24"/>
    </w:rPr>
  </w:style>
  <w:style w:type="paragraph" w:styleId="Footer">
    <w:name w:val="footer"/>
    <w:basedOn w:val="BodyText"/>
    <w:link w:val="FooterChar"/>
    <w:semiHidden/>
    <w:rsid w:val="00A23757"/>
    <w:pPr>
      <w:spacing w:before="80" w:line="200" w:lineRule="exact"/>
      <w:ind w:right="6"/>
      <w:jc w:val="left"/>
    </w:pPr>
    <w:rPr>
      <w:rFonts w:ascii="Arial" w:hAnsi="Arial"/>
      <w:caps/>
      <w:spacing w:val="-4"/>
      <w:sz w:val="16"/>
    </w:rPr>
  </w:style>
  <w:style w:type="paragraph" w:customStyle="1" w:styleId="FooterEnd">
    <w:name w:val="Footer End"/>
    <w:basedOn w:val="Footer"/>
    <w:rsid w:val="00A23757"/>
    <w:pPr>
      <w:spacing w:before="0" w:line="20" w:lineRule="exact"/>
    </w:pPr>
  </w:style>
  <w:style w:type="paragraph" w:styleId="Header">
    <w:name w:val="header"/>
    <w:basedOn w:val="BodyText"/>
    <w:rsid w:val="00A23757"/>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23757"/>
    <w:pPr>
      <w:spacing w:line="20" w:lineRule="exact"/>
    </w:pPr>
    <w:rPr>
      <w:sz w:val="16"/>
    </w:rPr>
  </w:style>
  <w:style w:type="paragraph" w:customStyle="1" w:styleId="HeaderEven">
    <w:name w:val="Header Even"/>
    <w:basedOn w:val="Header"/>
    <w:semiHidden/>
    <w:rsid w:val="00A23757"/>
  </w:style>
  <w:style w:type="paragraph" w:customStyle="1" w:styleId="HeaderOdd">
    <w:name w:val="Header Odd"/>
    <w:basedOn w:val="Header"/>
    <w:semiHidden/>
    <w:rsid w:val="00A23757"/>
  </w:style>
  <w:style w:type="character" w:styleId="PageNumber">
    <w:name w:val="page number"/>
    <w:basedOn w:val="DefaultParagraphFont"/>
    <w:rsid w:val="00A23757"/>
    <w:rPr>
      <w:rFonts w:ascii="Arial" w:hAnsi="Arial"/>
      <w:b/>
      <w:sz w:val="16"/>
    </w:rPr>
  </w:style>
  <w:style w:type="paragraph" w:customStyle="1" w:styleId="Abbreviation">
    <w:name w:val="Abbreviation"/>
    <w:basedOn w:val="BodyText"/>
    <w:rsid w:val="00A23757"/>
    <w:pPr>
      <w:spacing w:before="120"/>
      <w:ind w:left="2381" w:hanging="2381"/>
      <w:jc w:val="left"/>
    </w:pPr>
  </w:style>
  <w:style w:type="paragraph" w:customStyle="1" w:styleId="Box">
    <w:name w:val="Box"/>
    <w:basedOn w:val="BodyText"/>
    <w:qFormat/>
    <w:rsid w:val="00A23757"/>
    <w:pPr>
      <w:keepNext/>
      <w:spacing w:before="120" w:line="260" w:lineRule="atLeast"/>
    </w:pPr>
    <w:rPr>
      <w:rFonts w:ascii="Arial" w:hAnsi="Arial"/>
      <w:sz w:val="20"/>
    </w:rPr>
  </w:style>
  <w:style w:type="paragraph" w:customStyle="1" w:styleId="BoxContinued">
    <w:name w:val="Box Continued"/>
    <w:basedOn w:val="BodyText"/>
    <w:next w:val="BodyText"/>
    <w:semiHidden/>
    <w:rsid w:val="00A23757"/>
    <w:pPr>
      <w:spacing w:before="180" w:line="220" w:lineRule="exact"/>
      <w:jc w:val="right"/>
    </w:pPr>
    <w:rPr>
      <w:rFonts w:ascii="Arial" w:hAnsi="Arial"/>
      <w:sz w:val="18"/>
    </w:rPr>
  </w:style>
  <w:style w:type="paragraph" w:customStyle="1" w:styleId="BoxHeading1">
    <w:name w:val="Box Heading 1"/>
    <w:basedOn w:val="BodyText"/>
    <w:next w:val="Box"/>
    <w:rsid w:val="00A23757"/>
    <w:pPr>
      <w:keepNext/>
      <w:spacing w:before="200" w:line="280" w:lineRule="atLeast"/>
    </w:pPr>
    <w:rPr>
      <w:rFonts w:ascii="Arial" w:hAnsi="Arial"/>
      <w:b/>
      <w:sz w:val="22"/>
    </w:rPr>
  </w:style>
  <w:style w:type="paragraph" w:customStyle="1" w:styleId="BoxHeading2">
    <w:name w:val="Box Heading 2"/>
    <w:basedOn w:val="BoxHeading1"/>
    <w:next w:val="Normal"/>
    <w:rsid w:val="00A23757"/>
    <w:rPr>
      <w:b w:val="0"/>
      <w:i/>
    </w:rPr>
  </w:style>
  <w:style w:type="paragraph" w:customStyle="1" w:styleId="BoxListBullet">
    <w:name w:val="Box List Bullet"/>
    <w:basedOn w:val="BodyText"/>
    <w:rsid w:val="00A23757"/>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23757"/>
    <w:pPr>
      <w:numPr>
        <w:numId w:val="13"/>
      </w:numPr>
      <w:ind w:left="568" w:hanging="284"/>
    </w:pPr>
  </w:style>
  <w:style w:type="paragraph" w:customStyle="1" w:styleId="BoxListNumber">
    <w:name w:val="Box List Number"/>
    <w:basedOn w:val="BodyText"/>
    <w:rsid w:val="00A23757"/>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23757"/>
    <w:pPr>
      <w:numPr>
        <w:ilvl w:val="1"/>
      </w:numPr>
      <w:ind w:left="681" w:hanging="397"/>
    </w:pPr>
  </w:style>
  <w:style w:type="paragraph" w:customStyle="1" w:styleId="BoxQuote">
    <w:name w:val="Box Quote"/>
    <w:basedOn w:val="BodyText"/>
    <w:next w:val="Box"/>
    <w:qFormat/>
    <w:rsid w:val="00A23757"/>
    <w:pPr>
      <w:keepNext/>
      <w:spacing w:before="60" w:line="240" w:lineRule="exact"/>
      <w:ind w:left="284"/>
    </w:pPr>
    <w:rPr>
      <w:rFonts w:ascii="Arial" w:hAnsi="Arial"/>
      <w:sz w:val="18"/>
    </w:rPr>
  </w:style>
  <w:style w:type="paragraph" w:customStyle="1" w:styleId="Note">
    <w:name w:val="Note"/>
    <w:basedOn w:val="BodyText"/>
    <w:next w:val="BodyText"/>
    <w:rsid w:val="00A23757"/>
    <w:pPr>
      <w:keepLines/>
      <w:spacing w:before="80" w:line="220" w:lineRule="exact"/>
    </w:pPr>
    <w:rPr>
      <w:rFonts w:ascii="Arial" w:hAnsi="Arial"/>
      <w:sz w:val="18"/>
    </w:rPr>
  </w:style>
  <w:style w:type="paragraph" w:customStyle="1" w:styleId="Source">
    <w:name w:val="Source"/>
    <w:basedOn w:val="Normal"/>
    <w:next w:val="BodyText"/>
    <w:rsid w:val="00A23757"/>
    <w:pPr>
      <w:keepLines/>
      <w:spacing w:before="80" w:line="220" w:lineRule="exact"/>
      <w:jc w:val="both"/>
    </w:pPr>
    <w:rPr>
      <w:rFonts w:ascii="Arial" w:hAnsi="Arial"/>
      <w:sz w:val="18"/>
      <w:szCs w:val="20"/>
    </w:rPr>
  </w:style>
  <w:style w:type="paragraph" w:customStyle="1" w:styleId="BoxSource">
    <w:name w:val="Box Source"/>
    <w:basedOn w:val="Source"/>
    <w:next w:val="BodyText"/>
    <w:rsid w:val="00A23757"/>
    <w:pPr>
      <w:spacing w:before="120"/>
    </w:pPr>
  </w:style>
  <w:style w:type="paragraph" w:customStyle="1" w:styleId="BoxSpaceAbove">
    <w:name w:val="Box Space Above"/>
    <w:basedOn w:val="BodyText"/>
    <w:rsid w:val="00A23757"/>
    <w:pPr>
      <w:keepNext/>
      <w:spacing w:before="360" w:line="80" w:lineRule="exact"/>
      <w:jc w:val="left"/>
    </w:pPr>
  </w:style>
  <w:style w:type="paragraph" w:styleId="Caption">
    <w:name w:val="caption"/>
    <w:basedOn w:val="Normal"/>
    <w:next w:val="BodyText"/>
    <w:rsid w:val="00A23757"/>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23757"/>
    <w:pPr>
      <w:spacing w:before="120" w:after="0"/>
    </w:pPr>
  </w:style>
  <w:style w:type="paragraph" w:customStyle="1" w:styleId="BoxSubtitle">
    <w:name w:val="Box Subtitle"/>
    <w:basedOn w:val="BoxTitle"/>
    <w:next w:val="Normal"/>
    <w:rsid w:val="00A23757"/>
    <w:pPr>
      <w:spacing w:after="80" w:line="200" w:lineRule="exact"/>
      <w:ind w:firstLine="0"/>
    </w:pPr>
    <w:rPr>
      <w:b w:val="0"/>
      <w:sz w:val="20"/>
    </w:rPr>
  </w:style>
  <w:style w:type="paragraph" w:customStyle="1" w:styleId="Chapter">
    <w:name w:val="Chapter"/>
    <w:basedOn w:val="Heading1"/>
    <w:next w:val="BodyText"/>
    <w:semiHidden/>
    <w:rsid w:val="00A23757"/>
    <w:pPr>
      <w:ind w:left="0" w:firstLine="0"/>
      <w:outlineLvl w:val="9"/>
    </w:pPr>
  </w:style>
  <w:style w:type="paragraph" w:customStyle="1" w:styleId="ChapterSummary">
    <w:name w:val="Chapter Summary"/>
    <w:basedOn w:val="BodyText"/>
    <w:rsid w:val="00A23757"/>
    <w:pPr>
      <w:spacing w:line="280" w:lineRule="atLeast"/>
      <w:ind w:left="907"/>
    </w:pPr>
    <w:rPr>
      <w:rFonts w:ascii="Arial" w:hAnsi="Arial"/>
      <w:b/>
      <w:sz w:val="20"/>
    </w:rPr>
  </w:style>
  <w:style w:type="character" w:styleId="CommentReference">
    <w:name w:val="annotation reference"/>
    <w:basedOn w:val="DefaultParagraphFont"/>
    <w:semiHidden/>
    <w:rsid w:val="00A23757"/>
    <w:rPr>
      <w:b/>
      <w:vanish/>
      <w:color w:val="FF00FF"/>
      <w:sz w:val="20"/>
    </w:rPr>
  </w:style>
  <w:style w:type="paragraph" w:styleId="CommentText">
    <w:name w:val="annotation text"/>
    <w:basedOn w:val="Normal"/>
    <w:link w:val="CommentTextChar"/>
    <w:semiHidden/>
    <w:rsid w:val="00A23757"/>
    <w:pPr>
      <w:spacing w:before="120" w:line="240" w:lineRule="atLeast"/>
      <w:ind w:left="567" w:hanging="567"/>
    </w:pPr>
    <w:rPr>
      <w:sz w:val="20"/>
    </w:rPr>
  </w:style>
  <w:style w:type="paragraph" w:customStyle="1" w:styleId="Continued">
    <w:name w:val="Continued"/>
    <w:basedOn w:val="BoxContinued"/>
    <w:next w:val="BodyText"/>
    <w:rsid w:val="00A23757"/>
  </w:style>
  <w:style w:type="character" w:customStyle="1" w:styleId="DocumentInfo">
    <w:name w:val="Document Info"/>
    <w:basedOn w:val="DefaultParagraphFont"/>
    <w:semiHidden/>
    <w:rsid w:val="00A23757"/>
    <w:rPr>
      <w:rFonts w:ascii="Arial" w:hAnsi="Arial"/>
      <w:sz w:val="14"/>
    </w:rPr>
  </w:style>
  <w:style w:type="character" w:customStyle="1" w:styleId="DraftingNote">
    <w:name w:val="Drafting Note"/>
    <w:basedOn w:val="DefaultParagraphFont"/>
    <w:rsid w:val="00A23757"/>
    <w:rPr>
      <w:b/>
      <w:color w:val="FF0000"/>
      <w:sz w:val="24"/>
      <w:u w:val="dotted"/>
    </w:rPr>
  </w:style>
  <w:style w:type="paragraph" w:customStyle="1" w:styleId="Figure">
    <w:name w:val="Figure"/>
    <w:basedOn w:val="BodyText"/>
    <w:rsid w:val="00A23757"/>
    <w:pPr>
      <w:keepNext/>
      <w:spacing w:before="120" w:after="120" w:line="240" w:lineRule="atLeast"/>
      <w:jc w:val="center"/>
    </w:pPr>
  </w:style>
  <w:style w:type="paragraph" w:customStyle="1" w:styleId="FigureTitle">
    <w:name w:val="Figure Title"/>
    <w:basedOn w:val="Caption"/>
    <w:next w:val="Subtitle"/>
    <w:rsid w:val="00A23757"/>
    <w:pPr>
      <w:spacing w:before="120"/>
    </w:pPr>
  </w:style>
  <w:style w:type="paragraph" w:styleId="Subtitle">
    <w:name w:val="Subtitle"/>
    <w:basedOn w:val="Caption"/>
    <w:link w:val="SubtitleChar"/>
    <w:qFormat/>
    <w:rsid w:val="00A23757"/>
    <w:pPr>
      <w:spacing w:before="0" w:line="200" w:lineRule="exact"/>
      <w:ind w:firstLine="0"/>
    </w:pPr>
    <w:rPr>
      <w:b w:val="0"/>
      <w:sz w:val="20"/>
    </w:rPr>
  </w:style>
  <w:style w:type="paragraph" w:customStyle="1" w:styleId="Finding">
    <w:name w:val="Finding"/>
    <w:basedOn w:val="BodyText"/>
    <w:rsid w:val="00A23757"/>
    <w:pPr>
      <w:keepLines/>
      <w:spacing w:before="120" w:line="280" w:lineRule="atLeast"/>
    </w:pPr>
    <w:rPr>
      <w:rFonts w:ascii="Arial" w:hAnsi="Arial"/>
      <w:sz w:val="22"/>
    </w:rPr>
  </w:style>
  <w:style w:type="paragraph" w:customStyle="1" w:styleId="FindingBullet">
    <w:name w:val="Finding Bullet"/>
    <w:basedOn w:val="Finding"/>
    <w:rsid w:val="00A23757"/>
    <w:pPr>
      <w:numPr>
        <w:numId w:val="15"/>
      </w:numPr>
      <w:spacing w:before="80"/>
    </w:pPr>
  </w:style>
  <w:style w:type="paragraph" w:customStyle="1" w:styleId="FindingNoTitle">
    <w:name w:val="Finding NoTitle"/>
    <w:basedOn w:val="Finding"/>
    <w:semiHidden/>
    <w:rsid w:val="00A23757"/>
    <w:pPr>
      <w:spacing w:before="240"/>
    </w:pPr>
  </w:style>
  <w:style w:type="paragraph" w:customStyle="1" w:styleId="RecTitle">
    <w:name w:val="Rec Title"/>
    <w:basedOn w:val="BodyText"/>
    <w:next w:val="Rec"/>
    <w:qFormat/>
    <w:rsid w:val="00A23757"/>
    <w:pPr>
      <w:keepNext/>
      <w:keepLines/>
      <w:spacing w:line="280" w:lineRule="atLeast"/>
    </w:pPr>
    <w:rPr>
      <w:rFonts w:ascii="Arial" w:hAnsi="Arial"/>
      <w:caps/>
      <w:sz w:val="18"/>
    </w:rPr>
  </w:style>
  <w:style w:type="paragraph" w:customStyle="1" w:styleId="FindingTitle">
    <w:name w:val="Finding Title"/>
    <w:basedOn w:val="RecTitle"/>
    <w:next w:val="Finding"/>
    <w:rsid w:val="00A23757"/>
  </w:style>
  <w:style w:type="character" w:styleId="FootnoteReference">
    <w:name w:val="footnote reference"/>
    <w:basedOn w:val="DefaultParagraphFont"/>
    <w:semiHidden/>
    <w:rsid w:val="00A23757"/>
    <w:rPr>
      <w:rFonts w:ascii="Times New Roman" w:hAnsi="Times New Roman"/>
      <w:position w:val="6"/>
      <w:sz w:val="20"/>
      <w:vertAlign w:val="baseline"/>
    </w:rPr>
  </w:style>
  <w:style w:type="paragraph" w:styleId="FootnoteText">
    <w:name w:val="footnote text"/>
    <w:basedOn w:val="BodyText"/>
    <w:rsid w:val="00A2375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23757"/>
    <w:rPr>
      <w:i/>
    </w:rPr>
  </w:style>
  <w:style w:type="paragraph" w:customStyle="1" w:styleId="Jurisdictioncommentsbodytext">
    <w:name w:val="Jurisdiction comments body text"/>
    <w:rsid w:val="00A23757"/>
    <w:pPr>
      <w:spacing w:after="140"/>
      <w:jc w:val="both"/>
    </w:pPr>
    <w:rPr>
      <w:rFonts w:ascii="Arial" w:hAnsi="Arial"/>
      <w:sz w:val="24"/>
      <w:lang w:eastAsia="en-US"/>
    </w:rPr>
  </w:style>
  <w:style w:type="paragraph" w:customStyle="1" w:styleId="Jurisdictioncommentsheading">
    <w:name w:val="Jurisdiction comments heading"/>
    <w:rsid w:val="00A23757"/>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23757"/>
    <w:pPr>
      <w:numPr>
        <w:numId w:val="2"/>
      </w:numPr>
      <w:spacing w:after="140"/>
      <w:jc w:val="both"/>
    </w:pPr>
    <w:rPr>
      <w:rFonts w:ascii="Arial" w:hAnsi="Arial"/>
      <w:sz w:val="24"/>
      <w:lang w:eastAsia="en-US"/>
    </w:rPr>
  </w:style>
  <w:style w:type="paragraph" w:styleId="ListBullet">
    <w:name w:val="List Bullet"/>
    <w:basedOn w:val="BodyText"/>
    <w:rsid w:val="00A23757"/>
    <w:pPr>
      <w:numPr>
        <w:numId w:val="3"/>
      </w:numPr>
      <w:spacing w:before="120"/>
    </w:pPr>
  </w:style>
  <w:style w:type="paragraph" w:styleId="ListBullet2">
    <w:name w:val="List Bullet 2"/>
    <w:basedOn w:val="BodyText"/>
    <w:rsid w:val="00A23757"/>
    <w:pPr>
      <w:numPr>
        <w:numId w:val="4"/>
      </w:numPr>
      <w:spacing w:before="120"/>
    </w:pPr>
  </w:style>
  <w:style w:type="paragraph" w:styleId="ListBullet3">
    <w:name w:val="List Bullet 3"/>
    <w:basedOn w:val="BodyText"/>
    <w:rsid w:val="00A23757"/>
    <w:pPr>
      <w:numPr>
        <w:numId w:val="5"/>
      </w:numPr>
      <w:spacing w:before="120"/>
      <w:ind w:left="1020" w:hanging="340"/>
    </w:pPr>
  </w:style>
  <w:style w:type="paragraph" w:styleId="ListNumber">
    <w:name w:val="List Number"/>
    <w:basedOn w:val="BodyText"/>
    <w:rsid w:val="00A23757"/>
    <w:pPr>
      <w:numPr>
        <w:numId w:val="9"/>
      </w:numPr>
      <w:spacing w:before="120"/>
    </w:pPr>
  </w:style>
  <w:style w:type="paragraph" w:styleId="ListNumber2">
    <w:name w:val="List Number 2"/>
    <w:basedOn w:val="ListNumber"/>
    <w:rsid w:val="00A23757"/>
    <w:pPr>
      <w:numPr>
        <w:ilvl w:val="1"/>
      </w:numPr>
    </w:pPr>
  </w:style>
  <w:style w:type="paragraph" w:styleId="ListNumber3">
    <w:name w:val="List Number 3"/>
    <w:basedOn w:val="ListNumber2"/>
    <w:rsid w:val="00A23757"/>
    <w:pPr>
      <w:numPr>
        <w:ilvl w:val="2"/>
      </w:numPr>
    </w:pPr>
  </w:style>
  <w:style w:type="character" w:customStyle="1" w:styleId="NoteLabel">
    <w:name w:val="Note Label"/>
    <w:basedOn w:val="DefaultParagraphFont"/>
    <w:rsid w:val="00A23757"/>
    <w:rPr>
      <w:rFonts w:ascii="Arial" w:hAnsi="Arial"/>
      <w:b/>
      <w:position w:val="6"/>
      <w:sz w:val="18"/>
    </w:rPr>
  </w:style>
  <w:style w:type="paragraph" w:customStyle="1" w:styleId="PartDivider">
    <w:name w:val="Part Divider"/>
    <w:basedOn w:val="BodyText"/>
    <w:next w:val="BodyText"/>
    <w:semiHidden/>
    <w:rsid w:val="00A23757"/>
    <w:pPr>
      <w:spacing w:before="0" w:line="40" w:lineRule="exact"/>
      <w:jc w:val="right"/>
    </w:pPr>
    <w:rPr>
      <w:smallCaps/>
      <w:sz w:val="16"/>
    </w:rPr>
  </w:style>
  <w:style w:type="paragraph" w:customStyle="1" w:styleId="PartNumber">
    <w:name w:val="Part Number"/>
    <w:basedOn w:val="BodyText"/>
    <w:next w:val="BodyText"/>
    <w:semiHidden/>
    <w:rsid w:val="00A23757"/>
    <w:pPr>
      <w:spacing w:before="4000" w:line="320" w:lineRule="exact"/>
      <w:ind w:left="6634"/>
      <w:jc w:val="right"/>
    </w:pPr>
    <w:rPr>
      <w:smallCaps/>
      <w:spacing w:val="60"/>
      <w:sz w:val="32"/>
    </w:rPr>
  </w:style>
  <w:style w:type="paragraph" w:customStyle="1" w:styleId="PartTitle">
    <w:name w:val="Part Title"/>
    <w:basedOn w:val="BodyText"/>
    <w:semiHidden/>
    <w:rsid w:val="00A23757"/>
    <w:pPr>
      <w:spacing w:before="160" w:after="1360" w:line="520" w:lineRule="exact"/>
      <w:ind w:right="2381"/>
      <w:jc w:val="right"/>
    </w:pPr>
    <w:rPr>
      <w:smallCaps/>
      <w:sz w:val="52"/>
    </w:rPr>
  </w:style>
  <w:style w:type="paragraph" w:styleId="Quote">
    <w:name w:val="Quote"/>
    <w:basedOn w:val="BodyText"/>
    <w:next w:val="BodyText"/>
    <w:qFormat/>
    <w:rsid w:val="00A23757"/>
    <w:pPr>
      <w:spacing w:before="120" w:line="280" w:lineRule="exact"/>
      <w:ind w:left="340"/>
    </w:pPr>
    <w:rPr>
      <w:sz w:val="22"/>
    </w:rPr>
  </w:style>
  <w:style w:type="paragraph" w:customStyle="1" w:styleId="QuoteBullet">
    <w:name w:val="Quote Bullet"/>
    <w:basedOn w:val="Quote"/>
    <w:rsid w:val="00A23757"/>
    <w:pPr>
      <w:numPr>
        <w:numId w:val="6"/>
      </w:numPr>
    </w:pPr>
  </w:style>
  <w:style w:type="paragraph" w:customStyle="1" w:styleId="Rec">
    <w:name w:val="Rec"/>
    <w:basedOn w:val="BodyText"/>
    <w:qFormat/>
    <w:rsid w:val="00A23757"/>
    <w:pPr>
      <w:keepLines/>
      <w:spacing w:before="120" w:line="280" w:lineRule="atLeast"/>
    </w:pPr>
    <w:rPr>
      <w:rFonts w:ascii="Arial" w:hAnsi="Arial"/>
      <w:sz w:val="22"/>
    </w:rPr>
  </w:style>
  <w:style w:type="paragraph" w:customStyle="1" w:styleId="RecBullet">
    <w:name w:val="Rec Bullet"/>
    <w:basedOn w:val="Rec"/>
    <w:rsid w:val="00A23757"/>
    <w:pPr>
      <w:numPr>
        <w:numId w:val="17"/>
      </w:numPr>
      <w:spacing w:before="80"/>
    </w:pPr>
  </w:style>
  <w:style w:type="paragraph" w:customStyle="1" w:styleId="RecB">
    <w:name w:val="RecB"/>
    <w:basedOn w:val="Normal"/>
    <w:semiHidden/>
    <w:rsid w:val="00A23757"/>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23757"/>
    <w:pPr>
      <w:numPr>
        <w:numId w:val="11"/>
      </w:numPr>
      <w:spacing w:before="80"/>
    </w:pPr>
  </w:style>
  <w:style w:type="paragraph" w:customStyle="1" w:styleId="RecBNoTitle">
    <w:name w:val="RecB NoTitle"/>
    <w:basedOn w:val="RecB"/>
    <w:semiHidden/>
    <w:rsid w:val="00A23757"/>
    <w:pPr>
      <w:spacing w:before="240"/>
    </w:pPr>
  </w:style>
  <w:style w:type="paragraph" w:customStyle="1" w:styleId="Reference">
    <w:name w:val="Reference"/>
    <w:basedOn w:val="BodyText"/>
    <w:rsid w:val="00A23757"/>
    <w:pPr>
      <w:spacing w:before="120"/>
      <w:ind w:left="340" w:hanging="340"/>
    </w:pPr>
  </w:style>
  <w:style w:type="paragraph" w:customStyle="1" w:styleId="SequenceInfo">
    <w:name w:val="Sequence Info"/>
    <w:basedOn w:val="BodyText"/>
    <w:semiHidden/>
    <w:rsid w:val="00A23757"/>
    <w:rPr>
      <w:vanish/>
      <w:sz w:val="16"/>
    </w:rPr>
  </w:style>
  <w:style w:type="paragraph" w:customStyle="1" w:styleId="SideNote">
    <w:name w:val="Side Note"/>
    <w:basedOn w:val="BodyText"/>
    <w:next w:val="BodyText"/>
    <w:semiHidden/>
    <w:rsid w:val="00A23757"/>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23757"/>
    <w:pPr>
      <w:framePr w:wrap="around"/>
      <w:numPr>
        <w:numId w:val="7"/>
      </w:numPr>
      <w:tabs>
        <w:tab w:val="left" w:pos="227"/>
      </w:tabs>
    </w:pPr>
  </w:style>
  <w:style w:type="paragraph" w:customStyle="1" w:styleId="SideNoteGraphic">
    <w:name w:val="Side Note Graphic"/>
    <w:basedOn w:val="SideNote"/>
    <w:next w:val="BodyText"/>
    <w:semiHidden/>
    <w:rsid w:val="00A23757"/>
    <w:pPr>
      <w:framePr w:wrap="around"/>
    </w:pPr>
  </w:style>
  <w:style w:type="paragraph" w:customStyle="1" w:styleId="TableBodyText">
    <w:name w:val="Table Body Text"/>
    <w:basedOn w:val="BodyText"/>
    <w:link w:val="TableBodyTextChar"/>
    <w:rsid w:val="00A23757"/>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A23757"/>
    <w:pPr>
      <w:numPr>
        <w:numId w:val="8"/>
      </w:numPr>
      <w:jc w:val="left"/>
    </w:pPr>
  </w:style>
  <w:style w:type="paragraph" w:customStyle="1" w:styleId="TableColumnHeading">
    <w:name w:val="Table Column Heading"/>
    <w:basedOn w:val="TableBodyText"/>
    <w:rsid w:val="00A23757"/>
    <w:pPr>
      <w:spacing w:before="80" w:after="80"/>
    </w:pPr>
    <w:rPr>
      <w:i/>
    </w:rPr>
  </w:style>
  <w:style w:type="paragraph" w:styleId="TOC2">
    <w:name w:val="toc 2"/>
    <w:basedOn w:val="TOC1"/>
    <w:rsid w:val="00A23757"/>
    <w:pPr>
      <w:ind w:left="1134" w:hanging="624"/>
    </w:pPr>
    <w:rPr>
      <w:b w:val="0"/>
    </w:rPr>
  </w:style>
  <w:style w:type="paragraph" w:styleId="TOC3">
    <w:name w:val="toc 3"/>
    <w:basedOn w:val="TOC2"/>
    <w:rsid w:val="00A23757"/>
    <w:pPr>
      <w:spacing w:before="60"/>
      <w:ind w:left="1190" w:hanging="680"/>
    </w:pPr>
  </w:style>
  <w:style w:type="paragraph" w:styleId="TableofFigures">
    <w:name w:val="table of figures"/>
    <w:basedOn w:val="TOC3"/>
    <w:next w:val="BodyText"/>
    <w:semiHidden/>
    <w:rsid w:val="00A23757"/>
    <w:pPr>
      <w:ind w:left="737" w:hanging="737"/>
    </w:pPr>
  </w:style>
  <w:style w:type="paragraph" w:customStyle="1" w:styleId="TableTitle">
    <w:name w:val="Table Title"/>
    <w:basedOn w:val="Caption"/>
    <w:next w:val="Subtitle"/>
    <w:qFormat/>
    <w:rsid w:val="00A23757"/>
    <w:pPr>
      <w:spacing w:before="120"/>
    </w:pPr>
  </w:style>
  <w:style w:type="paragraph" w:customStyle="1" w:styleId="TableUnitsRow">
    <w:name w:val="Table Units Row"/>
    <w:basedOn w:val="TableBodyText"/>
    <w:rsid w:val="00A23757"/>
    <w:pPr>
      <w:spacing w:before="40"/>
    </w:pPr>
  </w:style>
  <w:style w:type="paragraph" w:styleId="TOC1">
    <w:name w:val="toc 1"/>
    <w:basedOn w:val="Normal"/>
    <w:next w:val="TOC2"/>
    <w:link w:val="TOC1Char"/>
    <w:rsid w:val="00A2375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23757"/>
    <w:pPr>
      <w:ind w:left="1191" w:firstLine="0"/>
    </w:pPr>
  </w:style>
  <w:style w:type="paragraph" w:customStyle="1" w:styleId="RecBBullet2">
    <w:name w:val="RecB Bullet 2"/>
    <w:basedOn w:val="ListBullet2"/>
    <w:semiHidden/>
    <w:rsid w:val="00A23757"/>
    <w:pPr>
      <w:pBdr>
        <w:left w:val="single" w:sz="24" w:space="29" w:color="C0C0C0"/>
      </w:pBdr>
    </w:pPr>
    <w:rPr>
      <w:b/>
      <w:i/>
    </w:rPr>
  </w:style>
  <w:style w:type="paragraph" w:styleId="BalloonText">
    <w:name w:val="Balloon Text"/>
    <w:basedOn w:val="Normal"/>
    <w:link w:val="BalloonTextChar"/>
    <w:rsid w:val="00A23757"/>
    <w:rPr>
      <w:rFonts w:ascii="Tahoma" w:hAnsi="Tahoma" w:cs="Tahoma"/>
      <w:sz w:val="16"/>
      <w:szCs w:val="16"/>
    </w:rPr>
  </w:style>
  <w:style w:type="character" w:customStyle="1" w:styleId="BalloonTextChar">
    <w:name w:val="Balloon Text Char"/>
    <w:basedOn w:val="DefaultParagraphFont"/>
    <w:link w:val="BalloonText"/>
    <w:rsid w:val="00A23757"/>
    <w:rPr>
      <w:rFonts w:ascii="Tahoma" w:hAnsi="Tahoma" w:cs="Tahoma"/>
      <w:sz w:val="16"/>
      <w:szCs w:val="16"/>
    </w:rPr>
  </w:style>
  <w:style w:type="character" w:customStyle="1" w:styleId="SubtitleChar">
    <w:name w:val="Subtitle Char"/>
    <w:basedOn w:val="DefaultParagraphFont"/>
    <w:link w:val="Subtitle"/>
    <w:rsid w:val="00A23757"/>
    <w:rPr>
      <w:rFonts w:ascii="Arial" w:hAnsi="Arial"/>
      <w:szCs w:val="24"/>
    </w:rPr>
  </w:style>
  <w:style w:type="paragraph" w:customStyle="1" w:styleId="BoxListBullet3">
    <w:name w:val="Box List Bullet 3"/>
    <w:basedOn w:val="ListBullet3"/>
    <w:rsid w:val="00A23757"/>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23757"/>
    <w:rPr>
      <w:i/>
      <w:iCs/>
    </w:rPr>
  </w:style>
  <w:style w:type="paragraph" w:customStyle="1" w:styleId="BoxQuoteBullet">
    <w:name w:val="Box Quote Bullet"/>
    <w:basedOn w:val="BoxQuote"/>
    <w:next w:val="Box"/>
    <w:rsid w:val="00A23757"/>
    <w:pPr>
      <w:numPr>
        <w:numId w:val="12"/>
      </w:numPr>
      <w:ind w:left="568" w:hanging="284"/>
    </w:pPr>
  </w:style>
  <w:style w:type="paragraph" w:customStyle="1" w:styleId="InformationRequestBullet">
    <w:name w:val="Information Request Bullet"/>
    <w:basedOn w:val="ListBullet"/>
    <w:next w:val="BodyText"/>
    <w:rsid w:val="00A23757"/>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23757"/>
    <w:pPr>
      <w:keepNext w:val="0"/>
      <w:spacing w:before="60" w:after="60" w:line="80" w:lineRule="exact"/>
    </w:pPr>
    <w:rPr>
      <w:sz w:val="14"/>
    </w:rPr>
  </w:style>
  <w:style w:type="paragraph" w:customStyle="1" w:styleId="KeyPointsListBullet">
    <w:name w:val="Key Points List Bullet"/>
    <w:basedOn w:val="Normal"/>
    <w:qFormat/>
    <w:rsid w:val="00A23757"/>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23757"/>
    <w:pPr>
      <w:numPr>
        <w:numId w:val="21"/>
      </w:numPr>
      <w:ind w:left="568" w:hanging="284"/>
    </w:pPr>
  </w:style>
  <w:style w:type="paragraph" w:customStyle="1" w:styleId="InformationRequestTitle">
    <w:name w:val="Information Request Title"/>
    <w:basedOn w:val="FindingTitle"/>
    <w:next w:val="InformationRequest"/>
    <w:rsid w:val="00A23757"/>
    <w:rPr>
      <w:i/>
    </w:rPr>
  </w:style>
  <w:style w:type="paragraph" w:customStyle="1" w:styleId="Space">
    <w:name w:val="Space"/>
    <w:basedOn w:val="Normal"/>
    <w:rsid w:val="00A23757"/>
    <w:pPr>
      <w:keepNext/>
      <w:spacing w:line="120" w:lineRule="exact"/>
      <w:jc w:val="both"/>
    </w:pPr>
    <w:rPr>
      <w:rFonts w:ascii="Arial" w:hAnsi="Arial"/>
      <w:sz w:val="20"/>
      <w:szCs w:val="20"/>
    </w:rPr>
  </w:style>
  <w:style w:type="paragraph" w:customStyle="1" w:styleId="Heading1nochapterno">
    <w:name w:val="Heading 1 (no chapter no.)"/>
    <w:basedOn w:val="Heading1"/>
    <w:rsid w:val="00A23757"/>
    <w:pPr>
      <w:spacing w:before="0"/>
      <w:ind w:left="0" w:firstLine="0"/>
    </w:pPr>
  </w:style>
  <w:style w:type="paragraph" w:customStyle="1" w:styleId="Heading2nosectionno">
    <w:name w:val="Heading 2 (no section no.)"/>
    <w:basedOn w:val="Heading2"/>
    <w:rsid w:val="00A23757"/>
    <w:pPr>
      <w:ind w:left="0" w:firstLine="0"/>
    </w:pPr>
  </w:style>
  <w:style w:type="character" w:customStyle="1" w:styleId="Heading5Char">
    <w:name w:val="Heading 5 Char"/>
    <w:basedOn w:val="DefaultParagraphFont"/>
    <w:link w:val="Heading5"/>
    <w:rsid w:val="00A23757"/>
    <w:rPr>
      <w:rFonts w:ascii="Arial" w:hAnsi="Arial"/>
      <w:i/>
      <w:sz w:val="22"/>
    </w:rPr>
  </w:style>
  <w:style w:type="paragraph" w:customStyle="1" w:styleId="Figurespace">
    <w:name w:val="Figure space"/>
    <w:basedOn w:val="Box"/>
    <w:rsid w:val="00A23757"/>
    <w:pPr>
      <w:spacing w:before="0" w:line="120" w:lineRule="exact"/>
    </w:pPr>
  </w:style>
  <w:style w:type="paragraph" w:customStyle="1" w:styleId="FooterDraftReport">
    <w:name w:val="FooterDraftReport"/>
    <w:basedOn w:val="Footer"/>
    <w:link w:val="FooterDraftReportChar"/>
    <w:rsid w:val="00A23757"/>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A23757"/>
    <w:rPr>
      <w:sz w:val="24"/>
    </w:rPr>
  </w:style>
  <w:style w:type="character" w:customStyle="1" w:styleId="FooterChar">
    <w:name w:val="Footer Char"/>
    <w:basedOn w:val="BodyTextChar"/>
    <w:link w:val="Footer"/>
    <w:semiHidden/>
    <w:rsid w:val="00A23757"/>
    <w:rPr>
      <w:rFonts w:ascii="Arial" w:hAnsi="Arial"/>
      <w:caps/>
      <w:spacing w:val="-4"/>
      <w:sz w:val="16"/>
    </w:rPr>
  </w:style>
  <w:style w:type="character" w:customStyle="1" w:styleId="FooterDraftReportChar">
    <w:name w:val="FooterDraftReport Char"/>
    <w:basedOn w:val="FooterChar"/>
    <w:link w:val="FooterDraftReport"/>
    <w:rsid w:val="00A23757"/>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237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A23757"/>
    <w:rPr>
      <w:rFonts w:ascii="Arial" w:hAnsi="Arial"/>
      <w:b/>
      <w:sz w:val="26"/>
      <w:szCs w:val="26"/>
      <w:lang w:eastAsia="en-US"/>
    </w:rPr>
  </w:style>
  <w:style w:type="character" w:styleId="Hyperlink">
    <w:name w:val="Hyperlink"/>
    <w:basedOn w:val="DefaultParagraphFont"/>
    <w:uiPriority w:val="99"/>
    <w:rsid w:val="009D4675"/>
    <w:rPr>
      <w:color w:val="78A22F" w:themeColor="hyperlink"/>
      <w:u w:val="single"/>
    </w:rPr>
  </w:style>
  <w:style w:type="character" w:customStyle="1" w:styleId="TableBodyTextChar">
    <w:name w:val="Table Body Text Char"/>
    <w:link w:val="TableBodyText"/>
    <w:rsid w:val="00110613"/>
    <w:rPr>
      <w:rFonts w:ascii="Arial" w:hAnsi="Arial"/>
      <w:sz w:val="18"/>
    </w:rPr>
  </w:style>
  <w:style w:type="character" w:customStyle="1" w:styleId="TableBulletChar">
    <w:name w:val="Table Bullet Char"/>
    <w:link w:val="TableBullet"/>
    <w:rsid w:val="00740F59"/>
    <w:rPr>
      <w:rFonts w:ascii="Arial" w:hAnsi="Arial"/>
      <w:sz w:val="18"/>
    </w:rPr>
  </w:style>
  <w:style w:type="paragraph" w:styleId="CommentSubject">
    <w:name w:val="annotation subject"/>
    <w:basedOn w:val="CommentText"/>
    <w:next w:val="CommentText"/>
    <w:link w:val="CommentSubjectChar"/>
    <w:rsid w:val="000A2452"/>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0A2452"/>
    <w:rPr>
      <w:szCs w:val="24"/>
    </w:rPr>
  </w:style>
  <w:style w:type="character" w:customStyle="1" w:styleId="CommentSubjectChar">
    <w:name w:val="Comment Subject Char"/>
    <w:basedOn w:val="CommentTextChar"/>
    <w:link w:val="CommentSubject"/>
    <w:rsid w:val="000A2452"/>
    <w:rPr>
      <w:b/>
      <w:bCs/>
      <w:szCs w:val="24"/>
    </w:rPr>
  </w:style>
  <w:style w:type="paragraph" w:styleId="Revision">
    <w:name w:val="Revision"/>
    <w:hidden/>
    <w:uiPriority w:val="99"/>
    <w:semiHidden/>
    <w:rsid w:val="00B31B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3462">
      <w:bodyDiv w:val="1"/>
      <w:marLeft w:val="0"/>
      <w:marRight w:val="0"/>
      <w:marTop w:val="0"/>
      <w:marBottom w:val="0"/>
      <w:divBdr>
        <w:top w:val="none" w:sz="0" w:space="0" w:color="auto"/>
        <w:left w:val="none" w:sz="0" w:space="0" w:color="auto"/>
        <w:bottom w:val="none" w:sz="0" w:space="0" w:color="auto"/>
        <w:right w:val="none" w:sz="0" w:space="0" w:color="auto"/>
      </w:divBdr>
    </w:div>
    <w:div w:id="158737542">
      <w:bodyDiv w:val="1"/>
      <w:marLeft w:val="0"/>
      <w:marRight w:val="0"/>
      <w:marTop w:val="0"/>
      <w:marBottom w:val="0"/>
      <w:divBdr>
        <w:top w:val="none" w:sz="0" w:space="0" w:color="auto"/>
        <w:left w:val="none" w:sz="0" w:space="0" w:color="auto"/>
        <w:bottom w:val="none" w:sz="0" w:space="0" w:color="auto"/>
        <w:right w:val="none" w:sz="0" w:space="0" w:color="auto"/>
      </w:divBdr>
    </w:div>
    <w:div w:id="239799291">
      <w:bodyDiv w:val="1"/>
      <w:marLeft w:val="0"/>
      <w:marRight w:val="0"/>
      <w:marTop w:val="0"/>
      <w:marBottom w:val="0"/>
      <w:divBdr>
        <w:top w:val="none" w:sz="0" w:space="0" w:color="auto"/>
        <w:left w:val="none" w:sz="0" w:space="0" w:color="auto"/>
        <w:bottom w:val="none" w:sz="0" w:space="0" w:color="auto"/>
        <w:right w:val="none" w:sz="0" w:space="0" w:color="auto"/>
      </w:divBdr>
    </w:div>
    <w:div w:id="368068865">
      <w:bodyDiv w:val="1"/>
      <w:marLeft w:val="0"/>
      <w:marRight w:val="0"/>
      <w:marTop w:val="0"/>
      <w:marBottom w:val="0"/>
      <w:divBdr>
        <w:top w:val="none" w:sz="0" w:space="0" w:color="auto"/>
        <w:left w:val="none" w:sz="0" w:space="0" w:color="auto"/>
        <w:bottom w:val="none" w:sz="0" w:space="0" w:color="auto"/>
        <w:right w:val="none" w:sz="0" w:space="0" w:color="auto"/>
      </w:divBdr>
    </w:div>
    <w:div w:id="555627952">
      <w:bodyDiv w:val="1"/>
      <w:marLeft w:val="0"/>
      <w:marRight w:val="0"/>
      <w:marTop w:val="0"/>
      <w:marBottom w:val="0"/>
      <w:divBdr>
        <w:top w:val="none" w:sz="0" w:space="0" w:color="auto"/>
        <w:left w:val="none" w:sz="0" w:space="0" w:color="auto"/>
        <w:bottom w:val="none" w:sz="0" w:space="0" w:color="auto"/>
        <w:right w:val="none" w:sz="0" w:space="0" w:color="auto"/>
      </w:divBdr>
    </w:div>
    <w:div w:id="711999910">
      <w:bodyDiv w:val="1"/>
      <w:marLeft w:val="0"/>
      <w:marRight w:val="0"/>
      <w:marTop w:val="0"/>
      <w:marBottom w:val="0"/>
      <w:divBdr>
        <w:top w:val="none" w:sz="0" w:space="0" w:color="auto"/>
        <w:left w:val="none" w:sz="0" w:space="0" w:color="auto"/>
        <w:bottom w:val="none" w:sz="0" w:space="0" w:color="auto"/>
        <w:right w:val="none" w:sz="0" w:space="0" w:color="auto"/>
      </w:divBdr>
    </w:div>
    <w:div w:id="789514967">
      <w:bodyDiv w:val="1"/>
      <w:marLeft w:val="0"/>
      <w:marRight w:val="0"/>
      <w:marTop w:val="0"/>
      <w:marBottom w:val="0"/>
      <w:divBdr>
        <w:top w:val="none" w:sz="0" w:space="0" w:color="auto"/>
        <w:left w:val="none" w:sz="0" w:space="0" w:color="auto"/>
        <w:bottom w:val="none" w:sz="0" w:space="0" w:color="auto"/>
        <w:right w:val="none" w:sz="0" w:space="0" w:color="auto"/>
      </w:divBdr>
    </w:div>
    <w:div w:id="935016483">
      <w:bodyDiv w:val="1"/>
      <w:marLeft w:val="0"/>
      <w:marRight w:val="0"/>
      <w:marTop w:val="0"/>
      <w:marBottom w:val="0"/>
      <w:divBdr>
        <w:top w:val="none" w:sz="0" w:space="0" w:color="auto"/>
        <w:left w:val="none" w:sz="0" w:space="0" w:color="auto"/>
        <w:bottom w:val="none" w:sz="0" w:space="0" w:color="auto"/>
        <w:right w:val="none" w:sz="0" w:space="0" w:color="auto"/>
      </w:divBdr>
    </w:div>
    <w:div w:id="1749229756">
      <w:bodyDiv w:val="1"/>
      <w:marLeft w:val="0"/>
      <w:marRight w:val="0"/>
      <w:marTop w:val="0"/>
      <w:marBottom w:val="0"/>
      <w:divBdr>
        <w:top w:val="none" w:sz="0" w:space="0" w:color="auto"/>
        <w:left w:val="none" w:sz="0" w:space="0" w:color="auto"/>
        <w:bottom w:val="none" w:sz="0" w:space="0" w:color="auto"/>
        <w:right w:val="none" w:sz="0" w:space="0" w:color="auto"/>
      </w:divBdr>
    </w:div>
    <w:div w:id="185083128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7534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eness\AppData\Local\Microsoft\Windows\Temporary%20Internet%20Files\Content.MSO\B82A19CC.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64779-6597-43D0-A624-68A57C7A3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B82A19CC.dotm</Template>
  <TotalTime>1377</TotalTime>
  <Pages>64</Pages>
  <Words>18917</Words>
  <Characters>110466</Characters>
  <Application>Microsoft Office Word</Application>
  <DocSecurity>0</DocSecurity>
  <Lines>920</Lines>
  <Paragraphs>258</Paragraphs>
  <ScaleCrop>false</ScaleCrop>
  <HeadingPairs>
    <vt:vector size="2" baseType="variant">
      <vt:variant>
        <vt:lpstr>Title</vt:lpstr>
      </vt:variant>
      <vt:variant>
        <vt:i4>1</vt:i4>
      </vt:variant>
    </vt:vector>
  </HeadingPairs>
  <TitlesOfParts>
    <vt:vector size="1" baseType="lpstr">
      <vt:lpstr>Chapter 12 Mental health management - Report on Government Services 2016</vt:lpstr>
    </vt:vector>
  </TitlesOfParts>
  <Company>Productivity Commission</Company>
  <LinksUpToDate>false</LinksUpToDate>
  <CharactersWithSpaces>129125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12 Mental health management - Report on Government Services 2016</dc:title>
  <dc:creator>Steering Committee for the Review of Government Service Provision</dc:creator>
  <cp:lastModifiedBy>Frech, Tanya</cp:lastModifiedBy>
  <cp:revision>64</cp:revision>
  <cp:lastPrinted>2016-01-12T02:30:00Z</cp:lastPrinted>
  <dcterms:created xsi:type="dcterms:W3CDTF">2015-11-30T03:07:00Z</dcterms:created>
  <dcterms:modified xsi:type="dcterms:W3CDTF">2016-01-12T02:31:00Z</dcterms:modified>
</cp:coreProperties>
</file>