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B9" w:rsidRPr="00F844C0" w:rsidRDefault="00FE26B9" w:rsidP="00CA444C">
      <w:pPr>
        <w:pStyle w:val="Heading2"/>
        <w:shd w:val="clear" w:color="auto" w:fill="FFFFFF" w:themeFill="background1"/>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712"/>
      <w:bookmarkStart w:id="10" w:name="_Toc372799446"/>
      <w:bookmarkStart w:id="11" w:name="_Toc394667182"/>
      <w:bookmarkStart w:id="12" w:name="_Toc404867664"/>
      <w:bookmarkStart w:id="13" w:name="_Toc435608946"/>
      <w:bookmarkStart w:id="14" w:name="ChapterNumber"/>
      <w:bookmarkStart w:id="15" w:name="_Toc278287349"/>
      <w:r w:rsidRPr="00F844C0">
        <w:t xml:space="preserve">Data quality information — </w:t>
      </w:r>
      <w:bookmarkEnd w:id="0"/>
      <w:bookmarkEnd w:id="1"/>
      <w:bookmarkEnd w:id="2"/>
      <w:bookmarkEnd w:id="3"/>
      <w:bookmarkEnd w:id="4"/>
      <w:bookmarkEnd w:id="5"/>
      <w:bookmarkEnd w:id="6"/>
      <w:bookmarkEnd w:id="7"/>
      <w:bookmarkEnd w:id="8"/>
      <w:bookmarkEnd w:id="9"/>
      <w:bookmarkEnd w:id="10"/>
      <w:r w:rsidR="003076E3" w:rsidRPr="00F844C0">
        <w:t>Community services sector overview F</w:t>
      </w:r>
      <w:bookmarkEnd w:id="11"/>
      <w:bookmarkEnd w:id="12"/>
      <w:bookmarkEnd w:id="13"/>
    </w:p>
    <w:p w:rsidR="003B7AD8" w:rsidRDefault="003B7A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AD8" w:rsidTr="006F6D61">
        <w:tc>
          <w:tcPr>
            <w:tcW w:w="8771" w:type="dxa"/>
            <w:tcBorders>
              <w:top w:val="single" w:sz="6" w:space="0" w:color="78A22F"/>
              <w:left w:val="nil"/>
              <w:bottom w:val="nil"/>
              <w:right w:val="nil"/>
            </w:tcBorders>
            <w:shd w:val="clear" w:color="auto" w:fill="F2F2F2"/>
          </w:tcPr>
          <w:p w:rsidR="003B7AD8" w:rsidRDefault="003B7AD8">
            <w:pPr>
              <w:pStyle w:val="BoxTitle"/>
            </w:pPr>
            <w:r w:rsidRPr="003B7AD8">
              <w:t>Data Quality Information</w:t>
            </w:r>
          </w:p>
        </w:tc>
      </w:tr>
      <w:tr w:rsidR="003B7AD8" w:rsidTr="006F6D61">
        <w:trPr>
          <w:cantSplit/>
        </w:trPr>
        <w:tc>
          <w:tcPr>
            <w:tcW w:w="8771" w:type="dxa"/>
            <w:tcBorders>
              <w:top w:val="nil"/>
              <w:left w:val="nil"/>
              <w:bottom w:val="nil"/>
              <w:right w:val="nil"/>
            </w:tcBorders>
            <w:shd w:val="clear" w:color="auto" w:fill="F2F2F2"/>
          </w:tcPr>
          <w:p w:rsidR="003B7AD8" w:rsidRDefault="003B7AD8" w:rsidP="003B7AD8">
            <w:pPr>
              <w:pStyle w:val="Box"/>
            </w:pPr>
            <w:r>
              <w:t>DQI provide information against the seven Australian Bureau of Statistics (ABS) data quality framework dimensions, for sector</w:t>
            </w:r>
            <w:r w:rsidR="002A0059">
              <w:noBreakHyphen/>
            </w:r>
            <w:r>
              <w:t xml:space="preserve">wide performance indicators in the Community services sector overview. </w:t>
            </w:r>
          </w:p>
          <w:p w:rsidR="003B7AD8" w:rsidRDefault="003B7AD8" w:rsidP="003B7AD8">
            <w:pPr>
              <w:pStyle w:val="Box"/>
            </w:pPr>
            <w:r>
              <w:t>Technical DQI has been supplied or agreed by relevant data providers. Additional Steering Committee commentary does not necessarily reflect the views of data providers.</w:t>
            </w:r>
          </w:p>
        </w:tc>
      </w:tr>
      <w:tr w:rsidR="003B7AD8" w:rsidTr="006F6D61">
        <w:trPr>
          <w:cantSplit/>
        </w:trPr>
        <w:tc>
          <w:tcPr>
            <w:tcW w:w="8771" w:type="dxa"/>
            <w:tcBorders>
              <w:top w:val="nil"/>
              <w:left w:val="nil"/>
              <w:bottom w:val="single" w:sz="6" w:space="0" w:color="78A22F"/>
              <w:right w:val="nil"/>
            </w:tcBorders>
            <w:shd w:val="clear" w:color="auto" w:fill="F2F2F2"/>
          </w:tcPr>
          <w:p w:rsidR="003B7AD8" w:rsidRDefault="003B7AD8">
            <w:pPr>
              <w:pStyle w:val="Box"/>
              <w:spacing w:before="0" w:line="120" w:lineRule="exact"/>
            </w:pPr>
          </w:p>
        </w:tc>
      </w:tr>
      <w:tr w:rsidR="003B7AD8" w:rsidRPr="000863A5" w:rsidTr="006F6D61">
        <w:tc>
          <w:tcPr>
            <w:tcW w:w="8771" w:type="dxa"/>
            <w:tcBorders>
              <w:top w:val="single" w:sz="6" w:space="0" w:color="78A22F"/>
              <w:left w:val="nil"/>
              <w:bottom w:val="nil"/>
              <w:right w:val="nil"/>
            </w:tcBorders>
          </w:tcPr>
          <w:p w:rsidR="003B7AD8" w:rsidRPr="00626D32" w:rsidRDefault="003B7AD8" w:rsidP="006F6D61">
            <w:pPr>
              <w:pStyle w:val="BoxSpaceBelow"/>
            </w:pPr>
          </w:p>
        </w:tc>
      </w:tr>
    </w:tbl>
    <w:p w:rsidR="00420E92" w:rsidRDefault="00FE26B9" w:rsidP="00CA444C">
      <w:pPr>
        <w:pStyle w:val="TOC2"/>
        <w:shd w:val="clear" w:color="auto" w:fill="FFFFFF" w:themeFill="background1"/>
        <w:ind w:left="567" w:hanging="425"/>
        <w:rPr>
          <w:noProof/>
        </w:rPr>
      </w:pPr>
      <w:bookmarkStart w:id="16" w:name="begin"/>
      <w:bookmarkEnd w:id="14"/>
      <w:bookmarkEnd w:id="15"/>
      <w:bookmarkEnd w:id="16"/>
      <w:r w:rsidRPr="00F844C0">
        <w:t>DQI are available for the following performance indicators:</w:t>
      </w:r>
      <w:bookmarkStart w:id="17" w:name="_Toc297018217"/>
      <w:bookmarkStart w:id="18" w:name="_Toc278287351"/>
      <w:bookmarkStart w:id="19" w:name="_Toc282015335"/>
    </w:p>
    <w:p w:rsidR="00420E92" w:rsidRDefault="00420E92">
      <w:pPr>
        <w:pStyle w:val="TOC2"/>
        <w:rPr>
          <w:rFonts w:asciiTheme="minorHAnsi" w:eastAsiaTheme="minorEastAsia" w:hAnsiTheme="minorHAnsi" w:cstheme="minorBidi"/>
          <w:noProof/>
          <w:sz w:val="22"/>
          <w:szCs w:val="22"/>
          <w:lang w:eastAsia="en-AU"/>
        </w:rPr>
      </w:pPr>
      <w:r w:rsidRPr="00381D9E">
        <w:rPr>
          <w:noProof/>
        </w:rPr>
        <w:t>Independence of older people</w:t>
      </w:r>
      <w:r>
        <w:rPr>
          <w:noProof/>
          <w:webHidden/>
        </w:rPr>
        <w:tab/>
      </w:r>
      <w:r w:rsidR="003B1B19">
        <w:rPr>
          <w:noProof/>
          <w:webHidden/>
        </w:rPr>
        <w:t>2</w:t>
      </w:r>
    </w:p>
    <w:p w:rsidR="00420E92" w:rsidRDefault="00420E92">
      <w:pPr>
        <w:pStyle w:val="TOC2"/>
        <w:rPr>
          <w:rFonts w:asciiTheme="minorHAnsi" w:eastAsiaTheme="minorEastAsia" w:hAnsiTheme="minorHAnsi" w:cstheme="minorBidi"/>
          <w:noProof/>
          <w:sz w:val="22"/>
          <w:szCs w:val="22"/>
          <w:lang w:eastAsia="en-AU"/>
        </w:rPr>
      </w:pPr>
      <w:r w:rsidRPr="00381D9E">
        <w:rPr>
          <w:noProof/>
        </w:rPr>
        <w:t>Participation of people with disability and their primary carers in the community</w:t>
      </w:r>
      <w:r>
        <w:rPr>
          <w:noProof/>
          <w:webHidden/>
        </w:rPr>
        <w:tab/>
      </w:r>
      <w:r w:rsidR="003B1B19">
        <w:rPr>
          <w:noProof/>
          <w:webHidden/>
        </w:rPr>
        <w:t>5</w:t>
      </w:r>
    </w:p>
    <w:p w:rsidR="00420E92" w:rsidRDefault="00420E92">
      <w:pPr>
        <w:pStyle w:val="TOC2"/>
        <w:rPr>
          <w:rFonts w:asciiTheme="minorHAnsi" w:eastAsiaTheme="minorEastAsia" w:hAnsiTheme="minorHAnsi" w:cstheme="minorBidi"/>
          <w:noProof/>
          <w:sz w:val="22"/>
          <w:szCs w:val="22"/>
          <w:lang w:eastAsia="en-AU"/>
        </w:rPr>
      </w:pPr>
      <w:r w:rsidRPr="00381D9E">
        <w:rPr>
          <w:noProof/>
        </w:rPr>
        <w:t>Jobless families</w:t>
      </w:r>
      <w:r>
        <w:rPr>
          <w:noProof/>
          <w:webHidden/>
        </w:rPr>
        <w:tab/>
      </w:r>
      <w:r w:rsidR="003B1B19">
        <w:rPr>
          <w:noProof/>
          <w:webHidden/>
        </w:rPr>
        <w:t>8</w:t>
      </w:r>
    </w:p>
    <w:p w:rsidR="00420E92" w:rsidRDefault="00420E92">
      <w:pPr>
        <w:pStyle w:val="TOC2"/>
        <w:rPr>
          <w:rFonts w:asciiTheme="minorHAnsi" w:eastAsiaTheme="minorEastAsia" w:hAnsiTheme="minorHAnsi" w:cstheme="minorBidi"/>
          <w:noProof/>
          <w:sz w:val="22"/>
          <w:szCs w:val="22"/>
          <w:lang w:eastAsia="en-AU"/>
        </w:rPr>
      </w:pPr>
      <w:r w:rsidRPr="00381D9E">
        <w:rPr>
          <w:noProof/>
        </w:rPr>
        <w:t>Improving child development</w:t>
      </w:r>
      <w:r>
        <w:rPr>
          <w:noProof/>
          <w:webHidden/>
        </w:rPr>
        <w:tab/>
      </w:r>
      <w:r w:rsidR="003B1B19">
        <w:rPr>
          <w:noProof/>
          <w:webHidden/>
        </w:rPr>
        <w:t>10</w:t>
      </w:r>
    </w:p>
    <w:bookmarkEnd w:id="17"/>
    <w:bookmarkEnd w:id="18"/>
    <w:bookmarkEnd w:id="19"/>
    <w:p w:rsidR="00342B07" w:rsidRPr="00342B07" w:rsidRDefault="00342B07" w:rsidP="00342B07">
      <w:pPr>
        <w:pStyle w:val="BodyText"/>
      </w:pPr>
      <w:r>
        <w:br w:type="page"/>
      </w:r>
      <w:bookmarkStart w:id="20" w:name="_GoBack"/>
      <w:bookmarkEnd w:id="20"/>
    </w:p>
    <w:p w:rsidR="00A420D4" w:rsidRPr="00F844C0" w:rsidRDefault="00370A5F" w:rsidP="00CA444C">
      <w:pPr>
        <w:pStyle w:val="Heading2nosectionno"/>
        <w:shd w:val="clear" w:color="auto" w:fill="FFFFFF" w:themeFill="background1"/>
        <w:rPr>
          <w:szCs w:val="24"/>
        </w:rPr>
      </w:pPr>
      <w:bookmarkStart w:id="21" w:name="_Toc435608947"/>
      <w:r w:rsidRPr="00F844C0">
        <w:rPr>
          <w:szCs w:val="24"/>
        </w:rPr>
        <w:lastRenderedPageBreak/>
        <w:t>Independence of older people</w:t>
      </w:r>
      <w:bookmarkEnd w:id="21"/>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00" w:type="pct"/>
        <w:tblLayout w:type="fixed"/>
        <w:tblCellMar>
          <w:left w:w="0" w:type="dxa"/>
          <w:right w:w="0" w:type="dxa"/>
        </w:tblCellMar>
        <w:tblLook w:val="0000" w:firstRow="0" w:lastRow="0" w:firstColumn="0" w:lastColumn="0" w:noHBand="0" w:noVBand="0"/>
      </w:tblPr>
      <w:tblGrid>
        <w:gridCol w:w="1749"/>
        <w:gridCol w:w="47"/>
        <w:gridCol w:w="46"/>
        <w:gridCol w:w="6947"/>
      </w:tblGrid>
      <w:tr w:rsidR="00A420D4" w:rsidRPr="00F844C0" w:rsidTr="00BD4765">
        <w:tc>
          <w:tcPr>
            <w:tcW w:w="5000" w:type="pct"/>
            <w:gridSpan w:val="4"/>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4005" w:type="pct"/>
            <w:gridSpan w:val="3"/>
            <w:tcBorders>
              <w:top w:val="nil"/>
              <w:left w:val="nil"/>
              <w:bottom w:val="nil"/>
              <w:right w:val="nil"/>
            </w:tcBorders>
            <w:shd w:val="clear" w:color="auto" w:fill="auto"/>
          </w:tcPr>
          <w:p w:rsidR="00A420D4" w:rsidRPr="00F844C0" w:rsidRDefault="00BA41CB"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4005" w:type="pct"/>
            <w:gridSpan w:val="3"/>
            <w:tcBorders>
              <w:top w:val="nil"/>
              <w:left w:val="nil"/>
              <w:bottom w:val="nil"/>
              <w:right w:val="nil"/>
            </w:tcBorders>
            <w:shd w:val="clear" w:color="auto" w:fill="auto"/>
          </w:tcPr>
          <w:p w:rsidR="00A420D4" w:rsidRPr="00F844C0" w:rsidRDefault="00BA41CB" w:rsidP="00CA444C">
            <w:pPr>
              <w:pStyle w:val="TableBodyText"/>
              <w:keepNext w:val="0"/>
              <w:keepLines w:val="0"/>
              <w:widowControl w:val="0"/>
              <w:shd w:val="clear" w:color="auto" w:fill="FFFFFF" w:themeFill="background1"/>
              <w:jc w:val="both"/>
              <w:rPr>
                <w:szCs w:val="18"/>
              </w:rPr>
            </w:pPr>
            <w:r w:rsidRPr="00F844C0">
              <w:rPr>
                <w:rFonts w:cs="Arial"/>
                <w:szCs w:val="18"/>
              </w:rPr>
              <w:t>Independence of older people and their carers.</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4005" w:type="pct"/>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BA41CB" w:rsidRPr="00F844C0" w:rsidRDefault="00BA41CB"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Independence of older people is defined as the proportion of people living in households aged 65 years or over who participated in social or community activities away from home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BA41CB" w:rsidRPr="00F844C0" w:rsidRDefault="00BA41CB"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The number of people living in households aged 65 years or over who participated in social or community activities away from home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BA41CB" w:rsidRPr="00F844C0" w:rsidRDefault="007846A9"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The number of people aged 65 years or over living in households.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4005" w:type="pct"/>
            <w:gridSpan w:val="3"/>
            <w:tcBorders>
              <w:top w:val="nil"/>
              <w:left w:val="nil"/>
              <w:bottom w:val="nil"/>
              <w:right w:val="nil"/>
            </w:tcBorders>
            <w:shd w:val="clear" w:color="auto" w:fill="auto"/>
          </w:tcPr>
          <w:p w:rsidR="00A420D4" w:rsidRPr="00F844C0" w:rsidRDefault="00C42132" w:rsidP="00CA444C">
            <w:pPr>
              <w:pStyle w:val="TableBodyText"/>
              <w:keepNext w:val="0"/>
              <w:keepLines w:val="0"/>
              <w:widowControl w:val="0"/>
              <w:shd w:val="clear" w:color="auto" w:fill="FFFFFF" w:themeFill="background1"/>
              <w:spacing w:after="60"/>
              <w:jc w:val="both"/>
              <w:rPr>
                <w:rFonts w:cs="Arial"/>
                <w:szCs w:val="18"/>
                <w:u w:val="single"/>
              </w:rPr>
            </w:pPr>
            <w:r>
              <w:rPr>
                <w:rFonts w:cs="Arial"/>
                <w:szCs w:val="18"/>
                <w:u w:val="single"/>
              </w:rPr>
              <w:t>Numerator and denominator</w:t>
            </w:r>
          </w:p>
          <w:p w:rsidR="00A420D4" w:rsidRPr="00F844C0" w:rsidRDefault="00A420D4" w:rsidP="00C42132">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007846A9" w:rsidRPr="00F844C0">
              <w:rPr>
                <w:rFonts w:cs="Arial"/>
                <w:i/>
                <w:szCs w:val="18"/>
              </w:rPr>
              <w:t xml:space="preserve">Survey of Disability, Ageing and Carers 2012, </w:t>
            </w:r>
            <w:r w:rsidR="007846A9" w:rsidRPr="00F844C0">
              <w:rPr>
                <w:rFonts w:cs="Arial"/>
                <w:szCs w:val="18"/>
              </w:rPr>
              <w:t xml:space="preserve">cat. no. </w:t>
            </w:r>
            <w:r w:rsidR="00C70C96" w:rsidRPr="00F844C0">
              <w:rPr>
                <w:rFonts w:cs="Arial"/>
                <w:szCs w:val="18"/>
              </w:rPr>
              <w:t>4430</w:t>
            </w:r>
            <w:r w:rsidR="007846A9" w:rsidRPr="00F844C0">
              <w:rPr>
                <w:rFonts w:cs="Arial"/>
                <w:szCs w:val="18"/>
              </w:rPr>
              <w:t>.0, Canberra</w:t>
            </w:r>
          </w:p>
        </w:tc>
      </w:tr>
      <w:tr w:rsidR="00A420D4" w:rsidRPr="00F844C0" w:rsidTr="00BD4765">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3978" w:type="pct"/>
            <w:gridSpan w:val="2"/>
            <w:tcBorders>
              <w:top w:val="nil"/>
              <w:left w:val="nil"/>
              <w:bottom w:val="nil"/>
              <w:right w:val="nil"/>
            </w:tcBorders>
            <w:shd w:val="clear" w:color="auto" w:fill="auto"/>
          </w:tcPr>
          <w:p w:rsidR="007846A9" w:rsidRPr="00F844C0" w:rsidRDefault="00CA3712" w:rsidP="003569BC">
            <w:pPr>
              <w:pStyle w:val="TableBodyText"/>
              <w:keepNext w:val="0"/>
              <w:keepLines w:val="0"/>
              <w:widowControl w:val="0"/>
              <w:shd w:val="clear" w:color="auto" w:fill="FFFFFF" w:themeFill="background1"/>
              <w:jc w:val="both"/>
              <w:rPr>
                <w:rFonts w:cs="Arial"/>
              </w:rPr>
            </w:pPr>
            <w:r w:rsidRPr="00F844C0">
              <w:rPr>
                <w:rFonts w:cs="Arial"/>
              </w:rPr>
              <w:t xml:space="preserve">The </w:t>
            </w:r>
            <w:r w:rsidR="000441C0" w:rsidRPr="000441C0">
              <w:rPr>
                <w:rFonts w:cs="Arial"/>
                <w:szCs w:val="18"/>
              </w:rPr>
              <w:t>Survey of Disability, Ageing and Carers (</w:t>
            </w:r>
            <w:r w:rsidRPr="000441C0">
              <w:rPr>
                <w:rFonts w:cs="Arial"/>
              </w:rPr>
              <w:t>SDAC</w:t>
            </w:r>
            <w:r w:rsidR="000441C0" w:rsidRPr="000441C0">
              <w:rPr>
                <w:rFonts w:cs="Arial"/>
              </w:rPr>
              <w:t>)</w:t>
            </w:r>
            <w:r w:rsidRPr="000441C0">
              <w:rPr>
                <w:rFonts w:cs="Arial"/>
              </w:rPr>
              <w:t xml:space="preserve"> is</w:t>
            </w:r>
            <w:r w:rsidRPr="00F844C0">
              <w:rPr>
                <w:rFonts w:cs="Arial"/>
              </w:rPr>
              <w:t xml:space="preserve">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007846A9" w:rsidRPr="00F844C0">
              <w:t xml:space="preserve">For information on the institutional environment of the ABS, including the legislative obligations of the ABS, which cover this collection, please see </w:t>
            </w:r>
            <w:r w:rsidR="007846A9" w:rsidRPr="00381D9E">
              <w:t>ABS Institutional Environment</w:t>
            </w:r>
            <w:r w:rsidR="003569BC" w:rsidRPr="00381D9E">
              <w:t>.</w:t>
            </w:r>
          </w:p>
        </w:tc>
      </w:tr>
      <w:tr w:rsidR="00A420D4"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3978" w:type="pct"/>
            <w:gridSpan w:val="2"/>
            <w:tcBorders>
              <w:top w:val="nil"/>
              <w:left w:val="nil"/>
              <w:bottom w:val="nil"/>
              <w:right w:val="nil"/>
            </w:tcBorders>
            <w:shd w:val="clear" w:color="auto" w:fill="auto"/>
          </w:tcPr>
          <w:p w:rsidR="00A420D4" w:rsidRPr="00F844C0" w:rsidRDefault="007846A9" w:rsidP="00CA444C">
            <w:pPr>
              <w:pStyle w:val="TableBodyText"/>
              <w:keepNext w:val="0"/>
              <w:keepLines w:val="0"/>
              <w:widowControl w:val="0"/>
              <w:shd w:val="clear" w:color="auto" w:fill="FFFFFF" w:themeFill="background1"/>
              <w:jc w:val="both"/>
              <w:rPr>
                <w:rFonts w:cs="Arial"/>
              </w:rPr>
            </w:pPr>
            <w:r w:rsidRPr="00F844C0">
              <w:rPr>
                <w:rFonts w:cs="Arial"/>
              </w:rPr>
              <w:t>Independence o</w:t>
            </w:r>
            <w:r w:rsidR="00C70C96" w:rsidRPr="00F844C0">
              <w:rPr>
                <w:rFonts w:cs="Arial"/>
              </w:rPr>
              <w:t xml:space="preserve">f older people </w:t>
            </w:r>
            <w:r w:rsidRPr="00F844C0">
              <w:rPr>
                <w:rFonts w:cs="Arial"/>
              </w:rPr>
              <w:t>is an indicator of governments’ objective to promote the wellbeing and independence of older people</w:t>
            </w:r>
            <w:r w:rsidR="00C70C96" w:rsidRPr="00F844C0">
              <w:rPr>
                <w:rFonts w:cs="Arial"/>
              </w:rPr>
              <w:t>.</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 xml:space="preserve">The SDAC collected information from three target populations: </w:t>
            </w:r>
          </w:p>
          <w:p w:rsidR="00CA3712" w:rsidRPr="00F844C0" w:rsidRDefault="00CA3712" w:rsidP="00CA444C">
            <w:pPr>
              <w:pStyle w:val="TableBullet"/>
              <w:shd w:val="clear" w:color="auto" w:fill="FFFFFF" w:themeFill="background1"/>
            </w:pPr>
            <w:r w:rsidRPr="00F844C0">
              <w:t>people with disability</w:t>
            </w:r>
          </w:p>
          <w:p w:rsidR="00CA3712" w:rsidRPr="00F844C0" w:rsidRDefault="00CA3712" w:rsidP="00CA444C">
            <w:pPr>
              <w:pStyle w:val="TableBullet"/>
              <w:shd w:val="clear" w:color="auto" w:fill="FFFFFF" w:themeFill="background1"/>
            </w:pPr>
            <w:r w:rsidRPr="00F844C0">
              <w:t xml:space="preserve">older people (i.e. those aged 65 years and over) </w:t>
            </w:r>
          </w:p>
          <w:p w:rsidR="00CA3712" w:rsidRPr="00F844C0" w:rsidRDefault="00CA3712" w:rsidP="00CA444C">
            <w:pPr>
              <w:pStyle w:val="TableBullet"/>
              <w:shd w:val="clear" w:color="auto" w:fill="FFFFFF" w:themeFill="background1"/>
            </w:pPr>
            <w:r w:rsidRPr="00F844C0">
              <w:t>people who care for persons with disability, long</w:t>
            </w:r>
            <w:r w:rsidR="002A0059">
              <w:noBreakHyphen/>
            </w:r>
            <w:r w:rsidRPr="00F844C0">
              <w:t xml:space="preserve">term health conditions or older </w:t>
            </w:r>
            <w:r w:rsidR="00DD62D7">
              <w:t>people.</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In 2012, the definition of an older person changed to 65 years and over, from 60 years and over in the 2009 survey. The increase of age for older persons was driven by social factors such as increases in life expectancy and changes to aged care policy and the retirement age.</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 xml:space="preserve">Older people’s social and community activities participated in away from home in the past three months include: </w:t>
            </w:r>
          </w:p>
          <w:p w:rsidR="00CA3712" w:rsidRPr="00F844C0" w:rsidRDefault="00CA3712" w:rsidP="00CA444C">
            <w:pPr>
              <w:pStyle w:val="TableBullet"/>
              <w:shd w:val="clear" w:color="auto" w:fill="FFFFFF" w:themeFill="background1"/>
            </w:pPr>
            <w:r w:rsidRPr="00F844C0">
              <w:t xml:space="preserve">Visited relatives or friends </w:t>
            </w:r>
          </w:p>
          <w:p w:rsidR="00CA3712" w:rsidRPr="00F844C0" w:rsidRDefault="00CA3712" w:rsidP="00CA444C">
            <w:pPr>
              <w:pStyle w:val="TableBullet"/>
              <w:shd w:val="clear" w:color="auto" w:fill="FFFFFF" w:themeFill="background1"/>
            </w:pPr>
            <w:r w:rsidRPr="00F844C0">
              <w:t xml:space="preserve">Went to restaurant or club </w:t>
            </w:r>
          </w:p>
          <w:p w:rsidR="00CA3712" w:rsidRPr="00F844C0" w:rsidRDefault="00CA3712" w:rsidP="00CA444C">
            <w:pPr>
              <w:pStyle w:val="TableBullet"/>
              <w:shd w:val="clear" w:color="auto" w:fill="FFFFFF" w:themeFill="background1"/>
            </w:pPr>
            <w:r w:rsidRPr="00F844C0">
              <w:t xml:space="preserve">Church activities </w:t>
            </w:r>
          </w:p>
          <w:p w:rsidR="00CA3712" w:rsidRPr="00F844C0" w:rsidRDefault="00CA3712" w:rsidP="00CA444C">
            <w:pPr>
              <w:pStyle w:val="TableBullet"/>
              <w:shd w:val="clear" w:color="auto" w:fill="FFFFFF" w:themeFill="background1"/>
            </w:pPr>
            <w:r w:rsidRPr="00F844C0">
              <w:t xml:space="preserve">Voluntary activities </w:t>
            </w:r>
          </w:p>
          <w:p w:rsidR="00CA3712" w:rsidRPr="00F844C0" w:rsidRDefault="00CA3712" w:rsidP="00CA444C">
            <w:pPr>
              <w:pStyle w:val="TableBullet"/>
              <w:shd w:val="clear" w:color="auto" w:fill="FFFFFF" w:themeFill="background1"/>
            </w:pPr>
            <w:r w:rsidRPr="00F844C0">
              <w:t xml:space="preserve">Performing Arts group activity </w:t>
            </w:r>
          </w:p>
          <w:p w:rsidR="00CA3712" w:rsidRPr="00F844C0" w:rsidRDefault="00CA3712" w:rsidP="00CA444C">
            <w:pPr>
              <w:pStyle w:val="TableBullet"/>
              <w:shd w:val="clear" w:color="auto" w:fill="FFFFFF" w:themeFill="background1"/>
            </w:pPr>
            <w:r w:rsidRPr="00F844C0">
              <w:t xml:space="preserve">Art or craft group activity </w:t>
            </w:r>
          </w:p>
          <w:p w:rsidR="00CA3712" w:rsidRPr="00F844C0" w:rsidRDefault="00CA3712" w:rsidP="00CA444C">
            <w:pPr>
              <w:pStyle w:val="TableBullet"/>
              <w:shd w:val="clear" w:color="auto" w:fill="FFFFFF" w:themeFill="background1"/>
            </w:pPr>
            <w:r w:rsidRPr="00F844C0">
              <w:t xml:space="preserve">Other special interest group activities </w:t>
            </w:r>
          </w:p>
          <w:p w:rsidR="00CA3712" w:rsidRPr="00F844C0" w:rsidRDefault="00CA3712" w:rsidP="00CA444C">
            <w:pPr>
              <w:pStyle w:val="TableBullet"/>
              <w:shd w:val="clear" w:color="auto" w:fill="FFFFFF" w:themeFill="background1"/>
            </w:pPr>
            <w:r w:rsidRPr="00F844C0">
              <w:t>Other activity not specified elsewhere.</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Timeliness</w:t>
            </w:r>
            <w:r w:rsidRPr="00F844C0">
              <w:rPr>
                <w:rFonts w:cs="Arial"/>
                <w:lang w:val="en-US" w:eastAsia="en-US"/>
              </w:rPr>
              <w:t xml:space="preserve"> </w:t>
            </w:r>
          </w:p>
        </w:tc>
        <w:tc>
          <w:tcPr>
            <w:tcW w:w="3978" w:type="pct"/>
            <w:gridSpan w:val="2"/>
            <w:tcBorders>
              <w:top w:val="nil"/>
              <w:left w:val="nil"/>
              <w:bottom w:val="nil"/>
              <w:right w:val="nil"/>
            </w:tcBorders>
            <w:shd w:val="clear" w:color="auto" w:fill="auto"/>
          </w:tcPr>
          <w:p w:rsidR="007846A9" w:rsidRPr="00F844C0" w:rsidRDefault="00EB562D" w:rsidP="000441C0">
            <w:pPr>
              <w:pStyle w:val="TableBodyText"/>
              <w:keepNext w:val="0"/>
              <w:keepLines w:val="0"/>
              <w:widowControl w:val="0"/>
              <w:shd w:val="clear" w:color="auto" w:fill="FFFFFF" w:themeFill="background1"/>
              <w:jc w:val="both"/>
              <w:rPr>
                <w:rFonts w:cs="Arial"/>
              </w:rPr>
            </w:pPr>
            <w:r w:rsidRPr="00F844C0">
              <w:rPr>
                <w:rFonts w:cs="Arial"/>
              </w:rPr>
              <w:t>The ABS conducts the SDAC every three years. The most recent SDAC was conducted from August 2012 to March 2013. Results from the 2012 survey were released in November 2013.</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 xml:space="preserve">Accuracy </w:t>
            </w:r>
          </w:p>
        </w:tc>
        <w:tc>
          <w:tcPr>
            <w:tcW w:w="3978" w:type="pct"/>
            <w:gridSpan w:val="2"/>
            <w:tcBorders>
              <w:top w:val="nil"/>
              <w:left w:val="nil"/>
              <w:bottom w:val="nil"/>
              <w:right w:val="nil"/>
            </w:tcBorders>
            <w:shd w:val="clear" w:color="auto" w:fill="auto"/>
          </w:tcPr>
          <w:p w:rsidR="00EB562D" w:rsidRPr="00F844C0" w:rsidRDefault="00C932C4" w:rsidP="00CA444C">
            <w:pPr>
              <w:pStyle w:val="TableBodyText"/>
              <w:shd w:val="clear" w:color="auto" w:fill="FFFFFF" w:themeFill="background1"/>
              <w:jc w:val="both"/>
            </w:pPr>
            <w:r w:rsidRPr="00F844C0">
              <w:t>Sample and r</w:t>
            </w:r>
            <w:r w:rsidR="00EB562D" w:rsidRPr="00F844C0">
              <w:t xml:space="preserve">esponse </w:t>
            </w:r>
            <w:r w:rsidRPr="00F844C0">
              <w:t>r</w:t>
            </w:r>
            <w:r w:rsidR="00EB562D" w:rsidRPr="00F844C0">
              <w:t xml:space="preserve">ate: The SDAC is conducted in all </w:t>
            </w:r>
            <w:r w:rsidRPr="00F844C0">
              <w:t>s</w:t>
            </w:r>
            <w:r w:rsidR="00EB562D" w:rsidRPr="00F844C0">
              <w:t xml:space="preserve">tates and </w:t>
            </w:r>
            <w:r w:rsidRPr="00F844C0">
              <w:t>t</w:t>
            </w:r>
            <w:r w:rsidR="00EB562D" w:rsidRPr="00F844C0">
              <w:t>erritories, excluding very remote areas, and includes people in both private and non</w:t>
            </w:r>
            <w:r w:rsidR="002A0059">
              <w:noBreakHyphen/>
            </w:r>
            <w:r w:rsidR="00EB562D" w:rsidRPr="00F844C0">
              <w:t>private dwellings (including cared</w:t>
            </w:r>
            <w:r w:rsidR="002A0059">
              <w:noBreakHyphen/>
            </w:r>
            <w:r w:rsidR="00EB562D" w:rsidRPr="00F844C0">
              <w:t xml:space="preserve">accommodation establishments). Dwellings in each </w:t>
            </w:r>
            <w:r w:rsidR="000441C0">
              <w:t>S</w:t>
            </w:r>
            <w:r w:rsidR="00EB562D" w:rsidRPr="00F844C0">
              <w:t xml:space="preserve">tate and </w:t>
            </w:r>
            <w:r w:rsidR="000441C0">
              <w:t>T</w:t>
            </w:r>
            <w:r w:rsidR="00EB562D" w:rsidRPr="00F844C0">
              <w:t>erritory were selected at random using a multi</w:t>
            </w:r>
            <w:r w:rsidR="002A0059">
              <w:noBreakHyphen/>
            </w:r>
            <w:r w:rsidR="00EB562D" w:rsidRPr="00F844C0">
              <w:t>stage area sample. After sample loss, the 2012 SDAC sample included approximat</w:t>
            </w:r>
            <w:r w:rsidR="006C19B2" w:rsidRPr="00F844C0">
              <w:t>ely 27</w:t>
            </w:r>
            <w:r w:rsidRPr="00F844C0">
              <w:t> </w:t>
            </w:r>
            <w:r w:rsidR="006C19B2" w:rsidRPr="00F844C0">
              <w:t>400 private dwellings, 1</w:t>
            </w:r>
            <w:r w:rsidR="00EB562D" w:rsidRPr="00F844C0">
              <w:t>000 health establishments and 500 other non</w:t>
            </w:r>
            <w:r w:rsidR="002A0059">
              <w:noBreakHyphen/>
            </w:r>
            <w:r w:rsidR="00EB562D" w:rsidRPr="00F844C0">
              <w:t>private dwellings. The 2012 SDAC response rate for private dwellings was 89.8</w:t>
            </w:r>
            <w:r w:rsidR="000441C0">
              <w:t> </w:t>
            </w:r>
            <w:r w:rsidRPr="00F844C0">
              <w:t>per</w:t>
            </w:r>
            <w:r w:rsidR="000441C0">
              <w:t> </w:t>
            </w:r>
            <w:r w:rsidRPr="00F844C0">
              <w:t>cent</w:t>
            </w:r>
            <w:r w:rsidR="00EB562D" w:rsidRPr="00F844C0">
              <w:t>, and for establishments was 87.5</w:t>
            </w:r>
            <w:r w:rsidR="000441C0">
              <w:t> </w:t>
            </w:r>
            <w:r w:rsidR="006C19B2" w:rsidRPr="00F844C0">
              <w:t>per</w:t>
            </w:r>
            <w:r w:rsidR="000441C0">
              <w:t> </w:t>
            </w:r>
            <w:r w:rsidR="006C19B2" w:rsidRPr="00F844C0">
              <w:t>cent</w:t>
            </w:r>
            <w:r w:rsidR="00EB562D" w:rsidRPr="00F844C0">
              <w:t>. SDAC data are weighted to account for non</w:t>
            </w:r>
            <w:r w:rsidRPr="00F844C0">
              <w:noBreakHyphen/>
            </w:r>
            <w:r w:rsidR="00EB562D" w:rsidRPr="00F844C0">
              <w:t xml:space="preserve">response. </w:t>
            </w:r>
          </w:p>
          <w:p w:rsidR="00EB562D" w:rsidRPr="00F844C0" w:rsidRDefault="00EB562D" w:rsidP="00CA444C">
            <w:pPr>
              <w:pStyle w:val="TableBodyText"/>
              <w:shd w:val="clear" w:color="auto" w:fill="FFFFFF" w:themeFill="background1"/>
              <w:jc w:val="both"/>
              <w:rPr>
                <w:szCs w:val="18"/>
              </w:rPr>
            </w:pPr>
            <w:r w:rsidRPr="00F844C0">
              <w:t xml:space="preserve">Scope and </w:t>
            </w:r>
            <w:r w:rsidRPr="00F844C0">
              <w:rPr>
                <w:szCs w:val="18"/>
              </w:rPr>
              <w:t xml:space="preserve">coverage: Information on the scope and coverage for SDAC is available in the publication </w:t>
            </w:r>
            <w:r w:rsidRPr="00381D9E">
              <w:rPr>
                <w:rFonts w:cs="Arial"/>
                <w:szCs w:val="18"/>
              </w:rPr>
              <w:t>Explanatory Notes</w:t>
            </w:r>
            <w:r w:rsidRPr="00F844C0">
              <w:rPr>
                <w:szCs w:val="18"/>
              </w:rPr>
              <w:t> (paragraphs 7 and</w:t>
            </w:r>
            <w:r w:rsidR="00FE77C0">
              <w:rPr>
                <w:szCs w:val="18"/>
              </w:rPr>
              <w:t xml:space="preserve"> 8</w:t>
            </w:r>
            <w:r w:rsidRPr="00F844C0">
              <w:rPr>
                <w:szCs w:val="18"/>
              </w:rPr>
              <w:t xml:space="preserve">) for the </w:t>
            </w:r>
            <w:r w:rsidRPr="00381D9E">
              <w:rPr>
                <w:rFonts w:cs="Arial"/>
                <w:szCs w:val="18"/>
              </w:rPr>
              <w:t>Disability, Ageing and Carers, Australia: Summary of Findings, 2012</w:t>
            </w:r>
            <w:r w:rsidRPr="00F844C0">
              <w:rPr>
                <w:szCs w:val="18"/>
              </w:rPr>
              <w:t xml:space="preserve">. The SDAC excludes very remote areas and discrete Aboriginal and Torres Strait Islander communities from its estimates. This exclusion has minimal impact on Australia level estimates if making inferences about the population at large. However, the </w:t>
            </w:r>
            <w:r w:rsidR="000441C0">
              <w:rPr>
                <w:szCs w:val="18"/>
              </w:rPr>
              <w:t>NT</w:t>
            </w:r>
            <w:r w:rsidRPr="00F844C0">
              <w:rPr>
                <w:szCs w:val="18"/>
              </w:rPr>
              <w:t xml:space="preserve"> has a significant proportion of the population in very remote areas and/or Indigenous </w:t>
            </w:r>
            <w:r w:rsidR="00C932C4" w:rsidRPr="00F844C0">
              <w:rPr>
                <w:szCs w:val="18"/>
              </w:rPr>
              <w:t>c</w:t>
            </w:r>
            <w:r w:rsidRPr="00F844C0">
              <w:rPr>
                <w:szCs w:val="18"/>
              </w:rPr>
              <w:t>ommunities. As such</w:t>
            </w:r>
            <w:r w:rsidR="00C932C4" w:rsidRPr="00F844C0">
              <w:rPr>
                <w:szCs w:val="18"/>
              </w:rPr>
              <w:t>,</w:t>
            </w:r>
            <w:r w:rsidRPr="00F844C0">
              <w:rPr>
                <w:szCs w:val="18"/>
              </w:rPr>
              <w:t xml:space="preserve"> it is important to interpret </w:t>
            </w:r>
            <w:r w:rsidR="000441C0">
              <w:rPr>
                <w:szCs w:val="18"/>
              </w:rPr>
              <w:t>NT</w:t>
            </w:r>
            <w:r w:rsidRPr="00F844C0">
              <w:rPr>
                <w:szCs w:val="18"/>
              </w:rPr>
              <w:t xml:space="preserve"> estimates in light of these areas being excluded from scope. </w:t>
            </w:r>
          </w:p>
          <w:p w:rsidR="00EB562D" w:rsidRPr="00F844C0" w:rsidRDefault="00EB562D" w:rsidP="00CA444C">
            <w:pPr>
              <w:pStyle w:val="TableBodyText"/>
              <w:shd w:val="clear" w:color="auto" w:fill="FFFFFF" w:themeFill="background1"/>
              <w:jc w:val="both"/>
              <w:rPr>
                <w:szCs w:val="18"/>
              </w:rPr>
            </w:pPr>
            <w:r w:rsidRPr="00F844C0">
              <w:rPr>
                <w:szCs w:val="18"/>
              </w:rPr>
              <w:t>For the first time in 2012, SDAC has excluded a small number of private dwellings that are in Collection Districts where the population contribution of an Indigenous Community exceeds 75</w:t>
            </w:r>
            <w:r w:rsidR="000441C0">
              <w:rPr>
                <w:szCs w:val="18"/>
              </w:rPr>
              <w:t> </w:t>
            </w:r>
            <w:r w:rsidR="006C19B2" w:rsidRPr="00F844C0">
              <w:rPr>
                <w:szCs w:val="18"/>
              </w:rPr>
              <w:t>per</w:t>
            </w:r>
            <w:r w:rsidR="000441C0">
              <w:rPr>
                <w:szCs w:val="18"/>
              </w:rPr>
              <w:t> </w:t>
            </w:r>
            <w:r w:rsidR="006C19B2" w:rsidRPr="00F844C0">
              <w:rPr>
                <w:szCs w:val="18"/>
              </w:rPr>
              <w:t>cent</w:t>
            </w:r>
            <w:r w:rsidRPr="00F844C0">
              <w:rPr>
                <w:szCs w:val="18"/>
              </w:rPr>
              <w:t xml:space="preserve"> within the CD, but the private dwellings themselves are outside the community. This exclusion has minimal impact on Australia level estimates. However, it could have an impact on </w:t>
            </w:r>
            <w:r w:rsidR="000441C0">
              <w:rPr>
                <w:szCs w:val="18"/>
              </w:rPr>
              <w:t>NT</w:t>
            </w:r>
            <w:r w:rsidRPr="00F844C0">
              <w:rPr>
                <w:szCs w:val="18"/>
              </w:rPr>
              <w:t xml:space="preserve"> estimates, as around 10</w:t>
            </w:r>
            <w:r w:rsidR="006C19B2" w:rsidRPr="00F844C0">
              <w:rPr>
                <w:szCs w:val="18"/>
              </w:rPr>
              <w:t xml:space="preserve"> per cent</w:t>
            </w:r>
            <w:r w:rsidRPr="00F844C0">
              <w:rPr>
                <w:szCs w:val="18"/>
              </w:rPr>
              <w:t xml:space="preserve"> of </w:t>
            </w:r>
            <w:r w:rsidR="000441C0">
              <w:rPr>
                <w:szCs w:val="18"/>
              </w:rPr>
              <w:t>NT</w:t>
            </w:r>
            <w:r w:rsidRPr="00F844C0">
              <w:rPr>
                <w:szCs w:val="18"/>
              </w:rPr>
              <w:t xml:space="preserve"> households that were previously included are now excluded. As such, estimates in the 2012 publication are not comparable to the 2009 survey. Estimates displayed as proportions are comparable with previous surveys. The SDAC also excludes people in gaols and correctional institutions. </w:t>
            </w:r>
          </w:p>
          <w:p w:rsidR="00E261D6" w:rsidRPr="00F844C0" w:rsidRDefault="00EB562D" w:rsidP="00FE77C0">
            <w:pPr>
              <w:pStyle w:val="TableBodyText"/>
              <w:shd w:val="clear" w:color="auto" w:fill="FFFFFF" w:themeFill="background1"/>
              <w:jc w:val="both"/>
            </w:pPr>
            <w:r w:rsidRPr="00F844C0">
              <w:rPr>
                <w:szCs w:val="18"/>
              </w:rPr>
              <w:t xml:space="preserve">Reliability of Estimates: All sample surveys are subject to sampling and </w:t>
            </w:r>
            <w:r w:rsidR="000441C0">
              <w:rPr>
                <w:szCs w:val="18"/>
              </w:rPr>
              <w:br/>
            </w:r>
            <w:r w:rsidRPr="00F844C0">
              <w:rPr>
                <w:szCs w:val="18"/>
              </w:rPr>
              <w:t>non</w:t>
            </w:r>
            <w:r w:rsidR="002A0059">
              <w:rPr>
                <w:szCs w:val="18"/>
              </w:rPr>
              <w:noBreakHyphen/>
            </w:r>
            <w:r w:rsidRPr="00F844C0">
              <w:rPr>
                <w:szCs w:val="18"/>
              </w:rPr>
              <w:t xml:space="preserve">sampling error. For more information relating to the </w:t>
            </w:r>
            <w:r w:rsidR="00C932C4" w:rsidRPr="00F844C0">
              <w:rPr>
                <w:szCs w:val="18"/>
              </w:rPr>
              <w:t>SDAC</w:t>
            </w:r>
            <w:r w:rsidRPr="00F844C0">
              <w:rPr>
                <w:szCs w:val="18"/>
              </w:rPr>
              <w:t xml:space="preserve">, refer to the publication </w:t>
            </w:r>
            <w:r w:rsidRPr="00381D9E">
              <w:rPr>
                <w:rFonts w:cs="Arial"/>
                <w:szCs w:val="18"/>
              </w:rPr>
              <w:t>Disability, Ageing and Carers, Australia: Summary of Findings, 2012</w:t>
            </w:r>
            <w:r w:rsidRPr="00F844C0">
              <w:rPr>
                <w:color w:val="FF0000"/>
                <w:szCs w:val="18"/>
              </w:rPr>
              <w:t xml:space="preserve">. </w:t>
            </w:r>
            <w:r w:rsidRPr="00F844C0">
              <w:rPr>
                <w:rFonts w:cs="Arial"/>
              </w:rPr>
              <w:t xml:space="preserve">The </w:t>
            </w:r>
            <w:r w:rsidR="000441C0">
              <w:rPr>
                <w:rFonts w:cs="Arial"/>
              </w:rPr>
              <w:t>Report</w:t>
            </w:r>
            <w:r w:rsidRPr="00F844C0">
              <w:rPr>
                <w:rFonts w:cs="Arial"/>
              </w:rPr>
              <w:t xml:space="preserve"> includes information on the Relative Standard Errors (RSEs) of estimates published from the SDAC. RSEs indicate the reliability of an estimate. RSEs show the size of the error relative to the estimate. The higher the RSE, the less confidence there is that the estimate from the sample is close to the true value of the population mean. </w:t>
            </w:r>
            <w:r w:rsidRPr="00F844C0">
              <w:rPr>
                <w:szCs w:val="18"/>
              </w:rPr>
              <w:t>Where an estimate or proportion has a RSE between 25</w:t>
            </w:r>
            <w:r w:rsidR="00FE77C0">
              <w:rPr>
                <w:szCs w:val="18"/>
              </w:rPr>
              <w:t> </w:t>
            </w:r>
            <w:r w:rsidRPr="00F844C0">
              <w:rPr>
                <w:szCs w:val="18"/>
              </w:rPr>
              <w:t>per cent and 50 per cent, the</w:t>
            </w:r>
            <w:r w:rsidRPr="00F844C0">
              <w:t xml:space="preserv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3978"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sourced from the same collection</w:t>
            </w:r>
            <w:r w:rsidR="006C19B2" w:rsidRPr="00F844C0">
              <w:rPr>
                <w:rFonts w:cs="Arial"/>
              </w:rPr>
              <w:t>, with the numerator being a subset of the denominator population</w:t>
            </w:r>
            <w:r w:rsidRPr="00F844C0">
              <w:rPr>
                <w:rFonts w:cs="Arial"/>
              </w:rPr>
              <w:t>.</w:t>
            </w:r>
          </w:p>
        </w:tc>
      </w:tr>
      <w:tr w:rsidR="00C70C96"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C70C96" w:rsidRPr="00F844C0" w:rsidRDefault="00C70C96"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3978" w:type="pct"/>
            <w:gridSpan w:val="2"/>
            <w:tcBorders>
              <w:top w:val="nil"/>
              <w:left w:val="nil"/>
              <w:bottom w:val="nil"/>
              <w:right w:val="nil"/>
            </w:tcBorders>
            <w:shd w:val="clear" w:color="auto" w:fill="auto"/>
          </w:tcPr>
          <w:p w:rsidR="00C70C96" w:rsidRPr="00F844C0" w:rsidRDefault="00C70C96" w:rsidP="00CA444C">
            <w:pPr>
              <w:pStyle w:val="TableBodyText"/>
              <w:keepNext w:val="0"/>
              <w:keepLines w:val="0"/>
              <w:widowControl w:val="0"/>
              <w:shd w:val="clear" w:color="auto" w:fill="FFFFFF" w:themeFill="background1"/>
              <w:jc w:val="both"/>
              <w:rPr>
                <w:rFonts w:cs="Arial"/>
              </w:rPr>
            </w:pPr>
            <w:r w:rsidRPr="00F844C0">
              <w:rPr>
                <w:rFonts w:cs="Arial"/>
              </w:rPr>
              <w:t>A range of data drawn from th</w:t>
            </w:r>
            <w:r w:rsidR="00FE77C0">
              <w:rPr>
                <w:rFonts w:cs="Arial"/>
              </w:rPr>
              <w:t xml:space="preserve">e SDAC are available on the ABS. </w:t>
            </w:r>
            <w:r w:rsidRPr="00F844C0">
              <w:rPr>
                <w:rFonts w:cs="Arial"/>
              </w:rPr>
              <w:t>Additional data can be accessed from the ABS. Costs are associated with additional data and vary depending on the type of request.</w:t>
            </w:r>
          </w:p>
          <w:p w:rsidR="006C19B2" w:rsidRPr="00F844C0" w:rsidRDefault="006C19B2" w:rsidP="00CA444C">
            <w:pPr>
              <w:pStyle w:val="TableBodyText"/>
              <w:shd w:val="clear" w:color="auto" w:fill="FFFFFF" w:themeFill="background1"/>
              <w:jc w:val="both"/>
              <w:rPr>
                <w:szCs w:val="18"/>
              </w:rPr>
            </w:pPr>
            <w:r w:rsidRPr="00F844C0">
              <w:rPr>
                <w:szCs w:val="18"/>
              </w:rPr>
              <w:t xml:space="preserve">See </w:t>
            </w:r>
            <w:r w:rsidRPr="00381D9E">
              <w:rPr>
                <w:rFonts w:cs="Arial"/>
                <w:szCs w:val="18"/>
              </w:rPr>
              <w:t>Disability, Ageing and Carers, Australia: Summary of Findings, 2012</w:t>
            </w:r>
            <w:r w:rsidRPr="00F844C0">
              <w:rPr>
                <w:szCs w:val="18"/>
              </w:rPr>
              <w:t xml:space="preserve"> for an overview of results from the SDAC. Results from the 2012 SDAC are also available in the form of: </w:t>
            </w:r>
          </w:p>
          <w:p w:rsidR="006C19B2" w:rsidRPr="00F844C0" w:rsidRDefault="006C19B2"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0441C0">
              <w:t>S</w:t>
            </w:r>
            <w:r w:rsidRPr="00F844C0">
              <w:t xml:space="preserve">tate and </w:t>
            </w:r>
            <w:r w:rsidR="000441C0">
              <w:t>T</w:t>
            </w:r>
            <w:r w:rsidRPr="00F844C0">
              <w:t>erritory (subject to standard error and confidentiality constraints and excluding time series tables)</w:t>
            </w:r>
          </w:p>
          <w:p w:rsidR="006C19B2" w:rsidRPr="00F844C0" w:rsidRDefault="006C19B2" w:rsidP="00CA444C">
            <w:pPr>
              <w:pStyle w:val="TableBullet"/>
              <w:shd w:val="clear" w:color="auto" w:fill="FFFFFF" w:themeFill="background1"/>
            </w:pPr>
            <w:r w:rsidRPr="00F844C0">
              <w:t xml:space="preserve">a number of supplementary themed publications </w:t>
            </w:r>
          </w:p>
          <w:p w:rsidR="006C19B2" w:rsidRPr="00F844C0" w:rsidRDefault="006C19B2" w:rsidP="00CA444C">
            <w:pPr>
              <w:pStyle w:val="TableBullet"/>
              <w:shd w:val="clear" w:color="auto" w:fill="FFFFFF" w:themeFill="background1"/>
            </w:pPr>
            <w:r w:rsidRPr="00F844C0">
              <w:t xml:space="preserve">a Confidentialised Unit Record File (CURF) </w:t>
            </w:r>
          </w:p>
          <w:p w:rsidR="006C19B2" w:rsidRPr="00F844C0" w:rsidRDefault="006C19B2" w:rsidP="00CA444C">
            <w:pPr>
              <w:pStyle w:val="TableBullet"/>
              <w:shd w:val="clear" w:color="auto" w:fill="FFFFFF" w:themeFill="background1"/>
            </w:pPr>
            <w:r w:rsidRPr="00F844C0">
              <w:t>a TableBuilder product.</w:t>
            </w:r>
          </w:p>
          <w:p w:rsidR="006C19B2" w:rsidRPr="00F844C0" w:rsidRDefault="006C19B2" w:rsidP="00CA444C">
            <w:pPr>
              <w:pStyle w:val="TableBodyText"/>
              <w:shd w:val="clear" w:color="auto" w:fill="FFFFFF" w:themeFill="background1"/>
              <w:jc w:val="both"/>
            </w:pPr>
            <w:r w:rsidRPr="00F844C0">
              <w:rPr>
                <w:szCs w:val="18"/>
              </w:rPr>
              <w:t xml:space="preserve">Other information from the survey is available on request – see further information in the </w:t>
            </w:r>
            <w:r w:rsidRPr="00381D9E">
              <w:rPr>
                <w:rFonts w:cs="Arial"/>
                <w:szCs w:val="18"/>
              </w:rPr>
              <w:t>Quality Declarations - Summary</w:t>
            </w:r>
            <w:r w:rsidRPr="00F844C0">
              <w:rPr>
                <w:szCs w:val="18"/>
              </w:rPr>
              <w:t>.</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3978" w:type="pct"/>
            <w:gridSpan w:val="2"/>
            <w:tcBorders>
              <w:top w:val="nil"/>
              <w:left w:val="nil"/>
              <w:bottom w:val="nil"/>
              <w:right w:val="nil"/>
            </w:tcBorders>
            <w:shd w:val="clear" w:color="auto" w:fill="auto"/>
          </w:tcPr>
          <w:p w:rsidR="00DE7B36" w:rsidRPr="00F844C0" w:rsidRDefault="00DE7B36" w:rsidP="00CA444C">
            <w:pPr>
              <w:pStyle w:val="TableBodyText"/>
              <w:shd w:val="clear" w:color="auto" w:fill="FFFFFF" w:themeFill="background1"/>
              <w:jc w:val="both"/>
            </w:pPr>
            <w:r w:rsidRPr="00F844C0">
              <w:t xml:space="preserve">Confidentiality: To minimise the risk of identifying individuals in aggregate statistics, in the 2012 SDAC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 </w:t>
            </w:r>
          </w:p>
          <w:p w:rsidR="00DE7B36" w:rsidRPr="00F844C0" w:rsidRDefault="00DE7B36" w:rsidP="00CA444C">
            <w:pPr>
              <w:pStyle w:val="TableBodyText"/>
              <w:shd w:val="clear" w:color="auto" w:fill="FFFFFF" w:themeFill="background1"/>
              <w:jc w:val="both"/>
            </w:pPr>
            <w:r w:rsidRPr="00F844C0">
              <w:t xml:space="preserve">After perturbation, a given published cell value will be consistent across all tables. </w:t>
            </w:r>
            <w:r w:rsidRPr="00F844C0">
              <w:lastRenderedPageBreak/>
              <w:t xml:space="preserve">However, adding up cell values to derive a total will not necessarily give the same result as published totals. The introduction of perturbation in publications ensures that these statistics are consistent with statistics released via services such as Table Builder. </w:t>
            </w:r>
          </w:p>
          <w:p w:rsidR="00DE7B36" w:rsidRPr="00F844C0" w:rsidRDefault="00DE7B36" w:rsidP="00CA444C">
            <w:pPr>
              <w:pStyle w:val="TableBodyText"/>
              <w:shd w:val="clear" w:color="auto" w:fill="FFFFFF" w:themeFill="background1"/>
              <w:jc w:val="both"/>
            </w:pPr>
            <w:r w:rsidRPr="00F844C0">
              <w:rPr>
                <w:szCs w:val="18"/>
              </w:rPr>
              <w:t xml:space="preserve">Information is available to aid interpretation of SDAC data in the publication, </w:t>
            </w:r>
            <w:r w:rsidRPr="00381D9E">
              <w:rPr>
                <w:rFonts w:cs="Arial"/>
                <w:szCs w:val="18"/>
              </w:rPr>
              <w:t>Disability, Ageing and Carers, Australia: Summary of Findings, 2012</w:t>
            </w:r>
            <w:r w:rsidRPr="00F844C0">
              <w:rPr>
                <w:color w:val="FF0000"/>
                <w:szCs w:val="18"/>
              </w:rPr>
              <w:t xml:space="preserve">, </w:t>
            </w:r>
            <w:r w:rsidRPr="00F844C0">
              <w:rPr>
                <w:szCs w:val="18"/>
              </w:rPr>
              <w:t xml:space="preserve">on the ABS website. Detailed Explanatory Notes, a Technical note on Data Quality, and a Glossary are also included to provide information on the terminology, </w:t>
            </w:r>
            <w:r w:rsidRPr="00F844C0">
              <w:t>classifications and other technical aspects associated with these statistics.</w:t>
            </w:r>
          </w:p>
          <w:p w:rsidR="007846A9" w:rsidRPr="00F844C0" w:rsidRDefault="007846A9" w:rsidP="003569BC">
            <w:pPr>
              <w:pStyle w:val="TableBodyText"/>
              <w:keepNext w:val="0"/>
              <w:keepLines w:val="0"/>
              <w:widowControl w:val="0"/>
              <w:shd w:val="clear" w:color="auto" w:fill="FFFFFF" w:themeFill="background1"/>
              <w:jc w:val="both"/>
              <w:rPr>
                <w:rFonts w:cs="Arial"/>
              </w:rPr>
            </w:pPr>
            <w:r w:rsidRPr="00F844C0">
              <w:rPr>
                <w:rFonts w:cs="Arial"/>
              </w:rPr>
              <w:t xml:space="preserve">Further technical details are available </w:t>
            </w:r>
            <w:r w:rsidR="003569BC">
              <w:rPr>
                <w:rFonts w:cs="Arial"/>
              </w:rPr>
              <w:t xml:space="preserve">on the </w:t>
            </w:r>
            <w:r w:rsidR="003569BC" w:rsidRPr="00381D9E">
              <w:rPr>
                <w:rFonts w:cs="Arial"/>
              </w:rPr>
              <w:t>ABS website.</w:t>
            </w:r>
            <w:r w:rsidR="003569BC">
              <w:rPr>
                <w:rFonts w:cs="Arial"/>
              </w:rPr>
              <w:t xml:space="preserve"> </w:t>
            </w:r>
          </w:p>
        </w:tc>
      </w:tr>
      <w:tr w:rsidR="007846A9" w:rsidRPr="00F844C0" w:rsidTr="00BD4765">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jc w:val="both"/>
              <w:rPr>
                <w:b/>
              </w:rPr>
            </w:pPr>
            <w:r w:rsidRPr="00F844C0">
              <w:rPr>
                <w:b/>
                <w:u w:val="single"/>
              </w:rPr>
              <w:lastRenderedPageBreak/>
              <w:t>Data Gaps/Issues Analysis</w:t>
            </w:r>
          </w:p>
        </w:tc>
      </w:tr>
      <w:tr w:rsidR="007846A9" w:rsidRPr="00F844C0" w:rsidTr="00416BA2">
        <w:tblPrEx>
          <w:tblCellMar>
            <w:left w:w="108" w:type="dxa"/>
            <w:right w:w="108" w:type="dxa"/>
          </w:tblCellMar>
          <w:tblLook w:val="01E0" w:firstRow="1" w:lastRow="1" w:firstColumn="1" w:lastColumn="1" w:noHBand="0" w:noVBand="0"/>
        </w:tblPrEx>
        <w:tc>
          <w:tcPr>
            <w:tcW w:w="1048" w:type="pct"/>
            <w:gridSpan w:val="3"/>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3952" w:type="pct"/>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DE7B36" w:rsidRPr="00F844C0" w:rsidRDefault="00CA5932" w:rsidP="00CA444C">
            <w:pPr>
              <w:pStyle w:val="TableBullet"/>
              <w:shd w:val="clear" w:color="auto" w:fill="FFFFFF" w:themeFill="background1"/>
              <w:jc w:val="both"/>
            </w:pPr>
            <w:r w:rsidRPr="00F844C0">
              <w:t>data reported for this indicator are considered comparable (subject to caveats) across jurisdictions for 2012</w:t>
            </w:r>
            <w:r w:rsidR="00DE7B36" w:rsidRPr="00F844C0">
              <w:t>. Note, however, that:</w:t>
            </w:r>
          </w:p>
          <w:p w:rsidR="00DE7B36" w:rsidRPr="00F844C0" w:rsidRDefault="00DE7B36" w:rsidP="00FD3F15">
            <w:pPr>
              <w:pStyle w:val="TableBullet"/>
              <w:numPr>
                <w:ilvl w:val="0"/>
                <w:numId w:val="26"/>
              </w:numPr>
              <w:shd w:val="clear" w:color="auto" w:fill="FFFFFF" w:themeFill="background1"/>
              <w:ind w:left="602" w:hanging="425"/>
            </w:pPr>
            <w:r w:rsidRPr="00F844C0">
              <w:t>in the SDAC 2012, the definition of an older person changed to 65 years and over, from 60 years</w:t>
            </w:r>
          </w:p>
          <w:p w:rsidR="00DE7B36" w:rsidRPr="00F844C0" w:rsidRDefault="00DE7B36" w:rsidP="00FD3F15">
            <w:pPr>
              <w:pStyle w:val="TableBullet"/>
              <w:numPr>
                <w:ilvl w:val="0"/>
                <w:numId w:val="26"/>
              </w:numPr>
              <w:shd w:val="clear" w:color="auto" w:fill="FFFFFF" w:themeFill="background1"/>
              <w:ind w:left="602" w:hanging="425"/>
            </w:pPr>
            <w:r w:rsidRPr="00F844C0">
              <w:t>social and community participation related data items were updated in SDAC 2012, although, social and community activities participated in away from home in the past three months for older people were not affected.</w:t>
            </w:r>
          </w:p>
          <w:p w:rsidR="00CA5932" w:rsidRPr="00F844C0" w:rsidRDefault="00CA5932" w:rsidP="00CA444C">
            <w:pPr>
              <w:pStyle w:val="TableBullet"/>
              <w:shd w:val="clear" w:color="auto" w:fill="FFFFFF" w:themeFill="background1"/>
              <w:jc w:val="both"/>
            </w:pPr>
            <w:r w:rsidRPr="00F844C0">
              <w:t>data reported for this indicator are complete for the current reporting period.</w:t>
            </w:r>
          </w:p>
        </w:tc>
      </w:tr>
    </w:tbl>
    <w:p w:rsidR="00F844C0" w:rsidRPr="00F844C0" w:rsidRDefault="00F844C0" w:rsidP="00CA444C">
      <w:pPr>
        <w:pStyle w:val="BodyText"/>
        <w:shd w:val="clear" w:color="auto" w:fill="FFFFFF" w:themeFill="background1"/>
        <w:rPr>
          <w:rFonts w:ascii="Arial" w:hAnsi="Arial"/>
          <w:sz w:val="26"/>
        </w:rPr>
      </w:pPr>
      <w:r w:rsidRPr="00F844C0">
        <w:br w:type="page"/>
      </w:r>
    </w:p>
    <w:p w:rsidR="00A420D4" w:rsidRPr="00F844C0" w:rsidRDefault="00370A5F" w:rsidP="00CA444C">
      <w:pPr>
        <w:pStyle w:val="Heading2nosectionno"/>
        <w:shd w:val="clear" w:color="auto" w:fill="FFFFFF" w:themeFill="background1"/>
        <w:rPr>
          <w:szCs w:val="24"/>
        </w:rPr>
      </w:pPr>
      <w:bookmarkStart w:id="22" w:name="_Toc435608948"/>
      <w:r w:rsidRPr="00F844C0">
        <w:rPr>
          <w:szCs w:val="24"/>
        </w:rPr>
        <w:lastRenderedPageBreak/>
        <w:t xml:space="preserve">Participation of people with disability and their </w:t>
      </w:r>
      <w:r w:rsidR="00801E14" w:rsidRPr="00F844C0">
        <w:rPr>
          <w:szCs w:val="24"/>
        </w:rPr>
        <w:t xml:space="preserve">primary </w:t>
      </w:r>
      <w:r w:rsidRPr="00F844C0">
        <w:rPr>
          <w:szCs w:val="24"/>
        </w:rPr>
        <w:t>carers in the community</w:t>
      </w:r>
      <w:bookmarkEnd w:id="22"/>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0" w:type="auto"/>
        <w:tblLayout w:type="fixed"/>
        <w:tblCellMar>
          <w:left w:w="0" w:type="dxa"/>
          <w:right w:w="0" w:type="dxa"/>
        </w:tblCellMar>
        <w:tblLook w:val="0000" w:firstRow="0" w:lastRow="0" w:firstColumn="0" w:lastColumn="0" w:noHBand="0" w:noVBand="0"/>
      </w:tblPr>
      <w:tblGrid>
        <w:gridCol w:w="1560"/>
        <w:gridCol w:w="141"/>
        <w:gridCol w:w="7088"/>
      </w:tblGrid>
      <w:tr w:rsidR="00A420D4" w:rsidRPr="00F844C0" w:rsidTr="00BD4765">
        <w:tc>
          <w:tcPr>
            <w:tcW w:w="8789" w:type="dxa"/>
            <w:gridSpan w:val="3"/>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7229" w:type="dxa"/>
            <w:gridSpan w:val="2"/>
            <w:tcBorders>
              <w:top w:val="nil"/>
              <w:left w:val="nil"/>
              <w:bottom w:val="nil"/>
              <w:right w:val="nil"/>
            </w:tcBorders>
            <w:shd w:val="clear" w:color="auto" w:fill="auto"/>
          </w:tcPr>
          <w:p w:rsidR="00A420D4" w:rsidRPr="00F844C0" w:rsidRDefault="00082179"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7229" w:type="dxa"/>
            <w:gridSpan w:val="2"/>
            <w:tcBorders>
              <w:top w:val="nil"/>
              <w:left w:val="nil"/>
              <w:bottom w:val="nil"/>
              <w:right w:val="nil"/>
            </w:tcBorders>
            <w:shd w:val="clear" w:color="auto" w:fill="auto"/>
          </w:tcPr>
          <w:p w:rsidR="00A420D4" w:rsidRPr="00F844C0" w:rsidRDefault="00082179" w:rsidP="00CA444C">
            <w:pPr>
              <w:pStyle w:val="TableBodyText"/>
              <w:keepNext w:val="0"/>
              <w:keepLines w:val="0"/>
              <w:widowControl w:val="0"/>
              <w:shd w:val="clear" w:color="auto" w:fill="FFFFFF" w:themeFill="background1"/>
              <w:jc w:val="both"/>
              <w:rPr>
                <w:szCs w:val="18"/>
              </w:rPr>
            </w:pPr>
            <w:r w:rsidRPr="00F844C0">
              <w:rPr>
                <w:szCs w:val="18"/>
              </w:rPr>
              <w:t>Participation of people with disability and their</w:t>
            </w:r>
            <w:r w:rsidR="00801E14" w:rsidRPr="00F844C0">
              <w:rPr>
                <w:szCs w:val="18"/>
              </w:rPr>
              <w:t xml:space="preserve"> primary</w:t>
            </w:r>
            <w:r w:rsidRPr="00F844C0">
              <w:rPr>
                <w:szCs w:val="18"/>
              </w:rPr>
              <w:t xml:space="preserve"> carers in the community.</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Measure</w:t>
            </w:r>
            <w:r w:rsidR="00DF14F7">
              <w:rPr>
                <w:rFonts w:cs="Arial"/>
                <w:b/>
              </w:rPr>
              <w:t>s</w:t>
            </w:r>
            <w:r w:rsidRPr="00F844C0">
              <w:rPr>
                <w:rFonts w:cs="Arial"/>
                <w:b/>
              </w:rPr>
              <w:t xml:space="preserve"> (computation)</w:t>
            </w:r>
          </w:p>
        </w:tc>
        <w:tc>
          <w:tcPr>
            <w:tcW w:w="7229" w:type="dxa"/>
            <w:gridSpan w:val="2"/>
            <w:tcBorders>
              <w:top w:val="nil"/>
              <w:left w:val="nil"/>
              <w:bottom w:val="nil"/>
              <w:right w:val="nil"/>
            </w:tcBorders>
            <w:shd w:val="clear" w:color="auto" w:fill="auto"/>
          </w:tcPr>
          <w:p w:rsidR="00A420D4" w:rsidRPr="00F844C0" w:rsidRDefault="00A420D4" w:rsidP="00FD3F15">
            <w:pPr>
              <w:pStyle w:val="TableBodyText"/>
              <w:keepNext w:val="0"/>
              <w:keepLines w:val="0"/>
              <w:widowControl w:val="0"/>
              <w:spacing w:after="0"/>
              <w:jc w:val="both"/>
              <w:rPr>
                <w:rFonts w:cs="Arial"/>
                <w:szCs w:val="18"/>
                <w:u w:val="single"/>
              </w:rPr>
            </w:pPr>
            <w:r w:rsidRPr="00F844C0">
              <w:rPr>
                <w:rFonts w:cs="Arial"/>
                <w:szCs w:val="18"/>
                <w:u w:val="single"/>
              </w:rPr>
              <w:t>Definition:</w:t>
            </w:r>
          </w:p>
          <w:p w:rsidR="00082179" w:rsidRPr="00F844C0" w:rsidRDefault="002345CE" w:rsidP="00FD3F15">
            <w:pPr>
              <w:pStyle w:val="TableBodyText"/>
              <w:keepNext w:val="0"/>
              <w:keepLines w:val="0"/>
              <w:widowControl w:val="0"/>
              <w:spacing w:after="0"/>
              <w:jc w:val="both"/>
              <w:rPr>
                <w:rFonts w:cs="Arial"/>
                <w:szCs w:val="18"/>
              </w:rPr>
            </w:pPr>
            <w:r w:rsidRPr="00F844C0">
              <w:rPr>
                <w:rFonts w:cs="Arial"/>
                <w:szCs w:val="18"/>
              </w:rPr>
              <w:t xml:space="preserve">Participation of people with disability and their </w:t>
            </w:r>
            <w:r w:rsidR="00801E14" w:rsidRPr="00F844C0">
              <w:rPr>
                <w:rFonts w:cs="Arial"/>
                <w:szCs w:val="18"/>
              </w:rPr>
              <w:t xml:space="preserve">primary </w:t>
            </w:r>
            <w:r w:rsidRPr="00F844C0">
              <w:rPr>
                <w:rFonts w:cs="Arial"/>
                <w:szCs w:val="18"/>
              </w:rPr>
              <w:t>carers in the community is defined by two measures:</w:t>
            </w:r>
          </w:p>
          <w:p w:rsidR="002345CE" w:rsidRPr="00F844C0" w:rsidRDefault="00CF48CA" w:rsidP="00FD3F15">
            <w:pPr>
              <w:pStyle w:val="TableBullet"/>
              <w:numPr>
                <w:ilvl w:val="0"/>
                <w:numId w:val="0"/>
              </w:numPr>
              <w:spacing w:after="0"/>
            </w:pPr>
            <w:r w:rsidRPr="00F844C0">
              <w:t xml:space="preserve">1. </w:t>
            </w:r>
            <w:r w:rsidR="00DF14F7">
              <w:t>T</w:t>
            </w:r>
            <w:r w:rsidR="00DF14F7" w:rsidRPr="00DF14F7">
              <w:t>he proportion of people with disability and their carers who participated in social or community activities (away from home or at home) in the past 3 months</w:t>
            </w:r>
          </w:p>
          <w:p w:rsidR="002345CE" w:rsidRPr="00F844C0" w:rsidRDefault="00CF48CA" w:rsidP="00FD3F15">
            <w:pPr>
              <w:pStyle w:val="TableBullet"/>
              <w:numPr>
                <w:ilvl w:val="0"/>
                <w:numId w:val="0"/>
              </w:numPr>
              <w:spacing w:after="0"/>
            </w:pPr>
            <w:r w:rsidRPr="00F844C0">
              <w:t xml:space="preserve">2. </w:t>
            </w:r>
            <w:r w:rsidR="00DF14F7">
              <w:t>T</w:t>
            </w:r>
            <w:r w:rsidR="002345CE" w:rsidRPr="00F844C0">
              <w:t xml:space="preserve">he proportion of primary carers who participated in </w:t>
            </w:r>
            <w:r w:rsidR="00CA737C" w:rsidRPr="00F844C0">
              <w:t xml:space="preserve">social or community activities </w:t>
            </w:r>
            <w:r w:rsidR="00DF14F7">
              <w:t>(</w:t>
            </w:r>
            <w:r w:rsidR="002345CE" w:rsidRPr="00F844C0">
              <w:t>away from home</w:t>
            </w:r>
            <w:r w:rsidR="00CA737C" w:rsidRPr="00F844C0">
              <w:t xml:space="preserve"> </w:t>
            </w:r>
            <w:r w:rsidR="00C42132">
              <w:t>or at home</w:t>
            </w:r>
            <w:r w:rsidR="00DF14F7">
              <w:t>)</w:t>
            </w:r>
            <w:r w:rsidR="002345CE" w:rsidRPr="00F844C0">
              <w:t xml:space="preserve"> </w:t>
            </w:r>
            <w:r w:rsidR="00C42132">
              <w:t>without the recipient of care</w:t>
            </w:r>
            <w:r w:rsidR="00C42132" w:rsidRPr="00F844C0">
              <w:t xml:space="preserve"> </w:t>
            </w:r>
            <w:r w:rsidR="002345CE" w:rsidRPr="00F844C0">
              <w:t>in the past three months.</w:t>
            </w:r>
          </w:p>
          <w:p w:rsidR="00A420D4" w:rsidRPr="00F844C0" w:rsidRDefault="00A420D4" w:rsidP="00FD3F15">
            <w:pPr>
              <w:widowControl w:val="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C70C96" w:rsidRPr="00F844C0" w:rsidRDefault="00575BC0" w:rsidP="00FD3F15">
            <w:pPr>
              <w:pStyle w:val="TableBullet"/>
              <w:numPr>
                <w:ilvl w:val="0"/>
                <w:numId w:val="0"/>
              </w:numPr>
              <w:spacing w:after="0"/>
            </w:pPr>
            <w:r w:rsidRPr="00F844C0">
              <w:t>1. T</w:t>
            </w:r>
            <w:r w:rsidR="00CF48CA" w:rsidRPr="00F844C0">
              <w:t xml:space="preserve">he number of people with disability </w:t>
            </w:r>
            <w:r w:rsidR="00DF14F7">
              <w:t xml:space="preserve">and their carers </w:t>
            </w:r>
            <w:r w:rsidR="00CF48CA" w:rsidRPr="00F844C0">
              <w:t>who participated in social or community activities (away from home or at home) in the past three months</w:t>
            </w:r>
          </w:p>
          <w:p w:rsidR="00CF48CA" w:rsidRPr="00F844C0" w:rsidRDefault="00575BC0" w:rsidP="00FD3F15">
            <w:pPr>
              <w:pStyle w:val="TableBullet"/>
              <w:numPr>
                <w:ilvl w:val="0"/>
                <w:numId w:val="0"/>
              </w:numPr>
              <w:spacing w:after="0"/>
            </w:pPr>
            <w:r w:rsidRPr="00F844C0">
              <w:t>2. T</w:t>
            </w:r>
            <w:r w:rsidR="00CF48CA" w:rsidRPr="00F844C0">
              <w:t xml:space="preserve">he number of primary carers who participated in social or community activities </w:t>
            </w:r>
            <w:r w:rsidR="00DF14F7">
              <w:t>(</w:t>
            </w:r>
            <w:r w:rsidR="00CF48CA" w:rsidRPr="00F844C0">
              <w:t xml:space="preserve">away from home </w:t>
            </w:r>
            <w:r w:rsidR="00C42132">
              <w:t>or at home</w:t>
            </w:r>
            <w:r w:rsidR="00DF14F7">
              <w:t>)</w:t>
            </w:r>
            <w:r w:rsidR="00C42132">
              <w:t xml:space="preserve"> without the recipient of care</w:t>
            </w:r>
            <w:r w:rsidR="00CF48CA" w:rsidRPr="00F844C0">
              <w:t xml:space="preserve"> in the past three months.</w:t>
            </w:r>
          </w:p>
          <w:p w:rsidR="00A420D4" w:rsidRPr="00F844C0" w:rsidRDefault="00E17BA0" w:rsidP="00FD3F15">
            <w:pPr>
              <w:widowControl w:val="0"/>
              <w:jc w:val="both"/>
              <w:rPr>
                <w:rFonts w:ascii="Arial" w:hAnsi="Arial" w:cs="Arial"/>
                <w:sz w:val="18"/>
                <w:szCs w:val="18"/>
                <w:u w:val="single"/>
              </w:rPr>
            </w:pPr>
            <w:r>
              <w:rPr>
                <w:rFonts w:ascii="Arial" w:hAnsi="Arial" w:cs="Arial"/>
                <w:sz w:val="18"/>
                <w:szCs w:val="18"/>
                <w:u w:val="single"/>
              </w:rPr>
              <w:t>Denominators:</w:t>
            </w:r>
          </w:p>
          <w:p w:rsidR="00C70C96" w:rsidRPr="00F844C0" w:rsidRDefault="00575BC0" w:rsidP="00FD3F15">
            <w:pPr>
              <w:pStyle w:val="TableBullet"/>
              <w:numPr>
                <w:ilvl w:val="0"/>
                <w:numId w:val="0"/>
              </w:numPr>
              <w:shd w:val="clear" w:color="auto" w:fill="FFFFFF" w:themeFill="background1"/>
              <w:spacing w:after="0"/>
            </w:pPr>
            <w:r w:rsidRPr="00F844C0">
              <w:t>1. Total number of people with disability who participated in the survey</w:t>
            </w:r>
          </w:p>
          <w:p w:rsidR="00575BC0" w:rsidRPr="00F844C0" w:rsidRDefault="00575BC0" w:rsidP="00FD3F15">
            <w:pPr>
              <w:pStyle w:val="TableBullet"/>
              <w:numPr>
                <w:ilvl w:val="0"/>
                <w:numId w:val="0"/>
              </w:numPr>
              <w:shd w:val="clear" w:color="auto" w:fill="FFFFFF" w:themeFill="background1"/>
              <w:spacing w:after="0"/>
            </w:pPr>
            <w:r w:rsidRPr="00F844C0">
              <w:t>2. Total number of primary carers</w:t>
            </w:r>
            <w:r w:rsidR="00DF14F7">
              <w:t xml:space="preserve"> who participated in the survey</w:t>
            </w:r>
          </w:p>
          <w:p w:rsidR="00A420D4" w:rsidRPr="00F844C0" w:rsidRDefault="00A420D4" w:rsidP="00FD3F15">
            <w:pPr>
              <w:widowControl w:val="0"/>
              <w:shd w:val="clear" w:color="auto" w:fill="FFFFFF" w:themeFill="background1"/>
              <w:jc w:val="both"/>
              <w:rPr>
                <w:rFonts w:ascii="Arial" w:hAnsi="Arial" w:cs="Arial"/>
                <w:sz w:val="18"/>
                <w:szCs w:val="18"/>
                <w:u w:val="single"/>
              </w:rPr>
            </w:pPr>
            <w:r w:rsidRPr="00F844C0">
              <w:rPr>
                <w:rFonts w:ascii="Arial" w:hAnsi="Arial" w:cs="Arial"/>
                <w:sz w:val="18"/>
                <w:szCs w:val="18"/>
                <w:u w:val="single"/>
              </w:rPr>
              <w:t>Computation:</w:t>
            </w:r>
          </w:p>
          <w:p w:rsidR="00DF14F7" w:rsidRPr="00F844C0" w:rsidRDefault="00A420D4" w:rsidP="00FD3F15">
            <w:pPr>
              <w:pStyle w:val="TableBodyText"/>
              <w:keepNext w:val="0"/>
              <w:keepLines w:val="0"/>
              <w:widowControl w:val="0"/>
              <w:shd w:val="clear" w:color="auto" w:fill="FFFFFF" w:themeFill="background1"/>
              <w:spacing w:after="0"/>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7229" w:type="dxa"/>
            <w:gridSpan w:val="2"/>
            <w:tcBorders>
              <w:top w:val="nil"/>
              <w:left w:val="nil"/>
              <w:bottom w:val="nil"/>
              <w:right w:val="nil"/>
            </w:tcBorders>
            <w:shd w:val="clear" w:color="auto" w:fill="auto"/>
          </w:tcPr>
          <w:p w:rsidR="00DF14F7" w:rsidRDefault="00DF14F7" w:rsidP="00CA444C">
            <w:pPr>
              <w:pStyle w:val="TableBodyText"/>
              <w:keepNext w:val="0"/>
              <w:keepLines w:val="0"/>
              <w:widowControl w:val="0"/>
              <w:shd w:val="clear" w:color="auto" w:fill="FFFFFF" w:themeFill="background1"/>
              <w:spacing w:after="60"/>
              <w:jc w:val="both"/>
              <w:rPr>
                <w:rFonts w:cs="Arial"/>
                <w:szCs w:val="18"/>
                <w:u w:val="single"/>
              </w:rPr>
            </w:pPr>
            <w:r>
              <w:t>Data are not available for reporting against the first measure.</w:t>
            </w:r>
          </w:p>
          <w:p w:rsidR="00A420D4" w:rsidRPr="00F844C0" w:rsidRDefault="00DF14F7" w:rsidP="00CA444C">
            <w:pPr>
              <w:pStyle w:val="TableBodyText"/>
              <w:keepNext w:val="0"/>
              <w:keepLines w:val="0"/>
              <w:widowControl w:val="0"/>
              <w:shd w:val="clear" w:color="auto" w:fill="FFFFFF" w:themeFill="background1"/>
              <w:spacing w:after="60"/>
              <w:jc w:val="both"/>
              <w:rPr>
                <w:rFonts w:cs="Arial"/>
                <w:szCs w:val="18"/>
                <w:u w:val="single"/>
              </w:rPr>
            </w:pPr>
            <w:r>
              <w:rPr>
                <w:rFonts w:cs="Arial"/>
                <w:szCs w:val="18"/>
                <w:u w:val="single"/>
              </w:rPr>
              <w:t xml:space="preserve">Numerator </w:t>
            </w:r>
            <w:r w:rsidR="00E17BA0">
              <w:rPr>
                <w:rFonts w:cs="Arial"/>
                <w:szCs w:val="18"/>
                <w:u w:val="single"/>
              </w:rPr>
              <w:t>and Denominator</w:t>
            </w:r>
          </w:p>
          <w:p w:rsidR="00A420D4" w:rsidRPr="00F844C0" w:rsidRDefault="00CA737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 xml:space="preserve">Survey of Disability, Ageing and Carers 2012, </w:t>
            </w:r>
            <w:r w:rsidRPr="00F844C0">
              <w:rPr>
                <w:rFonts w:cs="Arial"/>
                <w:szCs w:val="18"/>
              </w:rPr>
              <w:t xml:space="preserve">cat. no. </w:t>
            </w:r>
            <w:r w:rsidR="00C70C96" w:rsidRPr="00F844C0">
              <w:rPr>
                <w:rFonts w:cs="Arial"/>
                <w:szCs w:val="18"/>
              </w:rPr>
              <w:t>4430</w:t>
            </w:r>
            <w:r w:rsidRPr="00F844C0">
              <w:rPr>
                <w:rFonts w:cs="Arial"/>
                <w:szCs w:val="18"/>
              </w:rPr>
              <w:t>.0, Canberra</w:t>
            </w:r>
          </w:p>
        </w:tc>
      </w:tr>
      <w:tr w:rsidR="00A420D4" w:rsidRPr="00F844C0" w:rsidTr="00BD4765">
        <w:tblPrEx>
          <w:tblCellMar>
            <w:left w:w="108" w:type="dxa"/>
            <w:right w:w="108" w:type="dxa"/>
          </w:tblCellMar>
          <w:tblLook w:val="01E0" w:firstRow="1" w:lastRow="1" w:firstColumn="1" w:lastColumn="1" w:noHBand="0" w:noVBand="0"/>
        </w:tblPrEx>
        <w:tc>
          <w:tcPr>
            <w:tcW w:w="8789" w:type="dxa"/>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CA737C"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CA737C" w:rsidRPr="00F844C0" w:rsidRDefault="00CA737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7088" w:type="dxa"/>
            <w:tcBorders>
              <w:top w:val="nil"/>
              <w:left w:val="nil"/>
              <w:bottom w:val="nil"/>
              <w:right w:val="nil"/>
            </w:tcBorders>
            <w:shd w:val="clear" w:color="auto" w:fill="auto"/>
          </w:tcPr>
          <w:p w:rsidR="00CA737C" w:rsidRPr="00F844C0" w:rsidRDefault="004363AE" w:rsidP="000441C0">
            <w:pPr>
              <w:pStyle w:val="TableBodyText"/>
              <w:keepNext w:val="0"/>
              <w:keepLines w:val="0"/>
              <w:widowControl w:val="0"/>
              <w:shd w:val="clear" w:color="auto" w:fill="FFFFFF" w:themeFill="background1"/>
              <w:jc w:val="both"/>
              <w:rPr>
                <w:rFonts w:cs="Arial"/>
              </w:rPr>
            </w:pPr>
            <w:r w:rsidRPr="00F844C0">
              <w:rPr>
                <w:rFonts w:cs="Arial"/>
              </w:rPr>
              <w:t xml:space="preserve">The SDAC is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Pr="00F844C0">
              <w:t xml:space="preserve">For information on the institutional environment of the ABS, including the legislative obligations of the ABS, which cover this collection, please see </w:t>
            </w:r>
            <w:r w:rsidR="00FD3F15" w:rsidRPr="00381D9E">
              <w:t>ABS Institutional Environment.</w:t>
            </w:r>
          </w:p>
        </w:tc>
      </w:tr>
      <w:tr w:rsidR="00A420D4"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7088" w:type="dxa"/>
            <w:tcBorders>
              <w:top w:val="nil"/>
              <w:left w:val="nil"/>
              <w:bottom w:val="nil"/>
              <w:right w:val="nil"/>
            </w:tcBorders>
            <w:shd w:val="clear" w:color="auto" w:fill="auto"/>
          </w:tcPr>
          <w:p w:rsidR="00A420D4" w:rsidRPr="00F844C0" w:rsidRDefault="00CA737C" w:rsidP="00CA444C">
            <w:pPr>
              <w:pStyle w:val="TableBodyText"/>
              <w:keepNext w:val="0"/>
              <w:keepLines w:val="0"/>
              <w:widowControl w:val="0"/>
              <w:shd w:val="clear" w:color="auto" w:fill="FFFFFF" w:themeFill="background1"/>
              <w:jc w:val="both"/>
              <w:rPr>
                <w:rFonts w:cs="Arial"/>
              </w:rPr>
            </w:pPr>
            <w:r w:rsidRPr="00F844C0">
              <w:rPr>
                <w:rFonts w:cs="Arial"/>
              </w:rPr>
              <w:t>Participation of people with disability an</w:t>
            </w:r>
            <w:r w:rsidR="00C70C96" w:rsidRPr="00F844C0">
              <w:rPr>
                <w:rFonts w:cs="Arial"/>
              </w:rPr>
              <w:t xml:space="preserve">d their </w:t>
            </w:r>
            <w:r w:rsidR="00C932C4" w:rsidRPr="00F844C0">
              <w:rPr>
                <w:rFonts w:cs="Arial"/>
              </w:rPr>
              <w:t xml:space="preserve">primary </w:t>
            </w:r>
            <w:r w:rsidR="00C70C96" w:rsidRPr="00F844C0">
              <w:rPr>
                <w:rFonts w:cs="Arial"/>
              </w:rPr>
              <w:t>carers in the community</w:t>
            </w:r>
            <w:r w:rsidRPr="00F844C0">
              <w:rPr>
                <w:rFonts w:cs="Arial"/>
              </w:rPr>
              <w:t xml:space="preserve"> is an indicator of governments’ objective for people with disability and their carers to participate as valued members of the community and have an enhanced quality of life.</w:t>
            </w:r>
          </w:p>
          <w:p w:rsidR="004363AE" w:rsidRPr="00F844C0" w:rsidRDefault="004363AE" w:rsidP="00CA444C">
            <w:pPr>
              <w:pStyle w:val="TableBodyText"/>
              <w:shd w:val="clear" w:color="auto" w:fill="FFFFFF" w:themeFill="background1"/>
              <w:jc w:val="both"/>
            </w:pPr>
            <w:r w:rsidRPr="00F844C0">
              <w:t>The SDAC contains the most comprehensive and accurate measure of disability produced by the ABS, using 125 questions to collect information on any conditions people may have, whether these conditions cause restrictions, and the nature and severity of any restrictions.</w:t>
            </w:r>
          </w:p>
          <w:p w:rsidR="004363AE" w:rsidRPr="00F844C0" w:rsidRDefault="004363AE" w:rsidP="00CA444C">
            <w:pPr>
              <w:pStyle w:val="TableBodyText"/>
              <w:shd w:val="clear" w:color="auto" w:fill="FFFFFF" w:themeFill="background1"/>
              <w:jc w:val="both"/>
            </w:pPr>
            <w:r w:rsidRPr="00F844C0">
              <w:t>A range of social and community participation data are collected in the SDAC from persons aged 5 years and over with disability. Persons who reported one or more instances of social or community participation in the specified timeframes are included in this indicator.</w:t>
            </w:r>
          </w:p>
          <w:p w:rsidR="004363AE" w:rsidRPr="00F844C0" w:rsidRDefault="004363AE" w:rsidP="00CA444C">
            <w:pPr>
              <w:pStyle w:val="TableBodyText"/>
              <w:shd w:val="clear" w:color="auto" w:fill="FFFFFF" w:themeFill="background1"/>
              <w:jc w:val="both"/>
            </w:pPr>
            <w:r w:rsidRPr="00F844C0">
              <w:t xml:space="preserve">Social and community activities participated in </w:t>
            </w:r>
            <w:r w:rsidRPr="00F844C0">
              <w:rPr>
                <w:bCs/>
              </w:rPr>
              <w:t>at home</w:t>
            </w:r>
            <w:r w:rsidR="00C932C4" w:rsidRPr="00F844C0">
              <w:rPr>
                <w:bCs/>
              </w:rPr>
              <w:t xml:space="preserve"> </w:t>
            </w:r>
            <w:r w:rsidRPr="00F844C0">
              <w:t xml:space="preserve">in the past three months include: </w:t>
            </w:r>
          </w:p>
          <w:p w:rsidR="004363AE" w:rsidRPr="00F844C0" w:rsidRDefault="004363AE" w:rsidP="00CA444C">
            <w:pPr>
              <w:pStyle w:val="TableBullet"/>
              <w:shd w:val="clear" w:color="auto" w:fill="FFFFFF" w:themeFill="background1"/>
            </w:pPr>
            <w:r w:rsidRPr="00F844C0">
              <w:t xml:space="preserve">Visits from family or friends </w:t>
            </w:r>
          </w:p>
          <w:p w:rsidR="004363AE" w:rsidRPr="00F844C0" w:rsidRDefault="004363AE" w:rsidP="00CA444C">
            <w:pPr>
              <w:pStyle w:val="TableBullet"/>
              <w:shd w:val="clear" w:color="auto" w:fill="FFFFFF" w:themeFill="background1"/>
            </w:pPr>
            <w:r w:rsidRPr="00F844C0">
              <w:t xml:space="preserve">Telephone calls with family or friends </w:t>
            </w:r>
          </w:p>
          <w:p w:rsidR="004363AE" w:rsidRPr="00F844C0" w:rsidRDefault="004363AE" w:rsidP="00CA444C">
            <w:pPr>
              <w:pStyle w:val="TableBullet"/>
              <w:shd w:val="clear" w:color="auto" w:fill="FFFFFF" w:themeFill="background1"/>
            </w:pPr>
            <w:r w:rsidRPr="00F844C0">
              <w:t xml:space="preserve">Art or craftwork (for or with other people) </w:t>
            </w:r>
          </w:p>
          <w:p w:rsidR="004363AE" w:rsidRPr="00F844C0" w:rsidRDefault="004363AE" w:rsidP="00CA444C">
            <w:pPr>
              <w:pStyle w:val="TableBullet"/>
              <w:shd w:val="clear" w:color="auto" w:fill="FFFFFF" w:themeFill="background1"/>
            </w:pPr>
            <w:r w:rsidRPr="00F844C0">
              <w:t xml:space="preserve">Church or special community activities </w:t>
            </w:r>
          </w:p>
          <w:p w:rsidR="004363AE" w:rsidRPr="00F844C0" w:rsidRDefault="004363AE" w:rsidP="00CA444C">
            <w:pPr>
              <w:pStyle w:val="TableBullet"/>
              <w:shd w:val="clear" w:color="auto" w:fill="FFFFFF" w:themeFill="background1"/>
            </w:pPr>
            <w:r w:rsidRPr="00F844C0">
              <w:t>Voluntary work (including advocacy)</w:t>
            </w:r>
            <w:r w:rsidR="00DD62D7">
              <w:t>.</w:t>
            </w:r>
          </w:p>
          <w:p w:rsidR="004363AE" w:rsidRPr="00F844C0" w:rsidRDefault="004363AE" w:rsidP="00CA444C">
            <w:pPr>
              <w:pStyle w:val="TableBodyText"/>
              <w:shd w:val="clear" w:color="auto" w:fill="FFFFFF" w:themeFill="background1"/>
              <w:jc w:val="both"/>
              <w:rPr>
                <w:rFonts w:eastAsiaTheme="minorHAnsi"/>
              </w:rPr>
            </w:pPr>
            <w:r w:rsidRPr="00F844C0">
              <w:t xml:space="preserve">Social and community activities participated in </w:t>
            </w:r>
            <w:r w:rsidRPr="00F844C0">
              <w:rPr>
                <w:bCs/>
              </w:rPr>
              <w:t>away from home</w:t>
            </w:r>
            <w:r w:rsidR="00C932C4" w:rsidRPr="00F844C0">
              <w:t xml:space="preserve"> </w:t>
            </w:r>
            <w:r w:rsidRPr="00F844C0">
              <w:t xml:space="preserve">in the past three </w:t>
            </w:r>
            <w:r w:rsidRPr="00F844C0">
              <w:lastRenderedPageBreak/>
              <w:t xml:space="preserve">months include: </w:t>
            </w:r>
          </w:p>
          <w:p w:rsidR="004363AE" w:rsidRPr="00F844C0" w:rsidRDefault="004363AE" w:rsidP="00CA444C">
            <w:pPr>
              <w:pStyle w:val="TableBullet"/>
              <w:shd w:val="clear" w:color="auto" w:fill="FFFFFF" w:themeFill="background1"/>
            </w:pPr>
            <w:r w:rsidRPr="00F844C0">
              <w:t xml:space="preserve">Visited relatives or friends </w:t>
            </w:r>
          </w:p>
          <w:p w:rsidR="004363AE" w:rsidRPr="00F844C0" w:rsidRDefault="004363AE" w:rsidP="00CA444C">
            <w:pPr>
              <w:pStyle w:val="TableBullet"/>
              <w:shd w:val="clear" w:color="auto" w:fill="FFFFFF" w:themeFill="background1"/>
            </w:pPr>
            <w:r w:rsidRPr="00F844C0">
              <w:t xml:space="preserve">Went to restaurant or club </w:t>
            </w:r>
          </w:p>
          <w:p w:rsidR="004363AE" w:rsidRPr="00F844C0" w:rsidRDefault="004363AE" w:rsidP="00CA444C">
            <w:pPr>
              <w:pStyle w:val="TableBullet"/>
              <w:shd w:val="clear" w:color="auto" w:fill="FFFFFF" w:themeFill="background1"/>
            </w:pPr>
            <w:r w:rsidRPr="00F844C0">
              <w:t xml:space="preserve">Church activities </w:t>
            </w:r>
          </w:p>
          <w:p w:rsidR="004363AE" w:rsidRPr="00F844C0" w:rsidRDefault="004363AE" w:rsidP="00CA444C">
            <w:pPr>
              <w:pStyle w:val="TableBullet"/>
              <w:shd w:val="clear" w:color="auto" w:fill="FFFFFF" w:themeFill="background1"/>
            </w:pPr>
            <w:r w:rsidRPr="00F844C0">
              <w:t xml:space="preserve">Voluntary activities </w:t>
            </w:r>
          </w:p>
          <w:p w:rsidR="004363AE" w:rsidRPr="00F844C0" w:rsidRDefault="004363AE" w:rsidP="00CA444C">
            <w:pPr>
              <w:pStyle w:val="TableBullet"/>
              <w:shd w:val="clear" w:color="auto" w:fill="FFFFFF" w:themeFill="background1"/>
            </w:pPr>
            <w:r w:rsidRPr="00F844C0">
              <w:t xml:space="preserve">Performing Arts group activity </w:t>
            </w:r>
          </w:p>
          <w:p w:rsidR="004363AE" w:rsidRPr="00F844C0" w:rsidRDefault="004363AE" w:rsidP="00CA444C">
            <w:pPr>
              <w:pStyle w:val="TableBullet"/>
              <w:shd w:val="clear" w:color="auto" w:fill="FFFFFF" w:themeFill="background1"/>
            </w:pPr>
            <w:r w:rsidRPr="00F844C0">
              <w:t xml:space="preserve">Art or craft group activity </w:t>
            </w:r>
          </w:p>
          <w:p w:rsidR="004363AE" w:rsidRPr="00F844C0" w:rsidRDefault="004363AE" w:rsidP="00CA444C">
            <w:pPr>
              <w:pStyle w:val="TableBullet"/>
              <w:shd w:val="clear" w:color="auto" w:fill="FFFFFF" w:themeFill="background1"/>
            </w:pPr>
            <w:r w:rsidRPr="00F844C0">
              <w:t xml:space="preserve">Other special interest group activities </w:t>
            </w:r>
          </w:p>
          <w:p w:rsidR="004363AE" w:rsidRPr="00F844C0" w:rsidRDefault="004363AE" w:rsidP="00CA444C">
            <w:pPr>
              <w:pStyle w:val="TableBullet"/>
              <w:shd w:val="clear" w:color="auto" w:fill="FFFFFF" w:themeFill="background1"/>
            </w:pPr>
            <w:r w:rsidRPr="00F844C0">
              <w:t>Other activity not specified elsewhere</w:t>
            </w:r>
            <w:r w:rsidR="00DD62D7">
              <w:t>.</w:t>
            </w:r>
          </w:p>
          <w:p w:rsidR="004363AE" w:rsidRPr="00F844C0" w:rsidRDefault="004363AE" w:rsidP="00CA444C">
            <w:pPr>
              <w:pStyle w:val="TableBodyText"/>
              <w:shd w:val="clear" w:color="auto" w:fill="FFFFFF" w:themeFill="background1"/>
              <w:jc w:val="both"/>
            </w:pPr>
            <w:r w:rsidRPr="00F844C0">
              <w:t>The SDAC collects information about primary carers and non</w:t>
            </w:r>
            <w:r w:rsidR="002A0059">
              <w:noBreakHyphen/>
            </w:r>
            <w:r w:rsidRPr="00F844C0">
              <w:t>primary carers of people with disabilities. A primary carer is a person who provides the most informal assistance, in terms of help or supervision, to a person with one or more of the core activities of mobility, self</w:t>
            </w:r>
            <w:r w:rsidR="002A0059">
              <w:noBreakHyphen/>
            </w:r>
            <w:r w:rsidRPr="00F844C0">
              <w:t xml:space="preserve">care or communication. The assistance has to be ongoing, or likely to be ongoing, for at least six months. In this survey, primary carers only include persons aged 15 years and over. Persons aged 15 to 17 years were only interviewed personally if parental permission was granted. </w:t>
            </w:r>
          </w:p>
          <w:p w:rsidR="004363AE" w:rsidRPr="00F844C0" w:rsidRDefault="004363AE" w:rsidP="00CA444C">
            <w:pPr>
              <w:pStyle w:val="TableBodyText"/>
              <w:shd w:val="clear" w:color="auto" w:fill="FFFFFF" w:themeFill="background1"/>
              <w:jc w:val="both"/>
            </w:pPr>
            <w:r w:rsidRPr="00F844C0">
              <w:t xml:space="preserve">Social and community activities participated in, without the recipient of care, away from home in the past three months include: </w:t>
            </w:r>
          </w:p>
          <w:p w:rsidR="004363AE" w:rsidRPr="00F844C0" w:rsidRDefault="004363AE" w:rsidP="00CA444C">
            <w:pPr>
              <w:pStyle w:val="TableBullet"/>
              <w:shd w:val="clear" w:color="auto" w:fill="FFFFFF" w:themeFill="background1"/>
            </w:pPr>
            <w:r w:rsidRPr="00F844C0">
              <w:t xml:space="preserve">Visited relatives or friends </w:t>
            </w:r>
          </w:p>
          <w:p w:rsidR="004363AE" w:rsidRPr="00F844C0" w:rsidRDefault="004363AE" w:rsidP="00CA444C">
            <w:pPr>
              <w:pStyle w:val="TableBullet"/>
              <w:shd w:val="clear" w:color="auto" w:fill="FFFFFF" w:themeFill="background1"/>
            </w:pPr>
            <w:r w:rsidRPr="00F844C0">
              <w:t xml:space="preserve">Went to restaurant or club </w:t>
            </w:r>
          </w:p>
          <w:p w:rsidR="004363AE" w:rsidRPr="00F844C0" w:rsidRDefault="004363AE" w:rsidP="00CA444C">
            <w:pPr>
              <w:pStyle w:val="TableBullet"/>
              <w:shd w:val="clear" w:color="auto" w:fill="FFFFFF" w:themeFill="background1"/>
            </w:pPr>
            <w:r w:rsidRPr="00F844C0">
              <w:t xml:space="preserve">Church activities </w:t>
            </w:r>
          </w:p>
          <w:p w:rsidR="004363AE" w:rsidRPr="00F844C0" w:rsidRDefault="004363AE" w:rsidP="00CA444C">
            <w:pPr>
              <w:pStyle w:val="TableBullet"/>
              <w:shd w:val="clear" w:color="auto" w:fill="FFFFFF" w:themeFill="background1"/>
            </w:pPr>
            <w:r w:rsidRPr="00F844C0">
              <w:t xml:space="preserve">Voluntary activities </w:t>
            </w:r>
          </w:p>
          <w:p w:rsidR="004363AE" w:rsidRPr="00F844C0" w:rsidRDefault="004363AE" w:rsidP="00CA444C">
            <w:pPr>
              <w:pStyle w:val="TableBullet"/>
              <w:shd w:val="clear" w:color="auto" w:fill="FFFFFF" w:themeFill="background1"/>
            </w:pPr>
            <w:r w:rsidRPr="00F844C0">
              <w:t xml:space="preserve">Performing Arts group activity </w:t>
            </w:r>
          </w:p>
          <w:p w:rsidR="004363AE" w:rsidRPr="00F844C0" w:rsidRDefault="004363AE" w:rsidP="00CA444C">
            <w:pPr>
              <w:pStyle w:val="TableBullet"/>
              <w:shd w:val="clear" w:color="auto" w:fill="FFFFFF" w:themeFill="background1"/>
            </w:pPr>
            <w:r w:rsidRPr="00F844C0">
              <w:t xml:space="preserve">Art or craft group activity </w:t>
            </w:r>
          </w:p>
          <w:p w:rsidR="004363AE" w:rsidRPr="00F844C0" w:rsidRDefault="004363AE" w:rsidP="00CA444C">
            <w:pPr>
              <w:pStyle w:val="TableBullet"/>
              <w:shd w:val="clear" w:color="auto" w:fill="FFFFFF" w:themeFill="background1"/>
            </w:pPr>
            <w:r w:rsidRPr="00F844C0">
              <w:t xml:space="preserve">Other special interest group activities </w:t>
            </w:r>
          </w:p>
          <w:p w:rsidR="004363AE" w:rsidRPr="00F844C0" w:rsidRDefault="004363AE" w:rsidP="00CA444C">
            <w:pPr>
              <w:pStyle w:val="TableBullet"/>
              <w:shd w:val="clear" w:color="auto" w:fill="FFFFFF" w:themeFill="background1"/>
            </w:pPr>
            <w:r w:rsidRPr="00F844C0">
              <w:t xml:space="preserve">Other activity not specified elsewhere </w:t>
            </w:r>
          </w:p>
          <w:p w:rsidR="004363AE" w:rsidRPr="00F844C0" w:rsidRDefault="004363AE" w:rsidP="00CA444C">
            <w:pPr>
              <w:pStyle w:val="TableBullet"/>
              <w:shd w:val="clear" w:color="auto" w:fill="FFFFFF" w:themeFill="background1"/>
            </w:pPr>
            <w:r w:rsidRPr="00F844C0">
              <w:t xml:space="preserve">Participated in one or more of these activities. </w:t>
            </w:r>
          </w:p>
        </w:tc>
      </w:tr>
      <w:tr w:rsidR="006D1B6A"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Timeliness</w:t>
            </w:r>
            <w:r w:rsidRPr="00F844C0">
              <w:rPr>
                <w:rFonts w:cs="Arial"/>
                <w:lang w:val="en-US" w:eastAsia="en-US"/>
              </w:rPr>
              <w:t xml:space="preserve"> </w:t>
            </w:r>
          </w:p>
        </w:tc>
        <w:tc>
          <w:tcPr>
            <w:tcW w:w="7088"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The ABS conducts the SDAC every three years. The most recent SDAC was conducted f</w:t>
            </w:r>
            <w:r w:rsidR="00C932C4" w:rsidRPr="00F844C0">
              <w:rPr>
                <w:rFonts w:cs="Arial"/>
              </w:rPr>
              <w:t xml:space="preserve">rom August 2012 to March 2013. </w:t>
            </w:r>
            <w:r w:rsidRPr="00F844C0">
              <w:rPr>
                <w:rFonts w:cs="Arial"/>
              </w:rPr>
              <w:t>Results from the 2012 survey were released in November 2013.</w:t>
            </w:r>
          </w:p>
        </w:tc>
      </w:tr>
      <w:tr w:rsidR="006D1B6A"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7088" w:type="dxa"/>
            <w:tcBorders>
              <w:top w:val="nil"/>
              <w:left w:val="nil"/>
              <w:bottom w:val="nil"/>
              <w:right w:val="nil"/>
            </w:tcBorders>
            <w:shd w:val="clear" w:color="auto" w:fill="auto"/>
          </w:tcPr>
          <w:p w:rsidR="006D1B6A" w:rsidRPr="00F844C0" w:rsidRDefault="006D1B6A" w:rsidP="00CA444C">
            <w:pPr>
              <w:pStyle w:val="TableBodyText"/>
              <w:shd w:val="clear" w:color="auto" w:fill="FFFFFF" w:themeFill="background1"/>
              <w:jc w:val="both"/>
            </w:pPr>
            <w:r w:rsidRPr="00F844C0">
              <w:t xml:space="preserve">Sample and Response Rate: The SDAC is conducted in all </w:t>
            </w:r>
            <w:r w:rsidR="00C932C4" w:rsidRPr="00F844C0">
              <w:t>s</w:t>
            </w:r>
            <w:r w:rsidRPr="00F844C0">
              <w:t xml:space="preserve">tates and </w:t>
            </w:r>
            <w:r w:rsidR="00C932C4" w:rsidRPr="00F844C0">
              <w:t>t</w:t>
            </w:r>
            <w:r w:rsidRPr="00F844C0">
              <w:t>erritories, excluding very remote areas, and includes people in both private and non</w:t>
            </w:r>
            <w:r w:rsidR="002A0059">
              <w:noBreakHyphen/>
            </w:r>
            <w:r w:rsidRPr="00F844C0">
              <w:t>private dwellings (including cared</w:t>
            </w:r>
            <w:r w:rsidR="002A0059">
              <w:noBreakHyphen/>
            </w:r>
            <w:r w:rsidRPr="00F844C0">
              <w:t xml:space="preserve">accommodation establishments). Dwellings in each </w:t>
            </w:r>
            <w:r w:rsidR="000441C0">
              <w:t>S</w:t>
            </w:r>
            <w:r w:rsidRPr="00F844C0">
              <w:t xml:space="preserve">tate and </w:t>
            </w:r>
            <w:r w:rsidR="000441C0">
              <w:t>T</w:t>
            </w:r>
            <w:r w:rsidRPr="00F844C0">
              <w:t>erritory were selected at random using a multi</w:t>
            </w:r>
            <w:r w:rsidR="002A0059">
              <w:noBreakHyphen/>
            </w:r>
            <w:r w:rsidRPr="00F844C0">
              <w:t>stage area sample. After sample loss, the 2012 SDAC sample included approximately 27</w:t>
            </w:r>
            <w:r w:rsidR="00C932C4" w:rsidRPr="00F844C0">
              <w:t> </w:t>
            </w:r>
            <w:r w:rsidRPr="00F844C0">
              <w:t>400 priv</w:t>
            </w:r>
            <w:r w:rsidR="00C42132">
              <w:t>ate dwellings, 1</w:t>
            </w:r>
            <w:r w:rsidRPr="00F844C0">
              <w:t>000 health establishments and 500 other non</w:t>
            </w:r>
            <w:r w:rsidR="002A0059">
              <w:noBreakHyphen/>
            </w:r>
            <w:r w:rsidRPr="00F844C0">
              <w:t>private dwellings. The 2012 SDAC response rate</w:t>
            </w:r>
            <w:r w:rsidR="00C932C4" w:rsidRPr="00F844C0">
              <w:t xml:space="preserve"> for private dwellings was 89.8 per cent</w:t>
            </w:r>
            <w:r w:rsidRPr="00F844C0">
              <w:t>, and for establishments was 87.5 per cent. SDAC data are weighted to account for non</w:t>
            </w:r>
            <w:r w:rsidR="00C932C4" w:rsidRPr="00F844C0">
              <w:noBreakHyphen/>
            </w:r>
            <w:r w:rsidRPr="00F844C0">
              <w:t xml:space="preserve">response. </w:t>
            </w:r>
          </w:p>
          <w:p w:rsidR="006D1B6A" w:rsidRPr="00F844C0" w:rsidRDefault="006D1B6A" w:rsidP="00CA444C">
            <w:pPr>
              <w:pStyle w:val="TableBodyText"/>
              <w:shd w:val="clear" w:color="auto" w:fill="FFFFFF" w:themeFill="background1"/>
              <w:jc w:val="both"/>
              <w:rPr>
                <w:szCs w:val="18"/>
              </w:rPr>
            </w:pPr>
            <w:r w:rsidRPr="00F844C0">
              <w:t xml:space="preserve">Scope and </w:t>
            </w:r>
            <w:r w:rsidRPr="00F844C0">
              <w:rPr>
                <w:szCs w:val="18"/>
              </w:rPr>
              <w:t xml:space="preserve">coverage: Information on the scope and coverage for SDAC is available in the publication </w:t>
            </w:r>
            <w:r w:rsidRPr="00381D9E">
              <w:rPr>
                <w:rFonts w:cs="Arial"/>
                <w:szCs w:val="18"/>
              </w:rPr>
              <w:t>Explanatory Notes</w:t>
            </w:r>
            <w:r w:rsidRPr="00F844C0">
              <w:rPr>
                <w:szCs w:val="18"/>
              </w:rPr>
              <w:t> (paragraphs 7 and</w:t>
            </w:r>
            <w:r w:rsidR="00410E3D">
              <w:rPr>
                <w:szCs w:val="18"/>
              </w:rPr>
              <w:t xml:space="preserve"> 8</w:t>
            </w:r>
            <w:r w:rsidRPr="00F844C0">
              <w:rPr>
                <w:szCs w:val="18"/>
              </w:rPr>
              <w:t xml:space="preserve">) for the </w:t>
            </w:r>
            <w:r w:rsidRPr="00381D9E">
              <w:rPr>
                <w:rFonts w:cs="Arial"/>
                <w:szCs w:val="18"/>
              </w:rPr>
              <w:t>Disability, Ageing and Carers, Australia: Summary of Findings, 2012</w:t>
            </w:r>
            <w:r w:rsidRPr="00F844C0">
              <w:rPr>
                <w:szCs w:val="18"/>
              </w:rPr>
              <w:t xml:space="preserve">. The SDAC excludes very remote areas and discrete Aboriginal and Torres Strait Islander communities from its estimates. This exclusion has minimal impact on Australia level estimates if making inferences about the population at large. However, the </w:t>
            </w:r>
            <w:r w:rsidR="000441C0">
              <w:rPr>
                <w:szCs w:val="18"/>
              </w:rPr>
              <w:t>NT</w:t>
            </w:r>
            <w:r w:rsidRPr="00F844C0">
              <w:rPr>
                <w:szCs w:val="18"/>
              </w:rPr>
              <w:t xml:space="preserve"> has a significant proportion of the population in very remote areas and/or Indigenous Communities. As such it is important to interpret </w:t>
            </w:r>
            <w:r w:rsidR="000441C0">
              <w:rPr>
                <w:szCs w:val="18"/>
              </w:rPr>
              <w:t>NT</w:t>
            </w:r>
            <w:r w:rsidRPr="00F844C0">
              <w:rPr>
                <w:szCs w:val="18"/>
              </w:rPr>
              <w:t xml:space="preserve"> estimates in light of these areas being excluded from scope. </w:t>
            </w:r>
          </w:p>
          <w:p w:rsidR="006D1B6A" w:rsidRPr="00F844C0" w:rsidRDefault="006D1B6A" w:rsidP="00CA444C">
            <w:pPr>
              <w:pStyle w:val="TableBodyText"/>
              <w:shd w:val="clear" w:color="auto" w:fill="FFFFFF" w:themeFill="background1"/>
              <w:jc w:val="both"/>
              <w:rPr>
                <w:szCs w:val="18"/>
              </w:rPr>
            </w:pPr>
            <w:r w:rsidRPr="00F844C0">
              <w:rPr>
                <w:szCs w:val="18"/>
              </w:rPr>
              <w:t xml:space="preserve">For the first time in 2012, SDAC has excluded a small number of private dwellings that are in Collection Districts where the population contribution of an Indigenous Community exceeds 75 per cent within the CD, but the private dwellings themselves are outside the community. This exclusion has minimal impact on Australia level estimates. However, it could have an impact on </w:t>
            </w:r>
            <w:r w:rsidR="000441C0">
              <w:rPr>
                <w:szCs w:val="18"/>
              </w:rPr>
              <w:t>NT</w:t>
            </w:r>
            <w:r w:rsidRPr="00F844C0">
              <w:rPr>
                <w:szCs w:val="18"/>
              </w:rPr>
              <w:t xml:space="preserve"> estimates, as around 10 per cent of </w:t>
            </w:r>
            <w:r w:rsidR="000441C0">
              <w:rPr>
                <w:szCs w:val="18"/>
              </w:rPr>
              <w:t>NT</w:t>
            </w:r>
            <w:r w:rsidRPr="00F844C0">
              <w:rPr>
                <w:szCs w:val="18"/>
              </w:rPr>
              <w:t xml:space="preserve"> households that were previously included are now excluded. Estimates displayed as proportions are comparable with previous surveys. The SDAC also excludes people in gaols and correctional institutions. </w:t>
            </w:r>
          </w:p>
          <w:p w:rsidR="006D1B6A" w:rsidRPr="00F844C0" w:rsidRDefault="006D1B6A" w:rsidP="00FE77C0">
            <w:pPr>
              <w:pStyle w:val="TableBodyText"/>
              <w:shd w:val="clear" w:color="auto" w:fill="FFFFFF" w:themeFill="background1"/>
              <w:jc w:val="both"/>
            </w:pPr>
            <w:r w:rsidRPr="00F844C0">
              <w:rPr>
                <w:szCs w:val="18"/>
              </w:rPr>
              <w:t xml:space="preserve">Reliability of Estimates: All sample surveys </w:t>
            </w:r>
            <w:r w:rsidR="00C932C4" w:rsidRPr="00F844C0">
              <w:rPr>
                <w:szCs w:val="18"/>
              </w:rPr>
              <w:t>are subject to sampling and non</w:t>
            </w:r>
            <w:r w:rsidR="00C932C4" w:rsidRPr="00F844C0">
              <w:rPr>
                <w:szCs w:val="18"/>
              </w:rPr>
              <w:noBreakHyphen/>
            </w:r>
            <w:r w:rsidRPr="00F844C0">
              <w:rPr>
                <w:szCs w:val="18"/>
              </w:rPr>
              <w:t>sampling error.</w:t>
            </w:r>
            <w:r w:rsidR="00C932C4" w:rsidRPr="00F844C0">
              <w:rPr>
                <w:szCs w:val="18"/>
              </w:rPr>
              <w:t xml:space="preserve"> </w:t>
            </w:r>
            <w:r w:rsidRPr="00F844C0">
              <w:rPr>
                <w:szCs w:val="18"/>
              </w:rPr>
              <w:t xml:space="preserve">For more information relating to the Survey of Disability, Ageing and Carers, please refer to the publication </w:t>
            </w:r>
            <w:r w:rsidRPr="00381D9E">
              <w:rPr>
                <w:rFonts w:cs="Arial"/>
                <w:szCs w:val="18"/>
              </w:rPr>
              <w:t xml:space="preserve">Disability, Ageing and Carers, Australia: </w:t>
            </w:r>
            <w:r w:rsidRPr="00381D9E">
              <w:rPr>
                <w:rFonts w:cs="Arial"/>
                <w:szCs w:val="18"/>
              </w:rPr>
              <w:lastRenderedPageBreak/>
              <w:t>Summary of Findings, 2012</w:t>
            </w:r>
            <w:r w:rsidRPr="00F844C0">
              <w:rPr>
                <w:color w:val="FF0000"/>
                <w:szCs w:val="18"/>
              </w:rPr>
              <w:t xml:space="preserve">. </w:t>
            </w:r>
            <w:r w:rsidRPr="00F844C0">
              <w:rPr>
                <w:rFonts w:cs="Arial"/>
              </w:rPr>
              <w:t xml:space="preserve">The </w:t>
            </w:r>
            <w:r w:rsidR="00FE77C0">
              <w:rPr>
                <w:rFonts w:cs="Arial"/>
              </w:rPr>
              <w:t>Report</w:t>
            </w:r>
            <w:r w:rsidRPr="00F844C0">
              <w:rPr>
                <w:rFonts w:cs="Arial"/>
              </w:rPr>
              <w:t xml:space="preserve"> includes information on the Relative Standard Errors (RSEs) of estimates published from the SDAC. RSEs indicate the reliability of an estimate. RSEs show the size of the error relative to the estimate. The higher the RSE, the less confidence there is that the estimate from the sample is close to the true value of the population mean. </w:t>
            </w:r>
            <w:r w:rsidRPr="00F844C0">
              <w:rPr>
                <w:szCs w:val="18"/>
              </w:rPr>
              <w:t xml:space="preserve">Where an estimate or </w:t>
            </w:r>
            <w:r w:rsidR="00E96E1A">
              <w:rPr>
                <w:szCs w:val="18"/>
              </w:rPr>
              <w:t>proportion has a RSE between 25 </w:t>
            </w:r>
            <w:r w:rsidRPr="00F844C0">
              <w:rPr>
                <w:szCs w:val="18"/>
              </w:rPr>
              <w:t>per cent and 50 per cent, the</w:t>
            </w:r>
            <w:r w:rsidRPr="00F844C0">
              <w:t xml:space="preserv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6D1B6A"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 xml:space="preserve">Coherence </w:t>
            </w:r>
          </w:p>
        </w:tc>
        <w:tc>
          <w:tcPr>
            <w:tcW w:w="7088"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sourced from the same collection, with the numerator being a subset of the denominator population.</w:t>
            </w:r>
          </w:p>
        </w:tc>
      </w:tr>
      <w:tr w:rsidR="006D1B6A"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7088"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A range of data drawn from th</w:t>
            </w:r>
            <w:r w:rsidR="00FE77C0">
              <w:rPr>
                <w:rFonts w:cs="Arial"/>
              </w:rPr>
              <w:t xml:space="preserve">e SDAC are available on the ABS. </w:t>
            </w:r>
            <w:r w:rsidRPr="00F844C0">
              <w:rPr>
                <w:rFonts w:cs="Arial"/>
              </w:rPr>
              <w:t>Additional data can be accessed from the ABS. Costs are associated with additional data and vary depending on the type of request.</w:t>
            </w:r>
          </w:p>
          <w:p w:rsidR="006D1B6A" w:rsidRPr="00F844C0" w:rsidRDefault="006D1B6A" w:rsidP="00CA444C">
            <w:pPr>
              <w:pStyle w:val="TableBodyText"/>
              <w:shd w:val="clear" w:color="auto" w:fill="FFFFFF" w:themeFill="background1"/>
              <w:jc w:val="both"/>
              <w:rPr>
                <w:szCs w:val="18"/>
              </w:rPr>
            </w:pPr>
            <w:r w:rsidRPr="00F844C0">
              <w:rPr>
                <w:szCs w:val="18"/>
              </w:rPr>
              <w:t xml:space="preserve">See </w:t>
            </w:r>
            <w:r w:rsidRPr="00381D9E">
              <w:rPr>
                <w:rFonts w:cs="Arial"/>
                <w:szCs w:val="18"/>
              </w:rPr>
              <w:t>Disability, Ageing and Carers, Australia: Summary of Findings, 2012</w:t>
            </w:r>
            <w:r w:rsidRPr="00F844C0">
              <w:rPr>
                <w:szCs w:val="18"/>
              </w:rPr>
              <w:t xml:space="preserve"> for an overview of results from the SDAC. Results from the 2012 SDAC are also available in the form of: </w:t>
            </w:r>
          </w:p>
          <w:p w:rsidR="006D1B6A" w:rsidRPr="00F844C0" w:rsidRDefault="006D1B6A"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0441C0">
              <w:t>State and T</w:t>
            </w:r>
            <w:r w:rsidRPr="00F844C0">
              <w:t>erritory (subject to standard error and confidentiality constraints and excluding time series tables)</w:t>
            </w:r>
          </w:p>
          <w:p w:rsidR="006D1B6A" w:rsidRPr="00F844C0" w:rsidRDefault="006D1B6A" w:rsidP="00CA444C">
            <w:pPr>
              <w:pStyle w:val="TableBullet"/>
              <w:shd w:val="clear" w:color="auto" w:fill="FFFFFF" w:themeFill="background1"/>
            </w:pPr>
            <w:r w:rsidRPr="00F844C0">
              <w:t>a number of su</w:t>
            </w:r>
            <w:r w:rsidR="000441C0">
              <w:t>pplementary themed publications</w:t>
            </w:r>
          </w:p>
          <w:p w:rsidR="006D1B6A" w:rsidRPr="00F844C0" w:rsidRDefault="006D1B6A" w:rsidP="00CA444C">
            <w:pPr>
              <w:pStyle w:val="TableBullet"/>
              <w:shd w:val="clear" w:color="auto" w:fill="FFFFFF" w:themeFill="background1"/>
            </w:pPr>
            <w:r w:rsidRPr="00F844C0">
              <w:t>a Confident</w:t>
            </w:r>
            <w:r w:rsidR="000441C0">
              <w:t>ialised Unit Record File (CURF)</w:t>
            </w:r>
          </w:p>
          <w:p w:rsidR="006D1B6A" w:rsidRPr="00F844C0" w:rsidRDefault="006D1B6A" w:rsidP="00CA444C">
            <w:pPr>
              <w:pStyle w:val="TableBullet"/>
              <w:shd w:val="clear" w:color="auto" w:fill="FFFFFF" w:themeFill="background1"/>
            </w:pPr>
            <w:r w:rsidRPr="00F844C0">
              <w:t>a TableBuilder product.</w:t>
            </w:r>
          </w:p>
          <w:p w:rsidR="006D1B6A" w:rsidRPr="00F844C0" w:rsidRDefault="006D1B6A" w:rsidP="00CA444C">
            <w:pPr>
              <w:pStyle w:val="TableBodyText"/>
              <w:shd w:val="clear" w:color="auto" w:fill="FFFFFF" w:themeFill="background1"/>
              <w:jc w:val="both"/>
            </w:pPr>
            <w:r w:rsidRPr="00F844C0">
              <w:rPr>
                <w:szCs w:val="18"/>
              </w:rPr>
              <w:t xml:space="preserve">Other information from the survey is available on request – see further information in the </w:t>
            </w:r>
            <w:r w:rsidRPr="00381D9E">
              <w:rPr>
                <w:rFonts w:cs="Arial"/>
                <w:szCs w:val="18"/>
              </w:rPr>
              <w:t>Quality Declarations - Summary</w:t>
            </w:r>
            <w:r w:rsidRPr="00F844C0">
              <w:rPr>
                <w:szCs w:val="18"/>
              </w:rPr>
              <w:t>.</w:t>
            </w:r>
          </w:p>
        </w:tc>
      </w:tr>
      <w:tr w:rsidR="006D1B6A" w:rsidRPr="00F844C0" w:rsidTr="003B1B19">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7088" w:type="dxa"/>
            <w:tcBorders>
              <w:top w:val="nil"/>
              <w:left w:val="nil"/>
              <w:bottom w:val="nil"/>
              <w:right w:val="nil"/>
            </w:tcBorders>
            <w:shd w:val="clear" w:color="auto" w:fill="auto"/>
          </w:tcPr>
          <w:p w:rsidR="006D1B6A" w:rsidRPr="00F844C0" w:rsidRDefault="006D1B6A" w:rsidP="00CA444C">
            <w:pPr>
              <w:pStyle w:val="TableBodyText"/>
              <w:shd w:val="clear" w:color="auto" w:fill="FFFFFF" w:themeFill="background1"/>
              <w:jc w:val="both"/>
            </w:pPr>
            <w:r w:rsidRPr="00F844C0">
              <w:t xml:space="preserve">Confidentiality: To minimise the risk of identifying individuals in aggregate statistics, in the 2012 SDAC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 </w:t>
            </w:r>
          </w:p>
          <w:p w:rsidR="006D1B6A" w:rsidRPr="00F844C0" w:rsidRDefault="006D1B6A" w:rsidP="00CA444C">
            <w:pPr>
              <w:pStyle w:val="TableBodyText"/>
              <w:shd w:val="clear" w:color="auto" w:fill="FFFFFF" w:themeFill="background1"/>
              <w:jc w:val="both"/>
            </w:pPr>
            <w:r w:rsidRPr="00F844C0">
              <w:t xml:space="preserve">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 </w:t>
            </w:r>
          </w:p>
          <w:p w:rsidR="006D1B6A" w:rsidRPr="00F844C0" w:rsidRDefault="006D1B6A" w:rsidP="00CA444C">
            <w:pPr>
              <w:pStyle w:val="TableBodyText"/>
              <w:shd w:val="clear" w:color="auto" w:fill="FFFFFF" w:themeFill="background1"/>
              <w:jc w:val="both"/>
            </w:pPr>
            <w:r w:rsidRPr="00F844C0">
              <w:rPr>
                <w:szCs w:val="18"/>
              </w:rPr>
              <w:t xml:space="preserve">Information is available to aid interpretation of SDAC data in the publication, </w:t>
            </w:r>
            <w:r w:rsidRPr="00381D9E">
              <w:rPr>
                <w:rFonts w:cs="Arial"/>
                <w:szCs w:val="18"/>
              </w:rPr>
              <w:t> Disability, Ageing and Carers, Australia: Summary of Findings, 2012</w:t>
            </w:r>
            <w:r w:rsidRPr="00F844C0">
              <w:rPr>
                <w:color w:val="FF0000"/>
                <w:szCs w:val="18"/>
              </w:rPr>
              <w:t xml:space="preserve">, </w:t>
            </w:r>
            <w:r w:rsidRPr="00F844C0">
              <w:rPr>
                <w:szCs w:val="18"/>
              </w:rPr>
              <w:t xml:space="preserve">on the ABS website. Detailed Explanatory Notes, a Technical note on Data Quality, and a Glossary are also included to provide information on the terminology, </w:t>
            </w:r>
            <w:r w:rsidRPr="00F844C0">
              <w:t>classifications and other technical aspects associated with these statistics.</w:t>
            </w:r>
          </w:p>
          <w:p w:rsidR="006D1B6A" w:rsidRPr="00F844C0" w:rsidRDefault="006D1B6A" w:rsidP="000441C0">
            <w:pPr>
              <w:pStyle w:val="TableBodyText"/>
              <w:keepNext w:val="0"/>
              <w:keepLines w:val="0"/>
              <w:widowControl w:val="0"/>
              <w:shd w:val="clear" w:color="auto" w:fill="FFFFFF" w:themeFill="background1"/>
              <w:jc w:val="both"/>
              <w:rPr>
                <w:rFonts w:cs="Arial"/>
              </w:rPr>
            </w:pPr>
            <w:r w:rsidRPr="00F844C0">
              <w:rPr>
                <w:rFonts w:cs="Arial"/>
              </w:rPr>
              <w:t xml:space="preserve">Further technical details are available on the </w:t>
            </w:r>
            <w:r w:rsidR="00FD3F15" w:rsidRPr="00381D9E">
              <w:rPr>
                <w:rFonts w:cs="Arial"/>
              </w:rPr>
              <w:t>ABS website.</w:t>
            </w:r>
          </w:p>
        </w:tc>
      </w:tr>
      <w:tr w:rsidR="00EA25CD" w:rsidRPr="00F844C0" w:rsidTr="00BD4765">
        <w:tblPrEx>
          <w:tblCellMar>
            <w:left w:w="108" w:type="dxa"/>
            <w:right w:w="108" w:type="dxa"/>
          </w:tblCellMar>
          <w:tblLook w:val="01E0" w:firstRow="1" w:lastRow="1" w:firstColumn="1" w:lastColumn="1" w:noHBand="0" w:noVBand="0"/>
        </w:tblPrEx>
        <w:tc>
          <w:tcPr>
            <w:tcW w:w="8789" w:type="dxa"/>
            <w:gridSpan w:val="3"/>
            <w:tcBorders>
              <w:top w:val="nil"/>
              <w:left w:val="nil"/>
              <w:bottom w:val="nil"/>
              <w:right w:val="nil"/>
            </w:tcBorders>
            <w:shd w:val="clear" w:color="auto" w:fill="auto"/>
          </w:tcPr>
          <w:p w:rsidR="00EA25CD" w:rsidRPr="00F844C0" w:rsidRDefault="00EA25CD" w:rsidP="00CA444C">
            <w:pPr>
              <w:pStyle w:val="TableBodyText"/>
              <w:keepLines w:val="0"/>
              <w:widowControl w:val="0"/>
              <w:shd w:val="clear" w:color="auto" w:fill="FFFFFF" w:themeFill="background1"/>
              <w:jc w:val="both"/>
              <w:rPr>
                <w:b/>
              </w:rPr>
            </w:pPr>
            <w:r w:rsidRPr="00F844C0">
              <w:rPr>
                <w:b/>
                <w:u w:val="single"/>
              </w:rPr>
              <w:t>Data Gaps/Issues Analysis</w:t>
            </w:r>
          </w:p>
        </w:tc>
      </w:tr>
      <w:tr w:rsidR="00EA25CD" w:rsidRPr="00F844C0" w:rsidTr="003B1B19">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EA25CD" w:rsidRPr="00F844C0" w:rsidRDefault="00EA25CD"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7229" w:type="dxa"/>
            <w:gridSpan w:val="2"/>
            <w:tcBorders>
              <w:top w:val="nil"/>
              <w:left w:val="nil"/>
              <w:bottom w:val="nil"/>
              <w:right w:val="nil"/>
            </w:tcBorders>
            <w:shd w:val="clear" w:color="auto" w:fill="auto"/>
          </w:tcPr>
          <w:p w:rsidR="00EA25CD" w:rsidRPr="00F844C0" w:rsidRDefault="00EA25CD"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CA5932" w:rsidRPr="00F844C0" w:rsidRDefault="00CA5932" w:rsidP="00CA444C">
            <w:pPr>
              <w:pStyle w:val="TableBullet"/>
              <w:shd w:val="clear" w:color="auto" w:fill="FFFFFF" w:themeFill="background1"/>
              <w:jc w:val="both"/>
            </w:pPr>
            <w:r w:rsidRPr="00F844C0">
              <w:t>data reported for this indicator are considered comparable (subject to caveats) across jurisdictions for 2012</w:t>
            </w:r>
            <w:r w:rsidR="006D1B6A" w:rsidRPr="00F844C0">
              <w:t>. Note, however, that:</w:t>
            </w:r>
          </w:p>
          <w:p w:rsidR="006D1B6A" w:rsidRPr="00F844C0" w:rsidRDefault="006D1B6A" w:rsidP="00CA444C">
            <w:pPr>
              <w:pStyle w:val="TableBullet"/>
              <w:shd w:val="clear" w:color="auto" w:fill="FFFFFF" w:themeFill="background1"/>
              <w:ind w:left="737"/>
              <w:jc w:val="both"/>
            </w:pPr>
            <w:r w:rsidRPr="00F844C0">
              <w:t>in 2012, the identification process for possible primary carers changed to only require a carer to provide the most informal assistance for core activities overall, regardless of whether they were the secondary provider of this assistance. This change was found to increase the number of possible primary carers identified, although the overall number of primary carers identified was not affected</w:t>
            </w:r>
          </w:p>
          <w:p w:rsidR="006D1B6A" w:rsidRPr="00F844C0" w:rsidRDefault="006D1B6A" w:rsidP="00CA444C">
            <w:pPr>
              <w:pStyle w:val="TableBullet"/>
              <w:shd w:val="clear" w:color="auto" w:fill="FFFFFF" w:themeFill="background1"/>
              <w:ind w:left="737"/>
              <w:jc w:val="both"/>
            </w:pPr>
            <w:r w:rsidRPr="00F844C0">
              <w:t xml:space="preserve">in 2009, primary carers </w:t>
            </w:r>
            <w:r w:rsidR="00617D91" w:rsidRPr="00F844C0">
              <w:t>who</w:t>
            </w:r>
            <w:r w:rsidRPr="00F844C0">
              <w:t xml:space="preserve"> were not aged and did not have a disability (i.e., those aged between 15 and 59 years of age, without disability) were not asked about their social and community participation without the person they cared for. The 2012 survey was developed to collect this information, allowing for a comparison of participation, without the recipient of care, across the whole primary carer population. </w:t>
            </w:r>
          </w:p>
          <w:p w:rsidR="00EA25CD" w:rsidRPr="00F844C0" w:rsidRDefault="00CA5932" w:rsidP="00CA444C">
            <w:pPr>
              <w:pStyle w:val="TableBullet"/>
              <w:shd w:val="clear" w:color="auto" w:fill="FFFFFF" w:themeFill="background1"/>
              <w:jc w:val="both"/>
            </w:pPr>
            <w:r w:rsidRPr="00F844C0">
              <w:t>data reported for this indicator are complete for the current reporting period.</w:t>
            </w:r>
          </w:p>
        </w:tc>
      </w:tr>
    </w:tbl>
    <w:p w:rsidR="00A420D4" w:rsidRPr="00F844C0" w:rsidRDefault="00370A5F" w:rsidP="00CA444C">
      <w:pPr>
        <w:pStyle w:val="Heading2nosectionno"/>
        <w:shd w:val="clear" w:color="auto" w:fill="FFFFFF" w:themeFill="background1"/>
        <w:rPr>
          <w:szCs w:val="24"/>
        </w:rPr>
      </w:pPr>
      <w:bookmarkStart w:id="23" w:name="_Toc435608949"/>
      <w:r w:rsidRPr="00F844C0">
        <w:rPr>
          <w:szCs w:val="24"/>
        </w:rPr>
        <w:lastRenderedPageBreak/>
        <w:t>Jobless families</w:t>
      </w:r>
      <w:bookmarkEnd w:id="23"/>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00" w:type="pct"/>
        <w:tblLayout w:type="fixed"/>
        <w:tblCellMar>
          <w:left w:w="0" w:type="dxa"/>
          <w:right w:w="0" w:type="dxa"/>
        </w:tblCellMar>
        <w:tblLook w:val="0000" w:firstRow="0" w:lastRow="0" w:firstColumn="0" w:lastColumn="0" w:noHBand="0" w:noVBand="0"/>
      </w:tblPr>
      <w:tblGrid>
        <w:gridCol w:w="1702"/>
        <w:gridCol w:w="7052"/>
        <w:gridCol w:w="35"/>
      </w:tblGrid>
      <w:tr w:rsidR="006679AA" w:rsidRPr="006679AA" w:rsidTr="00BD4765">
        <w:trPr>
          <w:gridAfter w:val="1"/>
          <w:wAfter w:w="20" w:type="pct"/>
        </w:trPr>
        <w:tc>
          <w:tcPr>
            <w:tcW w:w="4980" w:type="pct"/>
            <w:gridSpan w:val="2"/>
          </w:tcPr>
          <w:p w:rsidR="00A420D4" w:rsidRPr="006679AA" w:rsidRDefault="00A420D4" w:rsidP="00CA444C">
            <w:pPr>
              <w:pStyle w:val="TableBodyText"/>
              <w:keepNext w:val="0"/>
              <w:keepLines w:val="0"/>
              <w:widowControl w:val="0"/>
              <w:shd w:val="clear" w:color="auto" w:fill="FFFFFF" w:themeFill="background1"/>
              <w:jc w:val="both"/>
              <w:rPr>
                <w:b/>
                <w:u w:val="single"/>
              </w:rPr>
            </w:pPr>
          </w:p>
          <w:p w:rsidR="00A420D4" w:rsidRPr="006679AA" w:rsidRDefault="00A420D4" w:rsidP="00CA444C">
            <w:pPr>
              <w:pStyle w:val="TableBodyText"/>
              <w:keepNext w:val="0"/>
              <w:keepLines w:val="0"/>
              <w:widowControl w:val="0"/>
              <w:shd w:val="clear" w:color="auto" w:fill="FFFFFF" w:themeFill="background1"/>
              <w:jc w:val="both"/>
            </w:pPr>
            <w:r w:rsidRPr="006679AA">
              <w:rPr>
                <w:b/>
                <w:u w:val="single"/>
              </w:rPr>
              <w:t>Indicator definition and description</w:t>
            </w:r>
            <w:r w:rsidRPr="006679AA">
              <w:rPr>
                <w:rFonts w:cs="Arial"/>
                <w:b/>
                <w:sz w:val="22"/>
                <w:szCs w:val="22"/>
                <w:u w:val="single"/>
              </w:rPr>
              <w:t xml:space="preserve"> </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A420D4" w:rsidRPr="006679AA" w:rsidRDefault="00A420D4" w:rsidP="00CA444C">
            <w:pPr>
              <w:pStyle w:val="TableBodyText"/>
              <w:keepNext w:val="0"/>
              <w:keepLines w:val="0"/>
              <w:widowControl w:val="0"/>
              <w:shd w:val="clear" w:color="auto" w:fill="FFFFFF" w:themeFill="background1"/>
              <w:ind w:left="0"/>
              <w:jc w:val="left"/>
              <w:rPr>
                <w:rFonts w:cs="Arial"/>
                <w:b/>
              </w:rPr>
            </w:pPr>
            <w:r w:rsidRPr="006679AA">
              <w:rPr>
                <w:rFonts w:cs="Arial"/>
                <w:b/>
              </w:rPr>
              <w:t>Element</w:t>
            </w:r>
          </w:p>
        </w:tc>
        <w:tc>
          <w:tcPr>
            <w:tcW w:w="4032" w:type="pct"/>
            <w:gridSpan w:val="2"/>
            <w:tcBorders>
              <w:top w:val="nil"/>
              <w:left w:val="nil"/>
              <w:bottom w:val="nil"/>
              <w:right w:val="nil"/>
            </w:tcBorders>
            <w:shd w:val="clear" w:color="auto" w:fill="auto"/>
          </w:tcPr>
          <w:p w:rsidR="00A420D4" w:rsidRPr="006679AA" w:rsidRDefault="008A0DAC" w:rsidP="00CA444C">
            <w:pPr>
              <w:pStyle w:val="TableBodyText"/>
              <w:keepNext w:val="0"/>
              <w:keepLines w:val="0"/>
              <w:widowControl w:val="0"/>
              <w:shd w:val="clear" w:color="auto" w:fill="FFFFFF" w:themeFill="background1"/>
              <w:jc w:val="both"/>
              <w:rPr>
                <w:rFonts w:cs="Arial"/>
              </w:rPr>
            </w:pPr>
            <w:r w:rsidRPr="006679AA">
              <w:rPr>
                <w:rFonts w:cs="Arial"/>
              </w:rPr>
              <w:t>Sector</w:t>
            </w:r>
            <w:r w:rsidR="002A0059" w:rsidRPr="006679AA">
              <w:rPr>
                <w:rFonts w:cs="Arial"/>
              </w:rPr>
              <w:noBreakHyphen/>
            </w:r>
            <w:r w:rsidRPr="006679AA">
              <w:rPr>
                <w:rFonts w:cs="Arial"/>
              </w:rPr>
              <w:t>wide indicator</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Indicator </w:t>
            </w:r>
          </w:p>
        </w:tc>
        <w:tc>
          <w:tcPr>
            <w:tcW w:w="4032" w:type="pct"/>
            <w:gridSpan w:val="2"/>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jc w:val="both"/>
              <w:rPr>
                <w:rFonts w:cs="Arial"/>
              </w:rPr>
            </w:pPr>
            <w:r w:rsidRPr="006679AA">
              <w:rPr>
                <w:rFonts w:cs="Arial"/>
              </w:rPr>
              <w:t>Jobless families with children as a proportion of all families</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Measure (computation)</w:t>
            </w:r>
          </w:p>
        </w:tc>
        <w:tc>
          <w:tcPr>
            <w:tcW w:w="4032" w:type="pct"/>
            <w:gridSpan w:val="2"/>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spacing w:after="60"/>
              <w:jc w:val="both"/>
              <w:rPr>
                <w:rFonts w:cs="Arial"/>
                <w:szCs w:val="18"/>
                <w:u w:val="single"/>
              </w:rPr>
            </w:pPr>
            <w:r w:rsidRPr="006679AA">
              <w:rPr>
                <w:rFonts w:cs="Arial"/>
                <w:szCs w:val="18"/>
                <w:u w:val="single"/>
              </w:rPr>
              <w:t>Definition:</w:t>
            </w:r>
          </w:p>
          <w:p w:rsidR="008A0DAC" w:rsidRPr="006679AA" w:rsidRDefault="008A0DAC" w:rsidP="00CA444C">
            <w:pPr>
              <w:pStyle w:val="TableBodyText"/>
              <w:keepNext w:val="0"/>
              <w:keepLines w:val="0"/>
              <w:widowControl w:val="0"/>
              <w:shd w:val="clear" w:color="auto" w:fill="FFFFFF" w:themeFill="background1"/>
              <w:spacing w:after="60"/>
              <w:jc w:val="both"/>
              <w:rPr>
                <w:rFonts w:cs="Arial"/>
                <w:szCs w:val="18"/>
              </w:rPr>
            </w:pPr>
            <w:r w:rsidRPr="006679AA">
              <w:rPr>
                <w:rFonts w:cs="Arial"/>
                <w:szCs w:val="18"/>
              </w:rPr>
              <w:t>Jobless families is defined as the number of families without jobs as a proportion of all families. The jobless rate is reported for three measures:</w:t>
            </w:r>
          </w:p>
          <w:p w:rsidR="008A0DAC" w:rsidRPr="006679AA" w:rsidRDefault="00254B95" w:rsidP="00CA444C">
            <w:pPr>
              <w:pStyle w:val="TableBullet"/>
              <w:numPr>
                <w:ilvl w:val="0"/>
                <w:numId w:val="0"/>
              </w:numPr>
              <w:shd w:val="clear" w:color="auto" w:fill="FFFFFF" w:themeFill="background1"/>
            </w:pPr>
            <w:r w:rsidRPr="006679AA">
              <w:t xml:space="preserve">1. jobless </w:t>
            </w:r>
            <w:r w:rsidR="008A0DAC" w:rsidRPr="006679AA">
              <w:t>families</w:t>
            </w:r>
            <w:r w:rsidRPr="006679AA">
              <w:t>,</w:t>
            </w:r>
            <w:r w:rsidR="008A0DAC" w:rsidRPr="006679AA">
              <w:t xml:space="preserve"> as a proportion of all families</w:t>
            </w:r>
          </w:p>
          <w:p w:rsidR="008A0DAC" w:rsidRPr="006679AA" w:rsidRDefault="00254B95" w:rsidP="00CA444C">
            <w:pPr>
              <w:pStyle w:val="TableBullet"/>
              <w:numPr>
                <w:ilvl w:val="0"/>
                <w:numId w:val="0"/>
              </w:numPr>
              <w:shd w:val="clear" w:color="auto" w:fill="FFFFFF" w:themeFill="background1"/>
            </w:pPr>
            <w:r w:rsidRPr="006679AA">
              <w:t xml:space="preserve">2. jobless </w:t>
            </w:r>
            <w:r w:rsidR="008A0DAC" w:rsidRPr="006679AA">
              <w:t>families with dependants (including children aged under 15 years)</w:t>
            </w:r>
            <w:r w:rsidRPr="006679AA">
              <w:t>,</w:t>
            </w:r>
            <w:r w:rsidR="008A0DAC" w:rsidRPr="006679AA">
              <w:t xml:space="preserve"> as a proportion of all families with dependants (including children aged under 15 years)</w:t>
            </w:r>
          </w:p>
          <w:p w:rsidR="008A0DAC" w:rsidRPr="006679AA" w:rsidRDefault="00254B95" w:rsidP="00CA444C">
            <w:pPr>
              <w:pStyle w:val="TableBullet"/>
              <w:numPr>
                <w:ilvl w:val="0"/>
                <w:numId w:val="0"/>
              </w:numPr>
              <w:shd w:val="clear" w:color="auto" w:fill="FFFFFF" w:themeFill="background1"/>
            </w:pPr>
            <w:r w:rsidRPr="006679AA">
              <w:t xml:space="preserve">3. jobless </w:t>
            </w:r>
            <w:r w:rsidR="008A0DAC" w:rsidRPr="006679AA">
              <w:t>families with children aged under 15 years</w:t>
            </w:r>
            <w:r w:rsidRPr="006679AA">
              <w:t>,</w:t>
            </w:r>
            <w:r w:rsidR="008A0DAC" w:rsidRPr="006679AA">
              <w:t xml:space="preserve"> as a proportion of all families with children aged under 15 years.</w:t>
            </w:r>
          </w:p>
          <w:p w:rsidR="001454BC" w:rsidRPr="006679AA" w:rsidRDefault="001454BC" w:rsidP="00CA444C">
            <w:pPr>
              <w:pStyle w:val="TableBullet"/>
              <w:numPr>
                <w:ilvl w:val="0"/>
                <w:numId w:val="0"/>
              </w:numPr>
              <w:shd w:val="clear" w:color="auto" w:fill="FFFFFF" w:themeFill="background1"/>
            </w:pPr>
          </w:p>
          <w:p w:rsidR="006D1B6A" w:rsidRPr="006679AA" w:rsidRDefault="006D1B6A" w:rsidP="00CA444C">
            <w:pPr>
              <w:pStyle w:val="TableBodyText"/>
              <w:shd w:val="clear" w:color="auto" w:fill="FFFFFF" w:themeFill="background1"/>
              <w:jc w:val="both"/>
            </w:pPr>
            <w:r w:rsidRPr="006679AA">
              <w:t>A jobless family is a family where no persons in the family aged 15 years or over are employed. This includes dependants.</w:t>
            </w:r>
            <w:r w:rsidR="00617D91" w:rsidRPr="006679AA">
              <w:t xml:space="preserve"> </w:t>
            </w:r>
            <w:r w:rsidRPr="006679AA">
              <w:t>In a jobless family, all of the family members are either unemployed and/or not in the labour force. Families that have no employed members but do have members that are classified as undetermined in the scope of the labour force survey, such as members of the permanent Australian defence force, are not included in the number of jobless families.</w:t>
            </w:r>
          </w:p>
          <w:p w:rsidR="008A0DAC" w:rsidRPr="006679AA" w:rsidRDefault="008A0DAC" w:rsidP="00CA444C">
            <w:pPr>
              <w:widowControl w:val="0"/>
              <w:shd w:val="clear" w:color="auto" w:fill="FFFFFF" w:themeFill="background1"/>
              <w:spacing w:before="120" w:after="60"/>
              <w:jc w:val="both"/>
              <w:rPr>
                <w:rFonts w:ascii="Arial" w:hAnsi="Arial" w:cs="Arial"/>
                <w:sz w:val="18"/>
                <w:szCs w:val="18"/>
              </w:rPr>
            </w:pPr>
            <w:r w:rsidRPr="006679AA">
              <w:rPr>
                <w:rFonts w:ascii="Arial" w:hAnsi="Arial" w:cs="Arial"/>
                <w:sz w:val="18"/>
                <w:szCs w:val="18"/>
                <w:u w:val="single"/>
              </w:rPr>
              <w:t>Numerators</w:t>
            </w:r>
            <w:r w:rsidRPr="006679AA">
              <w:rPr>
                <w:rFonts w:ascii="Arial" w:hAnsi="Arial" w:cs="Arial"/>
                <w:sz w:val="18"/>
                <w:szCs w:val="18"/>
              </w:rPr>
              <w:t xml:space="preserve">: </w:t>
            </w:r>
          </w:p>
          <w:p w:rsidR="00214BB1" w:rsidRPr="006679AA" w:rsidRDefault="00254B95" w:rsidP="00CA444C">
            <w:pPr>
              <w:pStyle w:val="TableBullet"/>
              <w:numPr>
                <w:ilvl w:val="0"/>
                <w:numId w:val="0"/>
              </w:numPr>
              <w:shd w:val="clear" w:color="auto" w:fill="FFFFFF" w:themeFill="background1"/>
            </w:pPr>
            <w:r w:rsidRPr="006679AA">
              <w:t>1. Number of jobless families</w:t>
            </w:r>
          </w:p>
          <w:p w:rsidR="00254B95" w:rsidRPr="006679AA" w:rsidRDefault="00254B95" w:rsidP="00CA444C">
            <w:pPr>
              <w:pStyle w:val="TableBullet"/>
              <w:numPr>
                <w:ilvl w:val="0"/>
                <w:numId w:val="0"/>
              </w:numPr>
              <w:shd w:val="clear" w:color="auto" w:fill="FFFFFF" w:themeFill="background1"/>
            </w:pPr>
            <w:r w:rsidRPr="006679AA">
              <w:t>2. Number of jobless families with dependants (including children aged under 15 years)</w:t>
            </w:r>
          </w:p>
          <w:p w:rsidR="00254B95" w:rsidRPr="006679AA" w:rsidRDefault="00254B95" w:rsidP="00CA444C">
            <w:pPr>
              <w:pStyle w:val="TableBullet"/>
              <w:numPr>
                <w:ilvl w:val="0"/>
                <w:numId w:val="0"/>
              </w:numPr>
              <w:shd w:val="clear" w:color="auto" w:fill="FFFFFF" w:themeFill="background1"/>
            </w:pPr>
            <w:r w:rsidRPr="006679AA">
              <w:t>3. Number of jobless families with children aged under 15 years.</w:t>
            </w:r>
          </w:p>
          <w:p w:rsidR="008A0DAC" w:rsidRPr="006679AA" w:rsidRDefault="008A0DAC" w:rsidP="00CA444C">
            <w:pPr>
              <w:widowControl w:val="0"/>
              <w:shd w:val="clear" w:color="auto" w:fill="FFFFFF" w:themeFill="background1"/>
              <w:spacing w:before="120" w:after="60"/>
              <w:jc w:val="both"/>
              <w:rPr>
                <w:rFonts w:ascii="Arial" w:hAnsi="Arial" w:cs="Arial"/>
                <w:sz w:val="18"/>
                <w:szCs w:val="18"/>
                <w:u w:val="single"/>
              </w:rPr>
            </w:pPr>
            <w:r w:rsidRPr="006679AA">
              <w:rPr>
                <w:rFonts w:ascii="Arial" w:hAnsi="Arial" w:cs="Arial"/>
                <w:sz w:val="18"/>
                <w:szCs w:val="18"/>
                <w:u w:val="single"/>
              </w:rPr>
              <w:t xml:space="preserve">Denominators: </w:t>
            </w:r>
          </w:p>
          <w:p w:rsidR="00254B95" w:rsidRPr="006679AA" w:rsidRDefault="00254B95" w:rsidP="00CA444C">
            <w:pPr>
              <w:pStyle w:val="TableBullet"/>
              <w:numPr>
                <w:ilvl w:val="0"/>
                <w:numId w:val="0"/>
              </w:numPr>
              <w:shd w:val="clear" w:color="auto" w:fill="FFFFFF" w:themeFill="background1"/>
            </w:pPr>
            <w:r w:rsidRPr="006679AA">
              <w:t>1. Total number of families</w:t>
            </w:r>
          </w:p>
          <w:p w:rsidR="00254B95" w:rsidRPr="006679AA" w:rsidRDefault="00254B95" w:rsidP="00CA444C">
            <w:pPr>
              <w:pStyle w:val="TableBullet"/>
              <w:numPr>
                <w:ilvl w:val="0"/>
                <w:numId w:val="0"/>
              </w:numPr>
              <w:shd w:val="clear" w:color="auto" w:fill="FFFFFF" w:themeFill="background1"/>
            </w:pPr>
            <w:r w:rsidRPr="006679AA">
              <w:t>2. Total number of families with dependants (including children aged under 15 years)</w:t>
            </w:r>
          </w:p>
          <w:p w:rsidR="00214BB1" w:rsidRPr="006679AA" w:rsidRDefault="00254B95" w:rsidP="00CA444C">
            <w:pPr>
              <w:widowControl w:val="0"/>
              <w:shd w:val="clear" w:color="auto" w:fill="FFFFFF" w:themeFill="background1"/>
              <w:spacing w:before="120" w:after="60"/>
              <w:jc w:val="both"/>
              <w:rPr>
                <w:rFonts w:ascii="Arial" w:hAnsi="Arial" w:cs="Arial"/>
                <w:sz w:val="18"/>
                <w:szCs w:val="18"/>
                <w:u w:val="single"/>
              </w:rPr>
            </w:pPr>
            <w:r w:rsidRPr="006679AA">
              <w:rPr>
                <w:rFonts w:ascii="Arial" w:hAnsi="Arial"/>
                <w:sz w:val="18"/>
                <w:szCs w:val="20"/>
              </w:rPr>
              <w:t>3. Total number of families with children aged under 15 years.</w:t>
            </w:r>
          </w:p>
          <w:p w:rsidR="008A0DAC" w:rsidRPr="006679AA" w:rsidRDefault="008A0DAC" w:rsidP="00CA444C">
            <w:pPr>
              <w:keepNext/>
              <w:widowControl w:val="0"/>
              <w:shd w:val="clear" w:color="auto" w:fill="FFFFFF" w:themeFill="background1"/>
              <w:spacing w:before="120" w:after="60"/>
              <w:jc w:val="both"/>
              <w:rPr>
                <w:rFonts w:ascii="Arial" w:hAnsi="Arial" w:cs="Arial"/>
                <w:sz w:val="18"/>
                <w:szCs w:val="18"/>
                <w:u w:val="single"/>
              </w:rPr>
            </w:pPr>
            <w:r w:rsidRPr="006679AA">
              <w:rPr>
                <w:rFonts w:ascii="Arial" w:hAnsi="Arial" w:cs="Arial"/>
                <w:sz w:val="18"/>
                <w:szCs w:val="18"/>
                <w:u w:val="single"/>
              </w:rPr>
              <w:t>Computation:</w:t>
            </w:r>
          </w:p>
          <w:p w:rsidR="008A0DAC" w:rsidRPr="006679AA" w:rsidRDefault="008A0DAC" w:rsidP="00CA444C">
            <w:pPr>
              <w:pStyle w:val="TableBodyText"/>
              <w:keepNext w:val="0"/>
              <w:keepLines w:val="0"/>
              <w:widowControl w:val="0"/>
              <w:shd w:val="clear" w:color="auto" w:fill="FFFFFF" w:themeFill="background1"/>
              <w:jc w:val="both"/>
              <w:rPr>
                <w:rFonts w:cs="Arial"/>
                <w:szCs w:val="18"/>
              </w:rPr>
            </w:pPr>
            <w:r w:rsidRPr="006679AA">
              <w:rPr>
                <w:rFonts w:cs="Arial"/>
                <w:szCs w:val="18"/>
              </w:rPr>
              <w:t xml:space="preserve">Expressed as a percentage. Calculation is: (Numerator </w:t>
            </w:r>
            <w:r w:rsidRPr="006679AA">
              <w:rPr>
                <w:rFonts w:cs="Arial"/>
                <w:szCs w:val="18"/>
              </w:rPr>
              <w:sym w:font="Symbol" w:char="F0B8"/>
            </w:r>
            <w:r w:rsidRPr="006679AA">
              <w:rPr>
                <w:rFonts w:cs="Arial"/>
                <w:szCs w:val="18"/>
              </w:rPr>
              <w:t xml:space="preserve"> Denominator) x 100.</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Data source/s</w:t>
            </w:r>
          </w:p>
        </w:tc>
        <w:tc>
          <w:tcPr>
            <w:tcW w:w="4032" w:type="pct"/>
            <w:gridSpan w:val="2"/>
            <w:tcBorders>
              <w:top w:val="nil"/>
              <w:left w:val="nil"/>
              <w:bottom w:val="nil"/>
              <w:right w:val="nil"/>
            </w:tcBorders>
            <w:shd w:val="clear" w:color="auto" w:fill="auto"/>
          </w:tcPr>
          <w:p w:rsidR="008A0DAC" w:rsidRPr="006679AA" w:rsidRDefault="00C42132" w:rsidP="00CA444C">
            <w:pPr>
              <w:pStyle w:val="TableBodyText"/>
              <w:keepNext w:val="0"/>
              <w:keepLines w:val="0"/>
              <w:widowControl w:val="0"/>
              <w:shd w:val="clear" w:color="auto" w:fill="FFFFFF" w:themeFill="background1"/>
              <w:spacing w:after="60"/>
              <w:jc w:val="both"/>
              <w:rPr>
                <w:rFonts w:cs="Arial"/>
                <w:szCs w:val="18"/>
                <w:u w:val="single"/>
              </w:rPr>
            </w:pPr>
            <w:r>
              <w:rPr>
                <w:rFonts w:cs="Arial"/>
                <w:szCs w:val="18"/>
                <w:u w:val="single"/>
              </w:rPr>
              <w:t>Numerator and denominator</w:t>
            </w:r>
          </w:p>
          <w:p w:rsidR="008A0DAC" w:rsidRPr="006679AA" w:rsidRDefault="008A0DAC" w:rsidP="00C42132">
            <w:pPr>
              <w:pStyle w:val="TableBodyText"/>
              <w:keepNext w:val="0"/>
              <w:keepLines w:val="0"/>
              <w:widowControl w:val="0"/>
              <w:shd w:val="clear" w:color="auto" w:fill="FFFFFF" w:themeFill="background1"/>
              <w:jc w:val="both"/>
              <w:rPr>
                <w:rFonts w:cs="Arial"/>
                <w:szCs w:val="18"/>
              </w:rPr>
            </w:pPr>
            <w:r w:rsidRPr="006679AA">
              <w:rPr>
                <w:rFonts w:cs="Arial"/>
                <w:szCs w:val="18"/>
              </w:rPr>
              <w:t xml:space="preserve">Australian Bureau of Statistics, </w:t>
            </w:r>
            <w:r w:rsidRPr="006679AA">
              <w:rPr>
                <w:rFonts w:cs="Arial"/>
                <w:i/>
                <w:szCs w:val="18"/>
              </w:rPr>
              <w:t>Labour Force, Australia: Labour Force Status and Other Characteristics of Families</w:t>
            </w:r>
            <w:r w:rsidRPr="006679AA">
              <w:rPr>
                <w:rFonts w:cs="Arial"/>
                <w:szCs w:val="18"/>
              </w:rPr>
              <w:t xml:space="preserve">, </w:t>
            </w:r>
            <w:r w:rsidR="00C42132">
              <w:rPr>
                <w:rFonts w:cs="Arial"/>
                <w:szCs w:val="18"/>
              </w:rPr>
              <w:t>various years</w:t>
            </w:r>
            <w:r w:rsidRPr="006679AA">
              <w:rPr>
                <w:rFonts w:cs="Arial"/>
                <w:szCs w:val="18"/>
              </w:rPr>
              <w:t>, cat. no. 6224.0.55.001.</w:t>
            </w:r>
          </w:p>
        </w:tc>
      </w:tr>
      <w:tr w:rsidR="006679AA" w:rsidRPr="006679AA"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jc w:val="both"/>
              <w:rPr>
                <w:rFonts w:cs="Arial"/>
                <w:b/>
                <w:u w:val="single"/>
              </w:rPr>
            </w:pPr>
            <w:r w:rsidRPr="006679AA">
              <w:rPr>
                <w:b/>
                <w:u w:val="single"/>
              </w:rPr>
              <w:t>Data Quality Framework Dimensions</w:t>
            </w:r>
            <w:r w:rsidRPr="006679AA">
              <w:rPr>
                <w:rFonts w:cs="Arial"/>
                <w:b/>
                <w:u w:val="single"/>
              </w:rPr>
              <w:t xml:space="preserve"> </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Institutional environment </w:t>
            </w:r>
          </w:p>
        </w:tc>
        <w:tc>
          <w:tcPr>
            <w:tcW w:w="4032" w:type="pct"/>
            <w:gridSpan w:val="2"/>
            <w:tcBorders>
              <w:top w:val="nil"/>
              <w:left w:val="nil"/>
              <w:bottom w:val="nil"/>
              <w:right w:val="nil"/>
            </w:tcBorders>
            <w:shd w:val="clear" w:color="auto" w:fill="auto"/>
          </w:tcPr>
          <w:p w:rsidR="008A0DAC" w:rsidRPr="006679AA" w:rsidRDefault="008A0DAC" w:rsidP="000441C0">
            <w:pPr>
              <w:pStyle w:val="TableBodyText"/>
              <w:keepNext w:val="0"/>
              <w:keepLines w:val="0"/>
              <w:widowControl w:val="0"/>
              <w:shd w:val="clear" w:color="auto" w:fill="FFFFFF" w:themeFill="background1"/>
              <w:jc w:val="both"/>
              <w:rPr>
                <w:rFonts w:cs="Arial"/>
              </w:rPr>
            </w:pPr>
            <w:r w:rsidRPr="006679AA">
              <w:rPr>
                <w:rFonts w:cs="Arial"/>
              </w:rPr>
              <w:t xml:space="preserve">Data are sourced from the Australian Bureau of Statistics. </w:t>
            </w:r>
            <w:r w:rsidRPr="006679AA">
              <w:t xml:space="preserve">For information on the institutional environment of the ABS, including the legislative obligations of the ABS, which cover this collection, please see </w:t>
            </w:r>
            <w:r w:rsidR="00FD3F15" w:rsidRPr="00381D9E">
              <w:t>ABS Institutional Environment.</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Relevance </w:t>
            </w:r>
          </w:p>
        </w:tc>
        <w:tc>
          <w:tcPr>
            <w:tcW w:w="4032" w:type="pct"/>
            <w:gridSpan w:val="2"/>
            <w:tcBorders>
              <w:top w:val="nil"/>
              <w:left w:val="nil"/>
              <w:bottom w:val="nil"/>
              <w:right w:val="nil"/>
            </w:tcBorders>
            <w:shd w:val="clear" w:color="auto" w:fill="auto"/>
          </w:tcPr>
          <w:p w:rsidR="007E7F3B" w:rsidRPr="006679AA" w:rsidRDefault="008A0DAC" w:rsidP="00CA444C">
            <w:pPr>
              <w:pStyle w:val="TableBodyText"/>
              <w:widowControl w:val="0"/>
              <w:shd w:val="clear" w:color="auto" w:fill="FFFFFF" w:themeFill="background1"/>
              <w:jc w:val="both"/>
              <w:rPr>
                <w:rFonts w:cs="Arial"/>
              </w:rPr>
            </w:pPr>
            <w:r w:rsidRPr="006679AA">
              <w:rPr>
                <w:rFonts w:cs="Arial"/>
              </w:rPr>
              <w:t xml:space="preserve">Jobless families with children </w:t>
            </w:r>
            <w:r w:rsidR="00254B95" w:rsidRPr="006679AA">
              <w:rPr>
                <w:rFonts w:cs="Arial"/>
              </w:rPr>
              <w:t>as a proportion of all families</w:t>
            </w:r>
            <w:r w:rsidRPr="006679AA">
              <w:rPr>
                <w:rFonts w:cs="Arial"/>
              </w:rPr>
              <w:t xml:space="preserve"> is an indicator of governments’ objective to ensure positive family environments for Australia’s children and young people. </w:t>
            </w:r>
          </w:p>
          <w:p w:rsidR="008A0DAC" w:rsidRPr="006679AA" w:rsidRDefault="008A0DAC" w:rsidP="00CA444C">
            <w:pPr>
              <w:pStyle w:val="TableBodyText"/>
              <w:widowControl w:val="0"/>
              <w:shd w:val="clear" w:color="auto" w:fill="FFFFFF" w:themeFill="background1"/>
              <w:jc w:val="both"/>
              <w:rPr>
                <w:rFonts w:cs="Arial"/>
              </w:rPr>
            </w:pPr>
            <w:r w:rsidRPr="006679AA">
              <w:rPr>
                <w:rFonts w:cs="Arial"/>
              </w:rPr>
              <w:t>Family is defined as two or more people, one of whom is at least 15 years of age, who are related by blood, marriage (registered or de facto), adoption, step or fostering, and who are usually resident in the same household. The basis of a family is formed by identifying the presence of a c</w:t>
            </w:r>
            <w:r w:rsidR="00254B95" w:rsidRPr="006679AA">
              <w:rPr>
                <w:rFonts w:cs="Arial"/>
              </w:rPr>
              <w:t>ouple relationship, lone parent</w:t>
            </w:r>
            <w:r w:rsidR="00254B95" w:rsidRPr="006679AA">
              <w:rPr>
                <w:rFonts w:cs="Arial"/>
              </w:rPr>
              <w:noBreakHyphen/>
            </w:r>
            <w:r w:rsidRPr="006679AA">
              <w:rPr>
                <w:rFonts w:cs="Arial"/>
              </w:rPr>
              <w:t>child relationship or other blood relationship. Some households will, therefore, contain more than one family</w:t>
            </w:r>
            <w:r w:rsidR="00254B95" w:rsidRPr="006679AA">
              <w:rPr>
                <w:rFonts w:cs="Arial"/>
              </w:rPr>
              <w:t>.</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Timeliness</w:t>
            </w:r>
            <w:r w:rsidRPr="006679AA">
              <w:rPr>
                <w:rFonts w:cs="Arial"/>
                <w:lang w:val="en-US" w:eastAsia="en-US"/>
              </w:rPr>
              <w:t xml:space="preserve"> </w:t>
            </w:r>
          </w:p>
        </w:tc>
        <w:tc>
          <w:tcPr>
            <w:tcW w:w="4032" w:type="pct"/>
            <w:gridSpan w:val="2"/>
            <w:tcBorders>
              <w:top w:val="nil"/>
              <w:left w:val="nil"/>
              <w:bottom w:val="nil"/>
              <w:right w:val="nil"/>
            </w:tcBorders>
            <w:shd w:val="clear" w:color="auto" w:fill="auto"/>
          </w:tcPr>
          <w:p w:rsidR="008A0DAC" w:rsidRPr="006679AA" w:rsidRDefault="00E738AA" w:rsidP="00CA444C">
            <w:pPr>
              <w:pStyle w:val="TableBodyText"/>
              <w:keepNext w:val="0"/>
              <w:keepLines w:val="0"/>
              <w:widowControl w:val="0"/>
              <w:shd w:val="clear" w:color="auto" w:fill="FFFFFF" w:themeFill="background1"/>
              <w:jc w:val="both"/>
              <w:rPr>
                <w:rFonts w:cs="Arial"/>
              </w:rPr>
            </w:pPr>
            <w:r w:rsidRPr="006679AA">
              <w:rPr>
                <w:rFonts w:cs="Arial"/>
              </w:rPr>
              <w:t xml:space="preserve">The </w:t>
            </w:r>
            <w:r w:rsidRPr="006679AA">
              <w:rPr>
                <w:rFonts w:cs="Arial"/>
                <w:i/>
              </w:rPr>
              <w:t xml:space="preserve">Labour Force Status and Other Characteristics of Families </w:t>
            </w:r>
            <w:r w:rsidRPr="006679AA">
              <w:rPr>
                <w:rFonts w:cs="Arial"/>
              </w:rPr>
              <w:t xml:space="preserve">is produced </w:t>
            </w:r>
            <w:r w:rsidR="00E053AB" w:rsidRPr="006679AA">
              <w:rPr>
                <w:rFonts w:cs="Arial"/>
              </w:rPr>
              <w:t>annually</w:t>
            </w:r>
            <w:r w:rsidRPr="006679AA">
              <w:rPr>
                <w:rFonts w:cs="Arial"/>
              </w:rPr>
              <w:t xml:space="preserve">, based on </w:t>
            </w:r>
            <w:r w:rsidRPr="006679AA">
              <w:rPr>
                <w:rFonts w:cs="Arial"/>
                <w:i/>
              </w:rPr>
              <w:t>Labour Force, Australia</w:t>
            </w:r>
            <w:r w:rsidRPr="006679AA">
              <w:rPr>
                <w:rFonts w:cs="Arial"/>
              </w:rPr>
              <w:t xml:space="preserve"> data.</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Accuracy </w:t>
            </w:r>
          </w:p>
        </w:tc>
        <w:tc>
          <w:tcPr>
            <w:tcW w:w="4032" w:type="pct"/>
            <w:gridSpan w:val="2"/>
            <w:tcBorders>
              <w:top w:val="nil"/>
              <w:left w:val="nil"/>
              <w:bottom w:val="nil"/>
              <w:right w:val="nil"/>
            </w:tcBorders>
            <w:shd w:val="clear" w:color="auto" w:fill="auto"/>
          </w:tcPr>
          <w:p w:rsidR="00254B95" w:rsidRPr="006679AA" w:rsidRDefault="00254B95" w:rsidP="00CA444C">
            <w:pPr>
              <w:pStyle w:val="TableBodyText"/>
              <w:widowControl w:val="0"/>
              <w:shd w:val="clear" w:color="auto" w:fill="FFFFFF" w:themeFill="background1"/>
              <w:jc w:val="both"/>
              <w:rPr>
                <w:rFonts w:cs="Arial"/>
              </w:rPr>
            </w:pPr>
            <w:r w:rsidRPr="006679AA">
              <w:rPr>
                <w:rFonts w:cs="Arial"/>
                <w:i/>
              </w:rPr>
              <w:t>Labour Force Status and Other Characteristics of Families</w:t>
            </w:r>
            <w:r w:rsidR="00FE77C0" w:rsidRPr="006679AA">
              <w:rPr>
                <w:rFonts w:cs="Arial"/>
              </w:rPr>
              <w:t xml:space="preserve">, </w:t>
            </w:r>
            <w:r w:rsidRPr="006679AA">
              <w:rPr>
                <w:rFonts w:cs="Arial"/>
              </w:rPr>
              <w:t xml:space="preserve">is produced from data collected in the June 2012 Labour Force Survey. It includes detailed family data not featured in the monthly </w:t>
            </w:r>
            <w:r w:rsidRPr="006679AA">
              <w:rPr>
                <w:rFonts w:cs="Arial"/>
                <w:i/>
              </w:rPr>
              <w:t>Labour Force, Australia</w:t>
            </w:r>
            <w:r w:rsidRPr="006679AA">
              <w:rPr>
                <w:rFonts w:cs="Arial"/>
              </w:rPr>
              <w:t xml:space="preserve"> (cat. no. 6202.0) or </w:t>
            </w:r>
            <w:r w:rsidRPr="006679AA">
              <w:rPr>
                <w:rFonts w:cs="Arial"/>
                <w:i/>
              </w:rPr>
              <w:t>Labour Force Australia, Detailed — Electronic Delivery</w:t>
            </w:r>
            <w:r w:rsidRPr="006679AA">
              <w:rPr>
                <w:rFonts w:cs="Arial"/>
              </w:rPr>
              <w:t xml:space="preserve"> publications.</w:t>
            </w:r>
          </w:p>
          <w:p w:rsidR="008A0DAC" w:rsidRPr="006679AA" w:rsidRDefault="00254B95" w:rsidP="00CA444C">
            <w:pPr>
              <w:pStyle w:val="TableBodyText"/>
              <w:keepNext w:val="0"/>
              <w:keepLines w:val="0"/>
              <w:widowControl w:val="0"/>
              <w:shd w:val="clear" w:color="auto" w:fill="FFFFFF" w:themeFill="background1"/>
              <w:jc w:val="both"/>
              <w:rPr>
                <w:rFonts w:cs="Arial"/>
              </w:rPr>
            </w:pPr>
            <w:r w:rsidRPr="006679AA">
              <w:rPr>
                <w:rFonts w:cs="Arial"/>
              </w:rPr>
              <w:lastRenderedPageBreak/>
              <w:t xml:space="preserve">As these products are all based on data collected in the Labour Force Survey, the Explanatory Notes of publication </w:t>
            </w:r>
            <w:r w:rsidRPr="006679AA">
              <w:rPr>
                <w:rFonts w:cs="Arial"/>
                <w:i/>
              </w:rPr>
              <w:t>Labour Force, Australia</w:t>
            </w:r>
            <w:r w:rsidRPr="006679AA">
              <w:rPr>
                <w:rFonts w:cs="Arial"/>
              </w:rPr>
              <w:t xml:space="preserve"> are relevant to all three publications. Additional information is provided in </w:t>
            </w:r>
            <w:r w:rsidRPr="006679AA">
              <w:rPr>
                <w:rFonts w:cs="Arial"/>
                <w:i/>
              </w:rPr>
              <w:t>Labour Statistics: Concepts, Sources and Methods</w:t>
            </w:r>
            <w:r w:rsidR="00FE77C0" w:rsidRPr="006679AA">
              <w:rPr>
                <w:rFonts w:cs="Arial"/>
              </w:rPr>
              <w:t>.</w:t>
            </w:r>
          </w:p>
          <w:p w:rsidR="00E053AB" w:rsidRPr="006679AA" w:rsidRDefault="00E053AB" w:rsidP="00CA444C">
            <w:pPr>
              <w:pStyle w:val="TableBodyText"/>
              <w:keepNext w:val="0"/>
              <w:keepLines w:val="0"/>
              <w:widowControl w:val="0"/>
              <w:shd w:val="clear" w:color="auto" w:fill="FFFFFF" w:themeFill="background1"/>
              <w:jc w:val="both"/>
              <w:rPr>
                <w:rFonts w:cs="Arial"/>
              </w:rPr>
            </w:pPr>
            <w:r w:rsidRPr="006679AA">
              <w:rPr>
                <w:rFonts w:cs="Arial"/>
              </w:rPr>
              <w:t xml:space="preserve">The Labour Force Survey </w:t>
            </w:r>
            <w:r w:rsidR="006D1B6A" w:rsidRPr="006679AA">
              <w:rPr>
                <w:rFonts w:cs="Arial"/>
              </w:rPr>
              <w:t xml:space="preserve">in 2012 was </w:t>
            </w:r>
            <w:r w:rsidRPr="006679AA">
              <w:rPr>
                <w:rFonts w:cs="Arial"/>
              </w:rPr>
              <w:t>based on a sample of priv</w:t>
            </w:r>
            <w:r w:rsidR="00DD62D7" w:rsidRPr="006679AA">
              <w:rPr>
                <w:rFonts w:cs="Arial"/>
              </w:rPr>
              <w:t>ate dwellings (approximately 29 </w:t>
            </w:r>
            <w:r w:rsidRPr="006679AA">
              <w:rPr>
                <w:rFonts w:cs="Arial"/>
              </w:rPr>
              <w:t>000 houses, flats etc) and non</w:t>
            </w:r>
            <w:r w:rsidR="002A0059" w:rsidRPr="006679AA">
              <w:rPr>
                <w:rFonts w:cs="Arial"/>
              </w:rPr>
              <w:noBreakHyphen/>
            </w:r>
            <w:r w:rsidRPr="006679AA">
              <w:rPr>
                <w:rFonts w:cs="Arial"/>
              </w:rPr>
              <w:t>private dwellings, such as hotels and motels. The sample covers about 0.33</w:t>
            </w:r>
            <w:r w:rsidR="00DD62D7" w:rsidRPr="006679AA">
              <w:rPr>
                <w:rFonts w:cs="Arial"/>
              </w:rPr>
              <w:t xml:space="preserve"> per cent</w:t>
            </w:r>
            <w:r w:rsidRPr="006679AA">
              <w:rPr>
                <w:rFonts w:cs="Arial"/>
              </w:rPr>
              <w:t xml:space="preserve"> of the Australian civilian population aged 15 years or over. The Labour Force Survey is designed primarily to provide estimates of key labour force statistics for the whole of Australia and, secondarily, for each </w:t>
            </w:r>
            <w:r w:rsidR="000441C0" w:rsidRPr="006679AA">
              <w:rPr>
                <w:rFonts w:cs="Arial"/>
              </w:rPr>
              <w:t>S</w:t>
            </w:r>
            <w:r w:rsidRPr="006679AA">
              <w:rPr>
                <w:rFonts w:cs="Arial"/>
              </w:rPr>
              <w:t xml:space="preserve">tate and </w:t>
            </w:r>
            <w:r w:rsidR="000441C0" w:rsidRPr="006679AA">
              <w:rPr>
                <w:rFonts w:cs="Arial"/>
              </w:rPr>
              <w:t>T</w:t>
            </w:r>
            <w:r w:rsidRPr="006679AA">
              <w:rPr>
                <w:rFonts w:cs="Arial"/>
              </w:rPr>
              <w:t>erritory.</w:t>
            </w:r>
          </w:p>
          <w:p w:rsidR="003248D9" w:rsidRPr="006679AA" w:rsidRDefault="00C12E81" w:rsidP="00FE77C0">
            <w:pPr>
              <w:pStyle w:val="TableBodyText"/>
              <w:keepNext w:val="0"/>
              <w:keepLines w:val="0"/>
              <w:widowControl w:val="0"/>
              <w:shd w:val="clear" w:color="auto" w:fill="FFFFFF" w:themeFill="background1"/>
              <w:jc w:val="both"/>
              <w:rPr>
                <w:rFonts w:cs="Arial"/>
              </w:rPr>
            </w:pPr>
            <w:r w:rsidRPr="006679AA">
              <w:rPr>
                <w:rFonts w:cs="Arial"/>
              </w:rPr>
              <w:t>The Labour Force Survey is a sample survey</w:t>
            </w:r>
            <w:r w:rsidR="003248D9" w:rsidRPr="006679AA">
              <w:rPr>
                <w:rFonts w:cs="Arial"/>
              </w:rPr>
              <w:t>. All sample surveys are subject to sampling and non</w:t>
            </w:r>
            <w:r w:rsidR="002A0059" w:rsidRPr="006679AA">
              <w:rPr>
                <w:rFonts w:cs="Arial"/>
              </w:rPr>
              <w:noBreakHyphen/>
            </w:r>
            <w:r w:rsidR="003248D9" w:rsidRPr="006679AA">
              <w:rPr>
                <w:rFonts w:cs="Arial"/>
              </w:rPr>
              <w:t xml:space="preserve">sampling error. The </w:t>
            </w:r>
            <w:r w:rsidR="00FE77C0" w:rsidRPr="006679AA">
              <w:rPr>
                <w:rFonts w:cs="Arial"/>
              </w:rPr>
              <w:t>Report</w:t>
            </w:r>
            <w:r w:rsidR="003248D9" w:rsidRPr="006679AA">
              <w:rPr>
                <w:rFonts w:cs="Arial"/>
              </w:rPr>
              <w:t xml:space="preserve"> includes information on Relative Standard Errors (RSEs) of estimates. RSEs indicate the reliability of an estimate. RSEs show the size of the error relative to the estimate. The higher the RSE, the less confidence there is that the estimate from the sample is close to the true value of the population mean. Where an estimate or proportion has a RSE between 25 per cent and 50 per cent, the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lastRenderedPageBreak/>
              <w:t xml:space="preserve">Coherence </w:t>
            </w:r>
          </w:p>
        </w:tc>
        <w:tc>
          <w:tcPr>
            <w:tcW w:w="4032" w:type="pct"/>
            <w:gridSpan w:val="2"/>
            <w:tcBorders>
              <w:top w:val="nil"/>
              <w:left w:val="nil"/>
              <w:bottom w:val="nil"/>
              <w:right w:val="nil"/>
            </w:tcBorders>
            <w:shd w:val="clear" w:color="auto" w:fill="auto"/>
          </w:tcPr>
          <w:p w:rsidR="00E053AB" w:rsidRPr="006679AA" w:rsidRDefault="00E053AB" w:rsidP="00CA444C">
            <w:pPr>
              <w:pStyle w:val="TableBodyText"/>
              <w:widowControl w:val="0"/>
              <w:shd w:val="clear" w:color="auto" w:fill="FFFFFF" w:themeFill="background1"/>
              <w:jc w:val="both"/>
              <w:rPr>
                <w:rFonts w:cs="Arial"/>
              </w:rPr>
            </w:pPr>
            <w:r w:rsidRPr="006679AA">
              <w:rPr>
                <w:rFonts w:cs="Arial"/>
              </w:rPr>
              <w:t xml:space="preserve">The ABS has been conducting the Labour Force Survey each month since February 1978. While seeking to provide a high degree of consistency and comparability over time by minimising changes to the survey, sound survey practice requires careful and continuing maintenance and development to maintain the integrity of the data and the efficiency of the collection. </w:t>
            </w:r>
          </w:p>
          <w:p w:rsidR="008A0DAC" w:rsidRPr="006679AA" w:rsidRDefault="00E053AB" w:rsidP="00CA444C">
            <w:pPr>
              <w:pStyle w:val="TableBodyText"/>
              <w:keepNext w:val="0"/>
              <w:keepLines w:val="0"/>
              <w:widowControl w:val="0"/>
              <w:shd w:val="clear" w:color="auto" w:fill="FFFFFF" w:themeFill="background1"/>
              <w:jc w:val="both"/>
              <w:rPr>
                <w:rFonts w:cs="Arial"/>
              </w:rPr>
            </w:pPr>
            <w:r w:rsidRPr="006679AA">
              <w:rPr>
                <w:rFonts w:cs="Arial"/>
              </w:rPr>
              <w:t xml:space="preserve">The changes which have been made to the Labour Force Survey have included changes in sampling methods, estimation methods, concepts, data item definitions, classifications, and time series analysis techniques. In introducing these changes the ABS has generally revised previous estimates to ensure consistency and coherence with current estimates. For a full list of changes made to the Labour Force Survey see </w:t>
            </w:r>
            <w:r w:rsidR="002A0059" w:rsidRPr="006679AA">
              <w:rPr>
                <w:rFonts w:cs="Arial"/>
              </w:rPr>
              <w:t>c</w:t>
            </w:r>
            <w:r w:rsidRPr="006679AA">
              <w:rPr>
                <w:rFonts w:cs="Arial"/>
              </w:rPr>
              <w:t>hapter</w:t>
            </w:r>
            <w:r w:rsidR="002A0059" w:rsidRPr="006679AA">
              <w:rPr>
                <w:rFonts w:cs="Arial"/>
              </w:rPr>
              <w:t> </w:t>
            </w:r>
            <w:r w:rsidRPr="006679AA">
              <w:rPr>
                <w:rFonts w:cs="Arial"/>
              </w:rPr>
              <w:t xml:space="preserve">20 in </w:t>
            </w:r>
            <w:r w:rsidRPr="006679AA">
              <w:rPr>
                <w:rFonts w:cs="Arial"/>
                <w:i/>
              </w:rPr>
              <w:t xml:space="preserve">Labour Statistics: Concepts, Sources and Methods </w:t>
            </w:r>
            <w:r w:rsidRPr="006679AA">
              <w:rPr>
                <w:rFonts w:cs="Arial"/>
              </w:rPr>
              <w:t>(cat. no. 6102.0.55.001).</w:t>
            </w:r>
          </w:p>
          <w:p w:rsidR="00E053AB" w:rsidRPr="006679AA" w:rsidRDefault="00E053AB" w:rsidP="00CA444C">
            <w:pPr>
              <w:pStyle w:val="TableBodyText"/>
              <w:keepNext w:val="0"/>
              <w:keepLines w:val="0"/>
              <w:widowControl w:val="0"/>
              <w:shd w:val="clear" w:color="auto" w:fill="FFFFFF" w:themeFill="background1"/>
              <w:jc w:val="both"/>
              <w:rPr>
                <w:rFonts w:cs="Arial"/>
              </w:rPr>
            </w:pPr>
            <w:r w:rsidRPr="006679AA">
              <w:rPr>
                <w:rFonts w:cs="Arial"/>
                <w:i/>
              </w:rPr>
              <w:t xml:space="preserve">Labour Force Status and Other Characteristics of Families </w:t>
            </w:r>
            <w:r w:rsidRPr="006679AA">
              <w:rPr>
                <w:rFonts w:cs="Arial"/>
              </w:rPr>
              <w:t xml:space="preserve">data are based on data collected via the Labour Force Survey and population data collected as part of Australian Demographic </w:t>
            </w:r>
            <w:r w:rsidR="00271893" w:rsidRPr="006679AA">
              <w:rPr>
                <w:rFonts w:cs="Arial"/>
              </w:rPr>
              <w:t>Statistics</w:t>
            </w:r>
            <w:r w:rsidRPr="006679AA">
              <w:rPr>
                <w:rFonts w:cs="Arial"/>
              </w:rPr>
              <w:t xml:space="preserve"> (cat. no. 3101.0).</w:t>
            </w:r>
            <w:r w:rsidR="00271893" w:rsidRPr="006679AA">
              <w:rPr>
                <w:rFonts w:cs="Arial"/>
              </w:rPr>
              <w:t xml:space="preserve"> </w:t>
            </w:r>
            <w:r w:rsidR="009B45AF" w:rsidRPr="006679AA">
              <w:rPr>
                <w:rFonts w:cs="Arial"/>
              </w:rPr>
              <w:t>Since the most recently released ERP estimates lag the current time period for labour force survey estimates by nine months, the population benchmarks for the Labour Force Survey are created by projecting forward three quarters past the most recently released quarterly ERP estimates.</w:t>
            </w:r>
          </w:p>
          <w:p w:rsidR="0024678B" w:rsidRPr="006679AA" w:rsidRDefault="0024678B" w:rsidP="00FE77C0">
            <w:pPr>
              <w:pStyle w:val="TableBodyText"/>
              <w:keepNext w:val="0"/>
              <w:keepLines w:val="0"/>
              <w:widowControl w:val="0"/>
              <w:shd w:val="clear" w:color="auto" w:fill="FFFFFF" w:themeFill="background1"/>
              <w:jc w:val="both"/>
              <w:rPr>
                <w:rFonts w:cs="Arial"/>
              </w:rPr>
            </w:pPr>
            <w:r w:rsidRPr="006679AA">
              <w:rPr>
                <w:rFonts w:cs="Arial"/>
              </w:rPr>
              <w:t xml:space="preserve">Every five years, the ERP series are revised to incorporate additional information available from the latest </w:t>
            </w:r>
            <w:r w:rsidR="00FE77C0" w:rsidRPr="006679AA">
              <w:rPr>
                <w:rFonts w:cs="Arial"/>
              </w:rPr>
              <w:t>Census</w:t>
            </w:r>
            <w:r w:rsidRPr="006679AA">
              <w:rPr>
                <w:rFonts w:cs="Arial"/>
              </w:rPr>
              <w:t>. Labour Force Survey population benchmarks, and the estimates, are revised following this five</w:t>
            </w:r>
            <w:r w:rsidR="002A0059" w:rsidRPr="006679AA">
              <w:rPr>
                <w:rFonts w:cs="Arial"/>
              </w:rPr>
              <w:noBreakHyphen/>
            </w:r>
            <w:r w:rsidRPr="006679AA">
              <w:rPr>
                <w:rFonts w:cs="Arial"/>
              </w:rPr>
              <w:t xml:space="preserve">yearly revision in the ERP. The process of incorporating the revised population benchmarks is referred to as </w:t>
            </w:r>
            <w:r w:rsidR="002A0059" w:rsidRPr="006679AA">
              <w:rPr>
                <w:rFonts w:cs="Arial"/>
              </w:rPr>
              <w:t>‘</w:t>
            </w:r>
            <w:r w:rsidRPr="006679AA">
              <w:rPr>
                <w:rFonts w:cs="Arial"/>
              </w:rPr>
              <w:t>rebasing</w:t>
            </w:r>
            <w:r w:rsidR="002A0059" w:rsidRPr="006679AA">
              <w:rPr>
                <w:rFonts w:cs="Arial"/>
              </w:rPr>
              <w:t>’</w:t>
            </w:r>
            <w:r w:rsidRPr="006679AA">
              <w:rPr>
                <w:rFonts w:cs="Arial"/>
              </w:rPr>
              <w:t>. From the January 2014, labour force estimates have been compiled using population benchmarks based on the results of the 2011 Census. Revisions were made to historical Labour Force estimates from June 1991 to December 2013. However the estimates in this indicator have not been rebased and therefore do not reflect the latest revisions to labour force released in February 2014.</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Accessibility </w:t>
            </w:r>
          </w:p>
        </w:tc>
        <w:tc>
          <w:tcPr>
            <w:tcW w:w="4032" w:type="pct"/>
            <w:gridSpan w:val="2"/>
            <w:tcBorders>
              <w:top w:val="nil"/>
              <w:left w:val="nil"/>
              <w:bottom w:val="nil"/>
              <w:right w:val="nil"/>
            </w:tcBorders>
            <w:shd w:val="clear" w:color="auto" w:fill="auto"/>
          </w:tcPr>
          <w:p w:rsidR="008A0DAC" w:rsidRPr="006679AA" w:rsidRDefault="009B45AF" w:rsidP="00FE77C0">
            <w:pPr>
              <w:pStyle w:val="TableBodyText"/>
              <w:keepNext w:val="0"/>
              <w:keepLines w:val="0"/>
              <w:widowControl w:val="0"/>
              <w:shd w:val="clear" w:color="auto" w:fill="FFFFFF" w:themeFill="background1"/>
              <w:jc w:val="both"/>
              <w:rPr>
                <w:rFonts w:cs="Arial"/>
              </w:rPr>
            </w:pPr>
            <w:r w:rsidRPr="006679AA">
              <w:rPr>
                <w:rFonts w:cs="Arial"/>
              </w:rPr>
              <w:t>A range of data drawn from the Labour Force Survey are available on the ABS website</w:t>
            </w:r>
            <w:r w:rsidR="00FE77C0" w:rsidRPr="006679AA">
              <w:rPr>
                <w:rFonts w:cs="Arial"/>
              </w:rPr>
              <w:t xml:space="preserve">. </w:t>
            </w:r>
            <w:r w:rsidRPr="006679AA">
              <w:rPr>
                <w:rFonts w:cs="Arial"/>
              </w:rPr>
              <w:t>Additional data can be accessed from the ABS. Costs are associated with additional data and vary depending on the type of request.</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ind w:left="0"/>
              <w:jc w:val="left"/>
              <w:rPr>
                <w:rFonts w:cs="Arial"/>
                <w:b/>
              </w:rPr>
            </w:pPr>
            <w:r w:rsidRPr="006679AA">
              <w:rPr>
                <w:rFonts w:cs="Arial"/>
                <w:b/>
              </w:rPr>
              <w:t xml:space="preserve">Interpretability </w:t>
            </w:r>
          </w:p>
        </w:tc>
        <w:tc>
          <w:tcPr>
            <w:tcW w:w="4032" w:type="pct"/>
            <w:gridSpan w:val="2"/>
            <w:tcBorders>
              <w:top w:val="nil"/>
              <w:left w:val="nil"/>
              <w:bottom w:val="nil"/>
              <w:right w:val="nil"/>
            </w:tcBorders>
            <w:shd w:val="clear" w:color="auto" w:fill="auto"/>
          </w:tcPr>
          <w:p w:rsidR="008A0DAC" w:rsidRPr="006679AA" w:rsidRDefault="008A0DAC" w:rsidP="00FD3F15">
            <w:pPr>
              <w:pStyle w:val="TableBodyText"/>
              <w:keepNext w:val="0"/>
              <w:keepLines w:val="0"/>
              <w:widowControl w:val="0"/>
              <w:shd w:val="clear" w:color="auto" w:fill="FFFFFF" w:themeFill="background1"/>
              <w:jc w:val="both"/>
              <w:rPr>
                <w:rFonts w:cs="Arial"/>
              </w:rPr>
            </w:pPr>
            <w:r w:rsidRPr="006679AA">
              <w:rPr>
                <w:rFonts w:cs="Arial"/>
              </w:rPr>
              <w:t>Further</w:t>
            </w:r>
            <w:r w:rsidRPr="006679AA">
              <w:rPr>
                <w:rFonts w:cs="Arial"/>
                <w:szCs w:val="18"/>
              </w:rPr>
              <w:t xml:space="preserve"> technical details are available </w:t>
            </w:r>
            <w:r w:rsidR="009B45AF" w:rsidRPr="006679AA">
              <w:rPr>
                <w:rFonts w:cs="Arial"/>
                <w:szCs w:val="18"/>
              </w:rPr>
              <w:t>on</w:t>
            </w:r>
            <w:r w:rsidRPr="006679AA">
              <w:rPr>
                <w:rFonts w:cs="Arial"/>
                <w:szCs w:val="18"/>
              </w:rPr>
              <w:t xml:space="preserve"> the </w:t>
            </w:r>
            <w:r w:rsidR="00FD3F15" w:rsidRPr="00381D9E">
              <w:rPr>
                <w:rFonts w:cs="Arial"/>
                <w:szCs w:val="18"/>
              </w:rPr>
              <w:t>ABS website.</w:t>
            </w:r>
          </w:p>
        </w:tc>
      </w:tr>
      <w:tr w:rsidR="006679AA" w:rsidRPr="006679AA"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jc w:val="both"/>
              <w:rPr>
                <w:b/>
              </w:rPr>
            </w:pPr>
            <w:r w:rsidRPr="006679AA">
              <w:rPr>
                <w:b/>
                <w:u w:val="single"/>
              </w:rPr>
              <w:t>Data Gaps/Issues Analysis</w:t>
            </w:r>
          </w:p>
        </w:tc>
      </w:tr>
      <w:tr w:rsidR="006679AA" w:rsidRPr="006679AA"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spacing w:before="120"/>
              <w:ind w:left="0"/>
              <w:jc w:val="left"/>
              <w:rPr>
                <w:rFonts w:cs="Arial"/>
                <w:b/>
                <w:szCs w:val="22"/>
              </w:rPr>
            </w:pPr>
            <w:r w:rsidRPr="006679AA">
              <w:rPr>
                <w:rFonts w:cs="Arial"/>
                <w:b/>
                <w:szCs w:val="22"/>
              </w:rPr>
              <w:t>Key data gaps/issues</w:t>
            </w:r>
          </w:p>
        </w:tc>
        <w:tc>
          <w:tcPr>
            <w:tcW w:w="4032" w:type="pct"/>
            <w:gridSpan w:val="2"/>
            <w:tcBorders>
              <w:top w:val="nil"/>
              <w:left w:val="nil"/>
              <w:bottom w:val="nil"/>
              <w:right w:val="nil"/>
            </w:tcBorders>
            <w:shd w:val="clear" w:color="auto" w:fill="auto"/>
          </w:tcPr>
          <w:p w:rsidR="008A0DAC" w:rsidRPr="006679AA" w:rsidRDefault="008A0DAC" w:rsidP="00CA444C">
            <w:pPr>
              <w:pStyle w:val="TableBodyText"/>
              <w:keepNext w:val="0"/>
              <w:keepLines w:val="0"/>
              <w:widowControl w:val="0"/>
              <w:shd w:val="clear" w:color="auto" w:fill="FFFFFF" w:themeFill="background1"/>
              <w:spacing w:after="60"/>
              <w:jc w:val="both"/>
              <w:rPr>
                <w:rFonts w:cs="Arial"/>
              </w:rPr>
            </w:pPr>
            <w:r w:rsidRPr="006679AA">
              <w:rPr>
                <w:rFonts w:cs="Arial"/>
              </w:rPr>
              <w:t>The Steering Committee notes the following issues:</w:t>
            </w:r>
          </w:p>
          <w:p w:rsidR="00672EE6" w:rsidRPr="006679AA" w:rsidRDefault="00672EE6" w:rsidP="00CA444C">
            <w:pPr>
              <w:pStyle w:val="TableBullet"/>
              <w:shd w:val="clear" w:color="auto" w:fill="FFFFFF" w:themeFill="background1"/>
              <w:rPr>
                <w:rFonts w:cs="Arial"/>
              </w:rPr>
            </w:pPr>
            <w:r w:rsidRPr="006679AA">
              <w:rPr>
                <w:rFonts w:cs="Arial"/>
              </w:rPr>
              <w:t xml:space="preserve">data are </w:t>
            </w:r>
            <w:r w:rsidRPr="006679AA">
              <w:rPr>
                <w:shd w:val="clear" w:color="auto" w:fill="FFFFFF" w:themeFill="background1"/>
              </w:rPr>
              <w:t>comparable</w:t>
            </w:r>
            <w:r w:rsidRPr="006679AA">
              <w:rPr>
                <w:rFonts w:cs="Arial"/>
              </w:rPr>
              <w:t xml:space="preserve"> (subject to caveats) for 2012</w:t>
            </w:r>
          </w:p>
          <w:p w:rsidR="00672EE6" w:rsidRPr="006679AA" w:rsidRDefault="00672EE6" w:rsidP="00CA444C">
            <w:pPr>
              <w:pStyle w:val="TableBullet"/>
              <w:shd w:val="clear" w:color="auto" w:fill="FFFFFF" w:themeFill="background1"/>
              <w:rPr>
                <w:rFonts w:cs="Arial"/>
              </w:rPr>
            </w:pPr>
            <w:r w:rsidRPr="006679AA">
              <w:rPr>
                <w:rFonts w:cs="Arial"/>
              </w:rPr>
              <w:t>2013 data were not available for reporting this year.</w:t>
            </w:r>
          </w:p>
          <w:p w:rsidR="008A0DAC" w:rsidRPr="006679AA" w:rsidRDefault="00672EE6" w:rsidP="00CA444C">
            <w:pPr>
              <w:pStyle w:val="TableBullet"/>
              <w:shd w:val="clear" w:color="auto" w:fill="FFFFFF" w:themeFill="background1"/>
              <w:rPr>
                <w:rStyle w:val="DraftingNote0"/>
                <w:color w:val="auto"/>
                <w:sz w:val="20"/>
              </w:rPr>
            </w:pPr>
            <w:r w:rsidRPr="006679AA">
              <w:t>disaggregation of this indicator by State and Territory is a priority.</w:t>
            </w:r>
            <w:r w:rsidRPr="006679AA">
              <w:rPr>
                <w:shd w:val="clear" w:color="auto" w:fill="A6A6A6" w:themeFill="background1" w:themeFillShade="A6"/>
              </w:rPr>
              <w:t xml:space="preserve"> </w:t>
            </w:r>
          </w:p>
        </w:tc>
      </w:tr>
    </w:tbl>
    <w:p w:rsidR="00F844C0" w:rsidRPr="00F844C0" w:rsidRDefault="00F844C0" w:rsidP="00CA444C">
      <w:pPr>
        <w:pStyle w:val="BodyText"/>
        <w:shd w:val="clear" w:color="auto" w:fill="FFFFFF" w:themeFill="background1"/>
        <w:rPr>
          <w:rFonts w:ascii="Arial" w:hAnsi="Arial"/>
          <w:sz w:val="26"/>
        </w:rPr>
      </w:pPr>
      <w:r w:rsidRPr="00F844C0">
        <w:br w:type="page"/>
      </w:r>
    </w:p>
    <w:p w:rsidR="00A420D4" w:rsidRPr="00F844C0" w:rsidRDefault="00370A5F" w:rsidP="00CA444C">
      <w:pPr>
        <w:pStyle w:val="Heading2nosectionno"/>
        <w:shd w:val="clear" w:color="auto" w:fill="FFFFFF" w:themeFill="background1"/>
        <w:rPr>
          <w:szCs w:val="24"/>
        </w:rPr>
      </w:pPr>
      <w:bookmarkStart w:id="24" w:name="_Toc435608950"/>
      <w:r w:rsidRPr="00F844C0">
        <w:rPr>
          <w:szCs w:val="24"/>
        </w:rPr>
        <w:lastRenderedPageBreak/>
        <w:t>Improving child development</w:t>
      </w:r>
      <w:bookmarkEnd w:id="24"/>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18" w:type="pct"/>
        <w:tblCellMar>
          <w:left w:w="0" w:type="dxa"/>
          <w:right w:w="0" w:type="dxa"/>
        </w:tblCellMar>
        <w:tblLook w:val="0000" w:firstRow="0" w:lastRow="0" w:firstColumn="0" w:lastColumn="0" w:noHBand="0" w:noVBand="0"/>
      </w:tblPr>
      <w:tblGrid>
        <w:gridCol w:w="1799"/>
        <w:gridCol w:w="6990"/>
        <w:gridCol w:w="32"/>
      </w:tblGrid>
      <w:tr w:rsidR="00A420D4" w:rsidRPr="00F844C0" w:rsidTr="000D59CA">
        <w:trPr>
          <w:gridAfter w:val="1"/>
          <w:wAfter w:w="18" w:type="pct"/>
        </w:trPr>
        <w:tc>
          <w:tcPr>
            <w:tcW w:w="4982" w:type="pct"/>
            <w:gridSpan w:val="2"/>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3980" w:type="pct"/>
            <w:gridSpan w:val="2"/>
            <w:tcBorders>
              <w:top w:val="nil"/>
              <w:left w:val="nil"/>
              <w:bottom w:val="nil"/>
              <w:right w:val="nil"/>
            </w:tcBorders>
            <w:shd w:val="clear" w:color="auto" w:fill="auto"/>
          </w:tcPr>
          <w:p w:rsidR="00A420D4"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Improving child development</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3980" w:type="pct"/>
            <w:gridSpan w:val="2"/>
            <w:tcBorders>
              <w:top w:val="nil"/>
              <w:left w:val="nil"/>
              <w:bottom w:val="nil"/>
              <w:right w:val="nil"/>
            </w:tcBorders>
            <w:shd w:val="clear" w:color="auto" w:fill="auto"/>
          </w:tcPr>
          <w:p w:rsidR="00F33F3E" w:rsidRPr="00F844C0" w:rsidRDefault="00F33F3E" w:rsidP="00FD3F15">
            <w:pPr>
              <w:pStyle w:val="TableBodyText"/>
              <w:keepNext w:val="0"/>
              <w:keepLines w:val="0"/>
              <w:widowControl w:val="0"/>
              <w:shd w:val="clear" w:color="auto" w:fill="FFFFFF" w:themeFill="background1"/>
              <w:spacing w:after="0"/>
              <w:jc w:val="both"/>
              <w:rPr>
                <w:rFonts w:cs="Arial"/>
                <w:szCs w:val="18"/>
                <w:u w:val="single"/>
              </w:rPr>
            </w:pPr>
            <w:r w:rsidRPr="00F844C0">
              <w:rPr>
                <w:rFonts w:cs="Arial"/>
                <w:szCs w:val="18"/>
                <w:u w:val="single"/>
              </w:rPr>
              <w:t>Definition:</w:t>
            </w:r>
          </w:p>
          <w:p w:rsidR="00DD62D7" w:rsidRDefault="00F33F3E" w:rsidP="00FD3F15">
            <w:pPr>
              <w:widowControl w:val="0"/>
              <w:shd w:val="clear" w:color="auto" w:fill="FFFFFF" w:themeFill="background1"/>
              <w:jc w:val="both"/>
              <w:rPr>
                <w:rFonts w:ascii="Arial" w:hAnsi="Arial" w:cs="Arial"/>
                <w:sz w:val="18"/>
                <w:szCs w:val="18"/>
              </w:rPr>
            </w:pPr>
            <w:r w:rsidRPr="00DD62D7">
              <w:rPr>
                <w:rFonts w:ascii="Arial" w:hAnsi="Arial" w:cs="Arial"/>
                <w:sz w:val="18"/>
                <w:szCs w:val="18"/>
              </w:rPr>
              <w:t xml:space="preserve">Improving child development is defined as the proportion of children who are developmentally vulnerable on one or more </w:t>
            </w:r>
            <w:r w:rsidR="00DD62D7" w:rsidRPr="00DD62D7">
              <w:rPr>
                <w:rFonts w:ascii="Arial" w:hAnsi="Arial" w:cs="Arial"/>
                <w:sz w:val="18"/>
                <w:szCs w:val="18"/>
              </w:rPr>
              <w:t>Australian Early Development Census (AEDC)</w:t>
            </w:r>
            <w:r w:rsidR="00DD62D7">
              <w:rPr>
                <w:rFonts w:ascii="Arial" w:hAnsi="Arial" w:cs="Arial"/>
                <w:sz w:val="18"/>
                <w:szCs w:val="18"/>
              </w:rPr>
              <w:t>.</w:t>
            </w:r>
          </w:p>
          <w:p w:rsidR="00F33F3E" w:rsidRPr="00F844C0" w:rsidRDefault="00F33F3E" w:rsidP="00FD3F15">
            <w:pPr>
              <w:widowControl w:val="0"/>
              <w:shd w:val="clear" w:color="auto" w:fill="FFFFFF" w:themeFill="background1"/>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F33F3E" w:rsidRPr="00F844C0" w:rsidRDefault="00F33F3E" w:rsidP="00FD3F15">
            <w:pPr>
              <w:widowControl w:val="0"/>
              <w:shd w:val="clear" w:color="auto" w:fill="FFFFFF" w:themeFill="background1"/>
              <w:jc w:val="both"/>
              <w:rPr>
                <w:rFonts w:ascii="Arial" w:hAnsi="Arial" w:cs="Arial"/>
                <w:sz w:val="18"/>
                <w:szCs w:val="18"/>
              </w:rPr>
            </w:pPr>
            <w:r w:rsidRPr="00F844C0">
              <w:rPr>
                <w:rFonts w:ascii="Arial" w:hAnsi="Arial" w:cs="Arial"/>
                <w:sz w:val="18"/>
                <w:szCs w:val="18"/>
              </w:rPr>
              <w:t xml:space="preserve">The number of children who are developmentally vulnerable on one or more </w:t>
            </w:r>
            <w:r w:rsidR="00DD62D7">
              <w:rPr>
                <w:rFonts w:ascii="Arial" w:hAnsi="Arial" w:cs="Arial"/>
                <w:sz w:val="18"/>
                <w:szCs w:val="18"/>
              </w:rPr>
              <w:t>AEDC</w:t>
            </w:r>
            <w:r w:rsidRPr="00F844C0">
              <w:rPr>
                <w:rFonts w:ascii="Arial" w:hAnsi="Arial" w:cs="Arial"/>
                <w:sz w:val="18"/>
                <w:szCs w:val="18"/>
              </w:rPr>
              <w:t xml:space="preserve"> domains. </w:t>
            </w:r>
          </w:p>
          <w:p w:rsidR="00F33F3E" w:rsidRPr="00F844C0" w:rsidRDefault="00F33F3E" w:rsidP="00FD3F15">
            <w:pPr>
              <w:widowControl w:val="0"/>
              <w:shd w:val="clear" w:color="auto" w:fill="FFFFFF" w:themeFill="background1"/>
              <w:jc w:val="both"/>
              <w:rPr>
                <w:rFonts w:ascii="Arial" w:hAnsi="Arial" w:cs="Arial"/>
                <w:sz w:val="18"/>
                <w:szCs w:val="18"/>
                <w:u w:val="single"/>
              </w:rPr>
            </w:pPr>
            <w:r w:rsidRPr="00F844C0">
              <w:rPr>
                <w:rFonts w:ascii="Arial" w:hAnsi="Arial" w:cs="Arial"/>
                <w:sz w:val="18"/>
                <w:szCs w:val="18"/>
                <w:u w:val="single"/>
              </w:rPr>
              <w:t xml:space="preserve">Denominators: </w:t>
            </w:r>
          </w:p>
          <w:p w:rsidR="00F33F3E" w:rsidRPr="00F844C0" w:rsidRDefault="00F33F3E" w:rsidP="00FD3F15">
            <w:pPr>
              <w:widowControl w:val="0"/>
              <w:shd w:val="clear" w:color="auto" w:fill="FFFFFF" w:themeFill="background1"/>
              <w:jc w:val="both"/>
              <w:rPr>
                <w:rFonts w:ascii="Arial" w:hAnsi="Arial" w:cs="Arial"/>
                <w:sz w:val="18"/>
                <w:szCs w:val="18"/>
              </w:rPr>
            </w:pPr>
            <w:r w:rsidRPr="00F844C0">
              <w:rPr>
                <w:rFonts w:ascii="Arial" w:hAnsi="Arial" w:cs="Arial"/>
                <w:sz w:val="18"/>
                <w:szCs w:val="18"/>
              </w:rPr>
              <w:t xml:space="preserve">Total number of children who participated in the </w:t>
            </w:r>
            <w:r w:rsidR="00DD62D7">
              <w:rPr>
                <w:rFonts w:ascii="Arial" w:hAnsi="Arial" w:cs="Arial"/>
                <w:sz w:val="18"/>
                <w:szCs w:val="18"/>
              </w:rPr>
              <w:t>AEDC</w:t>
            </w:r>
            <w:r w:rsidRPr="00F844C0">
              <w:rPr>
                <w:rFonts w:ascii="Arial" w:hAnsi="Arial" w:cs="Arial"/>
                <w:sz w:val="18"/>
                <w:szCs w:val="18"/>
              </w:rPr>
              <w:t>.</w:t>
            </w:r>
          </w:p>
          <w:p w:rsidR="00F33F3E" w:rsidRPr="00F844C0" w:rsidRDefault="00F33F3E" w:rsidP="00FD3F15">
            <w:pPr>
              <w:widowControl w:val="0"/>
              <w:shd w:val="clear" w:color="auto" w:fill="FFFFFF" w:themeFill="background1"/>
              <w:jc w:val="both"/>
              <w:rPr>
                <w:rFonts w:ascii="Arial" w:hAnsi="Arial" w:cs="Arial"/>
                <w:sz w:val="18"/>
                <w:szCs w:val="18"/>
                <w:u w:val="single"/>
              </w:rPr>
            </w:pPr>
            <w:r w:rsidRPr="00F844C0">
              <w:rPr>
                <w:rFonts w:ascii="Arial" w:hAnsi="Arial" w:cs="Arial"/>
                <w:sz w:val="18"/>
                <w:szCs w:val="18"/>
                <w:u w:val="single"/>
              </w:rPr>
              <w:t>Computation:</w:t>
            </w:r>
          </w:p>
          <w:p w:rsidR="00F33F3E" w:rsidRPr="00F844C0" w:rsidRDefault="00F33F3E" w:rsidP="00FD3F15">
            <w:pPr>
              <w:pStyle w:val="TableBodyText"/>
              <w:keepNext w:val="0"/>
              <w:keepLines w:val="0"/>
              <w:widowControl w:val="0"/>
              <w:shd w:val="clear" w:color="auto" w:fill="FFFFFF" w:themeFill="background1"/>
              <w:spacing w:after="0"/>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3980" w:type="pct"/>
            <w:gridSpan w:val="2"/>
            <w:tcBorders>
              <w:top w:val="nil"/>
              <w:left w:val="nil"/>
              <w:bottom w:val="nil"/>
              <w:right w:val="nil"/>
            </w:tcBorders>
            <w:shd w:val="clear" w:color="auto" w:fill="auto"/>
          </w:tcPr>
          <w:p w:rsidR="00F33F3E" w:rsidRPr="00F844C0" w:rsidRDefault="00F33F3E" w:rsidP="00CA444C">
            <w:pPr>
              <w:keepNext/>
              <w:keepLines/>
              <w:shd w:val="clear" w:color="auto" w:fill="FFFFFF" w:themeFill="background1"/>
              <w:spacing w:after="40" w:line="220" w:lineRule="atLeast"/>
              <w:ind w:left="6" w:right="113"/>
              <w:jc w:val="both"/>
              <w:rPr>
                <w:rFonts w:ascii="Arial" w:hAnsi="Arial"/>
                <w:i/>
                <w:sz w:val="20"/>
                <w:szCs w:val="20"/>
              </w:rPr>
            </w:pPr>
            <w:r w:rsidRPr="00F844C0">
              <w:rPr>
                <w:rFonts w:ascii="Arial" w:hAnsi="Arial" w:cs="Arial"/>
                <w:sz w:val="18"/>
                <w:szCs w:val="18"/>
              </w:rPr>
              <w:t xml:space="preserve">Department of Education, </w:t>
            </w:r>
            <w:r w:rsidRPr="00F844C0">
              <w:rPr>
                <w:rFonts w:ascii="Arial" w:hAnsi="Arial" w:cs="Arial"/>
                <w:i/>
                <w:sz w:val="18"/>
                <w:szCs w:val="18"/>
              </w:rPr>
              <w:t>Australian Early Development Index</w:t>
            </w:r>
            <w:r w:rsidRPr="00F844C0">
              <w:rPr>
                <w:rFonts w:ascii="Arial" w:hAnsi="Arial" w:cs="Arial"/>
                <w:sz w:val="18"/>
                <w:szCs w:val="18"/>
              </w:rPr>
              <w:t>.</w:t>
            </w:r>
            <w:r w:rsidRPr="00F844C0">
              <w:rPr>
                <w:rFonts w:ascii="Arial" w:hAnsi="Arial"/>
                <w:i/>
                <w:sz w:val="20"/>
                <w:szCs w:val="20"/>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F33F3E" w:rsidRPr="00F844C0" w:rsidRDefault="00F33F3E" w:rsidP="00CA444C">
            <w:pPr>
              <w:pStyle w:val="TableBodyText"/>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3980" w:type="pct"/>
            <w:gridSpan w:val="2"/>
            <w:tcBorders>
              <w:top w:val="nil"/>
              <w:left w:val="nil"/>
              <w:bottom w:val="nil"/>
              <w:right w:val="nil"/>
            </w:tcBorders>
            <w:shd w:val="clear" w:color="auto" w:fill="auto"/>
          </w:tcPr>
          <w:p w:rsidR="00F33F3E" w:rsidRPr="00F844C0" w:rsidRDefault="00DD62D7" w:rsidP="00CA444C">
            <w:pPr>
              <w:pStyle w:val="TableBodyText"/>
              <w:keepNext w:val="0"/>
              <w:keepLines w:val="0"/>
              <w:widowControl w:val="0"/>
              <w:shd w:val="clear" w:color="auto" w:fill="FFFFFF" w:themeFill="background1"/>
              <w:jc w:val="both"/>
              <w:rPr>
                <w:rFonts w:cs="Arial"/>
              </w:rPr>
            </w:pPr>
            <w:r>
              <w:rPr>
                <w:rFonts w:cs="Arial"/>
              </w:rPr>
              <w:t>AEDC</w:t>
            </w:r>
            <w:r w:rsidR="00F33F3E" w:rsidRPr="00F844C0">
              <w:rPr>
                <w:rFonts w:cs="Arial"/>
              </w:rPr>
              <w:t xml:space="preserve"> data are reported by teachers in the first year of full time school. It is a national collection of all children in the first year of primary school.</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3980" w:type="pct"/>
            <w:gridSpan w:val="2"/>
            <w:tcBorders>
              <w:top w:val="nil"/>
              <w:left w:val="nil"/>
              <w:bottom w:val="nil"/>
              <w:right w:val="nil"/>
            </w:tcBorders>
            <w:shd w:val="clear" w:color="auto" w:fill="auto"/>
          </w:tcPr>
          <w:p w:rsidR="00F33F3E" w:rsidRPr="00F844C0" w:rsidRDefault="009B45AF" w:rsidP="00CA444C">
            <w:pPr>
              <w:pStyle w:val="TableBodyText"/>
              <w:keepNext w:val="0"/>
              <w:keepLines w:val="0"/>
              <w:widowControl w:val="0"/>
              <w:shd w:val="clear" w:color="auto" w:fill="FFFFFF" w:themeFill="background1"/>
              <w:jc w:val="both"/>
              <w:rPr>
                <w:rFonts w:cs="Arial"/>
              </w:rPr>
            </w:pPr>
            <w:r w:rsidRPr="00F844C0">
              <w:rPr>
                <w:rFonts w:cs="Arial"/>
              </w:rPr>
              <w:t>Improving child development</w:t>
            </w:r>
            <w:r w:rsidR="00F33F3E" w:rsidRPr="00F844C0">
              <w:rPr>
                <w:rFonts w:cs="Arial"/>
              </w:rPr>
              <w:t xml:space="preserve"> is an indicator of governments’ objective to ensure that Australia’s children and young people are safe and well. Data are available on the basis of specific </w:t>
            </w:r>
            <w:r w:rsidR="00DD62D7">
              <w:rPr>
                <w:rFonts w:cs="Arial"/>
              </w:rPr>
              <w:t>AEDC</w:t>
            </w:r>
            <w:r w:rsidR="00F33F3E" w:rsidRPr="00F844C0">
              <w:rPr>
                <w:rFonts w:cs="Arial"/>
              </w:rPr>
              <w:t xml:space="preserve"> local communities, as well as state level.</w:t>
            </w:r>
          </w:p>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 xml:space="preserve">The </w:t>
            </w:r>
            <w:r w:rsidR="00DD62D7">
              <w:rPr>
                <w:rFonts w:cs="Arial"/>
              </w:rPr>
              <w:t>AEDC</w:t>
            </w:r>
            <w:r w:rsidRPr="00F844C0">
              <w:rPr>
                <w:rFonts w:cs="Arial"/>
              </w:rPr>
              <w:t xml:space="preserve"> is a population measure of young children</w:t>
            </w:r>
            <w:r w:rsidR="002A0059">
              <w:rPr>
                <w:rFonts w:cs="Arial"/>
              </w:rPr>
              <w:t>’</w:t>
            </w:r>
            <w:r w:rsidRPr="00F844C0">
              <w:rPr>
                <w:rFonts w:cs="Arial"/>
              </w:rPr>
              <w:t xml:space="preserve">s development as they enter school. A population measure places the focus on all children in the community and therefore the </w:t>
            </w:r>
            <w:r w:rsidR="00DD62D7">
              <w:rPr>
                <w:rFonts w:cs="Arial"/>
              </w:rPr>
              <w:t>AEDC</w:t>
            </w:r>
            <w:r w:rsidRPr="00F844C0">
              <w:rPr>
                <w:rFonts w:cs="Arial"/>
              </w:rPr>
              <w:t xml:space="preserve"> reports on early childhood development across the whole community. Every three years, teachers complete a checklist for children in their first year of full</w:t>
            </w:r>
            <w:r w:rsidR="002A0059">
              <w:rPr>
                <w:rFonts w:cs="Arial"/>
              </w:rPr>
              <w:noBreakHyphen/>
            </w:r>
            <w:r w:rsidRPr="00F844C0">
              <w:rPr>
                <w:rFonts w:cs="Arial"/>
              </w:rPr>
              <w:t>time school. The checklist measures five key areas, or domains,</w:t>
            </w:r>
            <w:r w:rsidR="00DD62D7">
              <w:rPr>
                <w:rFonts w:cs="Arial"/>
              </w:rPr>
              <w:t xml:space="preserve"> of early childhood development.</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Timeliness</w:t>
            </w:r>
            <w:r w:rsidRPr="00F844C0">
              <w:rPr>
                <w:rFonts w:cs="Arial"/>
                <w:lang w:val="en-US" w:eastAsia="en-US"/>
              </w:rPr>
              <w:t xml:space="preserve"> </w:t>
            </w:r>
          </w:p>
        </w:tc>
        <w:tc>
          <w:tcPr>
            <w:tcW w:w="3980" w:type="pct"/>
            <w:gridSpan w:val="2"/>
            <w:tcBorders>
              <w:top w:val="nil"/>
              <w:left w:val="nil"/>
              <w:bottom w:val="nil"/>
              <w:right w:val="nil"/>
            </w:tcBorders>
            <w:shd w:val="clear" w:color="auto" w:fill="auto"/>
          </w:tcPr>
          <w:p w:rsidR="00F33F3E" w:rsidRPr="00F844C0" w:rsidRDefault="009B45AF" w:rsidP="00CA444C">
            <w:pPr>
              <w:pStyle w:val="TableBodyText"/>
              <w:keepNext w:val="0"/>
              <w:keepLines w:val="0"/>
              <w:widowControl w:val="0"/>
              <w:shd w:val="clear" w:color="auto" w:fill="FFFFFF" w:themeFill="background1"/>
              <w:jc w:val="both"/>
              <w:rPr>
                <w:rFonts w:cs="Arial"/>
              </w:rPr>
            </w:pPr>
            <w:r w:rsidRPr="00F844C0">
              <w:rPr>
                <w:rFonts w:cs="Arial"/>
              </w:rPr>
              <w:t>Data are collected every three years. The most recent d</w:t>
            </w:r>
            <w:r w:rsidR="00F33F3E" w:rsidRPr="00F844C0">
              <w:rPr>
                <w:rFonts w:cs="Arial"/>
              </w:rPr>
              <w:t>ata were collected between May and July 2012.</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Teachers completed a checklist for each child in the first year of school. This was a census, which assessed almost 290 000 children.</w:t>
            </w:r>
            <w:r w:rsidR="00EB7666" w:rsidRPr="00F844C0">
              <w:rPr>
                <w:rFonts w:cs="Arial"/>
              </w:rPr>
              <w:t xml:space="preserve"> </w:t>
            </w:r>
          </w:p>
          <w:p w:rsidR="00342EEF" w:rsidRPr="00F844C0" w:rsidRDefault="00263A2D" w:rsidP="00CA444C">
            <w:pPr>
              <w:pStyle w:val="TableBodyText"/>
              <w:keepNext w:val="0"/>
              <w:keepLines w:val="0"/>
              <w:widowControl w:val="0"/>
              <w:shd w:val="clear" w:color="auto" w:fill="FFFFFF" w:themeFill="background1"/>
              <w:jc w:val="both"/>
              <w:rPr>
                <w:rFonts w:cs="Arial"/>
              </w:rPr>
            </w:pPr>
            <w:r w:rsidRPr="00F844C0">
              <w:rPr>
                <w:rFonts w:cs="Arial"/>
              </w:rPr>
              <w:t>Some</w:t>
            </w:r>
            <w:r w:rsidR="00342EEF" w:rsidRPr="00F844C0">
              <w:rPr>
                <w:rFonts w:cs="Arial"/>
              </w:rPr>
              <w:t xml:space="preserve"> </w:t>
            </w:r>
            <w:r w:rsidR="00DD62D7">
              <w:rPr>
                <w:rFonts w:cs="Arial"/>
              </w:rPr>
              <w:t>AEDC</w:t>
            </w:r>
            <w:r w:rsidRPr="00F844C0">
              <w:rPr>
                <w:rFonts w:cs="Arial"/>
              </w:rPr>
              <w:t xml:space="preserve"> </w:t>
            </w:r>
            <w:r w:rsidR="00342EEF" w:rsidRPr="00F844C0">
              <w:rPr>
                <w:rFonts w:cs="Arial"/>
              </w:rPr>
              <w:t>items</w:t>
            </w:r>
            <w:r w:rsidRPr="00F844C0">
              <w:rPr>
                <w:rFonts w:cs="Arial"/>
              </w:rPr>
              <w:t xml:space="preserve">, particularly items requiring teachers to know about a child’s experiences outside school (such as a child’s fluency in his or her second language and a child’s early childcare and education experiences) </w:t>
            </w:r>
            <w:r w:rsidR="00342EEF" w:rsidRPr="00F844C0">
              <w:rPr>
                <w:rFonts w:cs="Arial"/>
              </w:rPr>
              <w:t xml:space="preserve">recorded high </w:t>
            </w:r>
            <w:r w:rsidR="002A0059">
              <w:rPr>
                <w:rFonts w:cs="Arial"/>
              </w:rPr>
              <w:t>‘</w:t>
            </w:r>
            <w:r w:rsidR="00342EEF" w:rsidRPr="00F844C0">
              <w:rPr>
                <w:rFonts w:cs="Arial"/>
              </w:rPr>
              <w:t>don’t know</w:t>
            </w:r>
            <w:r w:rsidR="002A0059">
              <w:rPr>
                <w:rFonts w:cs="Arial"/>
              </w:rPr>
              <w:t>’</w:t>
            </w:r>
            <w:r w:rsidR="00342EEF" w:rsidRPr="00F844C0">
              <w:rPr>
                <w:rFonts w:cs="Arial"/>
              </w:rPr>
              <w:t xml:space="preserve"> rates among teachers.</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from the same collection.</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 xml:space="preserve">Summary data are available on the </w:t>
            </w:r>
            <w:proofErr w:type="spellStart"/>
            <w:r w:rsidR="00DD62D7" w:rsidRPr="00381D9E">
              <w:rPr>
                <w:rFonts w:cs="Arial"/>
              </w:rPr>
              <w:t>AEDC</w:t>
            </w:r>
            <w:proofErr w:type="spellEnd"/>
            <w:r w:rsidR="00FD3F15" w:rsidRPr="00381D9E">
              <w:rPr>
                <w:rFonts w:cs="Arial"/>
              </w:rPr>
              <w:t xml:space="preserve"> website.</w:t>
            </w:r>
            <w:r w:rsidR="00FD3F15">
              <w:rPr>
                <w:rFonts w:cs="Arial"/>
              </w:rPr>
              <w:t xml:space="preserve"> </w:t>
            </w:r>
          </w:p>
          <w:p w:rsidR="00F33F3E" w:rsidRPr="00F844C0" w:rsidRDefault="00F33F3E" w:rsidP="00CA444C">
            <w:pPr>
              <w:keepNext/>
              <w:keepLines/>
              <w:shd w:val="clear" w:color="auto" w:fill="FFFFFF" w:themeFill="background1"/>
              <w:spacing w:after="40" w:line="220" w:lineRule="atLeast"/>
              <w:ind w:left="6" w:right="113"/>
              <w:jc w:val="both"/>
              <w:rPr>
                <w:rFonts w:cs="Arial"/>
              </w:rPr>
            </w:pPr>
            <w:r w:rsidRPr="00F844C0">
              <w:rPr>
                <w:rFonts w:ascii="Arial" w:hAnsi="Arial" w:cs="Arial"/>
                <w:sz w:val="18"/>
                <w:szCs w:val="20"/>
              </w:rPr>
              <w:t xml:space="preserve">Additional, unpublished data can be requested from the </w:t>
            </w:r>
            <w:r w:rsidR="00DD62D7">
              <w:rPr>
                <w:rFonts w:ascii="Arial" w:hAnsi="Arial" w:cs="Arial"/>
                <w:sz w:val="18"/>
                <w:szCs w:val="20"/>
              </w:rPr>
              <w:t>AEDC</w:t>
            </w:r>
            <w:r w:rsidRPr="00F844C0">
              <w:rPr>
                <w:rFonts w:ascii="Arial" w:hAnsi="Arial" w:cs="Arial"/>
                <w:sz w:val="18"/>
                <w:szCs w:val="20"/>
              </w:rPr>
              <w:t xml:space="preserve"> Data Manager, as long as requests meet the requirements of the </w:t>
            </w:r>
            <w:r w:rsidR="00DD62D7">
              <w:rPr>
                <w:rFonts w:ascii="Arial" w:hAnsi="Arial" w:cs="Arial"/>
                <w:sz w:val="18"/>
                <w:szCs w:val="20"/>
              </w:rPr>
              <w:t>AEDC</w:t>
            </w:r>
            <w:r w:rsidRPr="00F844C0">
              <w:rPr>
                <w:rFonts w:ascii="Arial" w:hAnsi="Arial" w:cs="Arial"/>
                <w:sz w:val="18"/>
                <w:szCs w:val="20"/>
              </w:rPr>
              <w:t xml:space="preserve"> data protocol. This is on a fee for service basis. The </w:t>
            </w:r>
            <w:r w:rsidR="00DD62D7">
              <w:rPr>
                <w:rFonts w:ascii="Arial" w:hAnsi="Arial" w:cs="Arial"/>
                <w:sz w:val="18"/>
                <w:szCs w:val="20"/>
              </w:rPr>
              <w:t>AEDC</w:t>
            </w:r>
            <w:r w:rsidRPr="00F844C0">
              <w:rPr>
                <w:rFonts w:ascii="Arial" w:hAnsi="Arial" w:cs="Arial"/>
                <w:sz w:val="18"/>
                <w:szCs w:val="20"/>
              </w:rPr>
              <w:t xml:space="preserve"> data protocol details the requirements for public release of data.</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3980" w:type="pct"/>
            <w:gridSpan w:val="2"/>
            <w:tcBorders>
              <w:top w:val="nil"/>
              <w:left w:val="nil"/>
              <w:bottom w:val="nil"/>
              <w:right w:val="nil"/>
            </w:tcBorders>
            <w:shd w:val="clear" w:color="auto" w:fill="auto"/>
          </w:tcPr>
          <w:p w:rsidR="00F33F3E" w:rsidRPr="00F844C0" w:rsidRDefault="00F33F3E" w:rsidP="00FD3F15">
            <w:pPr>
              <w:pStyle w:val="TableBodyText"/>
              <w:keepNext w:val="0"/>
              <w:keepLines w:val="0"/>
              <w:widowControl w:val="0"/>
              <w:shd w:val="clear" w:color="auto" w:fill="FFFFFF" w:themeFill="background1"/>
              <w:jc w:val="both"/>
              <w:rPr>
                <w:rFonts w:cs="Arial"/>
              </w:rPr>
            </w:pPr>
            <w:r w:rsidRPr="00F844C0">
              <w:rPr>
                <w:rFonts w:cs="Arial"/>
              </w:rPr>
              <w:t>User guides and explanatory material ar</w:t>
            </w:r>
            <w:r w:rsidR="009B45AF" w:rsidRPr="00F844C0">
              <w:rPr>
                <w:rFonts w:cs="Arial"/>
              </w:rPr>
              <w:t xml:space="preserve">e available on the </w:t>
            </w:r>
            <w:proofErr w:type="spellStart"/>
            <w:r w:rsidR="00DD62D7" w:rsidRPr="00381D9E">
              <w:rPr>
                <w:rFonts w:cs="Arial"/>
              </w:rPr>
              <w:t>AEDC</w:t>
            </w:r>
            <w:proofErr w:type="spellEnd"/>
            <w:r w:rsidR="00FD3F15" w:rsidRPr="00381D9E">
              <w:rPr>
                <w:rFonts w:cs="Arial"/>
              </w:rPr>
              <w:t xml:space="preserve"> website.</w:t>
            </w:r>
            <w:r w:rsidR="00FD3F15">
              <w:rPr>
                <w:rFonts w:cs="Arial"/>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b/>
              </w:rPr>
            </w:pPr>
            <w:r w:rsidRPr="00F844C0">
              <w:rPr>
                <w:b/>
                <w:u w:val="single"/>
              </w:rPr>
              <w:t>Data Gaps/Issues Analysis</w:t>
            </w:r>
          </w:p>
        </w:tc>
      </w:tr>
      <w:tr w:rsidR="00F33F3E" w:rsidRPr="001A085B"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CA5932" w:rsidRPr="00F844C0" w:rsidRDefault="00F33F3E" w:rsidP="00CA444C">
            <w:pPr>
              <w:pStyle w:val="TableBullet"/>
              <w:shd w:val="clear" w:color="auto" w:fill="FFFFFF" w:themeFill="background1"/>
            </w:pPr>
            <w:r w:rsidRPr="00F844C0">
              <w:t xml:space="preserve">the five </w:t>
            </w:r>
            <w:r w:rsidR="00DD62D7">
              <w:t>AEDC</w:t>
            </w:r>
            <w:r w:rsidRPr="00F844C0">
              <w:t xml:space="preserve"> domains include: language and cognitive skills; physical health and wellbeing; social competence; emotional maturity and communication skills and general knowledge. These domains are all interrelated aspects of child development</w:t>
            </w:r>
          </w:p>
          <w:p w:rsidR="00CA5932" w:rsidRPr="00F844C0" w:rsidRDefault="00CA5932" w:rsidP="00CA444C">
            <w:pPr>
              <w:pStyle w:val="TableBullet"/>
              <w:shd w:val="clear" w:color="auto" w:fill="FFFFFF" w:themeFill="background1"/>
            </w:pPr>
            <w:r w:rsidRPr="00F844C0">
              <w:t>data reported for this indicator are comparable (subject to caveats) across jurisdictions and over time</w:t>
            </w:r>
          </w:p>
          <w:p w:rsidR="00F33F3E" w:rsidRPr="00F844C0" w:rsidRDefault="00CA5932" w:rsidP="00CA444C">
            <w:pPr>
              <w:pStyle w:val="TableBullet"/>
              <w:shd w:val="clear" w:color="auto" w:fill="FFFFFF" w:themeFill="background1"/>
            </w:pPr>
            <w:r w:rsidRPr="00F844C0">
              <w:t>data reported for this indicator are complete for the current reporting period.</w:t>
            </w:r>
          </w:p>
        </w:tc>
      </w:tr>
    </w:tbl>
    <w:p w:rsidR="00A420D4" w:rsidRPr="00A420D4" w:rsidRDefault="00A420D4" w:rsidP="00CA444C">
      <w:pPr>
        <w:pStyle w:val="BodyText"/>
        <w:shd w:val="clear" w:color="auto" w:fill="FFFFFF" w:themeFill="background1"/>
      </w:pPr>
    </w:p>
    <w:sectPr w:rsidR="00A420D4" w:rsidRPr="00A420D4" w:rsidSect="0045640E">
      <w:headerReference w:type="even" r:id="rId9"/>
      <w:headerReference w:type="default" r:id="rId10"/>
      <w:footerReference w:type="even" r:id="rId11"/>
      <w:footerReference w:type="default" r:id="rId12"/>
      <w:footerReference w:type="firs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D61" w:rsidRDefault="006F6D61">
      <w:r>
        <w:separator/>
      </w:r>
    </w:p>
  </w:endnote>
  <w:endnote w:type="continuationSeparator" w:id="0">
    <w:p w:rsidR="006F6D61" w:rsidRDefault="006F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F6D61" w:rsidTr="006F6D61">
      <w:trPr>
        <w:trHeight w:hRule="exact" w:val="567"/>
      </w:trPr>
      <w:tc>
        <w:tcPr>
          <w:tcW w:w="510" w:type="dxa"/>
        </w:tcPr>
        <w:p w:rsidR="006F6D61" w:rsidRPr="00A24443" w:rsidRDefault="006F6D61" w:rsidP="006F6D61">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81D9E">
            <w:rPr>
              <w:rStyle w:val="PageNumber"/>
              <w:caps w:val="0"/>
              <w:noProof/>
            </w:rPr>
            <w:t>2</w:t>
          </w:r>
          <w:r w:rsidRPr="00A24443">
            <w:rPr>
              <w:rStyle w:val="PageNumber"/>
              <w:caps w:val="0"/>
            </w:rPr>
            <w:fldChar w:fldCharType="end"/>
          </w:r>
        </w:p>
      </w:tc>
      <w:tc>
        <w:tcPr>
          <w:tcW w:w="7767" w:type="dxa"/>
        </w:tcPr>
        <w:p w:rsidR="006F6D61" w:rsidRPr="0013739A" w:rsidRDefault="006F6D61" w:rsidP="0045640E">
          <w:pPr>
            <w:pStyle w:val="Footer"/>
            <w:rPr>
              <w:rFonts w:cs="Arial"/>
            </w:rPr>
          </w:pPr>
          <w:r w:rsidRPr="006F6D61">
            <w:rPr>
              <w:rFonts w:cs="Arial"/>
            </w:rPr>
            <w:t>REPORT ON GOVERNMENT SERVICES 201</w:t>
          </w:r>
          <w:r w:rsidR="0045640E">
            <w:rPr>
              <w:rFonts w:cs="Arial"/>
            </w:rPr>
            <w:t>6</w:t>
          </w:r>
          <w:r w:rsidRPr="006F6D61">
            <w:rPr>
              <w:rFonts w:cs="Arial"/>
            </w:rPr>
            <w:t xml:space="preserve"> </w:t>
          </w:r>
          <w:r w:rsidRPr="00BA5B14">
            <w:rPr>
              <w:rFonts w:cs="Arial"/>
            </w:rPr>
            <w:fldChar w:fldCharType="begin"/>
          </w:r>
          <w:r w:rsidRPr="00BA5B14">
            <w:rPr>
              <w:rFonts w:cs="Arial"/>
            </w:rPr>
            <w:instrText xml:space="preserve"> SUBJECT  \* MERGEFORMAT </w:instrText>
          </w:r>
          <w:r w:rsidRPr="00BA5B14">
            <w:rPr>
              <w:rFonts w:cs="Arial"/>
            </w:rPr>
            <w:fldChar w:fldCharType="end"/>
          </w:r>
          <w:bookmarkStart w:id="25" w:name="DraftReportEven"/>
          <w:bookmarkEnd w:id="25"/>
        </w:p>
      </w:tc>
      <w:tc>
        <w:tcPr>
          <w:tcW w:w="510" w:type="dxa"/>
        </w:tcPr>
        <w:p w:rsidR="006F6D61" w:rsidRDefault="006F6D61" w:rsidP="006F6D61">
          <w:pPr>
            <w:pStyle w:val="Footer"/>
          </w:pPr>
        </w:p>
      </w:tc>
    </w:tr>
  </w:tbl>
  <w:p w:rsidR="006F6D61" w:rsidRDefault="006F6D61" w:rsidP="006F6D61">
    <w:pPr>
      <w:pStyle w:val="FooterEnd"/>
    </w:pPr>
  </w:p>
  <w:p w:rsidR="006F6D61" w:rsidRDefault="006F6D6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F6D61" w:rsidTr="006F6D61">
      <w:trPr>
        <w:trHeight w:hRule="exact" w:val="567"/>
      </w:trPr>
      <w:tc>
        <w:tcPr>
          <w:tcW w:w="510" w:type="dxa"/>
        </w:tcPr>
        <w:p w:rsidR="006F6D61" w:rsidRDefault="006F6D61">
          <w:pPr>
            <w:pStyle w:val="Footer"/>
            <w:ind w:right="360" w:firstLine="360"/>
          </w:pPr>
        </w:p>
      </w:tc>
      <w:tc>
        <w:tcPr>
          <w:tcW w:w="7767" w:type="dxa"/>
        </w:tcPr>
        <w:p w:rsidR="006F6D61" w:rsidRPr="00BA5B14" w:rsidRDefault="006F6D61" w:rsidP="005E5F9A">
          <w:pPr>
            <w:pStyle w:val="Footer"/>
            <w:jc w:val="right"/>
            <w:rPr>
              <w:rFonts w:cs="Arial"/>
            </w:rPr>
          </w:pPr>
          <w:r w:rsidRPr="00F844C0">
            <w:t xml:space="preserve">Community services </w:t>
          </w:r>
          <w:r>
            <w:t>DQI</w:t>
          </w:r>
        </w:p>
      </w:tc>
      <w:tc>
        <w:tcPr>
          <w:tcW w:w="510" w:type="dxa"/>
        </w:tcPr>
        <w:p w:rsidR="006F6D61" w:rsidRPr="00A24443" w:rsidRDefault="006F6D6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81D9E">
            <w:rPr>
              <w:rStyle w:val="PageNumber"/>
              <w:caps w:val="0"/>
              <w:noProof/>
            </w:rPr>
            <w:t>1</w:t>
          </w:r>
          <w:r w:rsidRPr="00A24443">
            <w:rPr>
              <w:rStyle w:val="PageNumber"/>
              <w:caps w:val="0"/>
            </w:rPr>
            <w:fldChar w:fldCharType="end"/>
          </w:r>
        </w:p>
      </w:tc>
    </w:tr>
  </w:tbl>
  <w:p w:rsidR="006F6D61" w:rsidRDefault="006F6D61">
    <w:pPr>
      <w:pStyle w:val="FooterEnd"/>
    </w:pPr>
  </w:p>
  <w:p w:rsidR="006F6D61" w:rsidRDefault="006F6D6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F6D61" w:rsidTr="001E65B4">
      <w:trPr>
        <w:trHeight w:hRule="exact" w:val="740"/>
      </w:trPr>
      <w:tc>
        <w:tcPr>
          <w:tcW w:w="6634" w:type="dxa"/>
        </w:tcPr>
        <w:p w:rsidR="006F6D61" w:rsidRDefault="006F6D61" w:rsidP="001E65B4">
          <w:pPr>
            <w:pStyle w:val="Footer"/>
            <w:ind w:right="360" w:firstLine="360"/>
          </w:pPr>
        </w:p>
      </w:tc>
      <w:tc>
        <w:tcPr>
          <w:tcW w:w="1644" w:type="dxa"/>
          <w:tcBorders>
            <w:top w:val="single" w:sz="6" w:space="0" w:color="auto"/>
          </w:tcBorders>
        </w:tcPr>
        <w:p w:rsidR="006F6D61" w:rsidRPr="00874D04" w:rsidRDefault="006F6D61" w:rsidP="001E65B4">
          <w:pPr>
            <w:pStyle w:val="Footer"/>
          </w:pPr>
          <w:r>
            <w:t>pROTECTION AND SUPPORT SERVICES</w:t>
          </w:r>
          <w:r w:rsidRPr="00874D04">
            <w:t xml:space="preserve"> DQI</w:t>
          </w:r>
        </w:p>
      </w:tc>
      <w:tc>
        <w:tcPr>
          <w:tcW w:w="510" w:type="dxa"/>
          <w:tcBorders>
            <w:top w:val="single" w:sz="6" w:space="0" w:color="auto"/>
          </w:tcBorders>
        </w:tcPr>
        <w:p w:rsidR="006F6D61" w:rsidRDefault="006F6D61" w:rsidP="001E65B4">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6F6D61" w:rsidRDefault="006F6D61" w:rsidP="00021FD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D61" w:rsidRDefault="006F6D61">
      <w:r>
        <w:separator/>
      </w:r>
    </w:p>
  </w:footnote>
  <w:footnote w:type="continuationSeparator" w:id="0">
    <w:p w:rsidR="006F6D61" w:rsidRDefault="006F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F6D61">
      <w:tc>
        <w:tcPr>
          <w:tcW w:w="2155" w:type="dxa"/>
          <w:tcBorders>
            <w:top w:val="single" w:sz="24" w:space="0" w:color="auto"/>
          </w:tcBorders>
        </w:tcPr>
        <w:p w:rsidR="006F6D61" w:rsidRDefault="006F6D61">
          <w:pPr>
            <w:pStyle w:val="HeaderEven"/>
          </w:pPr>
        </w:p>
      </w:tc>
      <w:tc>
        <w:tcPr>
          <w:tcW w:w="6634" w:type="dxa"/>
          <w:tcBorders>
            <w:top w:val="single" w:sz="6" w:space="0" w:color="auto"/>
          </w:tcBorders>
        </w:tcPr>
        <w:p w:rsidR="006F6D61" w:rsidRDefault="006F6D61" w:rsidP="009A24A4">
          <w:pPr>
            <w:pStyle w:val="HeaderEven"/>
            <w:jc w:val="right"/>
          </w:pPr>
        </w:p>
      </w:tc>
    </w:tr>
  </w:tbl>
  <w:p w:rsidR="006F6D61" w:rsidRDefault="006F6D6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6D61">
      <w:tc>
        <w:tcPr>
          <w:tcW w:w="6634" w:type="dxa"/>
          <w:tcBorders>
            <w:top w:val="single" w:sz="6" w:space="0" w:color="auto"/>
          </w:tcBorders>
        </w:tcPr>
        <w:p w:rsidR="006F6D61" w:rsidRDefault="006F6D61" w:rsidP="00021FD4">
          <w:pPr>
            <w:pStyle w:val="HeaderOdd"/>
          </w:pPr>
        </w:p>
      </w:tc>
      <w:tc>
        <w:tcPr>
          <w:tcW w:w="2155" w:type="dxa"/>
          <w:tcBorders>
            <w:top w:val="single" w:sz="24" w:space="0" w:color="auto"/>
          </w:tcBorders>
        </w:tcPr>
        <w:p w:rsidR="006F6D61" w:rsidRDefault="006F6D61" w:rsidP="00021FD4">
          <w:pPr>
            <w:pStyle w:val="HeaderOdd"/>
          </w:pPr>
        </w:p>
      </w:tc>
    </w:tr>
  </w:tbl>
  <w:p w:rsidR="006F6D61" w:rsidRDefault="006F6D61" w:rsidP="00021FD4">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D9C48AF"/>
    <w:multiLevelType w:val="multilevel"/>
    <w:tmpl w:val="37786F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8CE239B"/>
    <w:multiLevelType w:val="hybridMultilevel"/>
    <w:tmpl w:val="77047032"/>
    <w:lvl w:ilvl="0" w:tplc="BDF299E2">
      <w:start w:val="1"/>
      <w:numFmt w:val="bullet"/>
      <w:lvlText w:val="-"/>
      <w:lvlJc w:val="left"/>
      <w:pPr>
        <w:ind w:left="360" w:hanging="360"/>
      </w:pPr>
      <w:rPr>
        <w:rFonts w:ascii="Book Antiqua" w:hAnsi="Book Antiqu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59143F7"/>
    <w:multiLevelType w:val="multilevel"/>
    <w:tmpl w:val="1B0874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44AE15AE"/>
    <w:multiLevelType w:val="multilevel"/>
    <w:tmpl w:val="C1043D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13"/>
  </w:num>
  <w:num w:numId="3">
    <w:abstractNumId w:val="4"/>
  </w:num>
  <w:num w:numId="4">
    <w:abstractNumId w:val="23"/>
  </w:num>
  <w:num w:numId="5">
    <w:abstractNumId w:val="2"/>
  </w:num>
  <w:num w:numId="6">
    <w:abstractNumId w:val="17"/>
  </w:num>
  <w:num w:numId="7">
    <w:abstractNumId w:val="3"/>
  </w:num>
  <w:num w:numId="8">
    <w:abstractNumId w:val="22"/>
  </w:num>
  <w:num w:numId="9">
    <w:abstractNumId w:val="19"/>
  </w:num>
  <w:num w:numId="10">
    <w:abstractNumId w:val="24"/>
  </w:num>
  <w:num w:numId="11">
    <w:abstractNumId w:val="10"/>
  </w:num>
  <w:num w:numId="12">
    <w:abstractNumId w:val="8"/>
  </w:num>
  <w:num w:numId="13">
    <w:abstractNumId w:val="7"/>
  </w:num>
  <w:num w:numId="14">
    <w:abstractNumId w:val="6"/>
  </w:num>
  <w:num w:numId="15">
    <w:abstractNumId w:val="12"/>
  </w:num>
  <w:num w:numId="16">
    <w:abstractNumId w:val="16"/>
  </w:num>
  <w:num w:numId="17">
    <w:abstractNumId w:val="20"/>
  </w:num>
  <w:num w:numId="18">
    <w:abstractNumId w:val="21"/>
  </w:num>
  <w:num w:numId="19">
    <w:abstractNumId w:val="9"/>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5"/>
  </w:num>
  <w:num w:numId="23">
    <w:abstractNumId w:val="14"/>
  </w:num>
  <w:num w:numId="24">
    <w:abstractNumId w:val="15"/>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B9"/>
    <w:rsid w:val="0000425D"/>
    <w:rsid w:val="00021FD4"/>
    <w:rsid w:val="000441C0"/>
    <w:rsid w:val="00047C74"/>
    <w:rsid w:val="00077A44"/>
    <w:rsid w:val="00082179"/>
    <w:rsid w:val="00082923"/>
    <w:rsid w:val="00085C68"/>
    <w:rsid w:val="00087698"/>
    <w:rsid w:val="0009218D"/>
    <w:rsid w:val="0009312C"/>
    <w:rsid w:val="000956BB"/>
    <w:rsid w:val="000D59CA"/>
    <w:rsid w:val="001017CC"/>
    <w:rsid w:val="00121824"/>
    <w:rsid w:val="0012671B"/>
    <w:rsid w:val="00135C22"/>
    <w:rsid w:val="001454BC"/>
    <w:rsid w:val="00155536"/>
    <w:rsid w:val="001620B6"/>
    <w:rsid w:val="00190FFF"/>
    <w:rsid w:val="001E1B6C"/>
    <w:rsid w:val="001E2CA4"/>
    <w:rsid w:val="001E65B4"/>
    <w:rsid w:val="002012BC"/>
    <w:rsid w:val="00203EB9"/>
    <w:rsid w:val="00211EDB"/>
    <w:rsid w:val="00214BB1"/>
    <w:rsid w:val="002345CE"/>
    <w:rsid w:val="00235B08"/>
    <w:rsid w:val="00245B42"/>
    <w:rsid w:val="0024678B"/>
    <w:rsid w:val="00254B95"/>
    <w:rsid w:val="00263A2D"/>
    <w:rsid w:val="00271893"/>
    <w:rsid w:val="00282657"/>
    <w:rsid w:val="00296886"/>
    <w:rsid w:val="00296B0D"/>
    <w:rsid w:val="002A0059"/>
    <w:rsid w:val="002A1BD8"/>
    <w:rsid w:val="002A2EE4"/>
    <w:rsid w:val="002E5F64"/>
    <w:rsid w:val="00304A3D"/>
    <w:rsid w:val="003076E3"/>
    <w:rsid w:val="00311E2D"/>
    <w:rsid w:val="00312E73"/>
    <w:rsid w:val="003248D9"/>
    <w:rsid w:val="00325284"/>
    <w:rsid w:val="00332987"/>
    <w:rsid w:val="00342B07"/>
    <w:rsid w:val="00342EEF"/>
    <w:rsid w:val="003448B3"/>
    <w:rsid w:val="00345AC0"/>
    <w:rsid w:val="003569BC"/>
    <w:rsid w:val="00367ABB"/>
    <w:rsid w:val="00370A5F"/>
    <w:rsid w:val="00381D9E"/>
    <w:rsid w:val="00392A65"/>
    <w:rsid w:val="00396691"/>
    <w:rsid w:val="00397982"/>
    <w:rsid w:val="003A3DF7"/>
    <w:rsid w:val="003B1B19"/>
    <w:rsid w:val="003B7AD8"/>
    <w:rsid w:val="003C7A90"/>
    <w:rsid w:val="00410E3D"/>
    <w:rsid w:val="00415720"/>
    <w:rsid w:val="00416BA2"/>
    <w:rsid w:val="00420E92"/>
    <w:rsid w:val="00423E1E"/>
    <w:rsid w:val="004363AE"/>
    <w:rsid w:val="00444F38"/>
    <w:rsid w:val="0045640E"/>
    <w:rsid w:val="00484C87"/>
    <w:rsid w:val="00491D18"/>
    <w:rsid w:val="004D6057"/>
    <w:rsid w:val="004F6B39"/>
    <w:rsid w:val="00500740"/>
    <w:rsid w:val="005051BD"/>
    <w:rsid w:val="00533578"/>
    <w:rsid w:val="00561661"/>
    <w:rsid w:val="00575BC0"/>
    <w:rsid w:val="005851CF"/>
    <w:rsid w:val="005A1FA8"/>
    <w:rsid w:val="005B280C"/>
    <w:rsid w:val="005E1657"/>
    <w:rsid w:val="005E4594"/>
    <w:rsid w:val="005E5F9A"/>
    <w:rsid w:val="005F64C4"/>
    <w:rsid w:val="005F67D2"/>
    <w:rsid w:val="006063DF"/>
    <w:rsid w:val="00617D91"/>
    <w:rsid w:val="00620617"/>
    <w:rsid w:val="00667954"/>
    <w:rsid w:val="006679AA"/>
    <w:rsid w:val="00670E08"/>
    <w:rsid w:val="00672EE6"/>
    <w:rsid w:val="00685EB7"/>
    <w:rsid w:val="006963B3"/>
    <w:rsid w:val="006C19B2"/>
    <w:rsid w:val="006C2A14"/>
    <w:rsid w:val="006D1B6A"/>
    <w:rsid w:val="006E1337"/>
    <w:rsid w:val="006F6D61"/>
    <w:rsid w:val="006F79C9"/>
    <w:rsid w:val="00702044"/>
    <w:rsid w:val="007126A1"/>
    <w:rsid w:val="0074119D"/>
    <w:rsid w:val="00744EBA"/>
    <w:rsid w:val="0076572A"/>
    <w:rsid w:val="007658CA"/>
    <w:rsid w:val="007846A9"/>
    <w:rsid w:val="007905C5"/>
    <w:rsid w:val="007E0F74"/>
    <w:rsid w:val="007E7F3B"/>
    <w:rsid w:val="007F635E"/>
    <w:rsid w:val="00801E14"/>
    <w:rsid w:val="00814A8F"/>
    <w:rsid w:val="00840ECC"/>
    <w:rsid w:val="00884236"/>
    <w:rsid w:val="00885C7C"/>
    <w:rsid w:val="00890042"/>
    <w:rsid w:val="00893462"/>
    <w:rsid w:val="008956E8"/>
    <w:rsid w:val="008A0DAC"/>
    <w:rsid w:val="008A24AB"/>
    <w:rsid w:val="008A2CB3"/>
    <w:rsid w:val="008A5EFE"/>
    <w:rsid w:val="008B0DF2"/>
    <w:rsid w:val="008B4FA4"/>
    <w:rsid w:val="008C6A0A"/>
    <w:rsid w:val="008C7477"/>
    <w:rsid w:val="008D3C2A"/>
    <w:rsid w:val="008F4461"/>
    <w:rsid w:val="008F4530"/>
    <w:rsid w:val="00932ECA"/>
    <w:rsid w:val="00963EA9"/>
    <w:rsid w:val="00980D5B"/>
    <w:rsid w:val="009A24A4"/>
    <w:rsid w:val="009A4597"/>
    <w:rsid w:val="009B45AF"/>
    <w:rsid w:val="009B6E31"/>
    <w:rsid w:val="009C3A3E"/>
    <w:rsid w:val="009E2DA4"/>
    <w:rsid w:val="009F2946"/>
    <w:rsid w:val="00A02533"/>
    <w:rsid w:val="00A04DA1"/>
    <w:rsid w:val="00A11B27"/>
    <w:rsid w:val="00A26FFB"/>
    <w:rsid w:val="00A34A7B"/>
    <w:rsid w:val="00A420D4"/>
    <w:rsid w:val="00A5381E"/>
    <w:rsid w:val="00A5415F"/>
    <w:rsid w:val="00A711BE"/>
    <w:rsid w:val="00A713CD"/>
    <w:rsid w:val="00A852D5"/>
    <w:rsid w:val="00A8650C"/>
    <w:rsid w:val="00A91308"/>
    <w:rsid w:val="00AE2CBB"/>
    <w:rsid w:val="00AE305B"/>
    <w:rsid w:val="00AF2103"/>
    <w:rsid w:val="00AF275D"/>
    <w:rsid w:val="00AF3183"/>
    <w:rsid w:val="00B00C79"/>
    <w:rsid w:val="00B015EE"/>
    <w:rsid w:val="00B22777"/>
    <w:rsid w:val="00B22A0A"/>
    <w:rsid w:val="00B23A8F"/>
    <w:rsid w:val="00B309F1"/>
    <w:rsid w:val="00B625B3"/>
    <w:rsid w:val="00B63035"/>
    <w:rsid w:val="00BA228C"/>
    <w:rsid w:val="00BA25D5"/>
    <w:rsid w:val="00BA399E"/>
    <w:rsid w:val="00BA41CB"/>
    <w:rsid w:val="00BB49E8"/>
    <w:rsid w:val="00BD3CA5"/>
    <w:rsid w:val="00BD4765"/>
    <w:rsid w:val="00BD54FE"/>
    <w:rsid w:val="00BF1698"/>
    <w:rsid w:val="00BF455F"/>
    <w:rsid w:val="00C12E81"/>
    <w:rsid w:val="00C20EBE"/>
    <w:rsid w:val="00C26C67"/>
    <w:rsid w:val="00C42132"/>
    <w:rsid w:val="00C60D89"/>
    <w:rsid w:val="00C67F36"/>
    <w:rsid w:val="00C70C96"/>
    <w:rsid w:val="00C932C4"/>
    <w:rsid w:val="00CA141C"/>
    <w:rsid w:val="00CA3712"/>
    <w:rsid w:val="00CA444C"/>
    <w:rsid w:val="00CA5932"/>
    <w:rsid w:val="00CA737C"/>
    <w:rsid w:val="00CB6E14"/>
    <w:rsid w:val="00CF48CA"/>
    <w:rsid w:val="00CF67DD"/>
    <w:rsid w:val="00D2438D"/>
    <w:rsid w:val="00D447E1"/>
    <w:rsid w:val="00D84069"/>
    <w:rsid w:val="00D91F39"/>
    <w:rsid w:val="00DA3033"/>
    <w:rsid w:val="00DB3DC4"/>
    <w:rsid w:val="00DD62D7"/>
    <w:rsid w:val="00DE7B36"/>
    <w:rsid w:val="00DF0DC8"/>
    <w:rsid w:val="00DF14F7"/>
    <w:rsid w:val="00E01E15"/>
    <w:rsid w:val="00E053AB"/>
    <w:rsid w:val="00E10DBE"/>
    <w:rsid w:val="00E17BA0"/>
    <w:rsid w:val="00E2548C"/>
    <w:rsid w:val="00E261D6"/>
    <w:rsid w:val="00E26B25"/>
    <w:rsid w:val="00E45F18"/>
    <w:rsid w:val="00E53B32"/>
    <w:rsid w:val="00E5449F"/>
    <w:rsid w:val="00E544AA"/>
    <w:rsid w:val="00E67632"/>
    <w:rsid w:val="00E738AA"/>
    <w:rsid w:val="00E84956"/>
    <w:rsid w:val="00E8758D"/>
    <w:rsid w:val="00E96E1A"/>
    <w:rsid w:val="00EA1BC3"/>
    <w:rsid w:val="00EA25CD"/>
    <w:rsid w:val="00EB562D"/>
    <w:rsid w:val="00EB7666"/>
    <w:rsid w:val="00ED76CD"/>
    <w:rsid w:val="00ED7836"/>
    <w:rsid w:val="00EE12CE"/>
    <w:rsid w:val="00F33F3E"/>
    <w:rsid w:val="00F35F07"/>
    <w:rsid w:val="00F634DE"/>
    <w:rsid w:val="00F827A3"/>
    <w:rsid w:val="00F82B41"/>
    <w:rsid w:val="00F844C0"/>
    <w:rsid w:val="00F90A35"/>
    <w:rsid w:val="00F918DC"/>
    <w:rsid w:val="00FC3876"/>
    <w:rsid w:val="00FC39E0"/>
    <w:rsid w:val="00FD3F15"/>
    <w:rsid w:val="00FE26B9"/>
    <w:rsid w:val="00FE77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81D9E"/>
    <w:rPr>
      <w:sz w:val="24"/>
      <w:szCs w:val="24"/>
    </w:rPr>
  </w:style>
  <w:style w:type="paragraph" w:styleId="Heading1">
    <w:name w:val="heading 1"/>
    <w:basedOn w:val="BodyText"/>
    <w:next w:val="BodyText"/>
    <w:link w:val="Heading1Char"/>
    <w:rsid w:val="00381D9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81D9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81D9E"/>
    <w:pPr>
      <w:spacing w:before="560" w:line="320" w:lineRule="exact"/>
      <w:ind w:left="0" w:firstLine="0"/>
      <w:outlineLvl w:val="2"/>
    </w:pPr>
    <w:rPr>
      <w:sz w:val="26"/>
    </w:rPr>
  </w:style>
  <w:style w:type="paragraph" w:styleId="Heading4">
    <w:name w:val="heading 4"/>
    <w:basedOn w:val="Heading3"/>
    <w:next w:val="BodyText"/>
    <w:link w:val="Heading4Char"/>
    <w:qFormat/>
    <w:rsid w:val="00381D9E"/>
    <w:pPr>
      <w:spacing w:before="480"/>
      <w:outlineLvl w:val="3"/>
    </w:pPr>
    <w:rPr>
      <w:b w:val="0"/>
      <w:sz w:val="24"/>
    </w:rPr>
  </w:style>
  <w:style w:type="paragraph" w:styleId="Heading5">
    <w:name w:val="heading 5"/>
    <w:basedOn w:val="Heading4"/>
    <w:next w:val="BodyText"/>
    <w:link w:val="Heading5Char"/>
    <w:qFormat/>
    <w:rsid w:val="00381D9E"/>
    <w:pPr>
      <w:outlineLvl w:val="4"/>
    </w:pPr>
    <w:rPr>
      <w:i/>
      <w:sz w:val="22"/>
    </w:rPr>
  </w:style>
  <w:style w:type="paragraph" w:styleId="Heading6">
    <w:name w:val="heading 6"/>
    <w:basedOn w:val="BodyText"/>
    <w:next w:val="BodyText"/>
    <w:link w:val="Heading6Char"/>
    <w:rsid w:val="00381D9E"/>
    <w:pPr>
      <w:spacing w:after="60"/>
      <w:jc w:val="left"/>
      <w:outlineLvl w:val="5"/>
    </w:pPr>
    <w:rPr>
      <w:i/>
      <w:sz w:val="22"/>
    </w:rPr>
  </w:style>
  <w:style w:type="paragraph" w:styleId="Heading7">
    <w:name w:val="heading 7"/>
    <w:basedOn w:val="BodyText"/>
    <w:next w:val="BodyText"/>
    <w:link w:val="Heading7Char"/>
    <w:rsid w:val="00381D9E"/>
    <w:pPr>
      <w:spacing w:after="60" w:line="240" w:lineRule="auto"/>
      <w:jc w:val="left"/>
      <w:outlineLvl w:val="6"/>
    </w:pPr>
    <w:rPr>
      <w:rFonts w:ascii="Arial" w:hAnsi="Arial"/>
      <w:sz w:val="20"/>
    </w:rPr>
  </w:style>
  <w:style w:type="paragraph" w:styleId="Heading8">
    <w:name w:val="heading 8"/>
    <w:basedOn w:val="BodyText"/>
    <w:next w:val="BodyText"/>
    <w:link w:val="Heading8Char"/>
    <w:rsid w:val="00381D9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381D9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81D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D9E"/>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381D9E"/>
    <w:pPr>
      <w:spacing w:before="240" w:line="300" w:lineRule="atLeast"/>
      <w:jc w:val="both"/>
    </w:pPr>
    <w:rPr>
      <w:sz w:val="24"/>
    </w:rPr>
  </w:style>
  <w:style w:type="paragraph" w:customStyle="1" w:styleId="Box">
    <w:name w:val="Box"/>
    <w:basedOn w:val="BodyText"/>
    <w:link w:val="BoxChar"/>
    <w:qFormat/>
    <w:rsid w:val="00381D9E"/>
    <w:pPr>
      <w:keepNext/>
      <w:spacing w:before="120" w:line="260" w:lineRule="atLeast"/>
    </w:pPr>
    <w:rPr>
      <w:rFonts w:ascii="Arial" w:hAnsi="Arial"/>
      <w:sz w:val="20"/>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381D9E"/>
    <w:pPr>
      <w:spacing w:before="120" w:after="0"/>
    </w:pPr>
  </w:style>
  <w:style w:type="paragraph" w:styleId="Footer">
    <w:name w:val="footer"/>
    <w:basedOn w:val="BodyText"/>
    <w:link w:val="FooterChar"/>
    <w:rsid w:val="00381D9E"/>
    <w:pPr>
      <w:spacing w:before="80" w:line="200" w:lineRule="exact"/>
      <w:ind w:right="6"/>
      <w:jc w:val="left"/>
    </w:pPr>
    <w:rPr>
      <w:rFonts w:ascii="Arial" w:hAnsi="Arial"/>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381D9E"/>
    <w:rPr>
      <w:sz w:val="24"/>
    </w:rPr>
  </w:style>
  <w:style w:type="paragraph" w:customStyle="1" w:styleId="FooterEnd">
    <w:name w:val="Footer End"/>
    <w:basedOn w:val="Footer"/>
    <w:rsid w:val="00381D9E"/>
    <w:pPr>
      <w:spacing w:before="0" w:line="20" w:lineRule="exact"/>
    </w:pPr>
  </w:style>
  <w:style w:type="paragraph" w:styleId="Header">
    <w:name w:val="header"/>
    <w:basedOn w:val="BodyText"/>
    <w:rsid w:val="00381D9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81D9E"/>
    <w:pPr>
      <w:spacing w:line="20" w:lineRule="exact"/>
    </w:pPr>
    <w:rPr>
      <w:sz w:val="16"/>
    </w:rPr>
  </w:style>
  <w:style w:type="paragraph" w:customStyle="1" w:styleId="HeaderEven">
    <w:name w:val="Header Even"/>
    <w:basedOn w:val="Header"/>
    <w:semiHidden/>
    <w:rsid w:val="00381D9E"/>
  </w:style>
  <w:style w:type="paragraph" w:customStyle="1" w:styleId="HeaderOdd">
    <w:name w:val="Header Odd"/>
    <w:basedOn w:val="Header"/>
    <w:semiHidden/>
    <w:rsid w:val="00381D9E"/>
  </w:style>
  <w:style w:type="paragraph" w:customStyle="1" w:styleId="Note">
    <w:name w:val="Note"/>
    <w:basedOn w:val="BodyText"/>
    <w:next w:val="BodyText"/>
    <w:link w:val="NoteChar"/>
    <w:rsid w:val="00381D9E"/>
    <w:pPr>
      <w:keepLines/>
      <w:spacing w:before="80" w:line="220" w:lineRule="exact"/>
    </w:pPr>
    <w:rPr>
      <w:rFonts w:ascii="Arial" w:hAnsi="Arial"/>
      <w:sz w:val="18"/>
    </w:rPr>
  </w:style>
  <w:style w:type="character" w:styleId="PageNumber">
    <w:name w:val="page number"/>
    <w:basedOn w:val="DefaultParagraphFont"/>
    <w:rsid w:val="00381D9E"/>
    <w:rPr>
      <w:rFonts w:ascii="Arial" w:hAnsi="Arial"/>
      <w:b/>
      <w:sz w:val="16"/>
    </w:rPr>
  </w:style>
  <w:style w:type="paragraph" w:customStyle="1" w:styleId="TableBodyText">
    <w:name w:val="Table Body Text"/>
    <w:basedOn w:val="BodyText"/>
    <w:link w:val="TableBodyTextChar"/>
    <w:rsid w:val="00381D9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81D9E"/>
    <w:pPr>
      <w:numPr>
        <w:numId w:val="1"/>
      </w:numPr>
      <w:jc w:val="left"/>
    </w:pPr>
  </w:style>
  <w:style w:type="paragraph" w:styleId="TOC3">
    <w:name w:val="toc 3"/>
    <w:basedOn w:val="TOC2"/>
    <w:rsid w:val="00381D9E"/>
    <w:pPr>
      <w:spacing w:before="60"/>
      <w:ind w:left="1190" w:hanging="680"/>
    </w:pPr>
  </w:style>
  <w:style w:type="paragraph" w:styleId="TOC2">
    <w:name w:val="toc 2"/>
    <w:basedOn w:val="TOC1"/>
    <w:rsid w:val="00381D9E"/>
    <w:pPr>
      <w:ind w:left="1134" w:hanging="624"/>
    </w:pPr>
    <w:rPr>
      <w:b w:val="0"/>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sz w:val="18"/>
    </w:rPr>
  </w:style>
  <w:style w:type="character" w:customStyle="1" w:styleId="TableBulletChar">
    <w:name w:val="Table Bullet Char"/>
    <w:link w:val="TableBullet"/>
    <w:rsid w:val="00FE26B9"/>
    <w:rPr>
      <w:rFonts w:ascii="Arial" w:hAnsi="Arial"/>
      <w:sz w:val="18"/>
    </w:rPr>
  </w:style>
  <w:style w:type="character" w:customStyle="1" w:styleId="BoxChar">
    <w:name w:val="Box Char"/>
    <w:link w:val="Box"/>
    <w:rsid w:val="00FE26B9"/>
    <w:rPr>
      <w:rFonts w:ascii="Arial" w:hAnsi="Arial"/>
    </w:rPr>
  </w:style>
  <w:style w:type="paragraph" w:styleId="Caption">
    <w:name w:val="caption"/>
    <w:basedOn w:val="Normal"/>
    <w:next w:val="BodyText"/>
    <w:rsid w:val="00381D9E"/>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sz w:val="24"/>
    </w:rPr>
  </w:style>
  <w:style w:type="character" w:customStyle="1" w:styleId="Heading5Char">
    <w:name w:val="Heading 5 Char"/>
    <w:basedOn w:val="DefaultParagraphFont"/>
    <w:link w:val="Heading5"/>
    <w:rsid w:val="00381D9E"/>
    <w:rPr>
      <w:rFonts w:ascii="Arial" w:hAnsi="Arial"/>
      <w:i/>
      <w:sz w:val="22"/>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381D9E"/>
    <w:pPr>
      <w:spacing w:before="120"/>
      <w:ind w:left="2381" w:hanging="2381"/>
      <w:jc w:val="left"/>
    </w:pPr>
  </w:style>
  <w:style w:type="paragraph" w:customStyle="1" w:styleId="BoxContinued">
    <w:name w:val="Box Continued"/>
    <w:basedOn w:val="BodyText"/>
    <w:next w:val="BodyText"/>
    <w:semiHidden/>
    <w:rsid w:val="00381D9E"/>
    <w:pPr>
      <w:spacing w:before="180" w:line="220" w:lineRule="exact"/>
      <w:jc w:val="right"/>
    </w:pPr>
    <w:rPr>
      <w:rFonts w:ascii="Arial" w:hAnsi="Arial"/>
      <w:sz w:val="18"/>
    </w:rPr>
  </w:style>
  <w:style w:type="paragraph" w:customStyle="1" w:styleId="BoxHeading1">
    <w:name w:val="Box Heading 1"/>
    <w:basedOn w:val="BodyText"/>
    <w:next w:val="Box"/>
    <w:rsid w:val="00381D9E"/>
    <w:pPr>
      <w:keepNext/>
      <w:spacing w:before="200" w:line="280" w:lineRule="atLeast"/>
    </w:pPr>
    <w:rPr>
      <w:rFonts w:ascii="Arial" w:hAnsi="Arial"/>
      <w:b/>
      <w:sz w:val="22"/>
    </w:rPr>
  </w:style>
  <w:style w:type="paragraph" w:customStyle="1" w:styleId="BoxHeading2">
    <w:name w:val="Box Heading 2"/>
    <w:basedOn w:val="BoxHeading1"/>
    <w:next w:val="Normal"/>
    <w:rsid w:val="00381D9E"/>
    <w:rPr>
      <w:b w:val="0"/>
      <w:i/>
    </w:rPr>
  </w:style>
  <w:style w:type="paragraph" w:customStyle="1" w:styleId="BoxListBullet">
    <w:name w:val="Box List Bullet"/>
    <w:basedOn w:val="BodyText"/>
    <w:link w:val="BoxListBulletChar"/>
    <w:rsid w:val="00381D9E"/>
    <w:pPr>
      <w:keepNext/>
      <w:numPr>
        <w:numId w:val="2"/>
      </w:numPr>
      <w:spacing w:before="100" w:line="260" w:lineRule="atLeast"/>
    </w:pPr>
    <w:rPr>
      <w:rFonts w:ascii="Arial" w:hAnsi="Arial"/>
      <w:sz w:val="20"/>
    </w:rPr>
  </w:style>
  <w:style w:type="paragraph" w:customStyle="1" w:styleId="BoxListBullet2">
    <w:name w:val="Box List Bullet 2"/>
    <w:basedOn w:val="BoxListBullet"/>
    <w:rsid w:val="00381D9E"/>
    <w:pPr>
      <w:numPr>
        <w:numId w:val="3"/>
      </w:numPr>
      <w:ind w:left="568" w:hanging="284"/>
    </w:pPr>
  </w:style>
  <w:style w:type="paragraph" w:customStyle="1" w:styleId="BoxListNumber">
    <w:name w:val="Box List Number"/>
    <w:basedOn w:val="BodyText"/>
    <w:rsid w:val="00381D9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81D9E"/>
    <w:pPr>
      <w:numPr>
        <w:ilvl w:val="1"/>
      </w:numPr>
      <w:ind w:left="681" w:hanging="397"/>
    </w:pPr>
  </w:style>
  <w:style w:type="paragraph" w:customStyle="1" w:styleId="BoxQuote">
    <w:name w:val="Box Quote"/>
    <w:basedOn w:val="BodyText"/>
    <w:next w:val="Box"/>
    <w:qFormat/>
    <w:rsid w:val="00381D9E"/>
    <w:pPr>
      <w:keepNext/>
      <w:spacing w:before="60" w:line="240" w:lineRule="exact"/>
      <w:ind w:left="284"/>
    </w:pPr>
    <w:rPr>
      <w:rFonts w:ascii="Arial" w:hAnsi="Arial"/>
      <w:sz w:val="18"/>
    </w:rPr>
  </w:style>
  <w:style w:type="paragraph" w:customStyle="1" w:styleId="Source">
    <w:name w:val="Source"/>
    <w:basedOn w:val="Normal"/>
    <w:next w:val="BodyText"/>
    <w:rsid w:val="00381D9E"/>
    <w:pPr>
      <w:keepLines/>
      <w:spacing w:before="80" w:line="220" w:lineRule="exact"/>
      <w:jc w:val="both"/>
    </w:pPr>
    <w:rPr>
      <w:rFonts w:ascii="Arial" w:hAnsi="Arial"/>
      <w:sz w:val="18"/>
      <w:szCs w:val="20"/>
    </w:rPr>
  </w:style>
  <w:style w:type="paragraph" w:customStyle="1" w:styleId="BoxSource">
    <w:name w:val="Box Source"/>
    <w:basedOn w:val="Source"/>
    <w:next w:val="BodyText"/>
    <w:rsid w:val="00381D9E"/>
    <w:pPr>
      <w:spacing w:before="120"/>
    </w:pPr>
  </w:style>
  <w:style w:type="paragraph" w:customStyle="1" w:styleId="BoxSubtitle">
    <w:name w:val="Box Subtitle"/>
    <w:basedOn w:val="BoxTitle"/>
    <w:next w:val="Normal"/>
    <w:rsid w:val="00381D9E"/>
    <w:pPr>
      <w:spacing w:after="80" w:line="200" w:lineRule="exact"/>
      <w:ind w:firstLine="0"/>
    </w:pPr>
    <w:rPr>
      <w:b w:val="0"/>
      <w:sz w:val="20"/>
    </w:rPr>
  </w:style>
  <w:style w:type="paragraph" w:customStyle="1" w:styleId="Chapter">
    <w:name w:val="Chapter"/>
    <w:basedOn w:val="Heading1"/>
    <w:next w:val="BodyText"/>
    <w:semiHidden/>
    <w:rsid w:val="00381D9E"/>
    <w:pPr>
      <w:ind w:left="0" w:firstLine="0"/>
      <w:outlineLvl w:val="9"/>
    </w:pPr>
  </w:style>
  <w:style w:type="paragraph" w:customStyle="1" w:styleId="ChapterSummary">
    <w:name w:val="Chapter Summary"/>
    <w:basedOn w:val="BodyText"/>
    <w:rsid w:val="00381D9E"/>
    <w:pPr>
      <w:spacing w:line="280" w:lineRule="atLeast"/>
      <w:ind w:left="907"/>
    </w:pPr>
    <w:rPr>
      <w:rFonts w:ascii="Arial" w:hAnsi="Arial"/>
      <w:b/>
      <w:sz w:val="20"/>
    </w:rPr>
  </w:style>
  <w:style w:type="character" w:styleId="CommentReference">
    <w:name w:val="annotation reference"/>
    <w:basedOn w:val="DefaultParagraphFont"/>
    <w:rsid w:val="00381D9E"/>
    <w:rPr>
      <w:b/>
      <w:vanish/>
      <w:color w:val="FF00FF"/>
      <w:sz w:val="20"/>
    </w:rPr>
  </w:style>
  <w:style w:type="paragraph" w:styleId="CommentText">
    <w:name w:val="annotation text"/>
    <w:basedOn w:val="Normal"/>
    <w:link w:val="CommentTextChar"/>
    <w:rsid w:val="00381D9E"/>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381D9E"/>
  </w:style>
  <w:style w:type="character" w:customStyle="1" w:styleId="DocumentInfo">
    <w:name w:val="Document Info"/>
    <w:basedOn w:val="DefaultParagraphFont"/>
    <w:semiHidden/>
    <w:rsid w:val="00381D9E"/>
    <w:rPr>
      <w:rFonts w:ascii="Arial" w:hAnsi="Arial"/>
      <w:sz w:val="14"/>
    </w:rPr>
  </w:style>
  <w:style w:type="character" w:customStyle="1" w:styleId="DraftingNote0">
    <w:name w:val="Drafting Note"/>
    <w:basedOn w:val="DefaultParagraphFont"/>
    <w:rsid w:val="00381D9E"/>
    <w:rPr>
      <w:b/>
      <w:color w:val="FF0000"/>
      <w:sz w:val="24"/>
      <w:u w:val="dotted"/>
    </w:rPr>
  </w:style>
  <w:style w:type="paragraph" w:customStyle="1" w:styleId="Figure">
    <w:name w:val="Figure"/>
    <w:basedOn w:val="BodyText"/>
    <w:rsid w:val="00381D9E"/>
    <w:pPr>
      <w:keepNext/>
      <w:spacing w:before="120" w:after="120" w:line="240" w:lineRule="atLeast"/>
      <w:jc w:val="center"/>
    </w:pPr>
  </w:style>
  <w:style w:type="paragraph" w:customStyle="1" w:styleId="FigureTitle">
    <w:name w:val="Figure Title"/>
    <w:basedOn w:val="Caption"/>
    <w:next w:val="Subtitle"/>
    <w:rsid w:val="00381D9E"/>
    <w:pPr>
      <w:spacing w:before="120"/>
    </w:pPr>
  </w:style>
  <w:style w:type="paragraph" w:styleId="Subtitle">
    <w:name w:val="Subtitle"/>
    <w:basedOn w:val="Caption"/>
    <w:link w:val="SubtitleChar"/>
    <w:qFormat/>
    <w:rsid w:val="00381D9E"/>
    <w:pPr>
      <w:spacing w:before="0" w:line="200" w:lineRule="exact"/>
      <w:ind w:firstLine="0"/>
    </w:pPr>
    <w:rPr>
      <w:b w:val="0"/>
      <w:sz w:val="20"/>
    </w:rPr>
  </w:style>
  <w:style w:type="character" w:customStyle="1" w:styleId="SubtitleChar">
    <w:name w:val="Subtitle Char"/>
    <w:basedOn w:val="DefaultParagraphFont"/>
    <w:link w:val="Subtitle"/>
    <w:rsid w:val="00381D9E"/>
    <w:rPr>
      <w:rFonts w:ascii="Arial" w:hAnsi="Arial"/>
      <w:szCs w:val="24"/>
    </w:rPr>
  </w:style>
  <w:style w:type="paragraph" w:customStyle="1" w:styleId="Finding">
    <w:name w:val="Finding"/>
    <w:basedOn w:val="BodyText"/>
    <w:rsid w:val="00381D9E"/>
    <w:pPr>
      <w:keepLines/>
      <w:spacing w:before="120" w:line="280" w:lineRule="atLeast"/>
    </w:pPr>
    <w:rPr>
      <w:rFonts w:ascii="Arial" w:hAnsi="Arial"/>
      <w:sz w:val="22"/>
    </w:rPr>
  </w:style>
  <w:style w:type="paragraph" w:customStyle="1" w:styleId="FindingBullet">
    <w:name w:val="Finding Bullet"/>
    <w:basedOn w:val="Finding"/>
    <w:rsid w:val="00381D9E"/>
    <w:pPr>
      <w:numPr>
        <w:numId w:val="4"/>
      </w:numPr>
      <w:spacing w:before="80"/>
    </w:pPr>
  </w:style>
  <w:style w:type="paragraph" w:customStyle="1" w:styleId="FindingNoTitle">
    <w:name w:val="Finding NoTitle"/>
    <w:basedOn w:val="Finding"/>
    <w:semiHidden/>
    <w:rsid w:val="00381D9E"/>
    <w:pPr>
      <w:spacing w:before="240"/>
    </w:pPr>
  </w:style>
  <w:style w:type="paragraph" w:customStyle="1" w:styleId="RecTitle">
    <w:name w:val="Rec Title"/>
    <w:basedOn w:val="BodyText"/>
    <w:next w:val="Rec"/>
    <w:qFormat/>
    <w:rsid w:val="00381D9E"/>
    <w:pPr>
      <w:keepNext/>
      <w:keepLines/>
      <w:spacing w:line="280" w:lineRule="atLeast"/>
    </w:pPr>
    <w:rPr>
      <w:rFonts w:ascii="Arial" w:hAnsi="Arial"/>
      <w:caps/>
      <w:sz w:val="18"/>
    </w:rPr>
  </w:style>
  <w:style w:type="paragraph" w:customStyle="1" w:styleId="FindingTitle">
    <w:name w:val="Finding Title"/>
    <w:basedOn w:val="RecTitle"/>
    <w:next w:val="Finding"/>
    <w:rsid w:val="00381D9E"/>
  </w:style>
  <w:style w:type="character" w:styleId="FootnoteReference">
    <w:name w:val="footnote reference"/>
    <w:basedOn w:val="DefaultParagraphFont"/>
    <w:rsid w:val="00381D9E"/>
    <w:rPr>
      <w:rFonts w:ascii="Times New Roman" w:hAnsi="Times New Roman"/>
      <w:position w:val="6"/>
      <w:sz w:val="20"/>
      <w:vertAlign w:val="baseline"/>
    </w:rPr>
  </w:style>
  <w:style w:type="paragraph" w:styleId="FootnoteText">
    <w:name w:val="footnote text"/>
    <w:basedOn w:val="BodyText"/>
    <w:link w:val="FootnoteTextChar"/>
    <w:rsid w:val="00381D9E"/>
    <w:pPr>
      <w:tabs>
        <w:tab w:val="left" w:pos="284"/>
      </w:tabs>
      <w:spacing w:before="80" w:line="240" w:lineRule="exact"/>
      <w:ind w:left="284" w:hanging="284"/>
    </w:pPr>
    <w:rPr>
      <w:sz w:val="20"/>
    </w:rPr>
  </w:style>
  <w:style w:type="character" w:customStyle="1" w:styleId="FootnoteTextChar">
    <w:name w:val="Footnote Text Char"/>
    <w:basedOn w:val="DefaultParagraphFont"/>
    <w:link w:val="FootnoteText"/>
    <w:rsid w:val="00BF455F"/>
  </w:style>
  <w:style w:type="paragraph" w:customStyle="1" w:styleId="InformationRequest">
    <w:name w:val="Information Request"/>
    <w:basedOn w:val="Finding"/>
    <w:next w:val="BodyText"/>
    <w:rsid w:val="00381D9E"/>
    <w:rPr>
      <w:i/>
    </w:rPr>
  </w:style>
  <w:style w:type="paragraph" w:customStyle="1" w:styleId="Jurisdictioncommentsbodytext">
    <w:name w:val="Jurisdiction comments body text"/>
    <w:rsid w:val="00381D9E"/>
    <w:pPr>
      <w:spacing w:after="140"/>
      <w:jc w:val="both"/>
    </w:pPr>
    <w:rPr>
      <w:rFonts w:ascii="Arial" w:hAnsi="Arial"/>
      <w:sz w:val="24"/>
      <w:lang w:eastAsia="en-US"/>
    </w:rPr>
  </w:style>
  <w:style w:type="paragraph" w:customStyle="1" w:styleId="Jurisdictioncommentsheading">
    <w:name w:val="Jurisdiction comments heading"/>
    <w:rsid w:val="00381D9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81D9E"/>
    <w:pPr>
      <w:numPr>
        <w:numId w:val="5"/>
      </w:numPr>
      <w:spacing w:after="140"/>
      <w:jc w:val="both"/>
    </w:pPr>
    <w:rPr>
      <w:rFonts w:ascii="Arial" w:hAnsi="Arial"/>
      <w:sz w:val="24"/>
      <w:lang w:eastAsia="en-US"/>
    </w:rPr>
  </w:style>
  <w:style w:type="paragraph" w:styleId="ListBullet">
    <w:name w:val="List Bullet"/>
    <w:basedOn w:val="BodyText"/>
    <w:rsid w:val="00381D9E"/>
    <w:pPr>
      <w:numPr>
        <w:numId w:val="6"/>
      </w:numPr>
      <w:spacing w:before="120"/>
    </w:pPr>
  </w:style>
  <w:style w:type="paragraph" w:styleId="ListBullet2">
    <w:name w:val="List Bullet 2"/>
    <w:basedOn w:val="BodyText"/>
    <w:rsid w:val="00381D9E"/>
    <w:pPr>
      <w:numPr>
        <w:numId w:val="7"/>
      </w:numPr>
      <w:spacing w:before="120"/>
    </w:pPr>
  </w:style>
  <w:style w:type="paragraph" w:styleId="ListBullet3">
    <w:name w:val="List Bullet 3"/>
    <w:basedOn w:val="BodyText"/>
    <w:rsid w:val="00381D9E"/>
    <w:pPr>
      <w:numPr>
        <w:numId w:val="8"/>
      </w:numPr>
      <w:spacing w:before="120"/>
      <w:ind w:left="1020" w:hanging="340"/>
    </w:pPr>
  </w:style>
  <w:style w:type="paragraph" w:styleId="ListNumber">
    <w:name w:val="List Number"/>
    <w:basedOn w:val="BodyText"/>
    <w:rsid w:val="00381D9E"/>
    <w:pPr>
      <w:numPr>
        <w:numId w:val="13"/>
      </w:numPr>
      <w:spacing w:before="120"/>
    </w:pPr>
  </w:style>
  <w:style w:type="paragraph" w:styleId="ListNumber2">
    <w:name w:val="List Number 2"/>
    <w:basedOn w:val="ListNumber"/>
    <w:rsid w:val="00381D9E"/>
    <w:pPr>
      <w:numPr>
        <w:ilvl w:val="1"/>
      </w:numPr>
    </w:pPr>
  </w:style>
  <w:style w:type="paragraph" w:styleId="ListNumber3">
    <w:name w:val="List Number 3"/>
    <w:basedOn w:val="ListNumber2"/>
    <w:rsid w:val="00381D9E"/>
    <w:pPr>
      <w:numPr>
        <w:ilvl w:val="2"/>
      </w:numPr>
    </w:pPr>
  </w:style>
  <w:style w:type="character" w:customStyle="1" w:styleId="NoteLabel">
    <w:name w:val="Note Label"/>
    <w:basedOn w:val="DefaultParagraphFont"/>
    <w:rsid w:val="00381D9E"/>
    <w:rPr>
      <w:rFonts w:ascii="Arial" w:hAnsi="Arial"/>
      <w:b/>
      <w:position w:val="6"/>
      <w:sz w:val="18"/>
    </w:rPr>
  </w:style>
  <w:style w:type="paragraph" w:customStyle="1" w:styleId="PartDivider">
    <w:name w:val="Part Divider"/>
    <w:basedOn w:val="BodyText"/>
    <w:next w:val="BodyText"/>
    <w:semiHidden/>
    <w:rsid w:val="00381D9E"/>
    <w:pPr>
      <w:spacing w:before="0" w:line="40" w:lineRule="exact"/>
      <w:jc w:val="right"/>
    </w:pPr>
    <w:rPr>
      <w:smallCaps/>
      <w:sz w:val="16"/>
    </w:rPr>
  </w:style>
  <w:style w:type="paragraph" w:customStyle="1" w:styleId="PartNumber">
    <w:name w:val="Part Number"/>
    <w:basedOn w:val="BodyText"/>
    <w:next w:val="BodyText"/>
    <w:semiHidden/>
    <w:rsid w:val="00381D9E"/>
    <w:pPr>
      <w:spacing w:before="4000" w:line="320" w:lineRule="exact"/>
      <w:ind w:left="6634"/>
      <w:jc w:val="right"/>
    </w:pPr>
    <w:rPr>
      <w:smallCaps/>
      <w:spacing w:val="60"/>
      <w:sz w:val="32"/>
    </w:rPr>
  </w:style>
  <w:style w:type="paragraph" w:customStyle="1" w:styleId="PartTitle">
    <w:name w:val="Part Title"/>
    <w:basedOn w:val="BodyText"/>
    <w:semiHidden/>
    <w:rsid w:val="00381D9E"/>
    <w:pPr>
      <w:spacing w:before="160" w:after="1360" w:line="520" w:lineRule="exact"/>
      <w:ind w:right="2381"/>
      <w:jc w:val="right"/>
    </w:pPr>
    <w:rPr>
      <w:smallCaps/>
      <w:sz w:val="52"/>
    </w:rPr>
  </w:style>
  <w:style w:type="paragraph" w:styleId="Quote">
    <w:name w:val="Quote"/>
    <w:basedOn w:val="BodyText"/>
    <w:next w:val="BodyText"/>
    <w:link w:val="QuoteChar"/>
    <w:qFormat/>
    <w:rsid w:val="00381D9E"/>
    <w:pPr>
      <w:spacing w:before="120" w:line="280" w:lineRule="exact"/>
      <w:ind w:left="340"/>
    </w:pPr>
    <w:rPr>
      <w:sz w:val="22"/>
    </w:rPr>
  </w:style>
  <w:style w:type="character" w:customStyle="1" w:styleId="QuoteChar">
    <w:name w:val="Quote Char"/>
    <w:basedOn w:val="DefaultParagraphFont"/>
    <w:link w:val="Quote"/>
    <w:rsid w:val="00BF455F"/>
    <w:rPr>
      <w:sz w:val="22"/>
    </w:rPr>
  </w:style>
  <w:style w:type="paragraph" w:customStyle="1" w:styleId="QuoteBullet">
    <w:name w:val="Quote Bullet"/>
    <w:basedOn w:val="Quote"/>
    <w:rsid w:val="00381D9E"/>
    <w:pPr>
      <w:numPr>
        <w:numId w:val="9"/>
      </w:numPr>
    </w:pPr>
  </w:style>
  <w:style w:type="paragraph" w:customStyle="1" w:styleId="Rec">
    <w:name w:val="Rec"/>
    <w:basedOn w:val="BodyText"/>
    <w:qFormat/>
    <w:rsid w:val="00381D9E"/>
    <w:pPr>
      <w:keepLines/>
      <w:spacing w:before="120" w:line="280" w:lineRule="atLeast"/>
    </w:pPr>
    <w:rPr>
      <w:rFonts w:ascii="Arial" w:hAnsi="Arial"/>
      <w:sz w:val="22"/>
    </w:rPr>
  </w:style>
  <w:style w:type="paragraph" w:customStyle="1" w:styleId="RecBullet">
    <w:name w:val="Rec Bullet"/>
    <w:basedOn w:val="Rec"/>
    <w:rsid w:val="00381D9E"/>
    <w:pPr>
      <w:numPr>
        <w:numId w:val="10"/>
      </w:numPr>
      <w:spacing w:before="80"/>
    </w:pPr>
  </w:style>
  <w:style w:type="paragraph" w:customStyle="1" w:styleId="RecB">
    <w:name w:val="RecB"/>
    <w:basedOn w:val="Normal"/>
    <w:semiHidden/>
    <w:rsid w:val="00381D9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81D9E"/>
    <w:pPr>
      <w:numPr>
        <w:numId w:val="11"/>
      </w:numPr>
      <w:spacing w:before="80"/>
    </w:pPr>
  </w:style>
  <w:style w:type="paragraph" w:customStyle="1" w:styleId="RecBNoTitle">
    <w:name w:val="RecB NoTitle"/>
    <w:basedOn w:val="RecB"/>
    <w:semiHidden/>
    <w:rsid w:val="00381D9E"/>
    <w:pPr>
      <w:spacing w:before="240"/>
    </w:pPr>
  </w:style>
  <w:style w:type="paragraph" w:customStyle="1" w:styleId="Reference">
    <w:name w:val="Reference"/>
    <w:basedOn w:val="BodyText"/>
    <w:rsid w:val="00381D9E"/>
    <w:pPr>
      <w:spacing w:before="120"/>
      <w:ind w:left="340" w:hanging="340"/>
    </w:pPr>
  </w:style>
  <w:style w:type="paragraph" w:customStyle="1" w:styleId="SequenceInfo">
    <w:name w:val="Sequence Info"/>
    <w:basedOn w:val="BodyText"/>
    <w:semiHidden/>
    <w:rsid w:val="00381D9E"/>
    <w:rPr>
      <w:vanish/>
      <w:sz w:val="16"/>
    </w:rPr>
  </w:style>
  <w:style w:type="paragraph" w:customStyle="1" w:styleId="SideNote">
    <w:name w:val="Side Note"/>
    <w:basedOn w:val="BodyText"/>
    <w:next w:val="BodyText"/>
    <w:semiHidden/>
    <w:rsid w:val="00381D9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81D9E"/>
    <w:pPr>
      <w:framePr w:wrap="around"/>
      <w:numPr>
        <w:numId w:val="12"/>
      </w:numPr>
      <w:tabs>
        <w:tab w:val="left" w:pos="227"/>
      </w:tabs>
    </w:pPr>
  </w:style>
  <w:style w:type="paragraph" w:customStyle="1" w:styleId="SideNoteGraphic">
    <w:name w:val="Side Note Graphic"/>
    <w:basedOn w:val="SideNote"/>
    <w:next w:val="BodyText"/>
    <w:semiHidden/>
    <w:rsid w:val="00381D9E"/>
    <w:pPr>
      <w:framePr w:wrap="around"/>
    </w:pPr>
  </w:style>
  <w:style w:type="paragraph" w:customStyle="1" w:styleId="TableColumnHeading">
    <w:name w:val="Table Column Heading"/>
    <w:basedOn w:val="TableBodyText"/>
    <w:rsid w:val="00381D9E"/>
    <w:pPr>
      <w:spacing w:before="80" w:after="80"/>
    </w:pPr>
    <w:rPr>
      <w:i/>
    </w:rPr>
  </w:style>
  <w:style w:type="paragraph" w:styleId="TableofFigures">
    <w:name w:val="table of figures"/>
    <w:basedOn w:val="TOC3"/>
    <w:next w:val="BodyText"/>
    <w:rsid w:val="00381D9E"/>
    <w:pPr>
      <w:ind w:left="737" w:hanging="737"/>
    </w:pPr>
  </w:style>
  <w:style w:type="paragraph" w:customStyle="1" w:styleId="TableTitle">
    <w:name w:val="Table Title"/>
    <w:basedOn w:val="Caption"/>
    <w:next w:val="Subtitle"/>
    <w:qFormat/>
    <w:rsid w:val="00381D9E"/>
    <w:pPr>
      <w:spacing w:before="120"/>
    </w:pPr>
  </w:style>
  <w:style w:type="paragraph" w:customStyle="1" w:styleId="TableUnitsRow">
    <w:name w:val="Table Units Row"/>
    <w:basedOn w:val="TableBodyText"/>
    <w:rsid w:val="00381D9E"/>
    <w:pPr>
      <w:spacing w:before="40"/>
    </w:pPr>
  </w:style>
  <w:style w:type="paragraph" w:styleId="TOC1">
    <w:name w:val="toc 1"/>
    <w:basedOn w:val="Normal"/>
    <w:next w:val="TOC2"/>
    <w:link w:val="TOC1Char"/>
    <w:rsid w:val="00381D9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81D9E"/>
    <w:pPr>
      <w:ind w:left="1191" w:firstLine="0"/>
    </w:pPr>
  </w:style>
  <w:style w:type="paragraph" w:customStyle="1" w:styleId="RecBBullet2">
    <w:name w:val="RecB Bullet 2"/>
    <w:basedOn w:val="ListBullet2"/>
    <w:semiHidden/>
    <w:rsid w:val="00381D9E"/>
    <w:pPr>
      <w:pBdr>
        <w:left w:val="single" w:sz="24" w:space="29" w:color="C0C0C0"/>
      </w:pBdr>
    </w:pPr>
    <w:rPr>
      <w:b/>
      <w:i/>
    </w:rPr>
  </w:style>
  <w:style w:type="paragraph" w:styleId="BalloonText">
    <w:name w:val="Balloon Text"/>
    <w:basedOn w:val="Normal"/>
    <w:link w:val="BalloonTextChar"/>
    <w:rsid w:val="00381D9E"/>
    <w:rPr>
      <w:rFonts w:ascii="Tahoma" w:hAnsi="Tahoma" w:cs="Tahoma"/>
      <w:sz w:val="16"/>
      <w:szCs w:val="16"/>
    </w:rPr>
  </w:style>
  <w:style w:type="character" w:customStyle="1" w:styleId="BalloonTextChar">
    <w:name w:val="Balloon Text Char"/>
    <w:basedOn w:val="DefaultParagraphFont"/>
    <w:link w:val="BalloonText"/>
    <w:rsid w:val="00381D9E"/>
    <w:rPr>
      <w:rFonts w:ascii="Tahoma" w:hAnsi="Tahoma" w:cs="Tahoma"/>
      <w:sz w:val="16"/>
      <w:szCs w:val="16"/>
    </w:rPr>
  </w:style>
  <w:style w:type="paragraph" w:customStyle="1" w:styleId="BoxListBullet3">
    <w:name w:val="Box List Bullet 3"/>
    <w:basedOn w:val="ListBullet3"/>
    <w:rsid w:val="00381D9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81D9E"/>
    <w:rPr>
      <w:i/>
      <w:iCs/>
    </w:rPr>
  </w:style>
  <w:style w:type="paragraph" w:customStyle="1" w:styleId="BoxQuoteBullet">
    <w:name w:val="Box Quote Bullet"/>
    <w:basedOn w:val="BoxQuote"/>
    <w:next w:val="Box"/>
    <w:rsid w:val="00381D9E"/>
    <w:pPr>
      <w:numPr>
        <w:numId w:val="15"/>
      </w:numPr>
      <w:ind w:left="568" w:hanging="284"/>
    </w:pPr>
  </w:style>
  <w:style w:type="paragraph" w:customStyle="1" w:styleId="InformationRequestBullet">
    <w:name w:val="Information Request Bullet"/>
    <w:basedOn w:val="ListBullet"/>
    <w:next w:val="BodyText"/>
    <w:rsid w:val="00381D9E"/>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381D9E"/>
    <w:pPr>
      <w:keepNext/>
      <w:spacing w:before="360" w:line="80" w:lineRule="exact"/>
      <w:jc w:val="left"/>
    </w:pPr>
  </w:style>
  <w:style w:type="paragraph" w:customStyle="1" w:styleId="BoxSpaceBelow">
    <w:name w:val="Box Space Below"/>
    <w:basedOn w:val="Box"/>
    <w:rsid w:val="00381D9E"/>
    <w:pPr>
      <w:keepNext w:val="0"/>
      <w:spacing w:before="60" w:after="60" w:line="80" w:lineRule="exact"/>
    </w:pPr>
    <w:rPr>
      <w:sz w:val="14"/>
    </w:rPr>
  </w:style>
  <w:style w:type="paragraph" w:customStyle="1" w:styleId="KeyPointsListBullet">
    <w:name w:val="Key Points List Bullet"/>
    <w:basedOn w:val="Normal"/>
    <w:qFormat/>
    <w:rsid w:val="00381D9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81D9E"/>
    <w:pPr>
      <w:numPr>
        <w:numId w:val="19"/>
      </w:numPr>
      <w:ind w:left="568" w:hanging="284"/>
    </w:pPr>
  </w:style>
  <w:style w:type="paragraph" w:customStyle="1" w:styleId="InformationRequestTitle">
    <w:name w:val="Information Request Title"/>
    <w:basedOn w:val="FindingTitle"/>
    <w:next w:val="InformationRequest"/>
    <w:rsid w:val="00381D9E"/>
    <w:rPr>
      <w:i/>
    </w:rPr>
  </w:style>
  <w:style w:type="paragraph" w:customStyle="1" w:styleId="Space">
    <w:name w:val="Space"/>
    <w:basedOn w:val="Normal"/>
    <w:rsid w:val="00381D9E"/>
    <w:pPr>
      <w:keepNext/>
      <w:spacing w:line="120" w:lineRule="exact"/>
      <w:jc w:val="both"/>
    </w:pPr>
    <w:rPr>
      <w:rFonts w:ascii="Arial" w:hAnsi="Arial"/>
      <w:sz w:val="20"/>
      <w:szCs w:val="20"/>
    </w:rPr>
  </w:style>
  <w:style w:type="paragraph" w:customStyle="1" w:styleId="Heading1nochapterno">
    <w:name w:val="Heading 1 (no chapter no.)"/>
    <w:basedOn w:val="Heading1"/>
    <w:rsid w:val="00381D9E"/>
    <w:pPr>
      <w:spacing w:before="0"/>
      <w:ind w:left="0" w:firstLine="0"/>
    </w:pPr>
  </w:style>
  <w:style w:type="paragraph" w:customStyle="1" w:styleId="Heading2nosectionno">
    <w:name w:val="Heading 2 (no section no.)"/>
    <w:basedOn w:val="Heading2"/>
    <w:rsid w:val="00381D9E"/>
    <w:pPr>
      <w:ind w:left="0" w:firstLine="0"/>
    </w:pPr>
  </w:style>
  <w:style w:type="paragraph" w:customStyle="1" w:styleId="Figurespace">
    <w:name w:val="Figure space"/>
    <w:basedOn w:val="Box"/>
    <w:rsid w:val="00381D9E"/>
    <w:pPr>
      <w:spacing w:before="0" w:line="120" w:lineRule="exact"/>
    </w:pPr>
  </w:style>
  <w:style w:type="paragraph" w:customStyle="1" w:styleId="FooterDraftReport">
    <w:name w:val="FooterDraftReport"/>
    <w:basedOn w:val="Footer"/>
    <w:link w:val="FooterDraftReportChar"/>
    <w:rsid w:val="00381D9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381D9E"/>
    <w:rPr>
      <w:rFonts w:ascii="Arial" w:hAnsi="Arial"/>
      <w:caps/>
      <w:spacing w:val="-4"/>
      <w:sz w:val="16"/>
    </w:rPr>
  </w:style>
  <w:style w:type="character" w:customStyle="1" w:styleId="FooterDraftReportChar">
    <w:name w:val="FooterDraftReport Char"/>
    <w:basedOn w:val="FooterChar"/>
    <w:link w:val="FooterDraftReport"/>
    <w:rsid w:val="00381D9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81D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xListBulletChar">
    <w:name w:val="Box List Bullet Char"/>
    <w:link w:val="BoxListBullet"/>
    <w:rsid w:val="00BA41CB"/>
    <w:rPr>
      <w:rFonts w:ascii="Arial" w:hAnsi="Arial"/>
    </w:rPr>
  </w:style>
  <w:style w:type="character" w:customStyle="1" w:styleId="TOC1Char">
    <w:name w:val="TOC 1 Char"/>
    <w:basedOn w:val="DefaultParagraphFont"/>
    <w:link w:val="TOC1"/>
    <w:rsid w:val="00381D9E"/>
    <w:rPr>
      <w:rFonts w:ascii="Arial" w:hAnsi="Arial"/>
      <w:b/>
      <w:sz w:val="26"/>
      <w:szCs w:val="26"/>
      <w:lang w:eastAsia="en-US"/>
    </w:rPr>
  </w:style>
  <w:style w:type="paragraph" w:styleId="NormalWeb">
    <w:name w:val="Normal (Web)"/>
    <w:basedOn w:val="Normal"/>
    <w:uiPriority w:val="99"/>
    <w:unhideWhenUsed/>
    <w:rsid w:val="00A04DA1"/>
    <w:pPr>
      <w:spacing w:before="100" w:beforeAutospacing="1" w:after="100" w:afterAutospacing="1"/>
    </w:pPr>
    <w:rPr>
      <w:rFonts w:eastAsiaTheme="minorHAnsi"/>
    </w:rPr>
  </w:style>
  <w:style w:type="character" w:styleId="FollowedHyperlink">
    <w:name w:val="FollowedHyperlink"/>
    <w:basedOn w:val="DefaultParagraphFont"/>
    <w:rsid w:val="003569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81D9E"/>
    <w:rPr>
      <w:sz w:val="24"/>
      <w:szCs w:val="24"/>
    </w:rPr>
  </w:style>
  <w:style w:type="paragraph" w:styleId="Heading1">
    <w:name w:val="heading 1"/>
    <w:basedOn w:val="BodyText"/>
    <w:next w:val="BodyText"/>
    <w:link w:val="Heading1Char"/>
    <w:rsid w:val="00381D9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81D9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81D9E"/>
    <w:pPr>
      <w:spacing w:before="560" w:line="320" w:lineRule="exact"/>
      <w:ind w:left="0" w:firstLine="0"/>
      <w:outlineLvl w:val="2"/>
    </w:pPr>
    <w:rPr>
      <w:sz w:val="26"/>
    </w:rPr>
  </w:style>
  <w:style w:type="paragraph" w:styleId="Heading4">
    <w:name w:val="heading 4"/>
    <w:basedOn w:val="Heading3"/>
    <w:next w:val="BodyText"/>
    <w:link w:val="Heading4Char"/>
    <w:qFormat/>
    <w:rsid w:val="00381D9E"/>
    <w:pPr>
      <w:spacing w:before="480"/>
      <w:outlineLvl w:val="3"/>
    </w:pPr>
    <w:rPr>
      <w:b w:val="0"/>
      <w:sz w:val="24"/>
    </w:rPr>
  </w:style>
  <w:style w:type="paragraph" w:styleId="Heading5">
    <w:name w:val="heading 5"/>
    <w:basedOn w:val="Heading4"/>
    <w:next w:val="BodyText"/>
    <w:link w:val="Heading5Char"/>
    <w:qFormat/>
    <w:rsid w:val="00381D9E"/>
    <w:pPr>
      <w:outlineLvl w:val="4"/>
    </w:pPr>
    <w:rPr>
      <w:i/>
      <w:sz w:val="22"/>
    </w:rPr>
  </w:style>
  <w:style w:type="paragraph" w:styleId="Heading6">
    <w:name w:val="heading 6"/>
    <w:basedOn w:val="BodyText"/>
    <w:next w:val="BodyText"/>
    <w:link w:val="Heading6Char"/>
    <w:rsid w:val="00381D9E"/>
    <w:pPr>
      <w:spacing w:after="60"/>
      <w:jc w:val="left"/>
      <w:outlineLvl w:val="5"/>
    </w:pPr>
    <w:rPr>
      <w:i/>
      <w:sz w:val="22"/>
    </w:rPr>
  </w:style>
  <w:style w:type="paragraph" w:styleId="Heading7">
    <w:name w:val="heading 7"/>
    <w:basedOn w:val="BodyText"/>
    <w:next w:val="BodyText"/>
    <w:link w:val="Heading7Char"/>
    <w:rsid w:val="00381D9E"/>
    <w:pPr>
      <w:spacing w:after="60" w:line="240" w:lineRule="auto"/>
      <w:jc w:val="left"/>
      <w:outlineLvl w:val="6"/>
    </w:pPr>
    <w:rPr>
      <w:rFonts w:ascii="Arial" w:hAnsi="Arial"/>
      <w:sz w:val="20"/>
    </w:rPr>
  </w:style>
  <w:style w:type="paragraph" w:styleId="Heading8">
    <w:name w:val="heading 8"/>
    <w:basedOn w:val="BodyText"/>
    <w:next w:val="BodyText"/>
    <w:link w:val="Heading8Char"/>
    <w:rsid w:val="00381D9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381D9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81D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D9E"/>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381D9E"/>
    <w:pPr>
      <w:spacing w:before="240" w:line="300" w:lineRule="atLeast"/>
      <w:jc w:val="both"/>
    </w:pPr>
    <w:rPr>
      <w:sz w:val="24"/>
    </w:rPr>
  </w:style>
  <w:style w:type="paragraph" w:customStyle="1" w:styleId="Box">
    <w:name w:val="Box"/>
    <w:basedOn w:val="BodyText"/>
    <w:link w:val="BoxChar"/>
    <w:qFormat/>
    <w:rsid w:val="00381D9E"/>
    <w:pPr>
      <w:keepNext/>
      <w:spacing w:before="120" w:line="260" w:lineRule="atLeast"/>
    </w:pPr>
    <w:rPr>
      <w:rFonts w:ascii="Arial" w:hAnsi="Arial"/>
      <w:sz w:val="20"/>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381D9E"/>
    <w:pPr>
      <w:spacing w:before="120" w:after="0"/>
    </w:pPr>
  </w:style>
  <w:style w:type="paragraph" w:styleId="Footer">
    <w:name w:val="footer"/>
    <w:basedOn w:val="BodyText"/>
    <w:link w:val="FooterChar"/>
    <w:rsid w:val="00381D9E"/>
    <w:pPr>
      <w:spacing w:before="80" w:line="200" w:lineRule="exact"/>
      <w:ind w:right="6"/>
      <w:jc w:val="left"/>
    </w:pPr>
    <w:rPr>
      <w:rFonts w:ascii="Arial" w:hAnsi="Arial"/>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381D9E"/>
    <w:rPr>
      <w:sz w:val="24"/>
    </w:rPr>
  </w:style>
  <w:style w:type="paragraph" w:customStyle="1" w:styleId="FooterEnd">
    <w:name w:val="Footer End"/>
    <w:basedOn w:val="Footer"/>
    <w:rsid w:val="00381D9E"/>
    <w:pPr>
      <w:spacing w:before="0" w:line="20" w:lineRule="exact"/>
    </w:pPr>
  </w:style>
  <w:style w:type="paragraph" w:styleId="Header">
    <w:name w:val="header"/>
    <w:basedOn w:val="BodyText"/>
    <w:rsid w:val="00381D9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81D9E"/>
    <w:pPr>
      <w:spacing w:line="20" w:lineRule="exact"/>
    </w:pPr>
    <w:rPr>
      <w:sz w:val="16"/>
    </w:rPr>
  </w:style>
  <w:style w:type="paragraph" w:customStyle="1" w:styleId="HeaderEven">
    <w:name w:val="Header Even"/>
    <w:basedOn w:val="Header"/>
    <w:semiHidden/>
    <w:rsid w:val="00381D9E"/>
  </w:style>
  <w:style w:type="paragraph" w:customStyle="1" w:styleId="HeaderOdd">
    <w:name w:val="Header Odd"/>
    <w:basedOn w:val="Header"/>
    <w:semiHidden/>
    <w:rsid w:val="00381D9E"/>
  </w:style>
  <w:style w:type="paragraph" w:customStyle="1" w:styleId="Note">
    <w:name w:val="Note"/>
    <w:basedOn w:val="BodyText"/>
    <w:next w:val="BodyText"/>
    <w:link w:val="NoteChar"/>
    <w:rsid w:val="00381D9E"/>
    <w:pPr>
      <w:keepLines/>
      <w:spacing w:before="80" w:line="220" w:lineRule="exact"/>
    </w:pPr>
    <w:rPr>
      <w:rFonts w:ascii="Arial" w:hAnsi="Arial"/>
      <w:sz w:val="18"/>
    </w:rPr>
  </w:style>
  <w:style w:type="character" w:styleId="PageNumber">
    <w:name w:val="page number"/>
    <w:basedOn w:val="DefaultParagraphFont"/>
    <w:rsid w:val="00381D9E"/>
    <w:rPr>
      <w:rFonts w:ascii="Arial" w:hAnsi="Arial"/>
      <w:b/>
      <w:sz w:val="16"/>
    </w:rPr>
  </w:style>
  <w:style w:type="paragraph" w:customStyle="1" w:styleId="TableBodyText">
    <w:name w:val="Table Body Text"/>
    <w:basedOn w:val="BodyText"/>
    <w:link w:val="TableBodyTextChar"/>
    <w:rsid w:val="00381D9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81D9E"/>
    <w:pPr>
      <w:numPr>
        <w:numId w:val="1"/>
      </w:numPr>
      <w:jc w:val="left"/>
    </w:pPr>
  </w:style>
  <w:style w:type="paragraph" w:styleId="TOC3">
    <w:name w:val="toc 3"/>
    <w:basedOn w:val="TOC2"/>
    <w:rsid w:val="00381D9E"/>
    <w:pPr>
      <w:spacing w:before="60"/>
      <w:ind w:left="1190" w:hanging="680"/>
    </w:pPr>
  </w:style>
  <w:style w:type="paragraph" w:styleId="TOC2">
    <w:name w:val="toc 2"/>
    <w:basedOn w:val="TOC1"/>
    <w:rsid w:val="00381D9E"/>
    <w:pPr>
      <w:ind w:left="1134" w:hanging="624"/>
    </w:pPr>
    <w:rPr>
      <w:b w:val="0"/>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sz w:val="18"/>
    </w:rPr>
  </w:style>
  <w:style w:type="character" w:customStyle="1" w:styleId="TableBulletChar">
    <w:name w:val="Table Bullet Char"/>
    <w:link w:val="TableBullet"/>
    <w:rsid w:val="00FE26B9"/>
    <w:rPr>
      <w:rFonts w:ascii="Arial" w:hAnsi="Arial"/>
      <w:sz w:val="18"/>
    </w:rPr>
  </w:style>
  <w:style w:type="character" w:customStyle="1" w:styleId="BoxChar">
    <w:name w:val="Box Char"/>
    <w:link w:val="Box"/>
    <w:rsid w:val="00FE26B9"/>
    <w:rPr>
      <w:rFonts w:ascii="Arial" w:hAnsi="Arial"/>
    </w:rPr>
  </w:style>
  <w:style w:type="paragraph" w:styleId="Caption">
    <w:name w:val="caption"/>
    <w:basedOn w:val="Normal"/>
    <w:next w:val="BodyText"/>
    <w:rsid w:val="00381D9E"/>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sz w:val="24"/>
    </w:rPr>
  </w:style>
  <w:style w:type="character" w:customStyle="1" w:styleId="Heading5Char">
    <w:name w:val="Heading 5 Char"/>
    <w:basedOn w:val="DefaultParagraphFont"/>
    <w:link w:val="Heading5"/>
    <w:rsid w:val="00381D9E"/>
    <w:rPr>
      <w:rFonts w:ascii="Arial" w:hAnsi="Arial"/>
      <w:i/>
      <w:sz w:val="22"/>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381D9E"/>
    <w:pPr>
      <w:spacing w:before="120"/>
      <w:ind w:left="2381" w:hanging="2381"/>
      <w:jc w:val="left"/>
    </w:pPr>
  </w:style>
  <w:style w:type="paragraph" w:customStyle="1" w:styleId="BoxContinued">
    <w:name w:val="Box Continued"/>
    <w:basedOn w:val="BodyText"/>
    <w:next w:val="BodyText"/>
    <w:semiHidden/>
    <w:rsid w:val="00381D9E"/>
    <w:pPr>
      <w:spacing w:before="180" w:line="220" w:lineRule="exact"/>
      <w:jc w:val="right"/>
    </w:pPr>
    <w:rPr>
      <w:rFonts w:ascii="Arial" w:hAnsi="Arial"/>
      <w:sz w:val="18"/>
    </w:rPr>
  </w:style>
  <w:style w:type="paragraph" w:customStyle="1" w:styleId="BoxHeading1">
    <w:name w:val="Box Heading 1"/>
    <w:basedOn w:val="BodyText"/>
    <w:next w:val="Box"/>
    <w:rsid w:val="00381D9E"/>
    <w:pPr>
      <w:keepNext/>
      <w:spacing w:before="200" w:line="280" w:lineRule="atLeast"/>
    </w:pPr>
    <w:rPr>
      <w:rFonts w:ascii="Arial" w:hAnsi="Arial"/>
      <w:b/>
      <w:sz w:val="22"/>
    </w:rPr>
  </w:style>
  <w:style w:type="paragraph" w:customStyle="1" w:styleId="BoxHeading2">
    <w:name w:val="Box Heading 2"/>
    <w:basedOn w:val="BoxHeading1"/>
    <w:next w:val="Normal"/>
    <w:rsid w:val="00381D9E"/>
    <w:rPr>
      <w:b w:val="0"/>
      <w:i/>
    </w:rPr>
  </w:style>
  <w:style w:type="paragraph" w:customStyle="1" w:styleId="BoxListBullet">
    <w:name w:val="Box List Bullet"/>
    <w:basedOn w:val="BodyText"/>
    <w:link w:val="BoxListBulletChar"/>
    <w:rsid w:val="00381D9E"/>
    <w:pPr>
      <w:keepNext/>
      <w:numPr>
        <w:numId w:val="2"/>
      </w:numPr>
      <w:spacing w:before="100" w:line="260" w:lineRule="atLeast"/>
    </w:pPr>
    <w:rPr>
      <w:rFonts w:ascii="Arial" w:hAnsi="Arial"/>
      <w:sz w:val="20"/>
    </w:rPr>
  </w:style>
  <w:style w:type="paragraph" w:customStyle="1" w:styleId="BoxListBullet2">
    <w:name w:val="Box List Bullet 2"/>
    <w:basedOn w:val="BoxListBullet"/>
    <w:rsid w:val="00381D9E"/>
    <w:pPr>
      <w:numPr>
        <w:numId w:val="3"/>
      </w:numPr>
      <w:ind w:left="568" w:hanging="284"/>
    </w:pPr>
  </w:style>
  <w:style w:type="paragraph" w:customStyle="1" w:styleId="BoxListNumber">
    <w:name w:val="Box List Number"/>
    <w:basedOn w:val="BodyText"/>
    <w:rsid w:val="00381D9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81D9E"/>
    <w:pPr>
      <w:numPr>
        <w:ilvl w:val="1"/>
      </w:numPr>
      <w:ind w:left="681" w:hanging="397"/>
    </w:pPr>
  </w:style>
  <w:style w:type="paragraph" w:customStyle="1" w:styleId="BoxQuote">
    <w:name w:val="Box Quote"/>
    <w:basedOn w:val="BodyText"/>
    <w:next w:val="Box"/>
    <w:qFormat/>
    <w:rsid w:val="00381D9E"/>
    <w:pPr>
      <w:keepNext/>
      <w:spacing w:before="60" w:line="240" w:lineRule="exact"/>
      <w:ind w:left="284"/>
    </w:pPr>
    <w:rPr>
      <w:rFonts w:ascii="Arial" w:hAnsi="Arial"/>
      <w:sz w:val="18"/>
    </w:rPr>
  </w:style>
  <w:style w:type="paragraph" w:customStyle="1" w:styleId="Source">
    <w:name w:val="Source"/>
    <w:basedOn w:val="Normal"/>
    <w:next w:val="BodyText"/>
    <w:rsid w:val="00381D9E"/>
    <w:pPr>
      <w:keepLines/>
      <w:spacing w:before="80" w:line="220" w:lineRule="exact"/>
      <w:jc w:val="both"/>
    </w:pPr>
    <w:rPr>
      <w:rFonts w:ascii="Arial" w:hAnsi="Arial"/>
      <w:sz w:val="18"/>
      <w:szCs w:val="20"/>
    </w:rPr>
  </w:style>
  <w:style w:type="paragraph" w:customStyle="1" w:styleId="BoxSource">
    <w:name w:val="Box Source"/>
    <w:basedOn w:val="Source"/>
    <w:next w:val="BodyText"/>
    <w:rsid w:val="00381D9E"/>
    <w:pPr>
      <w:spacing w:before="120"/>
    </w:pPr>
  </w:style>
  <w:style w:type="paragraph" w:customStyle="1" w:styleId="BoxSubtitle">
    <w:name w:val="Box Subtitle"/>
    <w:basedOn w:val="BoxTitle"/>
    <w:next w:val="Normal"/>
    <w:rsid w:val="00381D9E"/>
    <w:pPr>
      <w:spacing w:after="80" w:line="200" w:lineRule="exact"/>
      <w:ind w:firstLine="0"/>
    </w:pPr>
    <w:rPr>
      <w:b w:val="0"/>
      <w:sz w:val="20"/>
    </w:rPr>
  </w:style>
  <w:style w:type="paragraph" w:customStyle="1" w:styleId="Chapter">
    <w:name w:val="Chapter"/>
    <w:basedOn w:val="Heading1"/>
    <w:next w:val="BodyText"/>
    <w:semiHidden/>
    <w:rsid w:val="00381D9E"/>
    <w:pPr>
      <w:ind w:left="0" w:firstLine="0"/>
      <w:outlineLvl w:val="9"/>
    </w:pPr>
  </w:style>
  <w:style w:type="paragraph" w:customStyle="1" w:styleId="ChapterSummary">
    <w:name w:val="Chapter Summary"/>
    <w:basedOn w:val="BodyText"/>
    <w:rsid w:val="00381D9E"/>
    <w:pPr>
      <w:spacing w:line="280" w:lineRule="atLeast"/>
      <w:ind w:left="907"/>
    </w:pPr>
    <w:rPr>
      <w:rFonts w:ascii="Arial" w:hAnsi="Arial"/>
      <w:b/>
      <w:sz w:val="20"/>
    </w:rPr>
  </w:style>
  <w:style w:type="character" w:styleId="CommentReference">
    <w:name w:val="annotation reference"/>
    <w:basedOn w:val="DefaultParagraphFont"/>
    <w:rsid w:val="00381D9E"/>
    <w:rPr>
      <w:b/>
      <w:vanish/>
      <w:color w:val="FF00FF"/>
      <w:sz w:val="20"/>
    </w:rPr>
  </w:style>
  <w:style w:type="paragraph" w:styleId="CommentText">
    <w:name w:val="annotation text"/>
    <w:basedOn w:val="Normal"/>
    <w:link w:val="CommentTextChar"/>
    <w:rsid w:val="00381D9E"/>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381D9E"/>
  </w:style>
  <w:style w:type="character" w:customStyle="1" w:styleId="DocumentInfo">
    <w:name w:val="Document Info"/>
    <w:basedOn w:val="DefaultParagraphFont"/>
    <w:semiHidden/>
    <w:rsid w:val="00381D9E"/>
    <w:rPr>
      <w:rFonts w:ascii="Arial" w:hAnsi="Arial"/>
      <w:sz w:val="14"/>
    </w:rPr>
  </w:style>
  <w:style w:type="character" w:customStyle="1" w:styleId="DraftingNote0">
    <w:name w:val="Drafting Note"/>
    <w:basedOn w:val="DefaultParagraphFont"/>
    <w:rsid w:val="00381D9E"/>
    <w:rPr>
      <w:b/>
      <w:color w:val="FF0000"/>
      <w:sz w:val="24"/>
      <w:u w:val="dotted"/>
    </w:rPr>
  </w:style>
  <w:style w:type="paragraph" w:customStyle="1" w:styleId="Figure">
    <w:name w:val="Figure"/>
    <w:basedOn w:val="BodyText"/>
    <w:rsid w:val="00381D9E"/>
    <w:pPr>
      <w:keepNext/>
      <w:spacing w:before="120" w:after="120" w:line="240" w:lineRule="atLeast"/>
      <w:jc w:val="center"/>
    </w:pPr>
  </w:style>
  <w:style w:type="paragraph" w:customStyle="1" w:styleId="FigureTitle">
    <w:name w:val="Figure Title"/>
    <w:basedOn w:val="Caption"/>
    <w:next w:val="Subtitle"/>
    <w:rsid w:val="00381D9E"/>
    <w:pPr>
      <w:spacing w:before="120"/>
    </w:pPr>
  </w:style>
  <w:style w:type="paragraph" w:styleId="Subtitle">
    <w:name w:val="Subtitle"/>
    <w:basedOn w:val="Caption"/>
    <w:link w:val="SubtitleChar"/>
    <w:qFormat/>
    <w:rsid w:val="00381D9E"/>
    <w:pPr>
      <w:spacing w:before="0" w:line="200" w:lineRule="exact"/>
      <w:ind w:firstLine="0"/>
    </w:pPr>
    <w:rPr>
      <w:b w:val="0"/>
      <w:sz w:val="20"/>
    </w:rPr>
  </w:style>
  <w:style w:type="character" w:customStyle="1" w:styleId="SubtitleChar">
    <w:name w:val="Subtitle Char"/>
    <w:basedOn w:val="DefaultParagraphFont"/>
    <w:link w:val="Subtitle"/>
    <w:rsid w:val="00381D9E"/>
    <w:rPr>
      <w:rFonts w:ascii="Arial" w:hAnsi="Arial"/>
      <w:szCs w:val="24"/>
    </w:rPr>
  </w:style>
  <w:style w:type="paragraph" w:customStyle="1" w:styleId="Finding">
    <w:name w:val="Finding"/>
    <w:basedOn w:val="BodyText"/>
    <w:rsid w:val="00381D9E"/>
    <w:pPr>
      <w:keepLines/>
      <w:spacing w:before="120" w:line="280" w:lineRule="atLeast"/>
    </w:pPr>
    <w:rPr>
      <w:rFonts w:ascii="Arial" w:hAnsi="Arial"/>
      <w:sz w:val="22"/>
    </w:rPr>
  </w:style>
  <w:style w:type="paragraph" w:customStyle="1" w:styleId="FindingBullet">
    <w:name w:val="Finding Bullet"/>
    <w:basedOn w:val="Finding"/>
    <w:rsid w:val="00381D9E"/>
    <w:pPr>
      <w:numPr>
        <w:numId w:val="4"/>
      </w:numPr>
      <w:spacing w:before="80"/>
    </w:pPr>
  </w:style>
  <w:style w:type="paragraph" w:customStyle="1" w:styleId="FindingNoTitle">
    <w:name w:val="Finding NoTitle"/>
    <w:basedOn w:val="Finding"/>
    <w:semiHidden/>
    <w:rsid w:val="00381D9E"/>
    <w:pPr>
      <w:spacing w:before="240"/>
    </w:pPr>
  </w:style>
  <w:style w:type="paragraph" w:customStyle="1" w:styleId="RecTitle">
    <w:name w:val="Rec Title"/>
    <w:basedOn w:val="BodyText"/>
    <w:next w:val="Rec"/>
    <w:qFormat/>
    <w:rsid w:val="00381D9E"/>
    <w:pPr>
      <w:keepNext/>
      <w:keepLines/>
      <w:spacing w:line="280" w:lineRule="atLeast"/>
    </w:pPr>
    <w:rPr>
      <w:rFonts w:ascii="Arial" w:hAnsi="Arial"/>
      <w:caps/>
      <w:sz w:val="18"/>
    </w:rPr>
  </w:style>
  <w:style w:type="paragraph" w:customStyle="1" w:styleId="FindingTitle">
    <w:name w:val="Finding Title"/>
    <w:basedOn w:val="RecTitle"/>
    <w:next w:val="Finding"/>
    <w:rsid w:val="00381D9E"/>
  </w:style>
  <w:style w:type="character" w:styleId="FootnoteReference">
    <w:name w:val="footnote reference"/>
    <w:basedOn w:val="DefaultParagraphFont"/>
    <w:rsid w:val="00381D9E"/>
    <w:rPr>
      <w:rFonts w:ascii="Times New Roman" w:hAnsi="Times New Roman"/>
      <w:position w:val="6"/>
      <w:sz w:val="20"/>
      <w:vertAlign w:val="baseline"/>
    </w:rPr>
  </w:style>
  <w:style w:type="paragraph" w:styleId="FootnoteText">
    <w:name w:val="footnote text"/>
    <w:basedOn w:val="BodyText"/>
    <w:link w:val="FootnoteTextChar"/>
    <w:rsid w:val="00381D9E"/>
    <w:pPr>
      <w:tabs>
        <w:tab w:val="left" w:pos="284"/>
      </w:tabs>
      <w:spacing w:before="80" w:line="240" w:lineRule="exact"/>
      <w:ind w:left="284" w:hanging="284"/>
    </w:pPr>
    <w:rPr>
      <w:sz w:val="20"/>
    </w:rPr>
  </w:style>
  <w:style w:type="character" w:customStyle="1" w:styleId="FootnoteTextChar">
    <w:name w:val="Footnote Text Char"/>
    <w:basedOn w:val="DefaultParagraphFont"/>
    <w:link w:val="FootnoteText"/>
    <w:rsid w:val="00BF455F"/>
  </w:style>
  <w:style w:type="paragraph" w:customStyle="1" w:styleId="InformationRequest">
    <w:name w:val="Information Request"/>
    <w:basedOn w:val="Finding"/>
    <w:next w:val="BodyText"/>
    <w:rsid w:val="00381D9E"/>
    <w:rPr>
      <w:i/>
    </w:rPr>
  </w:style>
  <w:style w:type="paragraph" w:customStyle="1" w:styleId="Jurisdictioncommentsbodytext">
    <w:name w:val="Jurisdiction comments body text"/>
    <w:rsid w:val="00381D9E"/>
    <w:pPr>
      <w:spacing w:after="140"/>
      <w:jc w:val="both"/>
    </w:pPr>
    <w:rPr>
      <w:rFonts w:ascii="Arial" w:hAnsi="Arial"/>
      <w:sz w:val="24"/>
      <w:lang w:eastAsia="en-US"/>
    </w:rPr>
  </w:style>
  <w:style w:type="paragraph" w:customStyle="1" w:styleId="Jurisdictioncommentsheading">
    <w:name w:val="Jurisdiction comments heading"/>
    <w:rsid w:val="00381D9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81D9E"/>
    <w:pPr>
      <w:numPr>
        <w:numId w:val="5"/>
      </w:numPr>
      <w:spacing w:after="140"/>
      <w:jc w:val="both"/>
    </w:pPr>
    <w:rPr>
      <w:rFonts w:ascii="Arial" w:hAnsi="Arial"/>
      <w:sz w:val="24"/>
      <w:lang w:eastAsia="en-US"/>
    </w:rPr>
  </w:style>
  <w:style w:type="paragraph" w:styleId="ListBullet">
    <w:name w:val="List Bullet"/>
    <w:basedOn w:val="BodyText"/>
    <w:rsid w:val="00381D9E"/>
    <w:pPr>
      <w:numPr>
        <w:numId w:val="6"/>
      </w:numPr>
      <w:spacing w:before="120"/>
    </w:pPr>
  </w:style>
  <w:style w:type="paragraph" w:styleId="ListBullet2">
    <w:name w:val="List Bullet 2"/>
    <w:basedOn w:val="BodyText"/>
    <w:rsid w:val="00381D9E"/>
    <w:pPr>
      <w:numPr>
        <w:numId w:val="7"/>
      </w:numPr>
      <w:spacing w:before="120"/>
    </w:pPr>
  </w:style>
  <w:style w:type="paragraph" w:styleId="ListBullet3">
    <w:name w:val="List Bullet 3"/>
    <w:basedOn w:val="BodyText"/>
    <w:rsid w:val="00381D9E"/>
    <w:pPr>
      <w:numPr>
        <w:numId w:val="8"/>
      </w:numPr>
      <w:spacing w:before="120"/>
      <w:ind w:left="1020" w:hanging="340"/>
    </w:pPr>
  </w:style>
  <w:style w:type="paragraph" w:styleId="ListNumber">
    <w:name w:val="List Number"/>
    <w:basedOn w:val="BodyText"/>
    <w:rsid w:val="00381D9E"/>
    <w:pPr>
      <w:numPr>
        <w:numId w:val="13"/>
      </w:numPr>
      <w:spacing w:before="120"/>
    </w:pPr>
  </w:style>
  <w:style w:type="paragraph" w:styleId="ListNumber2">
    <w:name w:val="List Number 2"/>
    <w:basedOn w:val="ListNumber"/>
    <w:rsid w:val="00381D9E"/>
    <w:pPr>
      <w:numPr>
        <w:ilvl w:val="1"/>
      </w:numPr>
    </w:pPr>
  </w:style>
  <w:style w:type="paragraph" w:styleId="ListNumber3">
    <w:name w:val="List Number 3"/>
    <w:basedOn w:val="ListNumber2"/>
    <w:rsid w:val="00381D9E"/>
    <w:pPr>
      <w:numPr>
        <w:ilvl w:val="2"/>
      </w:numPr>
    </w:pPr>
  </w:style>
  <w:style w:type="character" w:customStyle="1" w:styleId="NoteLabel">
    <w:name w:val="Note Label"/>
    <w:basedOn w:val="DefaultParagraphFont"/>
    <w:rsid w:val="00381D9E"/>
    <w:rPr>
      <w:rFonts w:ascii="Arial" w:hAnsi="Arial"/>
      <w:b/>
      <w:position w:val="6"/>
      <w:sz w:val="18"/>
    </w:rPr>
  </w:style>
  <w:style w:type="paragraph" w:customStyle="1" w:styleId="PartDivider">
    <w:name w:val="Part Divider"/>
    <w:basedOn w:val="BodyText"/>
    <w:next w:val="BodyText"/>
    <w:semiHidden/>
    <w:rsid w:val="00381D9E"/>
    <w:pPr>
      <w:spacing w:before="0" w:line="40" w:lineRule="exact"/>
      <w:jc w:val="right"/>
    </w:pPr>
    <w:rPr>
      <w:smallCaps/>
      <w:sz w:val="16"/>
    </w:rPr>
  </w:style>
  <w:style w:type="paragraph" w:customStyle="1" w:styleId="PartNumber">
    <w:name w:val="Part Number"/>
    <w:basedOn w:val="BodyText"/>
    <w:next w:val="BodyText"/>
    <w:semiHidden/>
    <w:rsid w:val="00381D9E"/>
    <w:pPr>
      <w:spacing w:before="4000" w:line="320" w:lineRule="exact"/>
      <w:ind w:left="6634"/>
      <w:jc w:val="right"/>
    </w:pPr>
    <w:rPr>
      <w:smallCaps/>
      <w:spacing w:val="60"/>
      <w:sz w:val="32"/>
    </w:rPr>
  </w:style>
  <w:style w:type="paragraph" w:customStyle="1" w:styleId="PartTitle">
    <w:name w:val="Part Title"/>
    <w:basedOn w:val="BodyText"/>
    <w:semiHidden/>
    <w:rsid w:val="00381D9E"/>
    <w:pPr>
      <w:spacing w:before="160" w:after="1360" w:line="520" w:lineRule="exact"/>
      <w:ind w:right="2381"/>
      <w:jc w:val="right"/>
    </w:pPr>
    <w:rPr>
      <w:smallCaps/>
      <w:sz w:val="52"/>
    </w:rPr>
  </w:style>
  <w:style w:type="paragraph" w:styleId="Quote">
    <w:name w:val="Quote"/>
    <w:basedOn w:val="BodyText"/>
    <w:next w:val="BodyText"/>
    <w:link w:val="QuoteChar"/>
    <w:qFormat/>
    <w:rsid w:val="00381D9E"/>
    <w:pPr>
      <w:spacing w:before="120" w:line="280" w:lineRule="exact"/>
      <w:ind w:left="340"/>
    </w:pPr>
    <w:rPr>
      <w:sz w:val="22"/>
    </w:rPr>
  </w:style>
  <w:style w:type="character" w:customStyle="1" w:styleId="QuoteChar">
    <w:name w:val="Quote Char"/>
    <w:basedOn w:val="DefaultParagraphFont"/>
    <w:link w:val="Quote"/>
    <w:rsid w:val="00BF455F"/>
    <w:rPr>
      <w:sz w:val="22"/>
    </w:rPr>
  </w:style>
  <w:style w:type="paragraph" w:customStyle="1" w:styleId="QuoteBullet">
    <w:name w:val="Quote Bullet"/>
    <w:basedOn w:val="Quote"/>
    <w:rsid w:val="00381D9E"/>
    <w:pPr>
      <w:numPr>
        <w:numId w:val="9"/>
      </w:numPr>
    </w:pPr>
  </w:style>
  <w:style w:type="paragraph" w:customStyle="1" w:styleId="Rec">
    <w:name w:val="Rec"/>
    <w:basedOn w:val="BodyText"/>
    <w:qFormat/>
    <w:rsid w:val="00381D9E"/>
    <w:pPr>
      <w:keepLines/>
      <w:spacing w:before="120" w:line="280" w:lineRule="atLeast"/>
    </w:pPr>
    <w:rPr>
      <w:rFonts w:ascii="Arial" w:hAnsi="Arial"/>
      <w:sz w:val="22"/>
    </w:rPr>
  </w:style>
  <w:style w:type="paragraph" w:customStyle="1" w:styleId="RecBullet">
    <w:name w:val="Rec Bullet"/>
    <w:basedOn w:val="Rec"/>
    <w:rsid w:val="00381D9E"/>
    <w:pPr>
      <w:numPr>
        <w:numId w:val="10"/>
      </w:numPr>
      <w:spacing w:before="80"/>
    </w:pPr>
  </w:style>
  <w:style w:type="paragraph" w:customStyle="1" w:styleId="RecB">
    <w:name w:val="RecB"/>
    <w:basedOn w:val="Normal"/>
    <w:semiHidden/>
    <w:rsid w:val="00381D9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81D9E"/>
    <w:pPr>
      <w:numPr>
        <w:numId w:val="11"/>
      </w:numPr>
      <w:spacing w:before="80"/>
    </w:pPr>
  </w:style>
  <w:style w:type="paragraph" w:customStyle="1" w:styleId="RecBNoTitle">
    <w:name w:val="RecB NoTitle"/>
    <w:basedOn w:val="RecB"/>
    <w:semiHidden/>
    <w:rsid w:val="00381D9E"/>
    <w:pPr>
      <w:spacing w:before="240"/>
    </w:pPr>
  </w:style>
  <w:style w:type="paragraph" w:customStyle="1" w:styleId="Reference">
    <w:name w:val="Reference"/>
    <w:basedOn w:val="BodyText"/>
    <w:rsid w:val="00381D9E"/>
    <w:pPr>
      <w:spacing w:before="120"/>
      <w:ind w:left="340" w:hanging="340"/>
    </w:pPr>
  </w:style>
  <w:style w:type="paragraph" w:customStyle="1" w:styleId="SequenceInfo">
    <w:name w:val="Sequence Info"/>
    <w:basedOn w:val="BodyText"/>
    <w:semiHidden/>
    <w:rsid w:val="00381D9E"/>
    <w:rPr>
      <w:vanish/>
      <w:sz w:val="16"/>
    </w:rPr>
  </w:style>
  <w:style w:type="paragraph" w:customStyle="1" w:styleId="SideNote">
    <w:name w:val="Side Note"/>
    <w:basedOn w:val="BodyText"/>
    <w:next w:val="BodyText"/>
    <w:semiHidden/>
    <w:rsid w:val="00381D9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81D9E"/>
    <w:pPr>
      <w:framePr w:wrap="around"/>
      <w:numPr>
        <w:numId w:val="12"/>
      </w:numPr>
      <w:tabs>
        <w:tab w:val="left" w:pos="227"/>
      </w:tabs>
    </w:pPr>
  </w:style>
  <w:style w:type="paragraph" w:customStyle="1" w:styleId="SideNoteGraphic">
    <w:name w:val="Side Note Graphic"/>
    <w:basedOn w:val="SideNote"/>
    <w:next w:val="BodyText"/>
    <w:semiHidden/>
    <w:rsid w:val="00381D9E"/>
    <w:pPr>
      <w:framePr w:wrap="around"/>
    </w:pPr>
  </w:style>
  <w:style w:type="paragraph" w:customStyle="1" w:styleId="TableColumnHeading">
    <w:name w:val="Table Column Heading"/>
    <w:basedOn w:val="TableBodyText"/>
    <w:rsid w:val="00381D9E"/>
    <w:pPr>
      <w:spacing w:before="80" w:after="80"/>
    </w:pPr>
    <w:rPr>
      <w:i/>
    </w:rPr>
  </w:style>
  <w:style w:type="paragraph" w:styleId="TableofFigures">
    <w:name w:val="table of figures"/>
    <w:basedOn w:val="TOC3"/>
    <w:next w:val="BodyText"/>
    <w:rsid w:val="00381D9E"/>
    <w:pPr>
      <w:ind w:left="737" w:hanging="737"/>
    </w:pPr>
  </w:style>
  <w:style w:type="paragraph" w:customStyle="1" w:styleId="TableTitle">
    <w:name w:val="Table Title"/>
    <w:basedOn w:val="Caption"/>
    <w:next w:val="Subtitle"/>
    <w:qFormat/>
    <w:rsid w:val="00381D9E"/>
    <w:pPr>
      <w:spacing w:before="120"/>
    </w:pPr>
  </w:style>
  <w:style w:type="paragraph" w:customStyle="1" w:styleId="TableUnitsRow">
    <w:name w:val="Table Units Row"/>
    <w:basedOn w:val="TableBodyText"/>
    <w:rsid w:val="00381D9E"/>
    <w:pPr>
      <w:spacing w:before="40"/>
    </w:pPr>
  </w:style>
  <w:style w:type="paragraph" w:styleId="TOC1">
    <w:name w:val="toc 1"/>
    <w:basedOn w:val="Normal"/>
    <w:next w:val="TOC2"/>
    <w:link w:val="TOC1Char"/>
    <w:rsid w:val="00381D9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81D9E"/>
    <w:pPr>
      <w:ind w:left="1191" w:firstLine="0"/>
    </w:pPr>
  </w:style>
  <w:style w:type="paragraph" w:customStyle="1" w:styleId="RecBBullet2">
    <w:name w:val="RecB Bullet 2"/>
    <w:basedOn w:val="ListBullet2"/>
    <w:semiHidden/>
    <w:rsid w:val="00381D9E"/>
    <w:pPr>
      <w:pBdr>
        <w:left w:val="single" w:sz="24" w:space="29" w:color="C0C0C0"/>
      </w:pBdr>
    </w:pPr>
    <w:rPr>
      <w:b/>
      <w:i/>
    </w:rPr>
  </w:style>
  <w:style w:type="paragraph" w:styleId="BalloonText">
    <w:name w:val="Balloon Text"/>
    <w:basedOn w:val="Normal"/>
    <w:link w:val="BalloonTextChar"/>
    <w:rsid w:val="00381D9E"/>
    <w:rPr>
      <w:rFonts w:ascii="Tahoma" w:hAnsi="Tahoma" w:cs="Tahoma"/>
      <w:sz w:val="16"/>
      <w:szCs w:val="16"/>
    </w:rPr>
  </w:style>
  <w:style w:type="character" w:customStyle="1" w:styleId="BalloonTextChar">
    <w:name w:val="Balloon Text Char"/>
    <w:basedOn w:val="DefaultParagraphFont"/>
    <w:link w:val="BalloonText"/>
    <w:rsid w:val="00381D9E"/>
    <w:rPr>
      <w:rFonts w:ascii="Tahoma" w:hAnsi="Tahoma" w:cs="Tahoma"/>
      <w:sz w:val="16"/>
      <w:szCs w:val="16"/>
    </w:rPr>
  </w:style>
  <w:style w:type="paragraph" w:customStyle="1" w:styleId="BoxListBullet3">
    <w:name w:val="Box List Bullet 3"/>
    <w:basedOn w:val="ListBullet3"/>
    <w:rsid w:val="00381D9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81D9E"/>
    <w:rPr>
      <w:i/>
      <w:iCs/>
    </w:rPr>
  </w:style>
  <w:style w:type="paragraph" w:customStyle="1" w:styleId="BoxQuoteBullet">
    <w:name w:val="Box Quote Bullet"/>
    <w:basedOn w:val="BoxQuote"/>
    <w:next w:val="Box"/>
    <w:rsid w:val="00381D9E"/>
    <w:pPr>
      <w:numPr>
        <w:numId w:val="15"/>
      </w:numPr>
      <w:ind w:left="568" w:hanging="284"/>
    </w:pPr>
  </w:style>
  <w:style w:type="paragraph" w:customStyle="1" w:styleId="InformationRequestBullet">
    <w:name w:val="Information Request Bullet"/>
    <w:basedOn w:val="ListBullet"/>
    <w:next w:val="BodyText"/>
    <w:rsid w:val="00381D9E"/>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381D9E"/>
    <w:pPr>
      <w:keepNext/>
      <w:spacing w:before="360" w:line="80" w:lineRule="exact"/>
      <w:jc w:val="left"/>
    </w:pPr>
  </w:style>
  <w:style w:type="paragraph" w:customStyle="1" w:styleId="BoxSpaceBelow">
    <w:name w:val="Box Space Below"/>
    <w:basedOn w:val="Box"/>
    <w:rsid w:val="00381D9E"/>
    <w:pPr>
      <w:keepNext w:val="0"/>
      <w:spacing w:before="60" w:after="60" w:line="80" w:lineRule="exact"/>
    </w:pPr>
    <w:rPr>
      <w:sz w:val="14"/>
    </w:rPr>
  </w:style>
  <w:style w:type="paragraph" w:customStyle="1" w:styleId="KeyPointsListBullet">
    <w:name w:val="Key Points List Bullet"/>
    <w:basedOn w:val="Normal"/>
    <w:qFormat/>
    <w:rsid w:val="00381D9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81D9E"/>
    <w:pPr>
      <w:numPr>
        <w:numId w:val="19"/>
      </w:numPr>
      <w:ind w:left="568" w:hanging="284"/>
    </w:pPr>
  </w:style>
  <w:style w:type="paragraph" w:customStyle="1" w:styleId="InformationRequestTitle">
    <w:name w:val="Information Request Title"/>
    <w:basedOn w:val="FindingTitle"/>
    <w:next w:val="InformationRequest"/>
    <w:rsid w:val="00381D9E"/>
    <w:rPr>
      <w:i/>
    </w:rPr>
  </w:style>
  <w:style w:type="paragraph" w:customStyle="1" w:styleId="Space">
    <w:name w:val="Space"/>
    <w:basedOn w:val="Normal"/>
    <w:rsid w:val="00381D9E"/>
    <w:pPr>
      <w:keepNext/>
      <w:spacing w:line="120" w:lineRule="exact"/>
      <w:jc w:val="both"/>
    </w:pPr>
    <w:rPr>
      <w:rFonts w:ascii="Arial" w:hAnsi="Arial"/>
      <w:sz w:val="20"/>
      <w:szCs w:val="20"/>
    </w:rPr>
  </w:style>
  <w:style w:type="paragraph" w:customStyle="1" w:styleId="Heading1nochapterno">
    <w:name w:val="Heading 1 (no chapter no.)"/>
    <w:basedOn w:val="Heading1"/>
    <w:rsid w:val="00381D9E"/>
    <w:pPr>
      <w:spacing w:before="0"/>
      <w:ind w:left="0" w:firstLine="0"/>
    </w:pPr>
  </w:style>
  <w:style w:type="paragraph" w:customStyle="1" w:styleId="Heading2nosectionno">
    <w:name w:val="Heading 2 (no section no.)"/>
    <w:basedOn w:val="Heading2"/>
    <w:rsid w:val="00381D9E"/>
    <w:pPr>
      <w:ind w:left="0" w:firstLine="0"/>
    </w:pPr>
  </w:style>
  <w:style w:type="paragraph" w:customStyle="1" w:styleId="Figurespace">
    <w:name w:val="Figure space"/>
    <w:basedOn w:val="Box"/>
    <w:rsid w:val="00381D9E"/>
    <w:pPr>
      <w:spacing w:before="0" w:line="120" w:lineRule="exact"/>
    </w:pPr>
  </w:style>
  <w:style w:type="paragraph" w:customStyle="1" w:styleId="FooterDraftReport">
    <w:name w:val="FooterDraftReport"/>
    <w:basedOn w:val="Footer"/>
    <w:link w:val="FooterDraftReportChar"/>
    <w:rsid w:val="00381D9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381D9E"/>
    <w:rPr>
      <w:rFonts w:ascii="Arial" w:hAnsi="Arial"/>
      <w:caps/>
      <w:spacing w:val="-4"/>
      <w:sz w:val="16"/>
    </w:rPr>
  </w:style>
  <w:style w:type="character" w:customStyle="1" w:styleId="FooterDraftReportChar">
    <w:name w:val="FooterDraftReport Char"/>
    <w:basedOn w:val="FooterChar"/>
    <w:link w:val="FooterDraftReport"/>
    <w:rsid w:val="00381D9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81D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xListBulletChar">
    <w:name w:val="Box List Bullet Char"/>
    <w:link w:val="BoxListBullet"/>
    <w:rsid w:val="00BA41CB"/>
    <w:rPr>
      <w:rFonts w:ascii="Arial" w:hAnsi="Arial"/>
    </w:rPr>
  </w:style>
  <w:style w:type="character" w:customStyle="1" w:styleId="TOC1Char">
    <w:name w:val="TOC 1 Char"/>
    <w:basedOn w:val="DefaultParagraphFont"/>
    <w:link w:val="TOC1"/>
    <w:rsid w:val="00381D9E"/>
    <w:rPr>
      <w:rFonts w:ascii="Arial" w:hAnsi="Arial"/>
      <w:b/>
      <w:sz w:val="26"/>
      <w:szCs w:val="26"/>
      <w:lang w:eastAsia="en-US"/>
    </w:rPr>
  </w:style>
  <w:style w:type="paragraph" w:styleId="NormalWeb">
    <w:name w:val="Normal (Web)"/>
    <w:basedOn w:val="Normal"/>
    <w:uiPriority w:val="99"/>
    <w:unhideWhenUsed/>
    <w:rsid w:val="00A04DA1"/>
    <w:pPr>
      <w:spacing w:before="100" w:beforeAutospacing="1" w:after="100" w:afterAutospacing="1"/>
    </w:pPr>
    <w:rPr>
      <w:rFonts w:eastAsiaTheme="minorHAnsi"/>
    </w:rPr>
  </w:style>
  <w:style w:type="character" w:styleId="FollowedHyperlink">
    <w:name w:val="FollowedHyperlink"/>
    <w:basedOn w:val="DefaultParagraphFont"/>
    <w:rsid w:val="003569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55103">
      <w:bodyDiv w:val="1"/>
      <w:marLeft w:val="0"/>
      <w:marRight w:val="0"/>
      <w:marTop w:val="0"/>
      <w:marBottom w:val="0"/>
      <w:divBdr>
        <w:top w:val="none" w:sz="0" w:space="0" w:color="auto"/>
        <w:left w:val="none" w:sz="0" w:space="0" w:color="auto"/>
        <w:bottom w:val="none" w:sz="0" w:space="0" w:color="auto"/>
        <w:right w:val="none" w:sz="0" w:space="0" w:color="auto"/>
      </w:divBdr>
    </w:div>
    <w:div w:id="455031427">
      <w:bodyDiv w:val="1"/>
      <w:marLeft w:val="0"/>
      <w:marRight w:val="0"/>
      <w:marTop w:val="0"/>
      <w:marBottom w:val="0"/>
      <w:divBdr>
        <w:top w:val="none" w:sz="0" w:space="0" w:color="auto"/>
        <w:left w:val="none" w:sz="0" w:space="0" w:color="auto"/>
        <w:bottom w:val="none" w:sz="0" w:space="0" w:color="auto"/>
        <w:right w:val="none" w:sz="0" w:space="0" w:color="auto"/>
      </w:divBdr>
    </w:div>
    <w:div w:id="585119328">
      <w:bodyDiv w:val="1"/>
      <w:marLeft w:val="0"/>
      <w:marRight w:val="0"/>
      <w:marTop w:val="0"/>
      <w:marBottom w:val="0"/>
      <w:divBdr>
        <w:top w:val="none" w:sz="0" w:space="0" w:color="auto"/>
        <w:left w:val="none" w:sz="0" w:space="0" w:color="auto"/>
        <w:bottom w:val="none" w:sz="0" w:space="0" w:color="auto"/>
        <w:right w:val="none" w:sz="0" w:space="0" w:color="auto"/>
      </w:divBdr>
    </w:div>
    <w:div w:id="742334928">
      <w:bodyDiv w:val="1"/>
      <w:marLeft w:val="0"/>
      <w:marRight w:val="0"/>
      <w:marTop w:val="0"/>
      <w:marBottom w:val="0"/>
      <w:divBdr>
        <w:top w:val="none" w:sz="0" w:space="0" w:color="auto"/>
        <w:left w:val="none" w:sz="0" w:space="0" w:color="auto"/>
        <w:bottom w:val="none" w:sz="0" w:space="0" w:color="auto"/>
        <w:right w:val="none" w:sz="0" w:space="0" w:color="auto"/>
      </w:divBdr>
    </w:div>
    <w:div w:id="943464477">
      <w:bodyDiv w:val="1"/>
      <w:marLeft w:val="0"/>
      <w:marRight w:val="0"/>
      <w:marTop w:val="0"/>
      <w:marBottom w:val="0"/>
      <w:divBdr>
        <w:top w:val="none" w:sz="0" w:space="0" w:color="auto"/>
        <w:left w:val="none" w:sz="0" w:space="0" w:color="auto"/>
        <w:bottom w:val="none" w:sz="0" w:space="0" w:color="auto"/>
        <w:right w:val="none" w:sz="0" w:space="0" w:color="auto"/>
      </w:divBdr>
    </w:div>
    <w:div w:id="1087121037">
      <w:bodyDiv w:val="1"/>
      <w:marLeft w:val="0"/>
      <w:marRight w:val="0"/>
      <w:marTop w:val="0"/>
      <w:marBottom w:val="0"/>
      <w:divBdr>
        <w:top w:val="none" w:sz="0" w:space="0" w:color="auto"/>
        <w:left w:val="none" w:sz="0" w:space="0" w:color="auto"/>
        <w:bottom w:val="none" w:sz="0" w:space="0" w:color="auto"/>
        <w:right w:val="none" w:sz="0" w:space="0" w:color="auto"/>
      </w:divBdr>
    </w:div>
    <w:div w:id="1154687815">
      <w:bodyDiv w:val="1"/>
      <w:marLeft w:val="0"/>
      <w:marRight w:val="0"/>
      <w:marTop w:val="0"/>
      <w:marBottom w:val="0"/>
      <w:divBdr>
        <w:top w:val="none" w:sz="0" w:space="0" w:color="auto"/>
        <w:left w:val="none" w:sz="0" w:space="0" w:color="auto"/>
        <w:bottom w:val="none" w:sz="0" w:space="0" w:color="auto"/>
        <w:right w:val="none" w:sz="0" w:space="0" w:color="auto"/>
      </w:divBdr>
    </w:div>
    <w:div w:id="1187985350">
      <w:bodyDiv w:val="1"/>
      <w:marLeft w:val="0"/>
      <w:marRight w:val="0"/>
      <w:marTop w:val="0"/>
      <w:marBottom w:val="0"/>
      <w:divBdr>
        <w:top w:val="none" w:sz="0" w:space="0" w:color="auto"/>
        <w:left w:val="none" w:sz="0" w:space="0" w:color="auto"/>
        <w:bottom w:val="none" w:sz="0" w:space="0" w:color="auto"/>
        <w:right w:val="none" w:sz="0" w:space="0" w:color="auto"/>
      </w:divBdr>
    </w:div>
    <w:div w:id="1305499870">
      <w:bodyDiv w:val="1"/>
      <w:marLeft w:val="0"/>
      <w:marRight w:val="0"/>
      <w:marTop w:val="0"/>
      <w:marBottom w:val="0"/>
      <w:divBdr>
        <w:top w:val="none" w:sz="0" w:space="0" w:color="auto"/>
        <w:left w:val="none" w:sz="0" w:space="0" w:color="auto"/>
        <w:bottom w:val="none" w:sz="0" w:space="0" w:color="auto"/>
        <w:right w:val="none" w:sz="0" w:space="0" w:color="auto"/>
      </w:divBdr>
    </w:div>
    <w:div w:id="1632783168">
      <w:bodyDiv w:val="1"/>
      <w:marLeft w:val="0"/>
      <w:marRight w:val="0"/>
      <w:marTop w:val="0"/>
      <w:marBottom w:val="0"/>
      <w:divBdr>
        <w:top w:val="none" w:sz="0" w:space="0" w:color="auto"/>
        <w:left w:val="none" w:sz="0" w:space="0" w:color="auto"/>
        <w:bottom w:val="none" w:sz="0" w:space="0" w:color="auto"/>
        <w:right w:val="none" w:sz="0" w:space="0" w:color="auto"/>
      </w:divBdr>
    </w:div>
    <w:div w:id="189897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E369-1854-4D44-8617-6BA645D3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70</TotalTime>
  <Pages>10</Pages>
  <Words>4733</Words>
  <Characters>26336</Characters>
  <Application>Microsoft Office Word</Application>
  <DocSecurity>0</DocSecurity>
  <Lines>558</Lines>
  <Paragraphs>259</Paragraphs>
  <ScaleCrop>false</ScaleCrop>
  <HeadingPairs>
    <vt:vector size="2" baseType="variant">
      <vt:variant>
        <vt:lpstr>Title</vt:lpstr>
      </vt:variant>
      <vt:variant>
        <vt:i4>1</vt:i4>
      </vt:variant>
    </vt:vector>
  </HeadingPairs>
  <TitlesOfParts>
    <vt:vector size="1" baseType="lpstr">
      <vt:lpstr>DQI F Community Services - Report on Government Services 2016</vt:lpstr>
    </vt:vector>
  </TitlesOfParts>
  <Company>Productivity Commission</Company>
  <LinksUpToDate>false</LinksUpToDate>
  <CharactersWithSpaces>30979</CharactersWithSpaces>
  <SharedDoc>false</SharedDoc>
  <HLinks>
    <vt:vector size="138" baseType="variant">
      <vt:variant>
        <vt:i4>1376305</vt:i4>
      </vt:variant>
      <vt:variant>
        <vt:i4>134</vt:i4>
      </vt:variant>
      <vt:variant>
        <vt:i4>0</vt:i4>
      </vt:variant>
      <vt:variant>
        <vt:i4>5</vt:i4>
      </vt:variant>
      <vt:variant>
        <vt:lpwstr/>
      </vt:variant>
      <vt:variant>
        <vt:lpwstr>_Toc340735149</vt:lpwstr>
      </vt:variant>
      <vt:variant>
        <vt:i4>1376305</vt:i4>
      </vt:variant>
      <vt:variant>
        <vt:i4>128</vt:i4>
      </vt:variant>
      <vt:variant>
        <vt:i4>0</vt:i4>
      </vt:variant>
      <vt:variant>
        <vt:i4>5</vt:i4>
      </vt:variant>
      <vt:variant>
        <vt:lpwstr/>
      </vt:variant>
      <vt:variant>
        <vt:lpwstr>_Toc340735148</vt:lpwstr>
      </vt:variant>
      <vt:variant>
        <vt:i4>1376305</vt:i4>
      </vt:variant>
      <vt:variant>
        <vt:i4>122</vt:i4>
      </vt:variant>
      <vt:variant>
        <vt:i4>0</vt:i4>
      </vt:variant>
      <vt:variant>
        <vt:i4>5</vt:i4>
      </vt:variant>
      <vt:variant>
        <vt:lpwstr/>
      </vt:variant>
      <vt:variant>
        <vt:lpwstr>_Toc340735147</vt:lpwstr>
      </vt:variant>
      <vt:variant>
        <vt:i4>1376305</vt:i4>
      </vt:variant>
      <vt:variant>
        <vt:i4>116</vt:i4>
      </vt:variant>
      <vt:variant>
        <vt:i4>0</vt:i4>
      </vt:variant>
      <vt:variant>
        <vt:i4>5</vt:i4>
      </vt:variant>
      <vt:variant>
        <vt:lpwstr/>
      </vt:variant>
      <vt:variant>
        <vt:lpwstr>_Toc340735146</vt:lpwstr>
      </vt:variant>
      <vt:variant>
        <vt:i4>1376305</vt:i4>
      </vt:variant>
      <vt:variant>
        <vt:i4>110</vt:i4>
      </vt:variant>
      <vt:variant>
        <vt:i4>0</vt:i4>
      </vt:variant>
      <vt:variant>
        <vt:i4>5</vt:i4>
      </vt:variant>
      <vt:variant>
        <vt:lpwstr/>
      </vt:variant>
      <vt:variant>
        <vt:lpwstr>_Toc340735145</vt:lpwstr>
      </vt:variant>
      <vt:variant>
        <vt:i4>1376305</vt:i4>
      </vt:variant>
      <vt:variant>
        <vt:i4>104</vt:i4>
      </vt:variant>
      <vt:variant>
        <vt:i4>0</vt:i4>
      </vt:variant>
      <vt:variant>
        <vt:i4>5</vt:i4>
      </vt:variant>
      <vt:variant>
        <vt:lpwstr/>
      </vt:variant>
      <vt:variant>
        <vt:lpwstr>_Toc340735144</vt:lpwstr>
      </vt:variant>
      <vt:variant>
        <vt:i4>1376305</vt:i4>
      </vt:variant>
      <vt:variant>
        <vt:i4>98</vt:i4>
      </vt:variant>
      <vt:variant>
        <vt:i4>0</vt:i4>
      </vt:variant>
      <vt:variant>
        <vt:i4>5</vt:i4>
      </vt:variant>
      <vt:variant>
        <vt:lpwstr/>
      </vt:variant>
      <vt:variant>
        <vt:lpwstr>_Toc340735143</vt:lpwstr>
      </vt:variant>
      <vt:variant>
        <vt:i4>1376305</vt:i4>
      </vt:variant>
      <vt:variant>
        <vt:i4>92</vt:i4>
      </vt:variant>
      <vt:variant>
        <vt:i4>0</vt:i4>
      </vt:variant>
      <vt:variant>
        <vt:i4>5</vt:i4>
      </vt:variant>
      <vt:variant>
        <vt:lpwstr/>
      </vt:variant>
      <vt:variant>
        <vt:lpwstr>_Toc340735142</vt:lpwstr>
      </vt:variant>
      <vt:variant>
        <vt:i4>1376305</vt:i4>
      </vt:variant>
      <vt:variant>
        <vt:i4>86</vt:i4>
      </vt:variant>
      <vt:variant>
        <vt:i4>0</vt:i4>
      </vt:variant>
      <vt:variant>
        <vt:i4>5</vt:i4>
      </vt:variant>
      <vt:variant>
        <vt:lpwstr/>
      </vt:variant>
      <vt:variant>
        <vt:lpwstr>_Toc340735141</vt:lpwstr>
      </vt:variant>
      <vt:variant>
        <vt:i4>1376305</vt:i4>
      </vt:variant>
      <vt:variant>
        <vt:i4>80</vt:i4>
      </vt:variant>
      <vt:variant>
        <vt:i4>0</vt:i4>
      </vt:variant>
      <vt:variant>
        <vt:i4>5</vt:i4>
      </vt:variant>
      <vt:variant>
        <vt:lpwstr/>
      </vt:variant>
      <vt:variant>
        <vt:lpwstr>_Toc340735140</vt:lpwstr>
      </vt:variant>
      <vt:variant>
        <vt:i4>1179697</vt:i4>
      </vt:variant>
      <vt:variant>
        <vt:i4>74</vt:i4>
      </vt:variant>
      <vt:variant>
        <vt:i4>0</vt:i4>
      </vt:variant>
      <vt:variant>
        <vt:i4>5</vt:i4>
      </vt:variant>
      <vt:variant>
        <vt:lpwstr/>
      </vt:variant>
      <vt:variant>
        <vt:lpwstr>_Toc340735139</vt:lpwstr>
      </vt:variant>
      <vt:variant>
        <vt:i4>1179697</vt:i4>
      </vt:variant>
      <vt:variant>
        <vt:i4>68</vt:i4>
      </vt:variant>
      <vt:variant>
        <vt:i4>0</vt:i4>
      </vt:variant>
      <vt:variant>
        <vt:i4>5</vt:i4>
      </vt:variant>
      <vt:variant>
        <vt:lpwstr/>
      </vt:variant>
      <vt:variant>
        <vt:lpwstr>_Toc340735138</vt:lpwstr>
      </vt:variant>
      <vt:variant>
        <vt:i4>1179697</vt:i4>
      </vt:variant>
      <vt:variant>
        <vt:i4>62</vt:i4>
      </vt:variant>
      <vt:variant>
        <vt:i4>0</vt:i4>
      </vt:variant>
      <vt:variant>
        <vt:i4>5</vt:i4>
      </vt:variant>
      <vt:variant>
        <vt:lpwstr/>
      </vt:variant>
      <vt:variant>
        <vt:lpwstr>_Toc340735137</vt:lpwstr>
      </vt:variant>
      <vt:variant>
        <vt:i4>1179697</vt:i4>
      </vt:variant>
      <vt:variant>
        <vt:i4>56</vt:i4>
      </vt:variant>
      <vt:variant>
        <vt:i4>0</vt:i4>
      </vt:variant>
      <vt:variant>
        <vt:i4>5</vt:i4>
      </vt:variant>
      <vt:variant>
        <vt:lpwstr/>
      </vt:variant>
      <vt:variant>
        <vt:lpwstr>_Toc340735136</vt:lpwstr>
      </vt:variant>
      <vt:variant>
        <vt:i4>1179697</vt:i4>
      </vt:variant>
      <vt:variant>
        <vt:i4>50</vt:i4>
      </vt:variant>
      <vt:variant>
        <vt:i4>0</vt:i4>
      </vt:variant>
      <vt:variant>
        <vt:i4>5</vt:i4>
      </vt:variant>
      <vt:variant>
        <vt:lpwstr/>
      </vt:variant>
      <vt:variant>
        <vt:lpwstr>_Toc340735135</vt:lpwstr>
      </vt:variant>
      <vt:variant>
        <vt:i4>1179697</vt:i4>
      </vt:variant>
      <vt:variant>
        <vt:i4>44</vt:i4>
      </vt:variant>
      <vt:variant>
        <vt:i4>0</vt:i4>
      </vt:variant>
      <vt:variant>
        <vt:i4>5</vt:i4>
      </vt:variant>
      <vt:variant>
        <vt:lpwstr/>
      </vt:variant>
      <vt:variant>
        <vt:lpwstr>_Toc340735134</vt:lpwstr>
      </vt:variant>
      <vt:variant>
        <vt:i4>1179697</vt:i4>
      </vt:variant>
      <vt:variant>
        <vt:i4>38</vt:i4>
      </vt:variant>
      <vt:variant>
        <vt:i4>0</vt:i4>
      </vt:variant>
      <vt:variant>
        <vt:i4>5</vt:i4>
      </vt:variant>
      <vt:variant>
        <vt:lpwstr/>
      </vt:variant>
      <vt:variant>
        <vt:lpwstr>_Toc340735133</vt:lpwstr>
      </vt:variant>
      <vt:variant>
        <vt:i4>1179697</vt:i4>
      </vt:variant>
      <vt:variant>
        <vt:i4>32</vt:i4>
      </vt:variant>
      <vt:variant>
        <vt:i4>0</vt:i4>
      </vt:variant>
      <vt:variant>
        <vt:i4>5</vt:i4>
      </vt:variant>
      <vt:variant>
        <vt:lpwstr/>
      </vt:variant>
      <vt:variant>
        <vt:lpwstr>_Toc340735132</vt:lpwstr>
      </vt:variant>
      <vt:variant>
        <vt:i4>1179697</vt:i4>
      </vt:variant>
      <vt:variant>
        <vt:i4>26</vt:i4>
      </vt:variant>
      <vt:variant>
        <vt:i4>0</vt:i4>
      </vt:variant>
      <vt:variant>
        <vt:i4>5</vt:i4>
      </vt:variant>
      <vt:variant>
        <vt:lpwstr/>
      </vt:variant>
      <vt:variant>
        <vt:lpwstr>_Toc340735131</vt:lpwstr>
      </vt:variant>
      <vt:variant>
        <vt:i4>1179697</vt:i4>
      </vt:variant>
      <vt:variant>
        <vt:i4>20</vt:i4>
      </vt:variant>
      <vt:variant>
        <vt:i4>0</vt:i4>
      </vt:variant>
      <vt:variant>
        <vt:i4>5</vt:i4>
      </vt:variant>
      <vt:variant>
        <vt:lpwstr/>
      </vt:variant>
      <vt:variant>
        <vt:lpwstr>_Toc340735130</vt:lpwstr>
      </vt:variant>
      <vt:variant>
        <vt:i4>1245233</vt:i4>
      </vt:variant>
      <vt:variant>
        <vt:i4>14</vt:i4>
      </vt:variant>
      <vt:variant>
        <vt:i4>0</vt:i4>
      </vt:variant>
      <vt:variant>
        <vt:i4>5</vt:i4>
      </vt:variant>
      <vt:variant>
        <vt:lpwstr/>
      </vt:variant>
      <vt:variant>
        <vt:lpwstr>_Toc340735129</vt:lpwstr>
      </vt:variant>
      <vt:variant>
        <vt:i4>1245233</vt:i4>
      </vt:variant>
      <vt:variant>
        <vt:i4>8</vt:i4>
      </vt:variant>
      <vt:variant>
        <vt:i4>0</vt:i4>
      </vt:variant>
      <vt:variant>
        <vt:i4>5</vt:i4>
      </vt:variant>
      <vt:variant>
        <vt:lpwstr/>
      </vt:variant>
      <vt:variant>
        <vt:lpwstr>_Toc340735128</vt:lpwstr>
      </vt:variant>
      <vt:variant>
        <vt:i4>1245233</vt:i4>
      </vt:variant>
      <vt:variant>
        <vt:i4>2</vt:i4>
      </vt:variant>
      <vt:variant>
        <vt:i4>0</vt:i4>
      </vt:variant>
      <vt:variant>
        <vt:i4>5</vt:i4>
      </vt:variant>
      <vt:variant>
        <vt:lpwstr/>
      </vt:variant>
      <vt:variant>
        <vt:lpwstr>_Toc340735127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F Community Services - Report on Government Services 2016</dc:title>
  <dc:creator>Steering Committee for the Review of Government Service Provision</dc:creator>
  <cp:lastModifiedBy>Frech, Tanya</cp:lastModifiedBy>
  <cp:revision>5</cp:revision>
  <cp:lastPrinted>2015-12-14T05:01:00Z</cp:lastPrinted>
  <dcterms:created xsi:type="dcterms:W3CDTF">2015-11-30T00:03:00Z</dcterms:created>
  <dcterms:modified xsi:type="dcterms:W3CDTF">2015-12-16T22:18:00Z</dcterms:modified>
</cp:coreProperties>
</file>