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137DE" w:rsidP="003341B0">
      <w:pPr>
        <w:pStyle w:val="Heading1"/>
      </w:pPr>
      <w:bookmarkStart w:id="0" w:name="ChapterTitle"/>
      <w:bookmarkStart w:id="1" w:name="_Toc396142801"/>
      <w:bookmarkStart w:id="2" w:name="_Toc401736866"/>
      <w:bookmarkStart w:id="3" w:name="_Toc432603285"/>
      <w:bookmarkStart w:id="4" w:name="_Toc439927309"/>
      <w:bookmarkStart w:id="5" w:name="_GoBack"/>
      <w:bookmarkEnd w:id="5"/>
      <w:r w:rsidRPr="003341B0">
        <w:t xml:space="preserve">G </w:t>
      </w:r>
      <w:r w:rsidRPr="003341B0">
        <w:tab/>
      </w:r>
      <w:r w:rsidR="00EE2A5B" w:rsidRPr="003341B0">
        <w:t>Housing an</w:t>
      </w:r>
      <w:r w:rsidR="00F87662" w:rsidRPr="003341B0">
        <w:t>d homelessness services sector overvie</w:t>
      </w:r>
      <w:bookmarkEnd w:id="0"/>
      <w:r w:rsidR="002D4480" w:rsidRPr="003341B0">
        <w:t>w</w:t>
      </w:r>
      <w:bookmarkEnd w:id="1"/>
      <w:bookmarkEnd w:id="2"/>
      <w:bookmarkEnd w:id="3"/>
      <w:bookmarkEnd w:id="4"/>
    </w:p>
    <w:p w:rsidR="00EB5EF8" w:rsidRPr="00443CA1" w:rsidRDefault="00EB5EF8" w:rsidP="00EB5EF8">
      <w:pPr>
        <w:pStyle w:val="Heading4"/>
      </w:pPr>
      <w:r w:rsidRPr="00443CA1">
        <w:t>CONTENTS</w:t>
      </w:r>
    </w:p>
    <w:sdt>
      <w:sdtPr>
        <w:rPr>
          <w:b w:val="0"/>
          <w:noProof/>
        </w:rPr>
        <w:id w:val="-1076048352"/>
        <w:docPartObj>
          <w:docPartGallery w:val="Table of Contents"/>
          <w:docPartUnique/>
        </w:docPartObj>
      </w:sdtPr>
      <w:sdtEndPr>
        <w:rPr>
          <w:noProof w:val="0"/>
        </w:rPr>
      </w:sdtEndPr>
      <w:sdtContent>
        <w:p w:rsidR="0036396E" w:rsidRPr="0036396E" w:rsidRDefault="0036396E" w:rsidP="0036396E">
          <w:pPr>
            <w:pStyle w:val="TOC1"/>
            <w:ind w:left="1134" w:hanging="708"/>
            <w:rPr>
              <w:rFonts w:asciiTheme="minorHAnsi" w:eastAsiaTheme="minorEastAsia" w:hAnsiTheme="minorHAnsi" w:cstheme="minorBidi"/>
              <w:b w:val="0"/>
              <w:noProof/>
              <w:sz w:val="22"/>
              <w:szCs w:val="22"/>
              <w:lang w:eastAsia="en-AU"/>
            </w:rPr>
          </w:pPr>
          <w:r w:rsidRPr="0036396E">
            <w:rPr>
              <w:b w:val="0"/>
              <w:noProof/>
            </w:rPr>
            <w:t>G.1</w:t>
          </w:r>
          <w:r w:rsidRPr="0036396E">
            <w:rPr>
              <w:rFonts w:asciiTheme="minorHAnsi" w:eastAsiaTheme="minorEastAsia" w:hAnsiTheme="minorHAnsi" w:cstheme="minorBidi"/>
              <w:b w:val="0"/>
              <w:noProof/>
              <w:sz w:val="22"/>
              <w:szCs w:val="22"/>
              <w:lang w:eastAsia="en-AU"/>
            </w:rPr>
            <w:tab/>
          </w:r>
          <w:r w:rsidRPr="0036396E">
            <w:rPr>
              <w:b w:val="0"/>
              <w:noProof/>
            </w:rPr>
            <w:t>Introduction</w:t>
          </w:r>
          <w:r w:rsidRPr="0036396E">
            <w:rPr>
              <w:b w:val="0"/>
              <w:noProof/>
            </w:rPr>
            <w:tab/>
            <w:t>G.</w:t>
          </w:r>
          <w:r w:rsidR="008705C8">
            <w:rPr>
              <w:b w:val="0"/>
              <w:noProof/>
            </w:rPr>
            <w:t>1</w:t>
          </w:r>
        </w:p>
        <w:p w:rsidR="0036396E" w:rsidRDefault="0036396E" w:rsidP="0036396E">
          <w:pPr>
            <w:pStyle w:val="TOC2"/>
            <w:tabs>
              <w:tab w:val="left" w:pos="1190"/>
            </w:tabs>
            <w:ind w:hanging="708"/>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Sector performance indicator framework</w:t>
          </w:r>
          <w:r>
            <w:rPr>
              <w:noProof/>
            </w:rPr>
            <w:tab/>
            <w:t>G.</w:t>
          </w:r>
          <w:r w:rsidR="008705C8">
            <w:rPr>
              <w:noProof/>
            </w:rPr>
            <w:t>8</w:t>
          </w:r>
        </w:p>
        <w:p w:rsidR="0036396E" w:rsidRDefault="0036396E" w:rsidP="0036396E">
          <w:pPr>
            <w:pStyle w:val="TOC2"/>
            <w:tabs>
              <w:tab w:val="left" w:pos="1190"/>
            </w:tabs>
            <w:ind w:hanging="708"/>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t>G.</w:t>
          </w:r>
          <w:r w:rsidR="008705C8">
            <w:rPr>
              <w:noProof/>
            </w:rPr>
            <w:t>24</w:t>
          </w:r>
        </w:p>
        <w:p w:rsidR="0036396E" w:rsidRDefault="0036396E" w:rsidP="0036396E">
          <w:pPr>
            <w:pStyle w:val="TOC2"/>
            <w:tabs>
              <w:tab w:val="left" w:pos="1190"/>
            </w:tabs>
            <w:ind w:hanging="708"/>
            <w:rPr>
              <w:rFonts w:asciiTheme="minorHAnsi" w:eastAsiaTheme="minorEastAsia" w:hAnsiTheme="minorHAnsi" w:cstheme="minorBidi"/>
              <w:noProof/>
              <w:sz w:val="22"/>
              <w:szCs w:val="22"/>
              <w:lang w:eastAsia="en-AU"/>
            </w:rPr>
          </w:pPr>
          <w:r>
            <w:rPr>
              <w:noProof/>
            </w:rPr>
            <w:t>G.4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G.</w:t>
          </w:r>
          <w:r w:rsidR="008705C8">
            <w:rPr>
              <w:noProof/>
            </w:rPr>
            <w:t>26</w:t>
          </w:r>
        </w:p>
        <w:p w:rsidR="0036396E" w:rsidRDefault="0036396E" w:rsidP="0036396E">
          <w:pPr>
            <w:pStyle w:val="TOC2"/>
            <w:tabs>
              <w:tab w:val="left" w:pos="1190"/>
            </w:tabs>
            <w:ind w:hanging="708"/>
            <w:rPr>
              <w:rFonts w:asciiTheme="minorHAnsi" w:eastAsiaTheme="minorEastAsia" w:hAnsiTheme="minorHAnsi" w:cstheme="minorBidi"/>
              <w:noProof/>
              <w:sz w:val="22"/>
              <w:szCs w:val="22"/>
              <w:lang w:eastAsia="en-AU"/>
            </w:rPr>
          </w:pPr>
          <w:r>
            <w:rPr>
              <w:noProof/>
            </w:rPr>
            <w:t>G.5</w:t>
          </w:r>
          <w:r>
            <w:rPr>
              <w:rFonts w:asciiTheme="minorHAnsi" w:eastAsiaTheme="minorEastAsia" w:hAnsiTheme="minorHAnsi" w:cstheme="minorBidi"/>
              <w:noProof/>
              <w:sz w:val="22"/>
              <w:szCs w:val="22"/>
              <w:lang w:eastAsia="en-AU"/>
            </w:rPr>
            <w:tab/>
          </w:r>
          <w:r>
            <w:rPr>
              <w:noProof/>
            </w:rPr>
            <w:t>List of attachment tables</w:t>
          </w:r>
          <w:r>
            <w:rPr>
              <w:noProof/>
            </w:rPr>
            <w:tab/>
            <w:t>G.</w:t>
          </w:r>
          <w:r w:rsidR="008705C8">
            <w:rPr>
              <w:noProof/>
            </w:rPr>
            <w:t>26</w:t>
          </w:r>
        </w:p>
        <w:p w:rsidR="0036396E" w:rsidRDefault="0036396E" w:rsidP="0036396E">
          <w:pPr>
            <w:pStyle w:val="TOC2"/>
            <w:tabs>
              <w:tab w:val="left" w:pos="1320"/>
            </w:tabs>
            <w:ind w:hanging="708"/>
            <w:rPr>
              <w:rFonts w:asciiTheme="minorHAnsi" w:eastAsiaTheme="minorEastAsia" w:hAnsiTheme="minorHAnsi" w:cstheme="minorBidi"/>
              <w:noProof/>
              <w:sz w:val="22"/>
              <w:szCs w:val="22"/>
              <w:lang w:eastAsia="en-AU"/>
            </w:rPr>
          </w:pPr>
          <w:r>
            <w:rPr>
              <w:noProof/>
            </w:rPr>
            <w:t xml:space="preserve">G.6 </w:t>
          </w:r>
          <w:r>
            <w:rPr>
              <w:rFonts w:asciiTheme="minorHAnsi" w:eastAsiaTheme="minorEastAsia" w:hAnsiTheme="minorHAnsi" w:cstheme="minorBidi"/>
              <w:noProof/>
              <w:sz w:val="22"/>
              <w:szCs w:val="22"/>
              <w:lang w:eastAsia="en-AU"/>
            </w:rPr>
            <w:tab/>
          </w:r>
          <w:r>
            <w:rPr>
              <w:noProof/>
            </w:rPr>
            <w:t>Definitions of key terms</w:t>
          </w:r>
          <w:r>
            <w:rPr>
              <w:noProof/>
            </w:rPr>
            <w:tab/>
            <w:t>G.</w:t>
          </w:r>
          <w:r w:rsidR="008705C8">
            <w:rPr>
              <w:noProof/>
            </w:rPr>
            <w:t>28</w:t>
          </w:r>
        </w:p>
        <w:p w:rsidR="0036396E" w:rsidRDefault="0036396E" w:rsidP="0036396E">
          <w:pPr>
            <w:pStyle w:val="TOC2"/>
            <w:tabs>
              <w:tab w:val="left" w:pos="1190"/>
            </w:tabs>
            <w:ind w:hanging="708"/>
            <w:rPr>
              <w:rFonts w:asciiTheme="minorHAnsi" w:eastAsiaTheme="minorEastAsia" w:hAnsiTheme="minorHAnsi" w:cstheme="minorBidi"/>
              <w:noProof/>
              <w:sz w:val="22"/>
              <w:szCs w:val="22"/>
              <w:lang w:eastAsia="en-AU"/>
            </w:rPr>
          </w:pPr>
          <w:r>
            <w:rPr>
              <w:noProof/>
            </w:rPr>
            <w:t>G.7</w:t>
          </w:r>
          <w:r>
            <w:rPr>
              <w:rFonts w:asciiTheme="minorHAnsi" w:eastAsiaTheme="minorEastAsia" w:hAnsiTheme="minorHAnsi" w:cstheme="minorBidi"/>
              <w:noProof/>
              <w:sz w:val="22"/>
              <w:szCs w:val="22"/>
              <w:lang w:eastAsia="en-AU"/>
            </w:rPr>
            <w:tab/>
          </w:r>
          <w:r>
            <w:rPr>
              <w:noProof/>
            </w:rPr>
            <w:t>Appendix – Private housing market contextual information</w:t>
          </w:r>
          <w:r>
            <w:rPr>
              <w:noProof/>
            </w:rPr>
            <w:tab/>
            <w:t>G.</w:t>
          </w:r>
          <w:r w:rsidR="008705C8">
            <w:rPr>
              <w:noProof/>
            </w:rPr>
            <w:t>30</w:t>
          </w:r>
        </w:p>
        <w:p w:rsidR="0036396E" w:rsidRDefault="0036396E" w:rsidP="0036396E">
          <w:pPr>
            <w:pStyle w:val="TOC2"/>
            <w:tabs>
              <w:tab w:val="left" w:pos="1190"/>
            </w:tabs>
            <w:ind w:hanging="708"/>
            <w:rPr>
              <w:rFonts w:asciiTheme="minorHAnsi" w:eastAsiaTheme="minorEastAsia" w:hAnsiTheme="minorHAnsi" w:cstheme="minorBidi"/>
              <w:noProof/>
              <w:sz w:val="22"/>
              <w:szCs w:val="22"/>
              <w:lang w:eastAsia="en-AU"/>
            </w:rPr>
          </w:pPr>
          <w:r>
            <w:rPr>
              <w:noProof/>
            </w:rPr>
            <w:t>G.8</w:t>
          </w:r>
          <w:r>
            <w:rPr>
              <w:rFonts w:asciiTheme="minorHAnsi" w:eastAsiaTheme="minorEastAsia" w:hAnsiTheme="minorHAnsi" w:cstheme="minorBidi"/>
              <w:noProof/>
              <w:sz w:val="22"/>
              <w:szCs w:val="22"/>
              <w:lang w:eastAsia="en-AU"/>
            </w:rPr>
            <w:tab/>
          </w:r>
          <w:r>
            <w:rPr>
              <w:noProof/>
            </w:rPr>
            <w:t>References</w:t>
          </w:r>
          <w:r>
            <w:rPr>
              <w:noProof/>
            </w:rPr>
            <w:tab/>
            <w:t>G.</w:t>
          </w:r>
          <w:r w:rsidR="008705C8">
            <w:rPr>
              <w:noProof/>
            </w:rPr>
            <w:t>32</w:t>
          </w:r>
        </w:p>
        <w:p w:rsidR="00EB5EF8" w:rsidRPr="000D6755" w:rsidRDefault="00141BF1" w:rsidP="0036396E">
          <w:pPr>
            <w:pStyle w:val="TOC2"/>
            <w:tabs>
              <w:tab w:val="left" w:pos="1190"/>
            </w:tabs>
            <w:ind w:hanging="708"/>
          </w:pPr>
        </w:p>
      </w:sdtContent>
    </w:sdt>
    <w:p w:rsidR="00123E69" w:rsidRPr="000D6755" w:rsidRDefault="00123E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3E69" w:rsidTr="00AB5A61">
        <w:tc>
          <w:tcPr>
            <w:tcW w:w="8771" w:type="dxa"/>
            <w:tcBorders>
              <w:top w:val="single" w:sz="6" w:space="0" w:color="78A22F"/>
              <w:left w:val="nil"/>
              <w:bottom w:val="nil"/>
              <w:right w:val="nil"/>
            </w:tcBorders>
            <w:shd w:val="clear" w:color="auto" w:fill="F2F2F2" w:themeFill="background1" w:themeFillShade="F2"/>
          </w:tcPr>
          <w:p w:rsidR="00123E69" w:rsidRDefault="00123E69" w:rsidP="00123E69">
            <w:pPr>
              <w:pStyle w:val="BoxTitle"/>
            </w:pPr>
            <w:r>
              <w:t>Attachment tables</w:t>
            </w:r>
          </w:p>
        </w:tc>
      </w:tr>
      <w:tr w:rsidR="00123E69" w:rsidTr="00AB5A61">
        <w:trPr>
          <w:cantSplit/>
        </w:trPr>
        <w:tc>
          <w:tcPr>
            <w:tcW w:w="8771" w:type="dxa"/>
            <w:tcBorders>
              <w:top w:val="nil"/>
              <w:left w:val="nil"/>
              <w:bottom w:val="nil"/>
              <w:right w:val="nil"/>
            </w:tcBorders>
            <w:shd w:val="clear" w:color="auto" w:fill="F2F2F2" w:themeFill="background1" w:themeFillShade="F2"/>
          </w:tcPr>
          <w:p w:rsidR="00123E69" w:rsidRPr="00C85EE8" w:rsidRDefault="00123E69" w:rsidP="00C85EE8">
            <w:pPr>
              <w:pStyle w:val="Box"/>
            </w:pPr>
            <w:r w:rsidRPr="00C85EE8">
              <w:t>Attachment tables are identified in references throughout this sector overview by a ‘GA’ prefix (for example, table GA.1). A full list of attachment tables is provided at the end of this sector overview, and the attachment ta</w:t>
            </w:r>
            <w:r w:rsidR="00F054D7">
              <w:t>bles are available on the</w:t>
            </w:r>
            <w:r w:rsidR="006C596A">
              <w:t xml:space="preserve"> website at www.pc.gov.au</w:t>
            </w:r>
            <w:r w:rsidR="00A57889">
              <w:t>/</w:t>
            </w:r>
            <w:proofErr w:type="spellStart"/>
            <w:r w:rsidR="00A57889">
              <w:t>rogs</w:t>
            </w:r>
            <w:proofErr w:type="spellEnd"/>
            <w:r w:rsidR="00A57889">
              <w:t>/2016</w:t>
            </w:r>
            <w:r w:rsidR="00CF4AA7" w:rsidRPr="00C85EE8">
              <w:t>.</w:t>
            </w:r>
          </w:p>
        </w:tc>
      </w:tr>
      <w:tr w:rsidR="00123E69" w:rsidTr="00AB5A61">
        <w:trPr>
          <w:cantSplit/>
        </w:trPr>
        <w:tc>
          <w:tcPr>
            <w:tcW w:w="8771" w:type="dxa"/>
            <w:tcBorders>
              <w:top w:val="nil"/>
              <w:left w:val="nil"/>
              <w:bottom w:val="single" w:sz="6" w:space="0" w:color="78A22F"/>
              <w:right w:val="nil"/>
            </w:tcBorders>
            <w:shd w:val="clear" w:color="auto" w:fill="F2F2F2" w:themeFill="background1" w:themeFillShade="F2"/>
          </w:tcPr>
          <w:p w:rsidR="00123E69" w:rsidRDefault="00123E69">
            <w:pPr>
              <w:pStyle w:val="Box"/>
              <w:spacing w:before="0" w:line="120" w:lineRule="exact"/>
            </w:pPr>
          </w:p>
        </w:tc>
      </w:tr>
      <w:tr w:rsidR="00123E69" w:rsidRPr="000863A5" w:rsidTr="00AB5A61">
        <w:tc>
          <w:tcPr>
            <w:tcW w:w="8771" w:type="dxa"/>
            <w:tcBorders>
              <w:top w:val="single" w:sz="6" w:space="0" w:color="78A22F"/>
              <w:left w:val="nil"/>
              <w:bottom w:val="nil"/>
              <w:right w:val="nil"/>
            </w:tcBorders>
          </w:tcPr>
          <w:p w:rsidR="00123E69" w:rsidRPr="000D6755" w:rsidRDefault="00123E69" w:rsidP="00AB5A61">
            <w:pPr>
              <w:pStyle w:val="BoxSpaceBelow"/>
            </w:pPr>
          </w:p>
        </w:tc>
      </w:tr>
    </w:tbl>
    <w:p w:rsidR="00EE2A5B" w:rsidRPr="00E86F55" w:rsidRDefault="00C066DD" w:rsidP="00E86F55">
      <w:pPr>
        <w:pStyle w:val="Heading2"/>
      </w:pPr>
      <w:bookmarkStart w:id="6" w:name="_Toc306106365"/>
      <w:bookmarkStart w:id="7" w:name="_Toc401736867"/>
      <w:bookmarkStart w:id="8" w:name="_Toc439927310"/>
      <w:r w:rsidRPr="00C2463A">
        <w:t>G.</w:t>
      </w:r>
      <w:r w:rsidR="00561A56" w:rsidRPr="00C2463A">
        <w:t>1</w:t>
      </w:r>
      <w:r w:rsidRPr="00C2463A">
        <w:tab/>
      </w:r>
      <w:r w:rsidR="00EE2A5B" w:rsidRPr="00C2463A">
        <w:t>Introduction</w:t>
      </w:r>
      <w:bookmarkEnd w:id="6"/>
      <w:bookmarkEnd w:id="7"/>
      <w:bookmarkEnd w:id="8"/>
    </w:p>
    <w:p w:rsidR="00EE2A5B" w:rsidRPr="002D55DA" w:rsidRDefault="00F054D7" w:rsidP="002D55DA">
      <w:pPr>
        <w:pStyle w:val="BodyText"/>
      </w:pPr>
      <w:r>
        <w:t>This</w:t>
      </w:r>
      <w:r w:rsidR="004B0507">
        <w:t xml:space="preserve"> sector </w:t>
      </w:r>
      <w:r w:rsidR="00BB2E89" w:rsidRPr="002D55DA">
        <w:t>overview</w:t>
      </w:r>
      <w:r w:rsidR="004B0507">
        <w:t xml:space="preserve"> provides an introduction to the </w:t>
      </w:r>
      <w:r w:rsidR="00C0734D" w:rsidRPr="002D55DA">
        <w:t>Housing</w:t>
      </w:r>
      <w:r w:rsidR="00C0734D">
        <w:t xml:space="preserve"> </w:t>
      </w:r>
      <w:r w:rsidR="00D85035">
        <w:t>(</w:t>
      </w:r>
      <w:r>
        <w:t xml:space="preserve">chapter </w:t>
      </w:r>
      <w:r w:rsidR="00D85035">
        <w:t xml:space="preserve">17) and </w:t>
      </w:r>
      <w:r w:rsidR="00C0734D">
        <w:t xml:space="preserve">Homelessness </w:t>
      </w:r>
      <w:r w:rsidR="009A31AE">
        <w:t xml:space="preserve">services </w:t>
      </w:r>
      <w:r w:rsidR="00D85035">
        <w:t>(</w:t>
      </w:r>
      <w:r>
        <w:t>chapter 18) chapters of this Report</w:t>
      </w:r>
      <w:r w:rsidR="00D85035">
        <w:t xml:space="preserve"> and provides </w:t>
      </w:r>
      <w:r w:rsidR="00D85035" w:rsidRPr="002D55DA">
        <w:t xml:space="preserve">contextual information </w:t>
      </w:r>
      <w:r w:rsidR="00D85035">
        <w:t>along with</w:t>
      </w:r>
      <w:r w:rsidR="00D85035" w:rsidRPr="002D55DA">
        <w:t xml:space="preserve"> high level performance information</w:t>
      </w:r>
      <w:r w:rsidR="00EE2A5B" w:rsidRPr="002D55DA">
        <w:t>.</w:t>
      </w:r>
    </w:p>
    <w:p w:rsidR="00EE2A5B" w:rsidRPr="002D55DA" w:rsidRDefault="007F0653" w:rsidP="002D55DA">
      <w:pPr>
        <w:pStyle w:val="BodyText"/>
      </w:pPr>
      <w:r w:rsidRPr="002D55DA">
        <w:t xml:space="preserve">This </w:t>
      </w:r>
      <w:r w:rsidR="00BB2E89" w:rsidRPr="002D55DA">
        <w:t xml:space="preserve">sector overview </w:t>
      </w:r>
      <w:r w:rsidR="00F054D7">
        <w:t>also includes</w:t>
      </w:r>
      <w:r w:rsidR="008D0853">
        <w:t xml:space="preserve"> </w:t>
      </w:r>
      <w:r w:rsidRPr="002D55DA">
        <w:t xml:space="preserve">descriptive </w:t>
      </w:r>
      <w:r w:rsidR="008D0853">
        <w:t>data</w:t>
      </w:r>
      <w:r w:rsidRPr="002D55DA">
        <w:t xml:space="preserve"> on Comm</w:t>
      </w:r>
      <w:r w:rsidR="00C36664" w:rsidRPr="002D55DA">
        <w:t>onwealth Rent Assistance (CRA)</w:t>
      </w:r>
      <w:r w:rsidR="008E15F4">
        <w:t>, which is financial assistance for people who pay rent and receive a Centrelink payment</w:t>
      </w:r>
      <w:r w:rsidR="00F054D7">
        <w:t>, including</w:t>
      </w:r>
      <w:r w:rsidR="008E15F4">
        <w:t xml:space="preserve"> </w:t>
      </w:r>
      <w:r w:rsidR="00F054D7">
        <w:t xml:space="preserve">for the first time, </w:t>
      </w:r>
      <w:r w:rsidR="00B25BE0">
        <w:t xml:space="preserve">unpublished </w:t>
      </w:r>
      <w:r w:rsidR="008E15F4">
        <w:t xml:space="preserve">CRA data disaggregated by </w:t>
      </w:r>
      <w:r w:rsidR="00F054D7">
        <w:t xml:space="preserve">remoteness </w:t>
      </w:r>
      <w:r w:rsidR="004B0507">
        <w:t>areas</w:t>
      </w:r>
      <w:r w:rsidR="00203ED3">
        <w:t xml:space="preserve">. </w:t>
      </w:r>
    </w:p>
    <w:p w:rsidR="00EE2A5B" w:rsidRDefault="00B25BE0" w:rsidP="00E86F55">
      <w:pPr>
        <w:pStyle w:val="Heading3"/>
      </w:pPr>
      <w:r>
        <w:lastRenderedPageBreak/>
        <w:t>Policy c</w:t>
      </w:r>
      <w:r w:rsidR="006A1A6D">
        <w:t>ontext</w:t>
      </w:r>
    </w:p>
    <w:p w:rsidR="00EE2A5B" w:rsidRDefault="00B25BE0" w:rsidP="008143CC">
      <w:pPr>
        <w:pStyle w:val="BodyText"/>
      </w:pPr>
      <w:r>
        <w:t xml:space="preserve">Housing and homelessness assistance is an important element of governments’ social policy and welfare frameworks, and </w:t>
      </w:r>
      <w:r w:rsidR="00EE2A5B">
        <w:t>plays an important role in enabling social and economic participation.</w:t>
      </w:r>
      <w:r w:rsidR="00F110B3">
        <w:t xml:space="preserve"> </w:t>
      </w:r>
      <w:r w:rsidR="00EE2A5B">
        <w:t xml:space="preserve">Housing assistance and services to people who are homeless </w:t>
      </w:r>
      <w:r w:rsidR="009F7FA8">
        <w:t xml:space="preserve">or </w:t>
      </w:r>
      <w:r w:rsidR="00EE2A5B">
        <w:t>at risk of homelessness are closely interconnected</w:t>
      </w:r>
      <w:r w:rsidR="00D86AC8">
        <w:t>:</w:t>
      </w:r>
      <w:r w:rsidR="008143CC">
        <w:t xml:space="preserve"> ‘t</w:t>
      </w:r>
      <w:r w:rsidR="00EE2A5B" w:rsidRPr="00AE41FE">
        <w:t>he concepts of ‘homelessness’ and ‘housing’ are culturally bound, and … in order to define homelessness it is necessary to identify shared community standards about minimum housing</w:t>
      </w:r>
      <w:r w:rsidR="008143CC">
        <w:t>’</w:t>
      </w:r>
      <w:r w:rsidR="00F054D7">
        <w:t xml:space="preserve"> (Homelessness</w:t>
      </w:r>
      <w:r w:rsidR="00B22037">
        <w:t xml:space="preserve"> </w:t>
      </w:r>
      <w:r w:rsidR="009148F7">
        <w:t>NSW</w:t>
      </w:r>
      <w:r w:rsidR="00F054D7">
        <w:t> </w:t>
      </w:r>
      <w:r w:rsidR="00EE2A5B" w:rsidRPr="00AE41FE">
        <w:t>201</w:t>
      </w:r>
      <w:r w:rsidR="009148F7">
        <w:t>5</w:t>
      </w:r>
      <w:r w:rsidR="00EE2A5B" w:rsidRPr="00AE41FE">
        <w:t>).</w:t>
      </w:r>
    </w:p>
    <w:p w:rsidR="00691CCA" w:rsidRDefault="009734B9" w:rsidP="008143CC">
      <w:pPr>
        <w:pStyle w:val="BodyText"/>
      </w:pPr>
      <w:r w:rsidRPr="00D85035">
        <w:t xml:space="preserve">Australian, State and Territory governments assist people to meet their housing needs through direct services, funding support and other initiatives, including assistance for people who are homeless or at risk of homelessness. </w:t>
      </w:r>
      <w:r w:rsidR="00691CCA">
        <w:t>(</w:t>
      </w:r>
      <w:r w:rsidR="00691CCA" w:rsidRPr="00D85035">
        <w:t>Many non</w:t>
      </w:r>
      <w:r w:rsidR="00C9055F">
        <w:noBreakHyphen/>
      </w:r>
      <w:r w:rsidR="00691CCA" w:rsidRPr="00D85035">
        <w:t xml:space="preserve">government organisations also provide housing assistance and </w:t>
      </w:r>
      <w:r w:rsidR="00691CCA">
        <w:t xml:space="preserve">homelessness services.) </w:t>
      </w:r>
    </w:p>
    <w:p w:rsidR="008C44AD" w:rsidRDefault="009734B9" w:rsidP="008143CC">
      <w:pPr>
        <w:pStyle w:val="BodyText"/>
      </w:pPr>
      <w:r>
        <w:t>The National Affordable Housing Agreement</w:t>
      </w:r>
      <w:r w:rsidR="008040A8">
        <w:t xml:space="preserve"> </w:t>
      </w:r>
      <w:r w:rsidR="008C44AD">
        <w:t xml:space="preserve">(NAHA) </w:t>
      </w:r>
      <w:r w:rsidR="008040A8">
        <w:t>provides the framework for the Australian</w:t>
      </w:r>
      <w:r w:rsidR="00B22037">
        <w:t xml:space="preserve">, </w:t>
      </w:r>
      <w:r w:rsidR="008040A8">
        <w:t xml:space="preserve">State and Territory governments to work together to </w:t>
      </w:r>
      <w:r w:rsidR="008040A8" w:rsidRPr="00BF3FDB">
        <w:t>improve housing</w:t>
      </w:r>
      <w:r w:rsidR="00BF3FDB" w:rsidRPr="00BF3FDB">
        <w:t xml:space="preserve"> and homelessness</w:t>
      </w:r>
      <w:r w:rsidR="008040A8" w:rsidRPr="00BF3FDB">
        <w:t xml:space="preserve"> </w:t>
      </w:r>
      <w:r w:rsidR="009A31AE" w:rsidRPr="00BF3FDB">
        <w:t>outcomes</w:t>
      </w:r>
      <w:r w:rsidR="009A31AE">
        <w:t xml:space="preserve"> </w:t>
      </w:r>
      <w:r w:rsidR="008040A8">
        <w:t>(bo</w:t>
      </w:r>
      <w:r w:rsidR="009E5407">
        <w:t>x G.1</w:t>
      </w:r>
      <w:r w:rsidR="008040A8">
        <w:t xml:space="preserve">). </w:t>
      </w:r>
    </w:p>
    <w:p w:rsidR="008C44AD" w:rsidRPr="009734B9" w:rsidRDefault="008C44AD" w:rsidP="008C44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44AD" w:rsidTr="00F9645E">
        <w:tc>
          <w:tcPr>
            <w:tcW w:w="8771" w:type="dxa"/>
            <w:tcBorders>
              <w:top w:val="single" w:sz="6" w:space="0" w:color="78A22F"/>
              <w:left w:val="nil"/>
              <w:bottom w:val="nil"/>
              <w:right w:val="nil"/>
            </w:tcBorders>
            <w:shd w:val="clear" w:color="auto" w:fill="F2F2F2"/>
          </w:tcPr>
          <w:p w:rsidR="008C44AD" w:rsidRDefault="008C44AD" w:rsidP="00F9645E">
            <w:pPr>
              <w:pStyle w:val="BoxTitle"/>
            </w:pPr>
            <w:r>
              <w:rPr>
                <w:b w:val="0"/>
              </w:rPr>
              <w:t>Box G.</w:t>
            </w:r>
            <w:r w:rsidR="00561F4A">
              <w:rPr>
                <w:b w:val="0"/>
              </w:rPr>
              <w:t>1</w:t>
            </w:r>
            <w:r>
              <w:tab/>
              <w:t>National Affordable Housing Agreement and related National Partnerships</w:t>
            </w:r>
          </w:p>
        </w:tc>
      </w:tr>
      <w:tr w:rsidR="008C44AD" w:rsidTr="00F9645E">
        <w:trPr>
          <w:cantSplit/>
        </w:trPr>
        <w:tc>
          <w:tcPr>
            <w:tcW w:w="8771" w:type="dxa"/>
            <w:tcBorders>
              <w:top w:val="nil"/>
              <w:left w:val="nil"/>
              <w:bottom w:val="nil"/>
              <w:right w:val="nil"/>
            </w:tcBorders>
            <w:shd w:val="clear" w:color="auto" w:fill="F2F2F2"/>
          </w:tcPr>
          <w:p w:rsidR="008C44AD" w:rsidRDefault="008C44AD" w:rsidP="00F9645E">
            <w:pPr>
              <w:pStyle w:val="Box"/>
            </w:pPr>
            <w:r>
              <w:t xml:space="preserve">The NAHA commenced on 1 January 2009 as part of the Intergovernmental Agreement on Federal Financial Relations and was updated in 2012 to include performance benchmarks. </w:t>
            </w:r>
          </w:p>
          <w:p w:rsidR="008C44AD" w:rsidRDefault="008C44AD" w:rsidP="00F9645E">
            <w:pPr>
              <w:pStyle w:val="Box"/>
            </w:pPr>
            <w:r>
              <w:t>Under the NAHA, governments have committed to undertake reforms in the housing sector to improve integration between homelessness services and mainstream services, and reduce the rate of homelessness. The NAHA outcomes include:</w:t>
            </w:r>
          </w:p>
          <w:p w:rsidR="008C44AD" w:rsidRPr="00614922" w:rsidRDefault="008C44AD" w:rsidP="00F9645E">
            <w:pPr>
              <w:pStyle w:val="Box"/>
              <w:numPr>
                <w:ilvl w:val="0"/>
                <w:numId w:val="12"/>
              </w:numPr>
              <w:tabs>
                <w:tab w:val="clear" w:pos="170"/>
                <w:tab w:val="num" w:pos="284"/>
              </w:tabs>
              <w:ind w:left="284" w:hanging="284"/>
            </w:pPr>
            <w:r w:rsidRPr="00614922">
              <w:t>people who are homeless or at risk of homelessness achieve sustainable housing and social inclusion (supported by the National Partnership Agreement on Homelessness, due to expire on 30 June 2017)</w:t>
            </w:r>
          </w:p>
          <w:p w:rsidR="008C44AD" w:rsidRPr="00614922" w:rsidRDefault="008C44AD" w:rsidP="00F9645E">
            <w:pPr>
              <w:pStyle w:val="Box"/>
              <w:numPr>
                <w:ilvl w:val="0"/>
                <w:numId w:val="12"/>
              </w:numPr>
              <w:tabs>
                <w:tab w:val="clear" w:pos="170"/>
                <w:tab w:val="num" w:pos="284"/>
              </w:tabs>
              <w:ind w:left="284" w:hanging="284"/>
            </w:pPr>
            <w:r w:rsidRPr="00614922">
              <w:t>people are able to rent housing that meets their needs</w:t>
            </w:r>
          </w:p>
          <w:p w:rsidR="008C44AD" w:rsidRPr="00614922" w:rsidRDefault="008C44AD" w:rsidP="00F9645E">
            <w:pPr>
              <w:pStyle w:val="Box"/>
              <w:numPr>
                <w:ilvl w:val="0"/>
                <w:numId w:val="12"/>
              </w:numPr>
              <w:tabs>
                <w:tab w:val="clear" w:pos="170"/>
                <w:tab w:val="num" w:pos="284"/>
              </w:tabs>
              <w:ind w:left="284" w:hanging="284"/>
            </w:pPr>
            <w:r w:rsidRPr="00614922">
              <w:t>people can purchase affordable housing</w:t>
            </w:r>
          </w:p>
          <w:p w:rsidR="008C44AD" w:rsidRPr="00614922" w:rsidRDefault="008C44AD" w:rsidP="00F9645E">
            <w:pPr>
              <w:pStyle w:val="Box"/>
              <w:numPr>
                <w:ilvl w:val="0"/>
                <w:numId w:val="12"/>
              </w:numPr>
              <w:tabs>
                <w:tab w:val="clear" w:pos="170"/>
                <w:tab w:val="num" w:pos="284"/>
              </w:tabs>
              <w:ind w:left="284" w:hanging="284"/>
            </w:pPr>
            <w:r w:rsidRPr="00614922">
              <w:t>people have access to housing through an</w:t>
            </w:r>
            <w:r>
              <w:t xml:space="preserve"> efficient and responsive</w:t>
            </w:r>
            <w:r w:rsidRPr="00614922">
              <w:t xml:space="preserve"> housing market</w:t>
            </w:r>
          </w:p>
          <w:p w:rsidR="008C44AD" w:rsidRPr="00614922" w:rsidRDefault="008C44AD" w:rsidP="00F9645E">
            <w:pPr>
              <w:pStyle w:val="Box"/>
              <w:numPr>
                <w:ilvl w:val="0"/>
                <w:numId w:val="12"/>
              </w:numPr>
              <w:tabs>
                <w:tab w:val="clear" w:pos="170"/>
                <w:tab w:val="num" w:pos="284"/>
              </w:tabs>
              <w:ind w:left="284" w:hanging="284"/>
            </w:pPr>
            <w:r w:rsidRPr="00614922">
              <w:t>Aboriginal and Torres Strait Islander people have the same housing opportunities (in relation to homelessness services, housing rental, housing purchase and access to housing through an efficient and responsive housing market) as other Australians</w:t>
            </w:r>
          </w:p>
          <w:p w:rsidR="008C44AD" w:rsidRDefault="008C44AD" w:rsidP="00F9645E">
            <w:pPr>
              <w:pStyle w:val="Box"/>
              <w:numPr>
                <w:ilvl w:val="0"/>
                <w:numId w:val="12"/>
              </w:numPr>
              <w:tabs>
                <w:tab w:val="clear" w:pos="170"/>
                <w:tab w:val="num" w:pos="284"/>
              </w:tabs>
              <w:ind w:left="284" w:hanging="284"/>
            </w:pPr>
            <w:r w:rsidRPr="00614922">
              <w:t xml:space="preserve">Aboriginal and Torres Strait Islander people have improved housing amenity and reduced overcrowding, particularly in remote areas and discrete communities (supported by the National Partnership Agreement on Remote Indigenous Housing, due to expire on </w:t>
            </w:r>
            <w:r>
              <w:br/>
            </w:r>
            <w:r w:rsidRPr="00614922">
              <w:t>30 June 2018).</w:t>
            </w:r>
          </w:p>
        </w:tc>
      </w:tr>
      <w:tr w:rsidR="008C44AD" w:rsidTr="00F9645E">
        <w:trPr>
          <w:cantSplit/>
        </w:trPr>
        <w:tc>
          <w:tcPr>
            <w:tcW w:w="8771" w:type="dxa"/>
            <w:tcBorders>
              <w:top w:val="nil"/>
              <w:left w:val="nil"/>
              <w:bottom w:val="nil"/>
              <w:right w:val="nil"/>
            </w:tcBorders>
            <w:shd w:val="clear" w:color="auto" w:fill="F2F2F2"/>
          </w:tcPr>
          <w:p w:rsidR="008C44AD" w:rsidRDefault="008C44AD" w:rsidP="00F9645E">
            <w:pPr>
              <w:pStyle w:val="BoxSource"/>
            </w:pPr>
            <w:r>
              <w:rPr>
                <w:i/>
              </w:rPr>
              <w:t>Source</w:t>
            </w:r>
            <w:r>
              <w:t>: COAG Intergovernmental Agreement on Federal Financial Relations (2015).</w:t>
            </w:r>
          </w:p>
        </w:tc>
      </w:tr>
      <w:tr w:rsidR="008C44AD" w:rsidTr="00F9645E">
        <w:trPr>
          <w:cantSplit/>
        </w:trPr>
        <w:tc>
          <w:tcPr>
            <w:tcW w:w="8771" w:type="dxa"/>
            <w:tcBorders>
              <w:top w:val="nil"/>
              <w:left w:val="nil"/>
              <w:bottom w:val="single" w:sz="6" w:space="0" w:color="78A22F"/>
              <w:right w:val="nil"/>
            </w:tcBorders>
            <w:shd w:val="clear" w:color="auto" w:fill="F2F2F2"/>
          </w:tcPr>
          <w:p w:rsidR="008C44AD" w:rsidRDefault="008C44AD" w:rsidP="00F9645E">
            <w:pPr>
              <w:pStyle w:val="Box"/>
              <w:spacing w:before="0" w:line="120" w:lineRule="exact"/>
            </w:pPr>
          </w:p>
        </w:tc>
      </w:tr>
      <w:tr w:rsidR="008C44AD" w:rsidRPr="000863A5" w:rsidTr="00F9645E">
        <w:tc>
          <w:tcPr>
            <w:tcW w:w="8771" w:type="dxa"/>
            <w:tcBorders>
              <w:top w:val="single" w:sz="6" w:space="0" w:color="78A22F"/>
              <w:left w:val="nil"/>
              <w:bottom w:val="nil"/>
              <w:right w:val="nil"/>
            </w:tcBorders>
          </w:tcPr>
          <w:p w:rsidR="008C44AD" w:rsidRPr="00626D32" w:rsidRDefault="008C44AD" w:rsidP="00F9645E">
            <w:pPr>
              <w:pStyle w:val="BoxSpaceBelow"/>
            </w:pPr>
          </w:p>
        </w:tc>
      </w:tr>
    </w:tbl>
    <w:p w:rsidR="008C44AD" w:rsidRDefault="008C44AD" w:rsidP="008143CC">
      <w:pPr>
        <w:pStyle w:val="BodyText"/>
      </w:pPr>
      <w:r>
        <w:lastRenderedPageBreak/>
        <w:t xml:space="preserve">The NAHA is associated with the National Affordable Housing Specific Purpose Payment (NAH </w:t>
      </w:r>
      <w:proofErr w:type="spellStart"/>
      <w:r>
        <w:t>SPP</w:t>
      </w:r>
      <w:proofErr w:type="spellEnd"/>
      <w:r>
        <w:t>), which is an indexed payment to the states and territories to be spent in the housing and homelessness sector.</w:t>
      </w:r>
    </w:p>
    <w:p w:rsidR="009734B9" w:rsidRDefault="00B22037" w:rsidP="008143CC">
      <w:pPr>
        <w:pStyle w:val="BodyText"/>
      </w:pPr>
      <w:r>
        <w:t>Governments</w:t>
      </w:r>
      <w:r w:rsidR="009734B9">
        <w:t xml:space="preserve"> </w:t>
      </w:r>
      <w:r w:rsidR="009734B9" w:rsidRPr="002C4597">
        <w:t>provide other forms of suppo</w:t>
      </w:r>
      <w:r>
        <w:t>rt for housing and homelessness</w:t>
      </w:r>
      <w:r w:rsidR="009734B9" w:rsidRPr="002C4597">
        <w:t xml:space="preserve"> including</w:t>
      </w:r>
      <w:r w:rsidR="00791B3D">
        <w:t>:</w:t>
      </w:r>
      <w:r w:rsidR="009734B9" w:rsidRPr="002C4597">
        <w:t xml:space="preserve"> home purchase assistance</w:t>
      </w:r>
      <w:r>
        <w:t xml:space="preserve"> and private rental assistance</w:t>
      </w:r>
      <w:r w:rsidR="00E72B9F">
        <w:t xml:space="preserve">. </w:t>
      </w:r>
      <w:r w:rsidR="009734B9" w:rsidRPr="00463099">
        <w:t>Housin</w:t>
      </w:r>
      <w:r w:rsidR="00B92CA7" w:rsidRPr="00463099">
        <w:t>g outcomes</w:t>
      </w:r>
      <w:r w:rsidR="00B92CA7">
        <w:t xml:space="preserve"> are</w:t>
      </w:r>
      <w:r w:rsidR="00494958">
        <w:t xml:space="preserve"> </w:t>
      </w:r>
      <w:r w:rsidR="009734B9" w:rsidRPr="009734B9">
        <w:t>influenced by many factors a</w:t>
      </w:r>
      <w:r w:rsidR="00791B3D">
        <w:t>part from government assistance, and</w:t>
      </w:r>
      <w:r w:rsidR="009734B9" w:rsidRPr="009734B9">
        <w:t xml:space="preserve"> </w:t>
      </w:r>
      <w:r w:rsidR="00791B3D">
        <w:t>c</w:t>
      </w:r>
      <w:r w:rsidR="009734B9" w:rsidRPr="009734B9">
        <w:t xml:space="preserve">ontextual information </w:t>
      </w:r>
      <w:r w:rsidR="00494958">
        <w:t xml:space="preserve">is available </w:t>
      </w:r>
      <w:r w:rsidR="009734B9" w:rsidRPr="009734B9">
        <w:t>on some of these factors, including housing afforda</w:t>
      </w:r>
      <w:r w:rsidR="00494958">
        <w:t>bility</w:t>
      </w:r>
      <w:r w:rsidR="009734B9" w:rsidRPr="009734B9">
        <w:t xml:space="preserve"> </w:t>
      </w:r>
      <w:r w:rsidR="00494958">
        <w:t>and</w:t>
      </w:r>
      <w:r w:rsidR="00B92CA7">
        <w:t xml:space="preserve"> </w:t>
      </w:r>
      <w:r w:rsidR="009734B9" w:rsidRPr="009734B9">
        <w:t xml:space="preserve">private rental markets </w:t>
      </w:r>
      <w:r w:rsidR="00494958">
        <w:t>(Appendix G.7)</w:t>
      </w:r>
      <w:r w:rsidR="009734B9" w:rsidRPr="009734B9">
        <w:t>.</w:t>
      </w:r>
    </w:p>
    <w:p w:rsidR="00EE2A5B" w:rsidRDefault="00EE2A5B" w:rsidP="002B4651">
      <w:pPr>
        <w:pStyle w:val="Heading3"/>
      </w:pPr>
      <w:r>
        <w:t>Sector scope</w:t>
      </w:r>
    </w:p>
    <w:p w:rsidR="00543DD6" w:rsidRDefault="00EE2A5B" w:rsidP="002B4651">
      <w:pPr>
        <w:pStyle w:val="BodyText"/>
      </w:pPr>
      <w:r>
        <w:t>This Report includes detailed informa</w:t>
      </w:r>
      <w:r w:rsidR="006C2B2C">
        <w:t xml:space="preserve">tion on two specific services: </w:t>
      </w:r>
      <w:r w:rsidR="009E13F4">
        <w:t xml:space="preserve">social </w:t>
      </w:r>
      <w:r>
        <w:t xml:space="preserve">housing and homelessness services. </w:t>
      </w:r>
      <w:r w:rsidR="009E13F4" w:rsidRPr="004D08A9">
        <w:t>Social ho</w:t>
      </w:r>
      <w:r w:rsidR="00D90DDD" w:rsidRPr="004D08A9">
        <w:t xml:space="preserve">using </w:t>
      </w:r>
      <w:r w:rsidR="008143CC" w:rsidRPr="004D08A9">
        <w:t xml:space="preserve">is </w:t>
      </w:r>
      <w:r w:rsidR="004D08A9" w:rsidRPr="004D08A9">
        <w:t xml:space="preserve">rental </w:t>
      </w:r>
      <w:r w:rsidR="008143CC" w:rsidRPr="004D08A9">
        <w:t>housing</w:t>
      </w:r>
      <w:r w:rsidR="008143CC" w:rsidRPr="00A04F35">
        <w:t xml:space="preserve"> </w:t>
      </w:r>
      <w:r w:rsidR="00791B3D">
        <w:t>provided by not</w:t>
      </w:r>
      <w:r w:rsidR="008040A8">
        <w:noBreakHyphen/>
      </w:r>
      <w:r w:rsidR="00791B3D">
        <w:t>for</w:t>
      </w:r>
      <w:r w:rsidR="008040A8">
        <w:noBreakHyphen/>
      </w:r>
      <w:r w:rsidR="00791B3D">
        <w:t>profit,</w:t>
      </w:r>
      <w:r w:rsidR="008040A8">
        <w:t xml:space="preserve"> non</w:t>
      </w:r>
      <w:r w:rsidR="008040A8">
        <w:noBreakHyphen/>
      </w:r>
      <w:r w:rsidR="008040A8" w:rsidRPr="00A04F35">
        <w:t>government</w:t>
      </w:r>
      <w:r w:rsidR="008143CC" w:rsidRPr="00A04F35">
        <w:t xml:space="preserve"> or government organisations to assist people who are unable to access suitable accommodation in the private rental market. </w:t>
      </w:r>
      <w:r w:rsidR="008143CC">
        <w:t xml:space="preserve">Social housing </w:t>
      </w:r>
      <w:r>
        <w:t>broadly encompasses public housing, State owned and managed Indigenous hou</w:t>
      </w:r>
      <w:r w:rsidR="00AE3650">
        <w:t>sing (SOMIH), community housing</w:t>
      </w:r>
      <w:r>
        <w:t xml:space="preserve"> and Indigenous community housing</w:t>
      </w:r>
      <w:r w:rsidR="008742E8">
        <w:t xml:space="preserve"> (</w:t>
      </w:r>
      <w:proofErr w:type="spellStart"/>
      <w:r w:rsidR="008742E8">
        <w:t>ICH</w:t>
      </w:r>
      <w:proofErr w:type="spellEnd"/>
      <w:r w:rsidR="008742E8">
        <w:t>), a</w:t>
      </w:r>
      <w:r>
        <w:t>nd is reported in chapter 1</w:t>
      </w:r>
      <w:r w:rsidR="00F028B8">
        <w:t>7</w:t>
      </w:r>
      <w:r w:rsidR="00791B3D">
        <w:t xml:space="preserve"> (box </w:t>
      </w:r>
      <w:r w:rsidR="00B92CA7">
        <w:t>G.</w:t>
      </w:r>
      <w:r w:rsidR="009E5407">
        <w:t>2</w:t>
      </w:r>
      <w:r w:rsidR="002B64A5">
        <w:t>).</w:t>
      </w:r>
      <w:r w:rsidR="00225DF5">
        <w:t xml:space="preserve"> </w:t>
      </w:r>
      <w:r w:rsidR="00BC2936">
        <w:t>Homelessness services in this Report encompass</w:t>
      </w:r>
      <w:r w:rsidR="00AE3650">
        <w:t xml:space="preserve"> </w:t>
      </w:r>
      <w:r>
        <w:t>government funded specialist homelessness services</w:t>
      </w:r>
      <w:r w:rsidR="00AE3650">
        <w:t>,</w:t>
      </w:r>
      <w:r w:rsidR="00D90DDD">
        <w:t xml:space="preserve"> and are </w:t>
      </w:r>
      <w:r>
        <w:t>reported in chapter 1</w:t>
      </w:r>
      <w:r w:rsidR="00F028B8">
        <w:t>8</w:t>
      </w:r>
      <w:r w:rsidR="00B92CA7">
        <w:t xml:space="preserve"> (box G.</w:t>
      </w:r>
      <w:r w:rsidR="009E5407">
        <w:t>3</w:t>
      </w:r>
      <w:r>
        <w:t>).</w:t>
      </w:r>
    </w:p>
    <w:p w:rsidR="00614443" w:rsidRDefault="0061444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14443" w:rsidTr="00F054D7">
        <w:tc>
          <w:tcPr>
            <w:tcW w:w="8771" w:type="dxa"/>
            <w:tcBorders>
              <w:top w:val="single" w:sz="6" w:space="0" w:color="78A22F"/>
              <w:left w:val="nil"/>
              <w:bottom w:val="nil"/>
              <w:right w:val="nil"/>
            </w:tcBorders>
            <w:shd w:val="clear" w:color="auto" w:fill="F2F2F2"/>
          </w:tcPr>
          <w:p w:rsidR="00614443" w:rsidRDefault="00614443" w:rsidP="00B22037">
            <w:pPr>
              <w:pStyle w:val="BoxTitle"/>
            </w:pPr>
            <w:r>
              <w:rPr>
                <w:b w:val="0"/>
              </w:rPr>
              <w:t xml:space="preserve">Box </w:t>
            </w:r>
            <w:r w:rsidR="00B22037">
              <w:rPr>
                <w:b w:val="0"/>
              </w:rPr>
              <w:t>G.2</w:t>
            </w:r>
            <w:r>
              <w:tab/>
              <w:t>Scope of social housing</w:t>
            </w:r>
          </w:p>
        </w:tc>
      </w:tr>
      <w:tr w:rsidR="00614443" w:rsidTr="00F054D7">
        <w:trPr>
          <w:cantSplit/>
        </w:trPr>
        <w:tc>
          <w:tcPr>
            <w:tcW w:w="8771" w:type="dxa"/>
            <w:tcBorders>
              <w:top w:val="nil"/>
              <w:left w:val="nil"/>
              <w:bottom w:val="nil"/>
              <w:right w:val="nil"/>
            </w:tcBorders>
            <w:shd w:val="clear" w:color="auto" w:fill="F2F2F2"/>
          </w:tcPr>
          <w:p w:rsidR="00614443" w:rsidRPr="00D90D9F" w:rsidRDefault="00614443" w:rsidP="00614443">
            <w:pPr>
              <w:pStyle w:val="Box"/>
            </w:pPr>
            <w:r>
              <w:t>Social housing assistance data covers</w:t>
            </w:r>
            <w:r w:rsidRPr="00A04F35">
              <w:t>:</w:t>
            </w:r>
          </w:p>
          <w:p w:rsidR="00614443" w:rsidRPr="00D90D9F" w:rsidRDefault="00614443" w:rsidP="00614443">
            <w:pPr>
              <w:pStyle w:val="BoxListBullet"/>
            </w:pPr>
            <w:r w:rsidRPr="00D90D9F">
              <w:rPr>
                <w:i/>
              </w:rPr>
              <w:t>Public housing</w:t>
            </w:r>
            <w:r w:rsidRPr="00D90D9F">
              <w:t xml:space="preserve">: </w:t>
            </w:r>
            <w:r w:rsidRPr="00A04F35">
              <w:t>dwellings owned (or leased) and managed by State an</w:t>
            </w:r>
            <w:r>
              <w:t>d Territory housing authorities, and is generally accessed by people on low incomes and/or those with special needs.</w:t>
            </w:r>
          </w:p>
          <w:p w:rsidR="00614443" w:rsidRPr="00A04F35" w:rsidRDefault="00614443" w:rsidP="00614443">
            <w:pPr>
              <w:pStyle w:val="BoxListBullet"/>
            </w:pPr>
            <w:r w:rsidRPr="00D90D9F">
              <w:rPr>
                <w:i/>
              </w:rPr>
              <w:t xml:space="preserve">State owned and managed Indigenous </w:t>
            </w:r>
            <w:r w:rsidRPr="00521CCB">
              <w:rPr>
                <w:i/>
              </w:rPr>
              <w:t>housing (SOMIH)</w:t>
            </w:r>
            <w:r w:rsidRPr="00A04F35">
              <w:t>: dwellings owned and managed by State housing authorities that are allocated only to Aboriginal and Torres Strait Islander households.</w:t>
            </w:r>
          </w:p>
          <w:p w:rsidR="00614443" w:rsidRPr="00D90D9F" w:rsidRDefault="00614443" w:rsidP="00614443">
            <w:pPr>
              <w:pStyle w:val="BoxListBullet"/>
            </w:pPr>
            <w:r w:rsidRPr="00A04F35">
              <w:rPr>
                <w:i/>
              </w:rPr>
              <w:t>Community housing</w:t>
            </w:r>
            <w:r w:rsidRPr="00A04F35">
              <w:t>: rental housing provided to low</w:t>
            </w:r>
            <w:r w:rsidR="00C9055F">
              <w:noBreakHyphen/>
            </w:r>
            <w:r w:rsidRPr="00A04F35">
              <w:t>to</w:t>
            </w:r>
            <w:r w:rsidR="00C9055F">
              <w:noBreakHyphen/>
            </w:r>
            <w:r w:rsidRPr="00A04F35">
              <w:t>moderate income and/or special needs households, managed by community</w:t>
            </w:r>
            <w:r w:rsidR="00C9055F">
              <w:noBreakHyphen/>
            </w:r>
            <w:r w:rsidRPr="00A04F35">
              <w:t>based organisations that lease properties from government or have received a capital or rec</w:t>
            </w:r>
            <w:r>
              <w:t>urrent subsidy from government (box 17.3 explains the different models of community housing)</w:t>
            </w:r>
          </w:p>
          <w:p w:rsidR="00614443" w:rsidRDefault="00614443" w:rsidP="00614443">
            <w:pPr>
              <w:pStyle w:val="BoxListBullet"/>
            </w:pPr>
            <w:r w:rsidRPr="00D90D9F">
              <w:rPr>
                <w:i/>
              </w:rPr>
              <w:t>Indigenous community housing</w:t>
            </w:r>
            <w:r>
              <w:rPr>
                <w:i/>
              </w:rPr>
              <w:t xml:space="preserve"> (</w:t>
            </w:r>
            <w:proofErr w:type="spellStart"/>
            <w:r>
              <w:rPr>
                <w:i/>
              </w:rPr>
              <w:t>ICH</w:t>
            </w:r>
            <w:proofErr w:type="spellEnd"/>
            <w:r>
              <w:rPr>
                <w:i/>
              </w:rPr>
              <w:t xml:space="preserve">): </w:t>
            </w:r>
            <w:r w:rsidRPr="009A53C0">
              <w:t xml:space="preserve">dwellings owned or leased and managed by </w:t>
            </w:r>
            <w:proofErr w:type="spellStart"/>
            <w:r w:rsidRPr="009A53C0">
              <w:t>ICH</w:t>
            </w:r>
            <w:proofErr w:type="spellEnd"/>
            <w:r w:rsidRPr="009A53C0">
              <w:t xml:space="preserve"> organisations and community councils </w:t>
            </w:r>
            <w:r w:rsidR="008040A8">
              <w:t>in all</w:t>
            </w:r>
            <w:r w:rsidRPr="009A53C0">
              <w:t xml:space="preserve"> areas. </w:t>
            </w:r>
            <w:proofErr w:type="spellStart"/>
            <w:r w:rsidRPr="009A53C0">
              <w:t>I</w:t>
            </w:r>
            <w:r>
              <w:t>CH</w:t>
            </w:r>
            <w:proofErr w:type="spellEnd"/>
            <w:r>
              <w:t xml:space="preserve"> </w:t>
            </w:r>
            <w:r w:rsidRPr="009A53C0">
              <w:t xml:space="preserve">models vary across jurisdictions and can also include dwellings funded or registered by government. </w:t>
            </w:r>
            <w:proofErr w:type="spellStart"/>
            <w:r w:rsidRPr="009A53C0">
              <w:t>ICH</w:t>
            </w:r>
            <w:proofErr w:type="spellEnd"/>
            <w:r w:rsidRPr="009A53C0">
              <w:t xml:space="preserve"> organisations include community organisations such as resource agencies and land councils.</w:t>
            </w:r>
          </w:p>
          <w:p w:rsidR="00614443" w:rsidRDefault="00614443" w:rsidP="008040A8">
            <w:pPr>
              <w:pStyle w:val="Box"/>
            </w:pPr>
            <w:r w:rsidRPr="00410EBB">
              <w:t>Crisis and transitional housing</w:t>
            </w:r>
            <w:r w:rsidRPr="00D90D9F">
              <w:t xml:space="preserve"> is an add</w:t>
            </w:r>
            <w:r>
              <w:t>itional form of social housing, and</w:t>
            </w:r>
            <w:r w:rsidRPr="00D90D9F">
              <w:t xml:space="preserve"> might be indirectly reported through the other forms of social housing described above.</w:t>
            </w:r>
            <w:r w:rsidR="00B22037" w:rsidRPr="009B72C8">
              <w:t xml:space="preserve"> </w:t>
            </w:r>
          </w:p>
        </w:tc>
      </w:tr>
      <w:tr w:rsidR="00614443" w:rsidTr="00F054D7">
        <w:trPr>
          <w:cantSplit/>
        </w:trPr>
        <w:tc>
          <w:tcPr>
            <w:tcW w:w="8771" w:type="dxa"/>
            <w:tcBorders>
              <w:top w:val="nil"/>
              <w:left w:val="nil"/>
              <w:bottom w:val="nil"/>
              <w:right w:val="nil"/>
            </w:tcBorders>
            <w:shd w:val="clear" w:color="auto" w:fill="F2F2F2"/>
          </w:tcPr>
          <w:p w:rsidR="00614443" w:rsidRDefault="00614443" w:rsidP="00F054D7">
            <w:pPr>
              <w:pStyle w:val="BoxSource"/>
            </w:pPr>
            <w:r>
              <w:rPr>
                <w:i/>
              </w:rPr>
              <w:t>Source</w:t>
            </w:r>
            <w:r w:rsidRPr="00167F06">
              <w:t xml:space="preserve">: </w:t>
            </w:r>
            <w:r>
              <w:t>Chapter 17.</w:t>
            </w:r>
          </w:p>
        </w:tc>
      </w:tr>
      <w:tr w:rsidR="00614443" w:rsidTr="00F054D7">
        <w:trPr>
          <w:cantSplit/>
        </w:trPr>
        <w:tc>
          <w:tcPr>
            <w:tcW w:w="8771" w:type="dxa"/>
            <w:tcBorders>
              <w:top w:val="nil"/>
              <w:left w:val="nil"/>
              <w:bottom w:val="single" w:sz="6" w:space="0" w:color="78A22F"/>
              <w:right w:val="nil"/>
            </w:tcBorders>
            <w:shd w:val="clear" w:color="auto" w:fill="F2F2F2"/>
          </w:tcPr>
          <w:p w:rsidR="00614443" w:rsidRDefault="00614443">
            <w:pPr>
              <w:pStyle w:val="Box"/>
              <w:spacing w:before="0" w:line="120" w:lineRule="exact"/>
            </w:pPr>
          </w:p>
        </w:tc>
      </w:tr>
      <w:tr w:rsidR="00614443" w:rsidRPr="000863A5" w:rsidTr="00F054D7">
        <w:tc>
          <w:tcPr>
            <w:tcW w:w="8771" w:type="dxa"/>
            <w:tcBorders>
              <w:top w:val="single" w:sz="6" w:space="0" w:color="78A22F"/>
              <w:left w:val="nil"/>
              <w:bottom w:val="nil"/>
              <w:right w:val="nil"/>
            </w:tcBorders>
          </w:tcPr>
          <w:p w:rsidR="00614443" w:rsidRPr="00626D32" w:rsidRDefault="00614443" w:rsidP="00F054D7">
            <w:pPr>
              <w:pStyle w:val="BoxSpaceBelow"/>
            </w:pPr>
          </w:p>
        </w:tc>
      </w:tr>
    </w:tbl>
    <w:p w:rsidR="009E61E9" w:rsidRDefault="009E61E9">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9E61E9" w:rsidTr="006E4606">
        <w:tc>
          <w:tcPr>
            <w:tcW w:w="5000" w:type="pct"/>
            <w:tcBorders>
              <w:top w:val="single" w:sz="6" w:space="0" w:color="78A22F"/>
              <w:left w:val="nil"/>
              <w:bottom w:val="nil"/>
              <w:right w:val="nil"/>
            </w:tcBorders>
            <w:shd w:val="clear" w:color="auto" w:fill="F2F2F2" w:themeFill="background1" w:themeFillShade="F2"/>
          </w:tcPr>
          <w:p w:rsidR="009E61E9" w:rsidRDefault="009E61E9" w:rsidP="00985948">
            <w:pPr>
              <w:pStyle w:val="BoxTitle"/>
            </w:pPr>
            <w:r>
              <w:rPr>
                <w:b w:val="0"/>
              </w:rPr>
              <w:t>Box G.</w:t>
            </w:r>
            <w:r w:rsidR="00561F4A">
              <w:rPr>
                <w:b w:val="0"/>
                <w:noProof/>
              </w:rPr>
              <w:t>3</w:t>
            </w:r>
            <w:r w:rsidR="00985948">
              <w:tab/>
              <w:t>Scope of homelessness services</w:t>
            </w:r>
          </w:p>
        </w:tc>
      </w:tr>
      <w:tr w:rsidR="009E61E9" w:rsidTr="006E4606">
        <w:trPr>
          <w:cantSplit/>
        </w:trPr>
        <w:tc>
          <w:tcPr>
            <w:tcW w:w="5000" w:type="pct"/>
            <w:tcBorders>
              <w:top w:val="nil"/>
              <w:left w:val="nil"/>
              <w:bottom w:val="nil"/>
              <w:right w:val="nil"/>
            </w:tcBorders>
            <w:shd w:val="clear" w:color="auto" w:fill="F2F2F2" w:themeFill="background1" w:themeFillShade="F2"/>
          </w:tcPr>
          <w:p w:rsidR="009E61E9" w:rsidRDefault="00985948" w:rsidP="008040A8">
            <w:pPr>
              <w:pStyle w:val="Box"/>
            </w:pPr>
            <w:r w:rsidRPr="00985948">
              <w:t xml:space="preserve">Data </w:t>
            </w:r>
            <w:r w:rsidR="008040A8">
              <w:t>in this</w:t>
            </w:r>
            <w:r w:rsidRPr="00985948">
              <w:t xml:space="preserve"> Report are for government funded specialist homelessness services</w:t>
            </w:r>
            <w:r w:rsidR="0074784E">
              <w:t>.</w:t>
            </w:r>
            <w:r w:rsidR="008040A8">
              <w:t xml:space="preserve"> </w:t>
            </w:r>
            <w:r w:rsidR="000E7EC6" w:rsidRPr="000E7EC6">
              <w:t>All clients of specialist homelessness services are either homeless or at risk of homelessness. ‘Homeless’ status is derived for a client based on the client’s housing circumstances at the beginning of their first support period</w:t>
            </w:r>
            <w:r w:rsidR="00947BE5">
              <w:t xml:space="preserve"> or at the beginning of the reference year. </w:t>
            </w:r>
            <w:r w:rsidR="000E7EC6" w:rsidRPr="000E7EC6">
              <w:t>Clients are considered to be homeless if they report having no shelter or</w:t>
            </w:r>
            <w:r w:rsidR="009A31AE">
              <w:t xml:space="preserve"> </w:t>
            </w:r>
            <w:r w:rsidR="009A31AE" w:rsidRPr="00BF3FDB">
              <w:t>are</w:t>
            </w:r>
            <w:r w:rsidR="000E7EC6" w:rsidRPr="000E7EC6">
              <w:t xml:space="preserve"> living in an improvised dwelling, </w:t>
            </w:r>
            <w:r w:rsidR="000F34A1" w:rsidRPr="000F34A1">
              <w:t>short</w:t>
            </w:r>
            <w:r w:rsidR="000F34A1">
              <w:t>–</w:t>
            </w:r>
            <w:r w:rsidR="000F34A1" w:rsidRPr="000F34A1">
              <w:t>term accommodation</w:t>
            </w:r>
            <w:r w:rsidR="000F34A1">
              <w:t xml:space="preserve">, or a house, townhouse or flat </w:t>
            </w:r>
            <w:r w:rsidR="000F34A1" w:rsidRPr="000F34A1">
              <w:rPr>
                <w:iCs/>
              </w:rPr>
              <w:t>where tenure type is couch surfing or with no tenure</w:t>
            </w:r>
            <w:r w:rsidR="000F34A1">
              <w:rPr>
                <w:iCs/>
              </w:rPr>
              <w:t xml:space="preserve">. </w:t>
            </w:r>
            <w:r w:rsidR="000E7EC6" w:rsidRPr="000E7EC6">
              <w:t>All other clients not meeting these criteria are considered to be at risk of homelessness (excluding clients who did not provide sufficient information to make this assessment). These criteria are aligned with the ABS statistical definition of homelessness where possibl</w:t>
            </w:r>
            <w:r w:rsidR="000E7EC6">
              <w:t>e.</w:t>
            </w:r>
          </w:p>
        </w:tc>
      </w:tr>
      <w:tr w:rsidR="009E61E9" w:rsidTr="006E4606">
        <w:trPr>
          <w:cantSplit/>
        </w:trPr>
        <w:tc>
          <w:tcPr>
            <w:tcW w:w="5000" w:type="pct"/>
            <w:tcBorders>
              <w:top w:val="nil"/>
              <w:left w:val="nil"/>
              <w:bottom w:val="nil"/>
              <w:right w:val="nil"/>
            </w:tcBorders>
            <w:shd w:val="clear" w:color="auto" w:fill="F2F2F2" w:themeFill="background1" w:themeFillShade="F2"/>
          </w:tcPr>
          <w:p w:rsidR="009E61E9" w:rsidRDefault="009E61E9" w:rsidP="00B92CA7">
            <w:pPr>
              <w:pStyle w:val="BoxSource"/>
            </w:pPr>
            <w:r>
              <w:rPr>
                <w:i/>
              </w:rPr>
              <w:t>Source</w:t>
            </w:r>
            <w:r w:rsidRPr="00167F06">
              <w:t xml:space="preserve">: </w:t>
            </w:r>
            <w:r w:rsidR="005A14B2" w:rsidRPr="005A14B2">
              <w:t>Chapter 18</w:t>
            </w:r>
            <w:r w:rsidR="005A14B2">
              <w:t>.</w:t>
            </w:r>
          </w:p>
        </w:tc>
      </w:tr>
      <w:tr w:rsidR="009E61E9" w:rsidTr="006E4606">
        <w:trPr>
          <w:cantSplit/>
        </w:trPr>
        <w:tc>
          <w:tcPr>
            <w:tcW w:w="5000" w:type="pct"/>
            <w:tcBorders>
              <w:top w:val="nil"/>
              <w:left w:val="nil"/>
              <w:bottom w:val="single" w:sz="6" w:space="0" w:color="78A22F"/>
              <w:right w:val="nil"/>
            </w:tcBorders>
            <w:shd w:val="clear" w:color="auto" w:fill="F2F2F2" w:themeFill="background1" w:themeFillShade="F2"/>
          </w:tcPr>
          <w:p w:rsidR="009E61E9" w:rsidRDefault="009E61E9">
            <w:pPr>
              <w:pStyle w:val="Box"/>
              <w:spacing w:before="0" w:line="120" w:lineRule="exact"/>
            </w:pPr>
          </w:p>
        </w:tc>
      </w:tr>
      <w:tr w:rsidR="009E61E9" w:rsidRPr="000863A5" w:rsidTr="006E4606">
        <w:tc>
          <w:tcPr>
            <w:tcW w:w="5000" w:type="pct"/>
            <w:tcBorders>
              <w:top w:val="single" w:sz="6" w:space="0" w:color="78A22F"/>
              <w:left w:val="nil"/>
              <w:bottom w:val="nil"/>
              <w:right w:val="nil"/>
            </w:tcBorders>
          </w:tcPr>
          <w:p w:rsidR="009E61E9" w:rsidRPr="00626D32" w:rsidRDefault="009E61E9" w:rsidP="00AB5A61">
            <w:pPr>
              <w:pStyle w:val="BoxSpaceBelow"/>
            </w:pPr>
          </w:p>
        </w:tc>
      </w:tr>
    </w:tbl>
    <w:p w:rsidR="00583679" w:rsidRDefault="00583679" w:rsidP="002354A5">
      <w:pPr>
        <w:pStyle w:val="Heading3"/>
      </w:pPr>
      <w:r>
        <w:t>Profile</w:t>
      </w:r>
      <w:r w:rsidR="00107A71">
        <w:t xml:space="preserve"> of the h</w:t>
      </w:r>
      <w:r w:rsidR="005D7553">
        <w:t>ousing and homelessness sector</w:t>
      </w:r>
    </w:p>
    <w:p w:rsidR="009423CF" w:rsidRDefault="009423CF" w:rsidP="00927989">
      <w:pPr>
        <w:pStyle w:val="BodyText"/>
      </w:pPr>
      <w:r>
        <w:t>Detailed profiles for the services within the housing and homelessness services sector are reported in chapters 17 and 18, and cover</w:t>
      </w:r>
      <w:r w:rsidR="008C44AD">
        <w:t xml:space="preserve"> </w:t>
      </w:r>
      <w:r>
        <w:t>size and scope of the individual service types</w:t>
      </w:r>
      <w:r w:rsidR="00927989">
        <w:t xml:space="preserve">, </w:t>
      </w:r>
      <w:r>
        <w:t xml:space="preserve">roles and responsibilities of each level of government and </w:t>
      </w:r>
      <w:r w:rsidR="0058216C">
        <w:t xml:space="preserve">for </w:t>
      </w:r>
      <w:r>
        <w:t>non</w:t>
      </w:r>
      <w:r w:rsidR="00C9055F">
        <w:noBreakHyphen/>
      </w:r>
      <w:r>
        <w:t>government organisations</w:t>
      </w:r>
      <w:r w:rsidR="0058216C">
        <w:t>, along with</w:t>
      </w:r>
      <w:r w:rsidR="00927989">
        <w:t xml:space="preserve"> </w:t>
      </w:r>
      <w:r>
        <w:t>funding and expenditure.</w:t>
      </w:r>
    </w:p>
    <w:p w:rsidR="002354A5" w:rsidRDefault="008C44AD" w:rsidP="005D7553">
      <w:pPr>
        <w:pStyle w:val="Heading4"/>
      </w:pPr>
      <w:r>
        <w:t>Funding</w:t>
      </w:r>
    </w:p>
    <w:p w:rsidR="00004158" w:rsidRPr="00040E46" w:rsidRDefault="002354A5" w:rsidP="00CE5578">
      <w:pPr>
        <w:pStyle w:val="BodyText"/>
      </w:pPr>
      <w:r>
        <w:t xml:space="preserve">Most </w:t>
      </w:r>
      <w:r w:rsidR="00EF15C8">
        <w:t xml:space="preserve">Australian Government </w:t>
      </w:r>
      <w:r>
        <w:t>funding for housing and homelessness services is provided through the NAH</w:t>
      </w:r>
      <w:r w:rsidR="00364B91">
        <w:t xml:space="preserve"> SPP</w:t>
      </w:r>
      <w:r>
        <w:t xml:space="preserve">. This funding is </w:t>
      </w:r>
      <w:r w:rsidR="00A41A90">
        <w:t xml:space="preserve">outcomes </w:t>
      </w:r>
      <w:r>
        <w:t xml:space="preserve">based rather than tied to programs, so it </w:t>
      </w:r>
      <w:r w:rsidR="00364B91">
        <w:t xml:space="preserve">is not possible to identify </w:t>
      </w:r>
      <w:r w:rsidR="00364B91" w:rsidRPr="00657D16">
        <w:t>NAH</w:t>
      </w:r>
      <w:r w:rsidR="00657D16">
        <w:t xml:space="preserve"> </w:t>
      </w:r>
      <w:proofErr w:type="spellStart"/>
      <w:r w:rsidR="00657D16">
        <w:t>SPP</w:t>
      </w:r>
      <w:proofErr w:type="spellEnd"/>
      <w:r>
        <w:t xml:space="preserve"> fund</w:t>
      </w:r>
      <w:r w:rsidR="00033B9E">
        <w:t>ing used for specific programs.</w:t>
      </w:r>
    </w:p>
    <w:p w:rsidR="00195AF7" w:rsidRDefault="00D41D85" w:rsidP="002A7554">
      <w:pPr>
        <w:pStyle w:val="BodyText"/>
        <w:rPr>
          <w:color w:val="000000"/>
        </w:rPr>
      </w:pPr>
      <w:r w:rsidRPr="00D41D85">
        <w:rPr>
          <w:color w:val="000000" w:themeColor="text1"/>
        </w:rPr>
        <w:t>The Aus</w:t>
      </w:r>
      <w:r w:rsidR="00E776C0">
        <w:rPr>
          <w:color w:val="000000" w:themeColor="text1"/>
        </w:rPr>
        <w:t>tralian Government provided $1.9</w:t>
      </w:r>
      <w:r w:rsidRPr="00D41D85">
        <w:rPr>
          <w:color w:val="000000" w:themeColor="text1"/>
        </w:rPr>
        <w:t xml:space="preserve"> billion in 2014</w:t>
      </w:r>
      <w:r w:rsidR="00080F6D">
        <w:rPr>
          <w:color w:val="000000" w:themeColor="text1"/>
        </w:rPr>
        <w:noBreakHyphen/>
      </w:r>
      <w:r w:rsidRPr="00D41D85">
        <w:rPr>
          <w:color w:val="000000" w:themeColor="text1"/>
        </w:rPr>
        <w:t>15 to State and Territory governments for housing assistance</w:t>
      </w:r>
      <w:r w:rsidR="00F72246">
        <w:rPr>
          <w:color w:val="000000" w:themeColor="text1"/>
        </w:rPr>
        <w:t xml:space="preserve"> and homelessness services</w:t>
      </w:r>
      <w:r w:rsidRPr="00D41D85">
        <w:rPr>
          <w:color w:val="000000" w:themeColor="text1"/>
        </w:rPr>
        <w:t xml:space="preserve"> through the NAH </w:t>
      </w:r>
      <w:proofErr w:type="spellStart"/>
      <w:r w:rsidRPr="00D41D85">
        <w:rPr>
          <w:color w:val="000000" w:themeColor="text1"/>
        </w:rPr>
        <w:t>SPP</w:t>
      </w:r>
      <w:proofErr w:type="spellEnd"/>
      <w:r w:rsidRPr="00D41D85">
        <w:rPr>
          <w:color w:val="000000" w:themeColor="text1"/>
        </w:rPr>
        <w:t xml:space="preserve"> and related National Partnership agreements (table GA.1).</w:t>
      </w:r>
      <w:r>
        <w:rPr>
          <w:color w:val="000000" w:themeColor="text1"/>
        </w:rPr>
        <w:t xml:space="preserve"> </w:t>
      </w:r>
      <w:r w:rsidR="002354A5" w:rsidRPr="00C31869">
        <w:rPr>
          <w:color w:val="000000" w:themeColor="text1"/>
        </w:rPr>
        <w:t xml:space="preserve">In addition, the Australian Government provided a further </w:t>
      </w:r>
      <w:r w:rsidR="002354A5" w:rsidRPr="001A715E">
        <w:t>$</w:t>
      </w:r>
      <w:r w:rsidR="001A715E" w:rsidRPr="001A715E">
        <w:t>4</w:t>
      </w:r>
      <w:r w:rsidR="00160065" w:rsidRPr="001A715E">
        <w:t>.</w:t>
      </w:r>
      <w:r w:rsidR="001A715E" w:rsidRPr="001A715E">
        <w:t>2 </w:t>
      </w:r>
      <w:r w:rsidR="00160065" w:rsidRPr="001A715E">
        <w:t>b</w:t>
      </w:r>
      <w:r w:rsidR="002354A5" w:rsidRPr="001A715E">
        <w:t>illion</w:t>
      </w:r>
      <w:r w:rsidR="002354A5" w:rsidRPr="00C31869">
        <w:rPr>
          <w:color w:val="000000" w:themeColor="text1"/>
        </w:rPr>
        <w:t xml:space="preserve"> for </w:t>
      </w:r>
      <w:r w:rsidR="00846F59" w:rsidRPr="00C31869">
        <w:rPr>
          <w:color w:val="000000" w:themeColor="text1"/>
        </w:rPr>
        <w:t xml:space="preserve">CRA </w:t>
      </w:r>
      <w:r w:rsidR="00A43E70">
        <w:rPr>
          <w:color w:val="000000" w:themeColor="text1"/>
        </w:rPr>
        <w:t>in 201</w:t>
      </w:r>
      <w:r w:rsidR="006D05D7">
        <w:rPr>
          <w:color w:val="000000" w:themeColor="text1"/>
        </w:rPr>
        <w:t>4</w:t>
      </w:r>
      <w:r w:rsidR="00080F6D">
        <w:rPr>
          <w:color w:val="000000" w:themeColor="text1"/>
        </w:rPr>
        <w:noBreakHyphen/>
      </w:r>
      <w:r w:rsidR="00A43E70">
        <w:rPr>
          <w:color w:val="000000" w:themeColor="text1"/>
        </w:rPr>
        <w:t>1</w:t>
      </w:r>
      <w:r w:rsidR="006D05D7">
        <w:rPr>
          <w:color w:val="000000" w:themeColor="text1"/>
        </w:rPr>
        <w:t>5</w:t>
      </w:r>
      <w:r w:rsidR="00997C0E">
        <w:rPr>
          <w:color w:val="000000" w:themeColor="text1"/>
        </w:rPr>
        <w:t xml:space="preserve"> </w:t>
      </w:r>
      <w:r w:rsidR="00C7017F" w:rsidRPr="00C31869">
        <w:rPr>
          <w:color w:val="000000" w:themeColor="text1"/>
        </w:rPr>
        <w:t>(table</w:t>
      </w:r>
      <w:r w:rsidR="00382006" w:rsidRPr="00C31869">
        <w:rPr>
          <w:color w:val="000000" w:themeColor="text1"/>
        </w:rPr>
        <w:t> </w:t>
      </w:r>
      <w:r w:rsidR="00C31869" w:rsidRPr="00C31869">
        <w:rPr>
          <w:color w:val="000000" w:themeColor="text1"/>
        </w:rPr>
        <w:t>GA.1</w:t>
      </w:r>
      <w:r w:rsidR="00D15E8B">
        <w:rPr>
          <w:color w:val="000000" w:themeColor="text1"/>
        </w:rPr>
        <w:t>3</w:t>
      </w:r>
      <w:r w:rsidR="002354A5" w:rsidRPr="00C31869">
        <w:rPr>
          <w:color w:val="000000" w:themeColor="text1"/>
        </w:rPr>
        <w:t>).</w:t>
      </w:r>
    </w:p>
    <w:p w:rsidR="006042EA" w:rsidRDefault="005C60EF" w:rsidP="00463099">
      <w:pPr>
        <w:pStyle w:val="BodyText"/>
      </w:pPr>
      <w:r>
        <w:t>N</w:t>
      </w:r>
      <w:r w:rsidR="00023ACE">
        <w:t>et recurrent e</w:t>
      </w:r>
      <w:r w:rsidR="009B21FF" w:rsidRPr="00D274EC">
        <w:t xml:space="preserve">xpenditure </w:t>
      </w:r>
      <w:r w:rsidR="00023ACE">
        <w:t xml:space="preserve">by </w:t>
      </w:r>
      <w:r w:rsidR="00E207AE" w:rsidRPr="00D274EC">
        <w:t>housing an</w:t>
      </w:r>
      <w:r w:rsidR="002407D9" w:rsidRPr="00D274EC">
        <w:t xml:space="preserve">d homelessness services </w:t>
      </w:r>
      <w:r>
        <w:t xml:space="preserve">for the most recent reporting year </w:t>
      </w:r>
      <w:r w:rsidR="00F72246">
        <w:rPr>
          <w:color w:val="000000" w:themeColor="text1"/>
        </w:rPr>
        <w:t xml:space="preserve">is outlined in </w:t>
      </w:r>
      <w:r w:rsidR="00F72246">
        <w:t>table</w:t>
      </w:r>
      <w:r w:rsidR="00023ACE">
        <w:t> </w:t>
      </w:r>
      <w:r w:rsidR="00F72246">
        <w:t>G.1</w:t>
      </w:r>
      <w:r w:rsidR="00E207AE" w:rsidRPr="00D274EC">
        <w:t xml:space="preserve">. </w:t>
      </w:r>
      <w:r w:rsidR="00023ACE">
        <w:t>Summary d</w:t>
      </w:r>
      <w:r w:rsidR="002354A5" w:rsidRPr="00C31869">
        <w:rPr>
          <w:color w:val="000000" w:themeColor="text1"/>
        </w:rPr>
        <w:t>ata for ea</w:t>
      </w:r>
      <w:r w:rsidR="002354A5" w:rsidRPr="00C2143C">
        <w:t>ch jurisdiction are reported in tables GA.3 and GA.4</w:t>
      </w:r>
      <w:r w:rsidR="00023ACE">
        <w:t>, with f</w:t>
      </w:r>
      <w:r w:rsidR="002354A5" w:rsidRPr="00C2143C">
        <w:t>urther information</w:t>
      </w:r>
      <w:r w:rsidR="00023ACE">
        <w:t xml:space="preserve"> </w:t>
      </w:r>
      <w:r w:rsidR="002354A5" w:rsidRPr="00C2143C">
        <w:t>presented in chapters 1</w:t>
      </w:r>
      <w:r w:rsidR="00F028B8">
        <w:t>7</w:t>
      </w:r>
      <w:r w:rsidR="002354A5" w:rsidRPr="00C2143C">
        <w:t xml:space="preserve"> and 1</w:t>
      </w:r>
      <w:r w:rsidR="00F028B8">
        <w:t>8</w:t>
      </w:r>
      <w:r w:rsidR="002354A5" w:rsidRPr="00C2143C">
        <w:t>.</w:t>
      </w:r>
    </w:p>
    <w:p w:rsidR="00F309C1" w:rsidRPr="00AF7C87" w:rsidRDefault="00F309C1" w:rsidP="00F309C1">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 xml:space="preserve">the Report. </w:t>
      </w:r>
      <w:r w:rsidR="00141BF1">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p w:rsidR="00555120" w:rsidRDefault="00555120" w:rsidP="00F309C1">
      <w:pPr>
        <w:pStyle w:val="BoxSpaceAbove"/>
        <w:spacing w:before="120"/>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555120" w:rsidTr="00C85EE8">
        <w:tc>
          <w:tcPr>
            <w:tcW w:w="5000" w:type="pct"/>
            <w:tcBorders>
              <w:top w:val="single" w:sz="6" w:space="0" w:color="78A22F" w:themeColor="accent1"/>
              <w:left w:val="nil"/>
              <w:bottom w:val="nil"/>
              <w:right w:val="nil"/>
            </w:tcBorders>
            <w:shd w:val="clear" w:color="auto" w:fill="auto"/>
          </w:tcPr>
          <w:p w:rsidR="00555120" w:rsidRPr="00323C5B" w:rsidRDefault="00555120" w:rsidP="00113685">
            <w:pPr>
              <w:pStyle w:val="TableTitle"/>
              <w:rPr>
                <w:b w:val="0"/>
                <w:position w:val="6"/>
                <w:sz w:val="18"/>
              </w:rPr>
            </w:pPr>
            <w:r>
              <w:rPr>
                <w:b w:val="0"/>
              </w:rPr>
              <w:t xml:space="preserve">Table </w:t>
            </w:r>
            <w:r w:rsidR="0068269E">
              <w:rPr>
                <w:b w:val="0"/>
              </w:rPr>
              <w:t>G.</w:t>
            </w:r>
            <w:r w:rsidR="003E73FF">
              <w:rPr>
                <w:b w:val="0"/>
                <w:noProof/>
              </w:rPr>
              <w:t>1</w:t>
            </w:r>
            <w:r>
              <w:tab/>
            </w:r>
            <w:r w:rsidR="00323C5B" w:rsidRPr="00323C5B">
              <w:t>Housing and homelessness services sector, selected descriptive statistics, Australia, 201</w:t>
            </w:r>
            <w:r w:rsidR="00205496">
              <w:t>4</w:t>
            </w:r>
            <w:r w:rsidR="00C9055F">
              <w:noBreakHyphen/>
            </w:r>
            <w:r w:rsidR="00205496">
              <w:t>15</w:t>
            </w:r>
            <w:r w:rsidR="00323C5B" w:rsidRPr="00323C5B">
              <w:rPr>
                <w:rStyle w:val="NoteLabel"/>
                <w:b/>
              </w:rPr>
              <w:t>a</w:t>
            </w:r>
          </w:p>
        </w:tc>
      </w:tr>
      <w:tr w:rsidR="00555120" w:rsidTr="00C85EE8">
        <w:trPr>
          <w:cantSplit/>
        </w:trPr>
        <w:tc>
          <w:tcPr>
            <w:tcW w:w="5000" w:type="pct"/>
            <w:tcBorders>
              <w:top w:val="nil"/>
              <w:left w:val="nil"/>
              <w:bottom w:val="nil"/>
              <w:right w:val="nil"/>
            </w:tcBorders>
            <w:shd w:val="clear" w:color="auto" w:fill="auto"/>
          </w:tcPr>
          <w:tbl>
            <w:tblPr>
              <w:tblW w:w="8505" w:type="dxa"/>
              <w:tblCellMar>
                <w:top w:w="28" w:type="dxa"/>
                <w:left w:w="0" w:type="dxa"/>
                <w:bottom w:w="28" w:type="dxa"/>
                <w:right w:w="0" w:type="dxa"/>
              </w:tblCellMar>
              <w:tblLook w:val="0000" w:firstRow="0" w:lastRow="0" w:firstColumn="0" w:lastColumn="0" w:noHBand="0" w:noVBand="0"/>
            </w:tblPr>
            <w:tblGrid>
              <w:gridCol w:w="306"/>
              <w:gridCol w:w="2955"/>
              <w:gridCol w:w="1562"/>
              <w:gridCol w:w="1180"/>
              <w:gridCol w:w="1252"/>
              <w:gridCol w:w="1250"/>
            </w:tblGrid>
            <w:tr w:rsidR="00FF60CA" w:rsidRPr="00B672BB" w:rsidTr="00597067">
              <w:tc>
                <w:tcPr>
                  <w:tcW w:w="180"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ColumnHeading"/>
                    <w:jc w:val="left"/>
                    <w:rPr>
                      <w:rFonts w:cs="Arial"/>
                      <w:color w:val="000000" w:themeColor="text1"/>
                      <w:sz w:val="20"/>
                    </w:rPr>
                  </w:pPr>
                </w:p>
              </w:tc>
              <w:tc>
                <w:tcPr>
                  <w:tcW w:w="1737"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ColumnHeading"/>
                    <w:rPr>
                      <w:rFonts w:cs="Arial"/>
                      <w:color w:val="000000" w:themeColor="text1"/>
                      <w:sz w:val="20"/>
                    </w:rPr>
                  </w:pPr>
                </w:p>
              </w:tc>
              <w:tc>
                <w:tcPr>
                  <w:tcW w:w="918" w:type="pct"/>
                  <w:tcBorders>
                    <w:top w:val="single" w:sz="4" w:space="0" w:color="BFBFBF" w:themeColor="background2"/>
                    <w:bottom w:val="single" w:sz="4" w:space="0" w:color="BFBFBF" w:themeColor="background2"/>
                  </w:tcBorders>
                  <w:shd w:val="clear" w:color="auto" w:fill="auto"/>
                </w:tcPr>
                <w:p w:rsidR="00FF60CA" w:rsidRPr="00EC35C5" w:rsidRDefault="00FF60CA" w:rsidP="00C85EE8">
                  <w:pPr>
                    <w:pStyle w:val="TableColumnHeading"/>
                    <w:spacing w:before="120"/>
                    <w:rPr>
                      <w:rStyle w:val="NoteLabel"/>
                    </w:rPr>
                  </w:pPr>
                  <w:r w:rsidRPr="00555120">
                    <w:rPr>
                      <w:rFonts w:cs="Arial"/>
                      <w:color w:val="000000" w:themeColor="text1"/>
                      <w:sz w:val="20"/>
                    </w:rPr>
                    <w:t>Net recurrent expenditure</w:t>
                  </w:r>
                  <w:r w:rsidR="00EC35C5">
                    <w:rPr>
                      <w:rStyle w:val="NoteLabel"/>
                    </w:rPr>
                    <w:t>b</w:t>
                  </w:r>
                </w:p>
              </w:tc>
              <w:tc>
                <w:tcPr>
                  <w:tcW w:w="694" w:type="pct"/>
                  <w:tcBorders>
                    <w:top w:val="single" w:sz="4" w:space="0" w:color="BFBFBF" w:themeColor="background2"/>
                    <w:bottom w:val="single" w:sz="4" w:space="0" w:color="BFBFBF" w:themeColor="background2"/>
                  </w:tcBorders>
                  <w:shd w:val="clear" w:color="auto" w:fill="auto"/>
                </w:tcPr>
                <w:p w:rsidR="00FF60CA" w:rsidRPr="00555120" w:rsidRDefault="00FF60CA" w:rsidP="00EC35C5">
                  <w:pPr>
                    <w:pStyle w:val="TableColumnHeading"/>
                    <w:rPr>
                      <w:rStyle w:val="NoteLabel"/>
                      <w:rFonts w:cs="Arial"/>
                      <w:sz w:val="20"/>
                    </w:rPr>
                  </w:pPr>
                  <w:r>
                    <w:rPr>
                      <w:rFonts w:cs="Arial"/>
                      <w:color w:val="000000" w:themeColor="text1"/>
                      <w:sz w:val="20"/>
                    </w:rPr>
                    <w:br/>
                  </w:r>
                  <w:r w:rsidRPr="00555120">
                    <w:rPr>
                      <w:rFonts w:cs="Arial"/>
                      <w:color w:val="000000" w:themeColor="text1"/>
                      <w:sz w:val="20"/>
                    </w:rPr>
                    <w:t>Dwellings</w:t>
                  </w:r>
                  <w:r w:rsidR="00EC35C5">
                    <w:rPr>
                      <w:rStyle w:val="NoteLabel"/>
                      <w:i w:val="0"/>
                    </w:rPr>
                    <w:t>c</w:t>
                  </w:r>
                </w:p>
              </w:tc>
              <w:tc>
                <w:tcPr>
                  <w:tcW w:w="736" w:type="pct"/>
                  <w:tcBorders>
                    <w:top w:val="single" w:sz="4" w:space="0" w:color="BFBFBF" w:themeColor="background2"/>
                    <w:bottom w:val="single" w:sz="4" w:space="0" w:color="BFBFBF" w:themeColor="background2"/>
                  </w:tcBorders>
                  <w:shd w:val="clear" w:color="auto" w:fill="auto"/>
                </w:tcPr>
                <w:p w:rsidR="00FF60CA" w:rsidRPr="00555120" w:rsidRDefault="00FF60CA" w:rsidP="00C85EE8">
                  <w:pPr>
                    <w:pStyle w:val="TableColumnHeading"/>
                    <w:spacing w:before="120"/>
                    <w:rPr>
                      <w:rFonts w:cs="Arial"/>
                      <w:color w:val="000000" w:themeColor="text1"/>
                      <w:sz w:val="20"/>
                    </w:rPr>
                  </w:pPr>
                  <w:r>
                    <w:rPr>
                      <w:rFonts w:cs="Arial"/>
                      <w:color w:val="000000" w:themeColor="text1"/>
                      <w:sz w:val="20"/>
                    </w:rPr>
                    <w:br/>
                  </w:r>
                  <w:r w:rsidRPr="00555120">
                    <w:rPr>
                      <w:rFonts w:cs="Arial"/>
                      <w:color w:val="000000" w:themeColor="text1"/>
                      <w:sz w:val="20"/>
                    </w:rPr>
                    <w:t>Households</w:t>
                  </w:r>
                </w:p>
              </w:tc>
              <w:tc>
                <w:tcPr>
                  <w:tcW w:w="736" w:type="pct"/>
                  <w:tcBorders>
                    <w:top w:val="single" w:sz="4" w:space="0" w:color="BFBFBF" w:themeColor="background2"/>
                    <w:bottom w:val="single" w:sz="4" w:space="0" w:color="BFBFBF" w:themeColor="background2"/>
                  </w:tcBorders>
                  <w:shd w:val="clear" w:color="auto" w:fill="auto"/>
                </w:tcPr>
                <w:p w:rsidR="00FF60CA" w:rsidRDefault="00132BD1" w:rsidP="00C85EE8">
                  <w:pPr>
                    <w:pStyle w:val="TableColumnHeading"/>
                    <w:spacing w:before="120"/>
                    <w:rPr>
                      <w:rFonts w:cs="Arial"/>
                      <w:color w:val="000000" w:themeColor="text1"/>
                      <w:sz w:val="20"/>
                    </w:rPr>
                  </w:pPr>
                  <w:r>
                    <w:rPr>
                      <w:rFonts w:cs="Arial"/>
                      <w:color w:val="000000" w:themeColor="text1"/>
                      <w:sz w:val="20"/>
                    </w:rPr>
                    <w:br/>
                  </w:r>
                  <w:r w:rsidR="00FF60CA">
                    <w:rPr>
                      <w:rFonts w:cs="Arial"/>
                      <w:color w:val="000000" w:themeColor="text1"/>
                      <w:sz w:val="20"/>
                    </w:rPr>
                    <w:t>Clients</w:t>
                  </w:r>
                </w:p>
              </w:tc>
            </w:tr>
            <w:tr w:rsidR="00FF60CA" w:rsidRPr="00030B46" w:rsidTr="00597067">
              <w:tc>
                <w:tcPr>
                  <w:tcW w:w="180" w:type="pct"/>
                  <w:tcBorders>
                    <w:top w:val="single" w:sz="4" w:space="0" w:color="BFBFBF" w:themeColor="background2"/>
                  </w:tcBorders>
                </w:tcPr>
                <w:p w:rsidR="00FF60CA" w:rsidRPr="00555120" w:rsidRDefault="00FF60CA" w:rsidP="00AB5A61">
                  <w:pPr>
                    <w:pStyle w:val="TableUnitsRow"/>
                    <w:jc w:val="left"/>
                    <w:rPr>
                      <w:rFonts w:cs="Arial"/>
                      <w:color w:val="000000" w:themeColor="text1"/>
                      <w:sz w:val="20"/>
                    </w:rPr>
                  </w:pPr>
                </w:p>
              </w:tc>
              <w:tc>
                <w:tcPr>
                  <w:tcW w:w="1737" w:type="pct"/>
                  <w:tcBorders>
                    <w:top w:val="single" w:sz="4" w:space="0" w:color="BFBFBF" w:themeColor="background2"/>
                  </w:tcBorders>
                </w:tcPr>
                <w:p w:rsidR="00FF60CA" w:rsidRPr="00555120" w:rsidRDefault="00FF60CA" w:rsidP="00AB5A61">
                  <w:pPr>
                    <w:pStyle w:val="TableUnitsRow"/>
                    <w:rPr>
                      <w:rFonts w:cs="Arial"/>
                      <w:color w:val="000000" w:themeColor="text1"/>
                      <w:sz w:val="20"/>
                    </w:rPr>
                  </w:pPr>
                </w:p>
              </w:tc>
              <w:tc>
                <w:tcPr>
                  <w:tcW w:w="918"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UnitsRow"/>
                    <w:rPr>
                      <w:rFonts w:cs="Arial"/>
                      <w:i/>
                      <w:color w:val="000000" w:themeColor="text1"/>
                      <w:sz w:val="20"/>
                    </w:rPr>
                  </w:pPr>
                  <w:r w:rsidRPr="00555120">
                    <w:rPr>
                      <w:rFonts w:cs="Arial"/>
                      <w:i/>
                      <w:color w:val="000000" w:themeColor="text1"/>
                      <w:sz w:val="20"/>
                    </w:rPr>
                    <w:t>$m</w:t>
                  </w:r>
                </w:p>
              </w:tc>
              <w:tc>
                <w:tcPr>
                  <w:tcW w:w="694"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UnitsRow"/>
                    <w:rPr>
                      <w:rFonts w:cs="Arial"/>
                      <w:i/>
                      <w:color w:val="000000" w:themeColor="text1"/>
                      <w:sz w:val="20"/>
                    </w:rPr>
                  </w:pPr>
                  <w:r>
                    <w:rPr>
                      <w:rFonts w:cs="Arial"/>
                      <w:i/>
                      <w:color w:val="000000" w:themeColor="text1"/>
                      <w:sz w:val="20"/>
                    </w:rPr>
                    <w:t>n</w:t>
                  </w:r>
                  <w:r w:rsidRPr="00555120">
                    <w:rPr>
                      <w:rFonts w:cs="Arial"/>
                      <w:i/>
                      <w:color w:val="000000" w:themeColor="text1"/>
                      <w:sz w:val="20"/>
                    </w:rPr>
                    <w:t>o.</w:t>
                  </w:r>
                </w:p>
              </w:tc>
              <w:tc>
                <w:tcPr>
                  <w:tcW w:w="736"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UnitsRow"/>
                    <w:ind w:right="28"/>
                    <w:rPr>
                      <w:rFonts w:cs="Arial"/>
                      <w:i/>
                      <w:color w:val="000000" w:themeColor="text1"/>
                      <w:sz w:val="20"/>
                    </w:rPr>
                  </w:pPr>
                  <w:r>
                    <w:rPr>
                      <w:rFonts w:cs="Arial"/>
                      <w:i/>
                      <w:color w:val="000000" w:themeColor="text1"/>
                      <w:sz w:val="20"/>
                    </w:rPr>
                    <w:t>n</w:t>
                  </w:r>
                  <w:r w:rsidRPr="00555120">
                    <w:rPr>
                      <w:rFonts w:cs="Arial"/>
                      <w:i/>
                      <w:color w:val="000000" w:themeColor="text1"/>
                      <w:sz w:val="20"/>
                    </w:rPr>
                    <w:t>o.</w:t>
                  </w:r>
                </w:p>
              </w:tc>
              <w:tc>
                <w:tcPr>
                  <w:tcW w:w="736" w:type="pct"/>
                  <w:tcBorders>
                    <w:top w:val="single" w:sz="4" w:space="0" w:color="BFBFBF" w:themeColor="background2"/>
                    <w:bottom w:val="single" w:sz="4" w:space="0" w:color="BFBFBF" w:themeColor="background2"/>
                  </w:tcBorders>
                  <w:shd w:val="clear" w:color="auto" w:fill="auto"/>
                </w:tcPr>
                <w:p w:rsidR="00FF60CA" w:rsidRDefault="00132BD1" w:rsidP="00AB5A61">
                  <w:pPr>
                    <w:pStyle w:val="TableUnitsRow"/>
                    <w:ind w:right="28"/>
                    <w:rPr>
                      <w:rFonts w:cs="Arial"/>
                      <w:i/>
                      <w:color w:val="000000" w:themeColor="text1"/>
                      <w:sz w:val="20"/>
                    </w:rPr>
                  </w:pPr>
                  <w:r>
                    <w:rPr>
                      <w:rFonts w:cs="Arial"/>
                      <w:i/>
                      <w:color w:val="000000" w:themeColor="text1"/>
                      <w:sz w:val="20"/>
                    </w:rPr>
                    <w:t>n</w:t>
                  </w:r>
                  <w:r w:rsidRPr="00555120">
                    <w:rPr>
                      <w:rFonts w:cs="Arial"/>
                      <w:i/>
                      <w:color w:val="000000" w:themeColor="text1"/>
                      <w:sz w:val="20"/>
                    </w:rPr>
                    <w:t>o</w:t>
                  </w:r>
                  <w:r>
                    <w:rPr>
                      <w:rFonts w:cs="Arial"/>
                      <w:i/>
                      <w:color w:val="000000" w:themeColor="text1"/>
                      <w:sz w:val="20"/>
                    </w:rPr>
                    <w:t xml:space="preserve">. </w:t>
                  </w:r>
                </w:p>
              </w:tc>
            </w:tr>
            <w:tr w:rsidR="00FF60CA" w:rsidRPr="00030B46" w:rsidTr="00597067">
              <w:tc>
                <w:tcPr>
                  <w:tcW w:w="1917" w:type="pct"/>
                  <w:gridSpan w:val="2"/>
                  <w:vAlign w:val="center"/>
                </w:tcPr>
                <w:p w:rsidR="00FF60CA" w:rsidRPr="00555120" w:rsidRDefault="00FF60CA" w:rsidP="00132BD1">
                  <w:pPr>
                    <w:pStyle w:val="TableBodyText"/>
                    <w:spacing w:before="60"/>
                    <w:jc w:val="left"/>
                    <w:rPr>
                      <w:rFonts w:cs="Arial"/>
                      <w:i/>
                      <w:color w:val="000000" w:themeColor="text1"/>
                      <w:sz w:val="20"/>
                    </w:rPr>
                  </w:pPr>
                  <w:r w:rsidRPr="00555120">
                    <w:rPr>
                      <w:rFonts w:cs="Arial"/>
                      <w:i/>
                      <w:color w:val="000000" w:themeColor="text1"/>
                      <w:sz w:val="20"/>
                    </w:rPr>
                    <w:t>Social housing</w:t>
                  </w:r>
                </w:p>
              </w:tc>
              <w:tc>
                <w:tcPr>
                  <w:tcW w:w="918" w:type="pct"/>
                  <w:tcBorders>
                    <w:top w:val="single" w:sz="4" w:space="0" w:color="BFBFBF" w:themeColor="background2"/>
                  </w:tcBorders>
                  <w:shd w:val="clear" w:color="auto" w:fill="auto"/>
                </w:tcPr>
                <w:p w:rsidR="00FF60CA" w:rsidRPr="00555120" w:rsidRDefault="00FF60CA" w:rsidP="00C85EE8">
                  <w:pPr>
                    <w:pStyle w:val="TableBodyText"/>
                    <w:spacing w:before="60"/>
                    <w:rPr>
                      <w:rFonts w:cs="Arial"/>
                      <w:color w:val="000000" w:themeColor="text1"/>
                      <w:sz w:val="20"/>
                    </w:rPr>
                  </w:pPr>
                </w:p>
              </w:tc>
              <w:tc>
                <w:tcPr>
                  <w:tcW w:w="694" w:type="pct"/>
                  <w:tcBorders>
                    <w:top w:val="single" w:sz="4" w:space="0" w:color="BFBFBF" w:themeColor="background2"/>
                  </w:tcBorders>
                  <w:shd w:val="clear" w:color="auto" w:fill="auto"/>
                </w:tcPr>
                <w:p w:rsidR="00FF60CA" w:rsidRPr="00555120" w:rsidRDefault="00FF60CA" w:rsidP="00C85EE8">
                  <w:pPr>
                    <w:pStyle w:val="TableBodyText"/>
                    <w:spacing w:before="60"/>
                    <w:rPr>
                      <w:rFonts w:cs="Arial"/>
                      <w:color w:val="000000" w:themeColor="text1"/>
                      <w:sz w:val="20"/>
                    </w:rPr>
                  </w:pPr>
                </w:p>
              </w:tc>
              <w:tc>
                <w:tcPr>
                  <w:tcW w:w="736" w:type="pct"/>
                  <w:tcBorders>
                    <w:top w:val="single" w:sz="4" w:space="0" w:color="BFBFBF" w:themeColor="background2"/>
                  </w:tcBorders>
                  <w:shd w:val="clear" w:color="auto" w:fill="auto"/>
                </w:tcPr>
                <w:p w:rsidR="00FF60CA" w:rsidRPr="00555120" w:rsidRDefault="00FF60CA" w:rsidP="00C85EE8">
                  <w:pPr>
                    <w:pStyle w:val="TableBodyText"/>
                    <w:spacing w:before="60"/>
                    <w:ind w:right="28"/>
                    <w:rPr>
                      <w:rFonts w:cs="Arial"/>
                      <w:color w:val="000000" w:themeColor="text1"/>
                      <w:sz w:val="20"/>
                    </w:rPr>
                  </w:pPr>
                </w:p>
              </w:tc>
              <w:tc>
                <w:tcPr>
                  <w:tcW w:w="736" w:type="pct"/>
                  <w:tcBorders>
                    <w:top w:val="single" w:sz="4" w:space="0" w:color="BFBFBF" w:themeColor="background2"/>
                  </w:tcBorders>
                  <w:shd w:val="clear" w:color="auto" w:fill="auto"/>
                </w:tcPr>
                <w:p w:rsidR="00FF60CA" w:rsidRPr="00555120" w:rsidRDefault="00FF60CA" w:rsidP="00C85EE8">
                  <w:pPr>
                    <w:pStyle w:val="TableBodyText"/>
                    <w:spacing w:before="60"/>
                    <w:ind w:right="28"/>
                    <w:rPr>
                      <w:rFonts w:cs="Arial"/>
                      <w:color w:val="000000" w:themeColor="text1"/>
                      <w:sz w:val="20"/>
                    </w:rPr>
                  </w:pPr>
                </w:p>
              </w:tc>
            </w:tr>
            <w:tr w:rsidR="00FF60CA" w:rsidRPr="00C62538" w:rsidTr="00597067">
              <w:tc>
                <w:tcPr>
                  <w:tcW w:w="180" w:type="pct"/>
                </w:tcPr>
                <w:p w:rsidR="00FF60CA" w:rsidRPr="00555120" w:rsidRDefault="00FF60CA" w:rsidP="00AB5A61">
                  <w:pPr>
                    <w:pStyle w:val="TableBodyText"/>
                    <w:jc w:val="left"/>
                    <w:rPr>
                      <w:rFonts w:cs="Arial"/>
                      <w:color w:val="000000" w:themeColor="text1"/>
                      <w:sz w:val="20"/>
                    </w:rPr>
                  </w:pPr>
                </w:p>
              </w:tc>
              <w:tc>
                <w:tcPr>
                  <w:tcW w:w="1737" w:type="pct"/>
                  <w:vAlign w:val="center"/>
                </w:tcPr>
                <w:p w:rsidR="00FF60CA" w:rsidRPr="00555120" w:rsidRDefault="00FF60CA" w:rsidP="00132BD1">
                  <w:pPr>
                    <w:pStyle w:val="TableBodyText"/>
                    <w:jc w:val="left"/>
                    <w:rPr>
                      <w:rFonts w:cs="Arial"/>
                      <w:color w:val="000000" w:themeColor="text1"/>
                      <w:sz w:val="20"/>
                    </w:rPr>
                  </w:pPr>
                  <w:r w:rsidRPr="00555120">
                    <w:rPr>
                      <w:rFonts w:cs="Arial"/>
                      <w:color w:val="000000" w:themeColor="text1"/>
                      <w:sz w:val="20"/>
                    </w:rPr>
                    <w:t>Public housing</w:t>
                  </w:r>
                </w:p>
              </w:tc>
              <w:tc>
                <w:tcPr>
                  <w:tcW w:w="918" w:type="pct"/>
                  <w:shd w:val="clear" w:color="auto" w:fill="auto"/>
                  <w:vAlign w:val="center"/>
                </w:tcPr>
                <w:p w:rsidR="00FF60CA" w:rsidRPr="00C62538" w:rsidRDefault="00FF60CA" w:rsidP="00597067">
                  <w:pPr>
                    <w:pStyle w:val="TableBodyText"/>
                    <w:rPr>
                      <w:rFonts w:cs="Arial"/>
                      <w:color w:val="000000" w:themeColor="text1"/>
                      <w:sz w:val="20"/>
                    </w:rPr>
                  </w:pPr>
                  <w:r w:rsidRPr="00250A62">
                    <w:rPr>
                      <w:rFonts w:cs="Arial"/>
                      <w:color w:val="000000" w:themeColor="text1"/>
                      <w:sz w:val="20"/>
                    </w:rPr>
                    <w:t>2</w:t>
                  </w:r>
                  <w:r w:rsidR="00597067">
                    <w:rPr>
                      <w:rFonts w:cs="Arial"/>
                      <w:color w:val="000000" w:themeColor="text1"/>
                      <w:sz w:val="20"/>
                    </w:rPr>
                    <w:t> </w:t>
                  </w:r>
                  <w:r>
                    <w:rPr>
                      <w:rFonts w:cs="Arial"/>
                      <w:color w:val="000000" w:themeColor="text1"/>
                      <w:sz w:val="20"/>
                    </w:rPr>
                    <w:t>729</w:t>
                  </w:r>
                  <w:r w:rsidRPr="00250A62">
                    <w:rPr>
                      <w:rFonts w:cs="Arial"/>
                      <w:color w:val="000000" w:themeColor="text1"/>
                      <w:sz w:val="20"/>
                    </w:rPr>
                    <w:t>.</w:t>
                  </w:r>
                  <w:r>
                    <w:rPr>
                      <w:rFonts w:cs="Arial"/>
                      <w:color w:val="000000" w:themeColor="text1"/>
                      <w:sz w:val="20"/>
                    </w:rPr>
                    <w:t>4</w:t>
                  </w:r>
                </w:p>
              </w:tc>
              <w:tc>
                <w:tcPr>
                  <w:tcW w:w="694" w:type="pct"/>
                  <w:shd w:val="clear" w:color="auto" w:fill="auto"/>
                  <w:vAlign w:val="center"/>
                </w:tcPr>
                <w:p w:rsidR="00FF60CA" w:rsidRPr="00C62538" w:rsidRDefault="00FF60CA" w:rsidP="00597067">
                  <w:pPr>
                    <w:pStyle w:val="TableBodyText"/>
                    <w:rPr>
                      <w:rFonts w:cs="Arial"/>
                      <w:color w:val="000000" w:themeColor="text1"/>
                      <w:sz w:val="20"/>
                    </w:rPr>
                  </w:pPr>
                  <w:r>
                    <w:rPr>
                      <w:rFonts w:cs="Arial"/>
                      <w:color w:val="000000" w:themeColor="text1"/>
                      <w:sz w:val="20"/>
                    </w:rPr>
                    <w:t>321</w:t>
                  </w:r>
                  <w:r w:rsidR="00597067">
                    <w:rPr>
                      <w:rFonts w:cs="Arial"/>
                      <w:color w:val="000000" w:themeColor="text1"/>
                      <w:sz w:val="20"/>
                    </w:rPr>
                    <w:t> </w:t>
                  </w:r>
                  <w:r>
                    <w:rPr>
                      <w:rFonts w:cs="Arial"/>
                      <w:color w:val="000000" w:themeColor="text1"/>
                      <w:sz w:val="20"/>
                    </w:rPr>
                    <w:t>627</w:t>
                  </w:r>
                </w:p>
              </w:tc>
              <w:tc>
                <w:tcPr>
                  <w:tcW w:w="736" w:type="pct"/>
                  <w:shd w:val="clear" w:color="auto" w:fill="auto"/>
                  <w:vAlign w:val="center"/>
                </w:tcPr>
                <w:p w:rsidR="00FF60CA" w:rsidRPr="00C62538" w:rsidRDefault="00FF60CA" w:rsidP="00597067">
                  <w:pPr>
                    <w:pStyle w:val="TableBodyText"/>
                    <w:rPr>
                      <w:rFonts w:cs="Arial"/>
                      <w:color w:val="000000" w:themeColor="text1"/>
                      <w:sz w:val="20"/>
                    </w:rPr>
                  </w:pPr>
                  <w:r>
                    <w:rPr>
                      <w:rFonts w:cs="Arial"/>
                      <w:color w:val="000000" w:themeColor="text1"/>
                      <w:sz w:val="20"/>
                    </w:rPr>
                    <w:t>314</w:t>
                  </w:r>
                  <w:r w:rsidR="00597067">
                    <w:rPr>
                      <w:rFonts w:cs="Arial"/>
                      <w:color w:val="000000" w:themeColor="text1"/>
                      <w:sz w:val="20"/>
                    </w:rPr>
                    <w:t> </w:t>
                  </w:r>
                  <w:r>
                    <w:rPr>
                      <w:rFonts w:cs="Arial"/>
                      <w:color w:val="000000" w:themeColor="text1"/>
                      <w:sz w:val="20"/>
                    </w:rPr>
                    <w:t>963</w:t>
                  </w:r>
                </w:p>
              </w:tc>
              <w:tc>
                <w:tcPr>
                  <w:tcW w:w="736" w:type="pct"/>
                  <w:shd w:val="clear" w:color="auto" w:fill="auto"/>
                  <w:vAlign w:val="center"/>
                </w:tcPr>
                <w:p w:rsidR="00FF60CA" w:rsidRDefault="00132BD1" w:rsidP="00132BD1">
                  <w:pPr>
                    <w:pStyle w:val="TableBodyText"/>
                    <w:rPr>
                      <w:rFonts w:cs="Arial"/>
                      <w:color w:val="000000" w:themeColor="text1"/>
                      <w:sz w:val="20"/>
                    </w:rPr>
                  </w:pPr>
                  <w:r>
                    <w:rPr>
                      <w:rFonts w:cs="Arial"/>
                      <w:color w:val="000000" w:themeColor="text1"/>
                      <w:sz w:val="20"/>
                    </w:rPr>
                    <w:t>..</w:t>
                  </w:r>
                </w:p>
              </w:tc>
            </w:tr>
            <w:tr w:rsidR="00FF60CA" w:rsidRPr="00C62538" w:rsidTr="00597067">
              <w:tc>
                <w:tcPr>
                  <w:tcW w:w="180" w:type="pct"/>
                </w:tcPr>
                <w:p w:rsidR="00FF60CA" w:rsidRPr="00555120" w:rsidRDefault="00FF60CA" w:rsidP="00AB5A61">
                  <w:pPr>
                    <w:pStyle w:val="TableBodyText"/>
                    <w:jc w:val="left"/>
                    <w:rPr>
                      <w:rFonts w:cs="Arial"/>
                      <w:sz w:val="20"/>
                    </w:rPr>
                  </w:pPr>
                </w:p>
              </w:tc>
              <w:tc>
                <w:tcPr>
                  <w:tcW w:w="1737" w:type="pct"/>
                  <w:shd w:val="clear" w:color="auto" w:fill="auto"/>
                  <w:vAlign w:val="center"/>
                </w:tcPr>
                <w:p w:rsidR="00FF60CA" w:rsidRPr="00555120" w:rsidRDefault="00FF60CA" w:rsidP="00132BD1">
                  <w:pPr>
                    <w:pStyle w:val="TableBodyText"/>
                    <w:jc w:val="left"/>
                    <w:rPr>
                      <w:rFonts w:cs="Arial"/>
                      <w:sz w:val="20"/>
                    </w:rPr>
                  </w:pPr>
                  <w:r w:rsidRPr="00555120">
                    <w:rPr>
                      <w:rFonts w:cs="Arial"/>
                      <w:sz w:val="20"/>
                    </w:rPr>
                    <w:t>SOMIH</w:t>
                  </w:r>
                </w:p>
              </w:tc>
              <w:tc>
                <w:tcPr>
                  <w:tcW w:w="918" w:type="pct"/>
                  <w:shd w:val="clear" w:color="auto" w:fill="auto"/>
                  <w:vAlign w:val="center"/>
                </w:tcPr>
                <w:p w:rsidR="00FF60CA" w:rsidRPr="00C62538" w:rsidRDefault="00FF60CA" w:rsidP="00132BD1">
                  <w:pPr>
                    <w:pStyle w:val="TableBodyText"/>
                    <w:rPr>
                      <w:rFonts w:cs="Arial"/>
                      <w:color w:val="000000" w:themeColor="text1"/>
                      <w:sz w:val="20"/>
                    </w:rPr>
                  </w:pPr>
                  <w:r>
                    <w:rPr>
                      <w:rFonts w:cs="Arial"/>
                      <w:color w:val="000000" w:themeColor="text1"/>
                      <w:sz w:val="20"/>
                    </w:rPr>
                    <w:t>110.4</w:t>
                  </w:r>
                </w:p>
              </w:tc>
              <w:tc>
                <w:tcPr>
                  <w:tcW w:w="694" w:type="pct"/>
                  <w:shd w:val="clear" w:color="auto" w:fill="auto"/>
                  <w:vAlign w:val="center"/>
                </w:tcPr>
                <w:p w:rsidR="00FF60CA" w:rsidRPr="00C62538" w:rsidRDefault="00FF60CA" w:rsidP="00597067">
                  <w:pPr>
                    <w:pStyle w:val="TableBodyText"/>
                    <w:rPr>
                      <w:rFonts w:cs="Arial"/>
                      <w:color w:val="000000" w:themeColor="text1"/>
                      <w:sz w:val="20"/>
                    </w:rPr>
                  </w:pPr>
                  <w:r w:rsidRPr="00C62538">
                    <w:rPr>
                      <w:rFonts w:cs="Arial"/>
                      <w:color w:val="000000" w:themeColor="text1"/>
                      <w:sz w:val="20"/>
                    </w:rPr>
                    <w:t>10</w:t>
                  </w:r>
                  <w:r w:rsidR="00597067">
                    <w:rPr>
                      <w:rFonts w:cs="Arial"/>
                      <w:color w:val="000000" w:themeColor="text1"/>
                      <w:sz w:val="20"/>
                    </w:rPr>
                    <w:t> </w:t>
                  </w:r>
                  <w:r w:rsidRPr="00C62538">
                    <w:rPr>
                      <w:rFonts w:cs="Arial"/>
                      <w:color w:val="000000" w:themeColor="text1"/>
                      <w:sz w:val="20"/>
                    </w:rPr>
                    <w:t>0</w:t>
                  </w:r>
                  <w:r>
                    <w:rPr>
                      <w:rFonts w:cs="Arial"/>
                      <w:color w:val="000000" w:themeColor="text1"/>
                      <w:sz w:val="20"/>
                    </w:rPr>
                    <w:t>35</w:t>
                  </w:r>
                </w:p>
              </w:tc>
              <w:tc>
                <w:tcPr>
                  <w:tcW w:w="736" w:type="pct"/>
                  <w:shd w:val="clear" w:color="auto" w:fill="auto"/>
                  <w:vAlign w:val="center"/>
                </w:tcPr>
                <w:p w:rsidR="00FF60CA" w:rsidRPr="00C62538" w:rsidRDefault="00FF60CA" w:rsidP="00597067">
                  <w:pPr>
                    <w:pStyle w:val="TableBodyText"/>
                    <w:rPr>
                      <w:rFonts w:cs="Arial"/>
                      <w:color w:val="000000" w:themeColor="text1"/>
                      <w:sz w:val="20"/>
                    </w:rPr>
                  </w:pPr>
                  <w:r>
                    <w:rPr>
                      <w:rFonts w:cs="Arial"/>
                      <w:color w:val="000000" w:themeColor="text1"/>
                      <w:sz w:val="20"/>
                    </w:rPr>
                    <w:t>9</w:t>
                  </w:r>
                  <w:r w:rsidR="00597067">
                    <w:rPr>
                      <w:rFonts w:cs="Arial"/>
                      <w:color w:val="000000" w:themeColor="text1"/>
                      <w:sz w:val="20"/>
                    </w:rPr>
                    <w:t> </w:t>
                  </w:r>
                  <w:r>
                    <w:rPr>
                      <w:rFonts w:cs="Arial"/>
                      <w:color w:val="000000" w:themeColor="text1"/>
                      <w:sz w:val="20"/>
                    </w:rPr>
                    <w:t>732</w:t>
                  </w:r>
                </w:p>
              </w:tc>
              <w:tc>
                <w:tcPr>
                  <w:tcW w:w="736" w:type="pct"/>
                  <w:shd w:val="clear" w:color="auto" w:fill="auto"/>
                  <w:vAlign w:val="center"/>
                </w:tcPr>
                <w:p w:rsidR="00FF60CA" w:rsidRDefault="00132BD1" w:rsidP="00132BD1">
                  <w:pPr>
                    <w:pStyle w:val="TableBodyText"/>
                    <w:rPr>
                      <w:rFonts w:cs="Arial"/>
                      <w:color w:val="000000" w:themeColor="text1"/>
                      <w:sz w:val="20"/>
                    </w:rPr>
                  </w:pPr>
                  <w:r>
                    <w:rPr>
                      <w:rFonts w:cs="Arial"/>
                      <w:color w:val="000000" w:themeColor="text1"/>
                      <w:sz w:val="20"/>
                    </w:rPr>
                    <w:t>..</w:t>
                  </w:r>
                </w:p>
              </w:tc>
            </w:tr>
            <w:tr w:rsidR="00FF60CA" w:rsidRPr="00C62538" w:rsidTr="000701D5">
              <w:tc>
                <w:tcPr>
                  <w:tcW w:w="180" w:type="pct"/>
                </w:tcPr>
                <w:p w:rsidR="00FF60CA" w:rsidRPr="00555120" w:rsidRDefault="00FF60CA" w:rsidP="00AB5A61">
                  <w:pPr>
                    <w:pStyle w:val="TableBodyText"/>
                    <w:jc w:val="left"/>
                    <w:rPr>
                      <w:rFonts w:cs="Arial"/>
                      <w:sz w:val="20"/>
                    </w:rPr>
                  </w:pPr>
                </w:p>
              </w:tc>
              <w:tc>
                <w:tcPr>
                  <w:tcW w:w="1737" w:type="pct"/>
                  <w:shd w:val="clear" w:color="auto" w:fill="auto"/>
                  <w:vAlign w:val="center"/>
                </w:tcPr>
                <w:p w:rsidR="00FF60CA" w:rsidRPr="00555120" w:rsidRDefault="00FF60CA" w:rsidP="00132BD1">
                  <w:pPr>
                    <w:pStyle w:val="TableBodyText"/>
                    <w:jc w:val="left"/>
                    <w:rPr>
                      <w:rFonts w:cs="Arial"/>
                      <w:sz w:val="20"/>
                    </w:rPr>
                  </w:pPr>
                  <w:r>
                    <w:rPr>
                      <w:rFonts w:cs="Arial"/>
                      <w:sz w:val="20"/>
                    </w:rPr>
                    <w:t>Community housing</w:t>
                  </w:r>
                </w:p>
              </w:tc>
              <w:tc>
                <w:tcPr>
                  <w:tcW w:w="918" w:type="pct"/>
                  <w:shd w:val="clear" w:color="auto" w:fill="auto"/>
                  <w:vAlign w:val="center"/>
                </w:tcPr>
                <w:p w:rsidR="00FF60CA" w:rsidRPr="00C62538" w:rsidRDefault="00FF60CA" w:rsidP="00132BD1">
                  <w:pPr>
                    <w:pStyle w:val="TableBodyText"/>
                    <w:rPr>
                      <w:rFonts w:cs="Arial"/>
                      <w:color w:val="000000" w:themeColor="text1"/>
                      <w:sz w:val="20"/>
                    </w:rPr>
                  </w:pPr>
                  <w:r>
                    <w:rPr>
                      <w:rFonts w:cs="Arial"/>
                      <w:color w:val="000000" w:themeColor="text1"/>
                      <w:sz w:val="20"/>
                    </w:rPr>
                    <w:t>616.1</w:t>
                  </w:r>
                </w:p>
              </w:tc>
              <w:tc>
                <w:tcPr>
                  <w:tcW w:w="694" w:type="pct"/>
                  <w:shd w:val="clear" w:color="auto" w:fill="auto"/>
                  <w:vAlign w:val="center"/>
                </w:tcPr>
                <w:p w:rsidR="00FF60CA" w:rsidRPr="00C62538" w:rsidRDefault="00FF60CA" w:rsidP="00132BD1">
                  <w:pPr>
                    <w:pStyle w:val="TableBodyText"/>
                    <w:rPr>
                      <w:rFonts w:cs="Arial"/>
                      <w:color w:val="000000" w:themeColor="text1"/>
                      <w:sz w:val="20"/>
                    </w:rPr>
                  </w:pPr>
                  <w:r>
                    <w:rPr>
                      <w:rFonts w:cs="Arial"/>
                      <w:color w:val="000000" w:themeColor="text1"/>
                      <w:sz w:val="20"/>
                    </w:rPr>
                    <w:t>72 105</w:t>
                  </w:r>
                </w:p>
              </w:tc>
              <w:tc>
                <w:tcPr>
                  <w:tcW w:w="736" w:type="pct"/>
                  <w:shd w:val="clear" w:color="auto" w:fill="auto"/>
                  <w:vAlign w:val="center"/>
                </w:tcPr>
                <w:p w:rsidR="00FF60CA" w:rsidRPr="00C62538" w:rsidRDefault="009F3EF3" w:rsidP="00132BD1">
                  <w:pPr>
                    <w:pStyle w:val="TableBodyText"/>
                    <w:rPr>
                      <w:rFonts w:cs="Arial"/>
                      <w:color w:val="000000" w:themeColor="text1"/>
                      <w:sz w:val="20"/>
                    </w:rPr>
                  </w:pPr>
                  <w:r>
                    <w:rPr>
                      <w:rFonts w:cs="Arial"/>
                      <w:color w:val="000000" w:themeColor="text1"/>
                      <w:sz w:val="20"/>
                    </w:rPr>
                    <w:t>69 171</w:t>
                  </w:r>
                </w:p>
              </w:tc>
              <w:tc>
                <w:tcPr>
                  <w:tcW w:w="736" w:type="pct"/>
                  <w:shd w:val="clear" w:color="auto" w:fill="auto"/>
                  <w:vAlign w:val="center"/>
                </w:tcPr>
                <w:p w:rsidR="00FF60CA" w:rsidRDefault="00132BD1" w:rsidP="00132BD1">
                  <w:pPr>
                    <w:pStyle w:val="TableBodyText"/>
                    <w:rPr>
                      <w:rFonts w:cs="Arial"/>
                      <w:color w:val="000000" w:themeColor="text1"/>
                      <w:sz w:val="20"/>
                    </w:rPr>
                  </w:pPr>
                  <w:r>
                    <w:rPr>
                      <w:rFonts w:cs="Arial"/>
                      <w:color w:val="000000" w:themeColor="text1"/>
                      <w:sz w:val="20"/>
                    </w:rPr>
                    <w:t>..</w:t>
                  </w:r>
                </w:p>
              </w:tc>
            </w:tr>
            <w:tr w:rsidR="00FF60CA" w:rsidRPr="00C62538" w:rsidTr="00597067">
              <w:tc>
                <w:tcPr>
                  <w:tcW w:w="180" w:type="pct"/>
                </w:tcPr>
                <w:p w:rsidR="00FF60CA" w:rsidRPr="00555120" w:rsidRDefault="00FF60CA" w:rsidP="00AB5A61">
                  <w:pPr>
                    <w:pStyle w:val="TableBodyText"/>
                    <w:jc w:val="left"/>
                    <w:rPr>
                      <w:rFonts w:cs="Arial"/>
                      <w:sz w:val="20"/>
                    </w:rPr>
                  </w:pPr>
                </w:p>
              </w:tc>
              <w:tc>
                <w:tcPr>
                  <w:tcW w:w="1737" w:type="pct"/>
                  <w:shd w:val="clear" w:color="auto" w:fill="auto"/>
                  <w:vAlign w:val="center"/>
                </w:tcPr>
                <w:p w:rsidR="00FF60CA" w:rsidRPr="00555120" w:rsidRDefault="000701D5" w:rsidP="000701D5">
                  <w:pPr>
                    <w:pStyle w:val="TableBodyText"/>
                    <w:jc w:val="left"/>
                    <w:rPr>
                      <w:rFonts w:cs="Arial"/>
                      <w:sz w:val="20"/>
                    </w:rPr>
                  </w:pPr>
                  <w:proofErr w:type="spellStart"/>
                  <w:r>
                    <w:rPr>
                      <w:rFonts w:cs="Arial"/>
                      <w:sz w:val="20"/>
                    </w:rPr>
                    <w:t>ICH</w:t>
                  </w:r>
                  <w:proofErr w:type="spellEnd"/>
                  <w:r w:rsidR="00FF60CA">
                    <w:rPr>
                      <w:rFonts w:cs="Arial"/>
                      <w:sz w:val="20"/>
                    </w:rPr>
                    <w:t xml:space="preserve"> (2013</w:t>
                  </w:r>
                  <w:r w:rsidR="00080F6D">
                    <w:rPr>
                      <w:rFonts w:cs="Arial"/>
                      <w:sz w:val="20"/>
                    </w:rPr>
                    <w:noBreakHyphen/>
                  </w:r>
                  <w:r w:rsidR="00FF60CA">
                    <w:rPr>
                      <w:rFonts w:cs="Arial"/>
                      <w:sz w:val="20"/>
                    </w:rPr>
                    <w:t>14)</w:t>
                  </w:r>
                </w:p>
              </w:tc>
              <w:tc>
                <w:tcPr>
                  <w:tcW w:w="918" w:type="pct"/>
                  <w:shd w:val="clear" w:color="auto" w:fill="auto"/>
                  <w:vAlign w:val="center"/>
                </w:tcPr>
                <w:p w:rsidR="00FF60CA" w:rsidRPr="00C62538" w:rsidRDefault="00FF60CA" w:rsidP="00132BD1">
                  <w:pPr>
                    <w:pStyle w:val="TableBodyText"/>
                    <w:rPr>
                      <w:rFonts w:cs="Arial"/>
                      <w:color w:val="000000" w:themeColor="text1"/>
                      <w:sz w:val="20"/>
                    </w:rPr>
                  </w:pPr>
                  <w:r>
                    <w:rPr>
                      <w:rFonts w:cs="Arial"/>
                      <w:color w:val="000000" w:themeColor="text1"/>
                      <w:sz w:val="20"/>
                    </w:rPr>
                    <w:t>109.4</w:t>
                  </w:r>
                </w:p>
              </w:tc>
              <w:tc>
                <w:tcPr>
                  <w:tcW w:w="694" w:type="pct"/>
                  <w:shd w:val="clear" w:color="auto" w:fill="auto"/>
                  <w:vAlign w:val="center"/>
                </w:tcPr>
                <w:p w:rsidR="00FF60CA" w:rsidRPr="00C62538" w:rsidRDefault="00FF60CA" w:rsidP="00597067">
                  <w:pPr>
                    <w:pStyle w:val="TableBodyText"/>
                    <w:rPr>
                      <w:rFonts w:cs="Arial"/>
                      <w:color w:val="000000" w:themeColor="text1"/>
                      <w:sz w:val="20"/>
                    </w:rPr>
                  </w:pPr>
                  <w:r>
                    <w:rPr>
                      <w:rFonts w:cs="Arial"/>
                      <w:color w:val="000000" w:themeColor="text1"/>
                      <w:sz w:val="20"/>
                    </w:rPr>
                    <w:t>15</w:t>
                  </w:r>
                  <w:r w:rsidR="00597067">
                    <w:rPr>
                      <w:rFonts w:cs="Arial"/>
                      <w:color w:val="000000" w:themeColor="text1"/>
                      <w:sz w:val="20"/>
                    </w:rPr>
                    <w:t> </w:t>
                  </w:r>
                  <w:r>
                    <w:rPr>
                      <w:rFonts w:cs="Arial"/>
                      <w:color w:val="000000" w:themeColor="text1"/>
                      <w:sz w:val="20"/>
                    </w:rPr>
                    <w:t>545</w:t>
                  </w:r>
                </w:p>
              </w:tc>
              <w:tc>
                <w:tcPr>
                  <w:tcW w:w="736" w:type="pct"/>
                  <w:shd w:val="clear" w:color="auto" w:fill="auto"/>
                  <w:vAlign w:val="center"/>
                </w:tcPr>
                <w:p w:rsidR="00FF60CA" w:rsidRPr="00FF60CA" w:rsidRDefault="00FF60CA" w:rsidP="00597067">
                  <w:pPr>
                    <w:pStyle w:val="TableBodyText"/>
                    <w:rPr>
                      <w:rFonts w:cs="Arial"/>
                      <w:color w:val="000000" w:themeColor="text1"/>
                      <w:sz w:val="20"/>
                    </w:rPr>
                  </w:pPr>
                  <w:r w:rsidRPr="00FF60CA">
                    <w:rPr>
                      <w:rFonts w:cs="Arial"/>
                      <w:color w:val="000000" w:themeColor="text1"/>
                      <w:sz w:val="20"/>
                    </w:rPr>
                    <w:t>12</w:t>
                  </w:r>
                  <w:r w:rsidR="00597067">
                    <w:rPr>
                      <w:rFonts w:cs="Arial"/>
                      <w:color w:val="000000" w:themeColor="text1"/>
                      <w:sz w:val="20"/>
                    </w:rPr>
                    <w:t> </w:t>
                  </w:r>
                  <w:r w:rsidRPr="00FF60CA">
                    <w:rPr>
                      <w:rFonts w:cs="Arial"/>
                      <w:color w:val="000000" w:themeColor="text1"/>
                      <w:sz w:val="20"/>
                    </w:rPr>
                    <w:t>775</w:t>
                  </w:r>
                </w:p>
              </w:tc>
              <w:tc>
                <w:tcPr>
                  <w:tcW w:w="736" w:type="pct"/>
                  <w:shd w:val="clear" w:color="auto" w:fill="auto"/>
                  <w:vAlign w:val="center"/>
                </w:tcPr>
                <w:p w:rsidR="00FF60CA" w:rsidRPr="00FF60CA" w:rsidRDefault="00132BD1" w:rsidP="00132BD1">
                  <w:pPr>
                    <w:pStyle w:val="TableBodyText"/>
                    <w:rPr>
                      <w:rFonts w:cs="Arial"/>
                      <w:color w:val="000000" w:themeColor="text1"/>
                      <w:sz w:val="20"/>
                    </w:rPr>
                  </w:pPr>
                  <w:r>
                    <w:rPr>
                      <w:rFonts w:cs="Arial"/>
                      <w:color w:val="000000" w:themeColor="text1"/>
                      <w:sz w:val="20"/>
                    </w:rPr>
                    <w:t>..</w:t>
                  </w:r>
                </w:p>
              </w:tc>
            </w:tr>
            <w:tr w:rsidR="00FF60CA" w:rsidRPr="00C02405" w:rsidTr="00597067">
              <w:tc>
                <w:tcPr>
                  <w:tcW w:w="180" w:type="pct"/>
                </w:tcPr>
                <w:p w:rsidR="00FF60CA" w:rsidRPr="00C02405" w:rsidRDefault="00FF60CA" w:rsidP="00C02405">
                  <w:pPr>
                    <w:pStyle w:val="TableBodyText"/>
                    <w:spacing w:after="0" w:line="120" w:lineRule="atLeast"/>
                    <w:jc w:val="left"/>
                    <w:rPr>
                      <w:rFonts w:cs="Arial"/>
                      <w:sz w:val="12"/>
                    </w:rPr>
                  </w:pPr>
                </w:p>
              </w:tc>
              <w:tc>
                <w:tcPr>
                  <w:tcW w:w="1737" w:type="pct"/>
                  <w:shd w:val="clear" w:color="auto" w:fill="auto"/>
                </w:tcPr>
                <w:p w:rsidR="00FF60CA" w:rsidRPr="00C02405" w:rsidRDefault="00FF60CA" w:rsidP="00C02405">
                  <w:pPr>
                    <w:pStyle w:val="TableBodyText"/>
                    <w:spacing w:after="0" w:line="120" w:lineRule="atLeast"/>
                    <w:rPr>
                      <w:rFonts w:cs="Arial"/>
                      <w:color w:val="000000" w:themeColor="text1"/>
                      <w:sz w:val="12"/>
                    </w:rPr>
                  </w:pPr>
                </w:p>
              </w:tc>
              <w:tc>
                <w:tcPr>
                  <w:tcW w:w="918" w:type="pct"/>
                  <w:shd w:val="clear" w:color="auto" w:fill="auto"/>
                </w:tcPr>
                <w:p w:rsidR="00FF60CA" w:rsidRPr="00C02405" w:rsidRDefault="00FF60CA" w:rsidP="00C02405">
                  <w:pPr>
                    <w:pStyle w:val="TableBodyText"/>
                    <w:spacing w:after="0" w:line="120" w:lineRule="atLeast"/>
                    <w:rPr>
                      <w:rFonts w:cs="Arial"/>
                      <w:i/>
                      <w:color w:val="000000" w:themeColor="text1"/>
                      <w:sz w:val="12"/>
                    </w:rPr>
                  </w:pPr>
                </w:p>
              </w:tc>
              <w:tc>
                <w:tcPr>
                  <w:tcW w:w="694" w:type="pct"/>
                  <w:shd w:val="clear" w:color="auto" w:fill="auto"/>
                </w:tcPr>
                <w:p w:rsidR="00FF60CA" w:rsidRPr="00C02405" w:rsidRDefault="00FF60CA" w:rsidP="00C02405">
                  <w:pPr>
                    <w:pStyle w:val="TableBodyText"/>
                    <w:spacing w:after="0" w:line="120" w:lineRule="atLeast"/>
                    <w:rPr>
                      <w:rFonts w:cs="Arial"/>
                      <w:i/>
                      <w:color w:val="000000" w:themeColor="text1"/>
                      <w:sz w:val="12"/>
                    </w:rPr>
                  </w:pPr>
                </w:p>
              </w:tc>
              <w:tc>
                <w:tcPr>
                  <w:tcW w:w="736" w:type="pct"/>
                  <w:shd w:val="clear" w:color="auto" w:fill="auto"/>
                </w:tcPr>
                <w:p w:rsidR="00FF60CA" w:rsidRPr="00C02405" w:rsidRDefault="00FF60CA" w:rsidP="00C02405">
                  <w:pPr>
                    <w:pStyle w:val="TableBodyText"/>
                    <w:spacing w:after="0" w:line="120" w:lineRule="atLeast"/>
                    <w:rPr>
                      <w:rFonts w:cs="Arial"/>
                      <w:i/>
                      <w:color w:val="000000" w:themeColor="text1"/>
                      <w:sz w:val="12"/>
                    </w:rPr>
                  </w:pPr>
                </w:p>
              </w:tc>
              <w:tc>
                <w:tcPr>
                  <w:tcW w:w="736" w:type="pct"/>
                </w:tcPr>
                <w:p w:rsidR="00FF60CA" w:rsidRPr="00C02405" w:rsidRDefault="00FF60CA" w:rsidP="00C02405">
                  <w:pPr>
                    <w:pStyle w:val="TableBodyText"/>
                    <w:spacing w:after="0" w:line="120" w:lineRule="atLeast"/>
                    <w:rPr>
                      <w:rFonts w:cs="Arial"/>
                      <w:i/>
                      <w:color w:val="000000" w:themeColor="text1"/>
                      <w:sz w:val="12"/>
                    </w:rPr>
                  </w:pPr>
                </w:p>
              </w:tc>
            </w:tr>
            <w:tr w:rsidR="00FF60CA" w:rsidRPr="00C62538" w:rsidTr="009F3EF3">
              <w:tc>
                <w:tcPr>
                  <w:tcW w:w="1917" w:type="pct"/>
                  <w:gridSpan w:val="2"/>
                  <w:tcBorders>
                    <w:bottom w:val="single" w:sz="4" w:space="0" w:color="D9D9D9" w:themeColor="background1" w:themeShade="D9"/>
                  </w:tcBorders>
                  <w:vAlign w:val="center"/>
                </w:tcPr>
                <w:p w:rsidR="00FF60CA" w:rsidRPr="00555120" w:rsidRDefault="00FF60CA" w:rsidP="00132BD1">
                  <w:pPr>
                    <w:pStyle w:val="TableBodyText"/>
                    <w:jc w:val="left"/>
                    <w:rPr>
                      <w:rFonts w:cs="Arial"/>
                      <w:i/>
                      <w:sz w:val="20"/>
                    </w:rPr>
                  </w:pPr>
                  <w:r w:rsidRPr="00555120">
                    <w:rPr>
                      <w:rFonts w:cs="Arial"/>
                      <w:i/>
                      <w:sz w:val="20"/>
                    </w:rPr>
                    <w:t>Homelessness services</w:t>
                  </w:r>
                </w:p>
              </w:tc>
              <w:tc>
                <w:tcPr>
                  <w:tcW w:w="918" w:type="pct"/>
                  <w:tcBorders>
                    <w:bottom w:val="single" w:sz="4" w:space="0" w:color="D9D9D9" w:themeColor="background1" w:themeShade="D9"/>
                  </w:tcBorders>
                  <w:shd w:val="clear" w:color="auto" w:fill="auto"/>
                  <w:vAlign w:val="center"/>
                </w:tcPr>
                <w:p w:rsidR="00FF60CA" w:rsidRPr="009B7CC7" w:rsidRDefault="00463099" w:rsidP="00132BD1">
                  <w:pPr>
                    <w:pStyle w:val="TableBodyText"/>
                    <w:rPr>
                      <w:rFonts w:cs="Arial"/>
                      <w:color w:val="000000" w:themeColor="text1"/>
                      <w:sz w:val="20"/>
                    </w:rPr>
                  </w:pPr>
                  <w:r>
                    <w:rPr>
                      <w:rFonts w:cs="Arial"/>
                      <w:color w:val="000000" w:themeColor="text1"/>
                      <w:sz w:val="20"/>
                    </w:rPr>
                    <w:t>707.2</w:t>
                  </w:r>
                </w:p>
              </w:tc>
              <w:tc>
                <w:tcPr>
                  <w:tcW w:w="694" w:type="pct"/>
                  <w:tcBorders>
                    <w:bottom w:val="single" w:sz="4" w:space="0" w:color="D9D9D9" w:themeColor="background1" w:themeShade="D9"/>
                  </w:tcBorders>
                  <w:shd w:val="clear" w:color="auto" w:fill="auto"/>
                  <w:vAlign w:val="center"/>
                </w:tcPr>
                <w:p w:rsidR="00FF60CA" w:rsidRPr="00C62538" w:rsidRDefault="00132BD1" w:rsidP="00132BD1">
                  <w:pPr>
                    <w:pStyle w:val="TableBodyText"/>
                    <w:rPr>
                      <w:rFonts w:cs="Arial"/>
                      <w:color w:val="000000" w:themeColor="text1"/>
                      <w:sz w:val="20"/>
                    </w:rPr>
                  </w:pPr>
                  <w:r>
                    <w:rPr>
                      <w:rFonts w:cs="Arial"/>
                      <w:color w:val="000000" w:themeColor="text1"/>
                      <w:sz w:val="20"/>
                    </w:rPr>
                    <w:t>..</w:t>
                  </w:r>
                </w:p>
              </w:tc>
              <w:tc>
                <w:tcPr>
                  <w:tcW w:w="736" w:type="pct"/>
                  <w:tcBorders>
                    <w:bottom w:val="single" w:sz="4" w:space="0" w:color="D9D9D9" w:themeColor="background1" w:themeShade="D9"/>
                  </w:tcBorders>
                  <w:shd w:val="clear" w:color="auto" w:fill="auto"/>
                  <w:vAlign w:val="center"/>
                </w:tcPr>
                <w:p w:rsidR="00FF60CA" w:rsidRPr="00C62538" w:rsidRDefault="00FF60CA" w:rsidP="00132BD1">
                  <w:pPr>
                    <w:pStyle w:val="TableBodyText"/>
                    <w:rPr>
                      <w:rFonts w:cs="Arial"/>
                      <w:color w:val="000000" w:themeColor="text1"/>
                      <w:sz w:val="20"/>
                    </w:rPr>
                  </w:pPr>
                  <w:r>
                    <w:rPr>
                      <w:rFonts w:cs="Arial"/>
                      <w:color w:val="000000" w:themeColor="text1"/>
                      <w:sz w:val="20"/>
                    </w:rPr>
                    <w:t>..</w:t>
                  </w:r>
                </w:p>
              </w:tc>
              <w:tc>
                <w:tcPr>
                  <w:tcW w:w="736" w:type="pct"/>
                  <w:tcBorders>
                    <w:bottom w:val="single" w:sz="4" w:space="0" w:color="D9D9D9" w:themeColor="background1" w:themeShade="D9"/>
                  </w:tcBorders>
                  <w:vAlign w:val="center"/>
                </w:tcPr>
                <w:p w:rsidR="00FF60CA" w:rsidRDefault="00132BD1" w:rsidP="00132BD1">
                  <w:pPr>
                    <w:pStyle w:val="TableBodyText"/>
                    <w:rPr>
                      <w:rFonts w:cs="Arial"/>
                      <w:color w:val="000000" w:themeColor="text1"/>
                      <w:sz w:val="20"/>
                    </w:rPr>
                  </w:pPr>
                  <w:r>
                    <w:rPr>
                      <w:rFonts w:cs="Arial"/>
                      <w:color w:val="000000" w:themeColor="text1"/>
                      <w:sz w:val="20"/>
                    </w:rPr>
                    <w:t>255 657</w:t>
                  </w:r>
                </w:p>
              </w:tc>
            </w:tr>
          </w:tbl>
          <w:p w:rsidR="00555120" w:rsidRDefault="00555120" w:rsidP="00AB5A61">
            <w:pPr>
              <w:pStyle w:val="Box"/>
            </w:pPr>
          </w:p>
        </w:tc>
      </w:tr>
      <w:tr w:rsidR="00555120" w:rsidTr="00C85EE8">
        <w:trPr>
          <w:cantSplit/>
        </w:trPr>
        <w:tc>
          <w:tcPr>
            <w:tcW w:w="5000" w:type="pct"/>
            <w:tcBorders>
              <w:top w:val="nil"/>
              <w:left w:val="nil"/>
              <w:bottom w:val="nil"/>
              <w:right w:val="nil"/>
            </w:tcBorders>
            <w:shd w:val="clear" w:color="auto" w:fill="auto"/>
          </w:tcPr>
          <w:p w:rsidR="00555120" w:rsidRPr="00C85EE8" w:rsidRDefault="00555120" w:rsidP="00E70B6A">
            <w:pPr>
              <w:pStyle w:val="Note"/>
            </w:pPr>
            <w:r w:rsidRPr="008E77FE">
              <w:rPr>
                <w:rStyle w:val="NoteLabel"/>
              </w:rPr>
              <w:t>a</w:t>
            </w:r>
            <w:r w:rsidR="00BF3FDB">
              <w:rPr>
                <w:rStyle w:val="NoteLabel"/>
              </w:rPr>
              <w:t> </w:t>
            </w:r>
            <w:r w:rsidR="00520974">
              <w:t>See table GA.</w:t>
            </w:r>
            <w:r w:rsidR="00472FA1">
              <w:t>2</w:t>
            </w:r>
            <w:r w:rsidR="00520974">
              <w:t xml:space="preserve"> for detailed caveats</w:t>
            </w:r>
            <w:r w:rsidR="00C02405" w:rsidRPr="00C85EE8">
              <w:t>.</w:t>
            </w:r>
            <w:r w:rsidR="00C02405">
              <w:t xml:space="preserve"> </w:t>
            </w:r>
            <w:r w:rsidR="00C02405" w:rsidRPr="000B7C25">
              <w:rPr>
                <w:rStyle w:val="NoteLabel"/>
              </w:rPr>
              <w:t>b</w:t>
            </w:r>
            <w:r w:rsidR="00C02405">
              <w:rPr>
                <w:rStyle w:val="NoteLabel"/>
              </w:rPr>
              <w:t> </w:t>
            </w:r>
            <w:r w:rsidR="00C02405">
              <w:t xml:space="preserve">Net recurrent expenditure is for 2013-14 for Community housing and </w:t>
            </w:r>
            <w:proofErr w:type="spellStart"/>
            <w:r w:rsidR="00C02405">
              <w:t>ICH</w:t>
            </w:r>
            <w:proofErr w:type="spellEnd"/>
            <w:r w:rsidR="00C02405">
              <w:t xml:space="preserve">. </w:t>
            </w:r>
            <w:r w:rsidR="00C02405">
              <w:rPr>
                <w:rStyle w:val="NoteLabel"/>
              </w:rPr>
              <w:t>c </w:t>
            </w:r>
            <w:r w:rsidR="00C02405">
              <w:t xml:space="preserve">For Community housing dwelling is </w:t>
            </w:r>
            <w:r w:rsidR="00520974">
              <w:t xml:space="preserve">total tenancy rental units </w:t>
            </w:r>
            <w:r w:rsidR="00C02405">
              <w:t xml:space="preserve">at 30 June 2015. </w:t>
            </w:r>
            <w:r w:rsidR="00E70B6A">
              <w:t>F</w:t>
            </w:r>
            <w:r w:rsidR="00520974">
              <w:t xml:space="preserve">or </w:t>
            </w:r>
            <w:proofErr w:type="spellStart"/>
            <w:r w:rsidR="00E70B6A">
              <w:t>ICH</w:t>
            </w:r>
            <w:proofErr w:type="spellEnd"/>
            <w:r w:rsidR="00520974">
              <w:t xml:space="preserve">, </w:t>
            </w:r>
            <w:r w:rsidR="00E70B6A">
              <w:t xml:space="preserve">dwelling is </w:t>
            </w:r>
            <w:r w:rsidR="00520974">
              <w:t xml:space="preserve">number of permanent dwellings as </w:t>
            </w:r>
            <w:r w:rsidR="00205496">
              <w:t>at 30 June 2014</w:t>
            </w:r>
            <w:r w:rsidR="00D02569" w:rsidRPr="00C85EE8">
              <w:t>.</w:t>
            </w:r>
            <w:r w:rsidR="000701D5">
              <w:t xml:space="preserve"> </w:t>
            </w:r>
            <w:r w:rsidR="004C7C4A" w:rsidRPr="00C85EE8">
              <w:t xml:space="preserve">.. </w:t>
            </w:r>
            <w:r w:rsidR="00D02569" w:rsidRPr="00C85EE8">
              <w:t>Not applicable.</w:t>
            </w:r>
          </w:p>
        </w:tc>
      </w:tr>
      <w:tr w:rsidR="00555120" w:rsidTr="00C85EE8">
        <w:trPr>
          <w:cantSplit/>
        </w:trPr>
        <w:tc>
          <w:tcPr>
            <w:tcW w:w="5000" w:type="pct"/>
            <w:tcBorders>
              <w:top w:val="nil"/>
              <w:left w:val="nil"/>
              <w:bottom w:val="nil"/>
              <w:right w:val="nil"/>
            </w:tcBorders>
            <w:shd w:val="clear" w:color="auto" w:fill="auto"/>
          </w:tcPr>
          <w:p w:rsidR="00555120" w:rsidRDefault="00555120" w:rsidP="00BF3FDB">
            <w:pPr>
              <w:pStyle w:val="Source"/>
            </w:pPr>
            <w:r>
              <w:rPr>
                <w:i/>
              </w:rPr>
              <w:t>Source</w:t>
            </w:r>
            <w:r w:rsidRPr="00167F06">
              <w:t xml:space="preserve">: </w:t>
            </w:r>
            <w:r w:rsidRPr="00555120">
              <w:t>Chapters 17 and 18;</w:t>
            </w:r>
            <w:r w:rsidR="00FF60CA">
              <w:t xml:space="preserve"> </w:t>
            </w:r>
            <w:r w:rsidR="00FF60CA" w:rsidRPr="00472FA1">
              <w:t>table GA.</w:t>
            </w:r>
            <w:r w:rsidR="00472FA1" w:rsidRPr="00472FA1">
              <w:t>2</w:t>
            </w:r>
            <w:r w:rsidR="00FF60CA">
              <w:t>.</w:t>
            </w:r>
          </w:p>
        </w:tc>
      </w:tr>
      <w:tr w:rsidR="00555120" w:rsidTr="00C85EE8">
        <w:trPr>
          <w:cantSplit/>
        </w:trPr>
        <w:tc>
          <w:tcPr>
            <w:tcW w:w="5000" w:type="pct"/>
            <w:tcBorders>
              <w:top w:val="nil"/>
              <w:left w:val="nil"/>
              <w:bottom w:val="single" w:sz="6" w:space="0" w:color="78A22F" w:themeColor="accent1"/>
              <w:right w:val="nil"/>
            </w:tcBorders>
            <w:shd w:val="clear" w:color="auto" w:fill="auto"/>
          </w:tcPr>
          <w:p w:rsidR="00555120" w:rsidRDefault="00555120" w:rsidP="00AB5A61">
            <w:pPr>
              <w:pStyle w:val="Box"/>
              <w:spacing w:before="0" w:line="120" w:lineRule="exact"/>
            </w:pPr>
          </w:p>
        </w:tc>
      </w:tr>
      <w:tr w:rsidR="00555120" w:rsidRPr="000863A5" w:rsidTr="00C85EE8">
        <w:tc>
          <w:tcPr>
            <w:tcW w:w="5000" w:type="pct"/>
            <w:tcBorders>
              <w:top w:val="single" w:sz="6" w:space="0" w:color="78A22F" w:themeColor="accent1"/>
              <w:left w:val="nil"/>
              <w:bottom w:val="nil"/>
              <w:right w:val="nil"/>
            </w:tcBorders>
          </w:tcPr>
          <w:p w:rsidR="00555120" w:rsidRPr="00626D32" w:rsidRDefault="00555120" w:rsidP="00AB5A61">
            <w:pPr>
              <w:pStyle w:val="BoxSpaceBelow"/>
            </w:pPr>
          </w:p>
        </w:tc>
      </w:tr>
    </w:tbl>
    <w:p w:rsidR="00AE64CE" w:rsidRPr="00DE33B0" w:rsidRDefault="00AE64CE" w:rsidP="00F309C1">
      <w:pPr>
        <w:pStyle w:val="Heading4"/>
        <w:spacing w:before="240"/>
      </w:pPr>
      <w:r w:rsidRPr="00DE33B0">
        <w:t>Commonwealth Rent Assistance</w:t>
      </w:r>
      <w:r w:rsidR="00A93686">
        <w:t xml:space="preserve"> </w:t>
      </w:r>
    </w:p>
    <w:p w:rsidR="00872329" w:rsidRDefault="00E22F73" w:rsidP="00F309C1">
      <w:pPr>
        <w:pStyle w:val="BodyText"/>
      </w:pPr>
      <w:r>
        <w:t>CRA</w:t>
      </w:r>
      <w:r w:rsidR="000701D5">
        <w:t xml:space="preserve"> </w:t>
      </w:r>
      <w:r w:rsidR="0020330F">
        <w:t xml:space="preserve">helps </w:t>
      </w:r>
      <w:r w:rsidR="002A226C">
        <w:t>eligible people</w:t>
      </w:r>
      <w:r w:rsidR="0020330F">
        <w:t xml:space="preserve"> meet the cost of</w:t>
      </w:r>
      <w:r w:rsidR="00F72246">
        <w:t xml:space="preserve"> rental</w:t>
      </w:r>
      <w:r w:rsidR="0020330F">
        <w:t xml:space="preserve"> housing</w:t>
      </w:r>
      <w:r w:rsidR="00F72246">
        <w:t xml:space="preserve"> in the private market</w:t>
      </w:r>
      <w:r w:rsidR="0020330F">
        <w:t xml:space="preserve">. It </w:t>
      </w:r>
      <w:r w:rsidR="0039690B" w:rsidRPr="0039690B">
        <w:t>is an Australian Government non</w:t>
      </w:r>
      <w:r w:rsidR="00C9055F">
        <w:noBreakHyphen/>
      </w:r>
      <w:r w:rsidR="0039690B" w:rsidRPr="0039690B">
        <w:t>taxable income supplement, paid to income support recipients or people who receive more than the base rate of</w:t>
      </w:r>
      <w:r w:rsidR="00F72246">
        <w:t xml:space="preserve"> the Family Tax Benefit Part A</w:t>
      </w:r>
      <w:r w:rsidR="0020330F">
        <w:rPr>
          <w:rStyle w:val="FootnoteReference"/>
        </w:rPr>
        <w:footnoteReference w:id="1"/>
      </w:r>
      <w:r w:rsidR="00B27684">
        <w:t>.</w:t>
      </w:r>
    </w:p>
    <w:p w:rsidR="0039690B" w:rsidRPr="0039690B" w:rsidRDefault="0039690B" w:rsidP="00F309C1">
      <w:pPr>
        <w:pStyle w:val="BodyText"/>
        <w:spacing w:before="180"/>
      </w:pPr>
      <w:r w:rsidRPr="0039690B">
        <w:t>Australian Government expenditure on CRA was</w:t>
      </w:r>
      <w:r w:rsidRPr="001A715E">
        <w:t xml:space="preserve"> $</w:t>
      </w:r>
      <w:r w:rsidR="001A715E" w:rsidRPr="001A715E">
        <w:t>4</w:t>
      </w:r>
      <w:r w:rsidR="00445D02" w:rsidRPr="001A715E">
        <w:t>.</w:t>
      </w:r>
      <w:r w:rsidR="001A715E" w:rsidRPr="001A715E">
        <w:t>2 </w:t>
      </w:r>
      <w:r w:rsidR="007A6287" w:rsidRPr="001A715E">
        <w:t xml:space="preserve">billion </w:t>
      </w:r>
      <w:r w:rsidR="007A6287">
        <w:t>in 201</w:t>
      </w:r>
      <w:r w:rsidR="00A41A90">
        <w:t>4</w:t>
      </w:r>
      <w:r w:rsidR="00080F6D">
        <w:noBreakHyphen/>
      </w:r>
      <w:r w:rsidRPr="0039690B">
        <w:t>1</w:t>
      </w:r>
      <w:r w:rsidR="00A41A90">
        <w:t>5</w:t>
      </w:r>
      <w:r w:rsidRPr="0039690B">
        <w:t xml:space="preserve">, increasing from </w:t>
      </w:r>
      <w:r w:rsidRPr="001A715E">
        <w:t>$</w:t>
      </w:r>
      <w:r w:rsidR="00E776C0">
        <w:t>3.</w:t>
      </w:r>
      <w:r w:rsidR="00EE4C8C">
        <w:t>3</w:t>
      </w:r>
      <w:r w:rsidR="00445D02" w:rsidRPr="001A715E">
        <w:t xml:space="preserve"> </w:t>
      </w:r>
      <w:r w:rsidR="00A41A90" w:rsidRPr="001A715E">
        <w:t>billion</w:t>
      </w:r>
      <w:r w:rsidR="00A41A90">
        <w:t xml:space="preserve"> in 2010</w:t>
      </w:r>
      <w:r w:rsidR="00080F6D">
        <w:noBreakHyphen/>
      </w:r>
      <w:r w:rsidR="00A41A90">
        <w:t>11</w:t>
      </w:r>
      <w:r w:rsidRPr="0039690B">
        <w:t xml:space="preserve"> (in real terms) (table </w:t>
      </w:r>
      <w:r w:rsidR="007A6287">
        <w:t>GA.</w:t>
      </w:r>
      <w:r w:rsidR="007A6287" w:rsidRPr="00010DF3">
        <w:t>1</w:t>
      </w:r>
      <w:r w:rsidR="00D15E8B">
        <w:t>3</w:t>
      </w:r>
      <w:r w:rsidRPr="0039690B">
        <w:t>). The average government expenditure per income unit</w:t>
      </w:r>
      <w:r w:rsidR="00765538">
        <w:rPr>
          <w:rStyle w:val="FootnoteReference"/>
        </w:rPr>
        <w:footnoteReference w:id="2"/>
      </w:r>
      <w:r w:rsidRPr="0039690B">
        <w:t xml:space="preserve"> receiving CRA was </w:t>
      </w:r>
      <w:r w:rsidRPr="001A715E">
        <w:t>$</w:t>
      </w:r>
      <w:r w:rsidR="001A715E" w:rsidRPr="001A715E">
        <w:t>3127</w:t>
      </w:r>
      <w:r w:rsidR="00445D02">
        <w:t xml:space="preserve"> i</w:t>
      </w:r>
      <w:r w:rsidRPr="0039690B">
        <w:t>n 201</w:t>
      </w:r>
      <w:r w:rsidR="00A41A90">
        <w:t>4</w:t>
      </w:r>
      <w:r w:rsidR="00080F6D">
        <w:noBreakHyphen/>
      </w:r>
      <w:r w:rsidRPr="0039690B">
        <w:t>1</w:t>
      </w:r>
      <w:r w:rsidR="00A41A90">
        <w:t>5</w:t>
      </w:r>
      <w:r w:rsidRPr="0039690B">
        <w:t xml:space="preserve"> (table </w:t>
      </w:r>
      <w:r w:rsidR="007A6287">
        <w:t>GA</w:t>
      </w:r>
      <w:r w:rsidRPr="0039690B">
        <w:t>.</w:t>
      </w:r>
      <w:r w:rsidR="007A6287" w:rsidRPr="00010DF3">
        <w:t>1</w:t>
      </w:r>
      <w:r w:rsidR="00D15E8B">
        <w:t>4</w:t>
      </w:r>
      <w:r w:rsidR="007A6287">
        <w:t>)</w:t>
      </w:r>
      <w:r w:rsidRPr="0039690B">
        <w:t>.</w:t>
      </w:r>
    </w:p>
    <w:p w:rsidR="003B5F82" w:rsidRPr="005E160B" w:rsidRDefault="00445D02" w:rsidP="00F309C1">
      <w:pPr>
        <w:pStyle w:val="BodyText"/>
        <w:spacing w:before="180"/>
      </w:pPr>
      <w:r>
        <w:t xml:space="preserve">Nationally </w:t>
      </w:r>
      <w:r w:rsidR="00B95A21">
        <w:rPr>
          <w:color w:val="000000" w:themeColor="text1"/>
        </w:rPr>
        <w:t xml:space="preserve">in </w:t>
      </w:r>
      <w:r w:rsidR="0039690B" w:rsidRPr="00D4759D">
        <w:rPr>
          <w:color w:val="000000" w:themeColor="text1"/>
        </w:rPr>
        <w:t xml:space="preserve">June </w:t>
      </w:r>
      <w:r w:rsidR="0039690B" w:rsidRPr="0039690B">
        <w:t>201</w:t>
      </w:r>
      <w:r w:rsidR="00DE33B0">
        <w:t>5</w:t>
      </w:r>
      <w:r w:rsidR="003B5F82">
        <w:t xml:space="preserve">, </w:t>
      </w:r>
      <w:r w:rsidR="0039690B" w:rsidRPr="005E160B">
        <w:t xml:space="preserve">there were </w:t>
      </w:r>
      <w:r w:rsidRPr="001A715E">
        <w:t>1</w:t>
      </w:r>
      <w:r w:rsidR="00080F6D">
        <w:t> </w:t>
      </w:r>
      <w:r w:rsidR="001A715E" w:rsidRPr="001A715E">
        <w:t>343</w:t>
      </w:r>
      <w:r w:rsidR="00080F6D">
        <w:t> </w:t>
      </w:r>
      <w:r w:rsidR="001A715E" w:rsidRPr="001A715E">
        <w:t>431</w:t>
      </w:r>
      <w:r w:rsidRPr="001A715E">
        <w:t xml:space="preserve"> </w:t>
      </w:r>
      <w:r w:rsidR="0039690B" w:rsidRPr="005E160B">
        <w:t>inco</w:t>
      </w:r>
      <w:r w:rsidR="007A6287" w:rsidRPr="005E160B">
        <w:t>me units receiving CRA (table GA</w:t>
      </w:r>
      <w:r w:rsidR="0039690B" w:rsidRPr="005E160B">
        <w:t>.</w:t>
      </w:r>
      <w:r w:rsidR="007A6287" w:rsidRPr="005E160B">
        <w:t>1</w:t>
      </w:r>
      <w:r w:rsidR="001A715E">
        <w:t>6</w:t>
      </w:r>
      <w:r w:rsidR="0039690B" w:rsidRPr="005E160B">
        <w:t>)</w:t>
      </w:r>
      <w:r w:rsidR="003B5F82">
        <w:t>, with 77.8 per cent of all CRA recipients paying enough rent to be eligible to receive the maximum rate of CRA (an increase from 74.5 per cent in 2011) (table GA.2</w:t>
      </w:r>
      <w:r w:rsidR="00914738">
        <w:t>7</w:t>
      </w:r>
      <w:r w:rsidR="003B5F82">
        <w:t xml:space="preserve">). </w:t>
      </w:r>
    </w:p>
    <w:p w:rsidR="0039690B" w:rsidRPr="005E160B" w:rsidRDefault="003B5F82" w:rsidP="00F309C1">
      <w:pPr>
        <w:pStyle w:val="ListBullet"/>
        <w:spacing w:before="80"/>
      </w:pPr>
      <w:r>
        <w:t>T</w:t>
      </w:r>
      <w:r w:rsidR="0039690B" w:rsidRPr="005E160B">
        <w:t>he median CRA payment</w:t>
      </w:r>
      <w:r>
        <w:t xml:space="preserve"> in 2015</w:t>
      </w:r>
      <w:r w:rsidR="0039690B" w:rsidRPr="005E160B">
        <w:t xml:space="preserve"> was </w:t>
      </w:r>
      <w:r w:rsidR="0039690B" w:rsidRPr="001A715E">
        <w:t>$</w:t>
      </w:r>
      <w:r w:rsidR="00445D02" w:rsidRPr="001A715E">
        <w:t>1</w:t>
      </w:r>
      <w:r w:rsidR="001A715E" w:rsidRPr="001A715E">
        <w:t>28</w:t>
      </w:r>
      <w:r w:rsidR="007A6287" w:rsidRPr="005E160B">
        <w:t xml:space="preserve"> per fortnight</w:t>
      </w:r>
      <w:r w:rsidR="00181EFA">
        <w:t>, with median rent being $415</w:t>
      </w:r>
      <w:r w:rsidR="00765538">
        <w:t xml:space="preserve"> </w:t>
      </w:r>
      <w:r w:rsidR="00EE4C8C" w:rsidRPr="005E160B">
        <w:t>per fortnight</w:t>
      </w:r>
      <w:r w:rsidR="00EE4C8C">
        <w:t xml:space="preserve"> </w:t>
      </w:r>
      <w:r w:rsidR="00765538">
        <w:t>(table </w:t>
      </w:r>
      <w:r w:rsidR="007A6287" w:rsidRPr="005E160B">
        <w:t>G</w:t>
      </w:r>
      <w:r w:rsidR="0039690B" w:rsidRPr="005E160B">
        <w:t>A.</w:t>
      </w:r>
      <w:r w:rsidR="007A6287" w:rsidRPr="005E160B">
        <w:t>2</w:t>
      </w:r>
      <w:r w:rsidR="00914738">
        <w:t>6</w:t>
      </w:r>
      <w:r w:rsidR="0039690B" w:rsidRPr="005E160B">
        <w:t>)</w:t>
      </w:r>
      <w:r>
        <w:t>.</w:t>
      </w:r>
      <w:r w:rsidR="0039690B" w:rsidRPr="005E160B">
        <w:t xml:space="preserve"> </w:t>
      </w:r>
    </w:p>
    <w:p w:rsidR="00DE33B0" w:rsidRDefault="00DE33B0" w:rsidP="00DE33B0">
      <w:pPr>
        <w:pStyle w:val="Heading5"/>
      </w:pPr>
      <w:r>
        <w:lastRenderedPageBreak/>
        <w:t xml:space="preserve">CRA and rental stress </w:t>
      </w:r>
    </w:p>
    <w:p w:rsidR="00A41A90" w:rsidRDefault="00A41A90" w:rsidP="005E160B">
      <w:pPr>
        <w:pStyle w:val="BodyText"/>
      </w:pPr>
      <w:r>
        <w:t xml:space="preserve">The </w:t>
      </w:r>
      <w:r w:rsidRPr="0039690B">
        <w:t>CRA</w:t>
      </w:r>
      <w:r>
        <w:t xml:space="preserve"> program</w:t>
      </w:r>
      <w:r w:rsidRPr="0039690B">
        <w:t xml:space="preserve"> </w:t>
      </w:r>
      <w:r>
        <w:t>aims to reduce</w:t>
      </w:r>
      <w:r w:rsidRPr="0039690B">
        <w:t xml:space="preserve"> the incidence of rental stress </w:t>
      </w:r>
      <w:r>
        <w:t xml:space="preserve">for people on low incomes. Rental stress is </w:t>
      </w:r>
      <w:r w:rsidRPr="0039690B">
        <w:t>defined as more than 30 per cent of household income being spent on r</w:t>
      </w:r>
      <w:r>
        <w:t xml:space="preserve">ent, and is a </w:t>
      </w:r>
      <w:r w:rsidR="00181EFA">
        <w:t xml:space="preserve">separate </w:t>
      </w:r>
      <w:r>
        <w:t>sector</w:t>
      </w:r>
      <w:r w:rsidR="00C9055F">
        <w:noBreakHyphen/>
      </w:r>
      <w:r>
        <w:t xml:space="preserve">wide indicator reported in section G.2. </w:t>
      </w:r>
      <w:r w:rsidR="00765538">
        <w:t xml:space="preserve">Although </w:t>
      </w:r>
      <w:r>
        <w:t>CRA is indexed to t</w:t>
      </w:r>
      <w:r w:rsidR="00765538">
        <w:t>he Consumer Price Index,</w:t>
      </w:r>
      <w:r>
        <w:t xml:space="preserve"> ‘rental costs have been increasing faster than the </w:t>
      </w:r>
      <w:r w:rsidR="000701D5">
        <w:t>[Consumer Price Index]</w:t>
      </w:r>
      <w:r>
        <w:t xml:space="preserve">, which means that payments are losing real value for individuals over time’ (Commonwealth of Australia 2014). </w:t>
      </w:r>
    </w:p>
    <w:p w:rsidR="0077002F" w:rsidRDefault="0039690B" w:rsidP="005E160B">
      <w:pPr>
        <w:pStyle w:val="BodyText"/>
      </w:pPr>
      <w:r w:rsidRPr="0039690B">
        <w:t xml:space="preserve">Nationally in </w:t>
      </w:r>
      <w:r w:rsidR="00BF23F8" w:rsidRPr="00D4759D">
        <w:rPr>
          <w:color w:val="000000" w:themeColor="text1"/>
        </w:rPr>
        <w:t>June 20</w:t>
      </w:r>
      <w:r w:rsidRPr="00D4759D">
        <w:rPr>
          <w:color w:val="000000" w:themeColor="text1"/>
        </w:rPr>
        <w:t>1</w:t>
      </w:r>
      <w:r w:rsidR="00A41A90">
        <w:rPr>
          <w:color w:val="000000" w:themeColor="text1"/>
        </w:rPr>
        <w:t>5</w:t>
      </w:r>
      <w:r w:rsidRPr="00D4759D">
        <w:rPr>
          <w:color w:val="000000" w:themeColor="text1"/>
        </w:rPr>
        <w:t xml:space="preserve">, </w:t>
      </w:r>
      <w:r w:rsidR="001A715E" w:rsidRPr="001A715E">
        <w:t>68</w:t>
      </w:r>
      <w:r w:rsidR="00ED321F" w:rsidRPr="001A715E">
        <w:t>.</w:t>
      </w:r>
      <w:r w:rsidR="001A715E" w:rsidRPr="001A715E">
        <w:t>5</w:t>
      </w:r>
      <w:r w:rsidRPr="001A715E">
        <w:t xml:space="preserve"> per cent of CRA recipien</w:t>
      </w:r>
      <w:r w:rsidR="00546ADE" w:rsidRPr="001A715E">
        <w:t>ts would have paid more than 30 </w:t>
      </w:r>
      <w:r w:rsidRPr="001A715E">
        <w:t xml:space="preserve">per cent </w:t>
      </w:r>
      <w:r w:rsidR="0039190C" w:rsidRPr="001A715E">
        <w:t xml:space="preserve">of their gross income on rent </w:t>
      </w:r>
      <w:r w:rsidR="0041761D" w:rsidRPr="001A715E">
        <w:t>if</w:t>
      </w:r>
      <w:r w:rsidR="0039190C" w:rsidRPr="001A715E">
        <w:t xml:space="preserve"> </w:t>
      </w:r>
      <w:r w:rsidRPr="001A715E">
        <w:t>CRA were not p</w:t>
      </w:r>
      <w:r w:rsidR="002205F3" w:rsidRPr="001A715E">
        <w:t xml:space="preserve">rovided. However, </w:t>
      </w:r>
      <w:r w:rsidR="0077002F">
        <w:t xml:space="preserve">even </w:t>
      </w:r>
      <w:r w:rsidR="002205F3" w:rsidRPr="001A715E">
        <w:t>with</w:t>
      </w:r>
      <w:r w:rsidR="00D238FF" w:rsidRPr="001A715E">
        <w:t xml:space="preserve"> CRA</w:t>
      </w:r>
      <w:r w:rsidR="00983023" w:rsidRPr="001A715E">
        <w:t xml:space="preserve">, </w:t>
      </w:r>
      <w:r w:rsidR="001A715E" w:rsidRPr="001A715E">
        <w:t>41</w:t>
      </w:r>
      <w:r w:rsidR="00ED321F" w:rsidRPr="001A715E">
        <w:t>.</w:t>
      </w:r>
      <w:r w:rsidR="001A715E" w:rsidRPr="001A715E">
        <w:t>2</w:t>
      </w:r>
      <w:r w:rsidR="00ED321F" w:rsidRPr="001A715E">
        <w:t> </w:t>
      </w:r>
      <w:r w:rsidRPr="001A715E">
        <w:t>per</w:t>
      </w:r>
      <w:r w:rsidR="003A00ED" w:rsidRPr="001A715E">
        <w:t> </w:t>
      </w:r>
      <w:r w:rsidRPr="001A715E">
        <w:t xml:space="preserve">cent </w:t>
      </w:r>
      <w:r w:rsidRPr="00D4759D">
        <w:rPr>
          <w:color w:val="000000" w:themeColor="text1"/>
        </w:rPr>
        <w:t xml:space="preserve">of </w:t>
      </w:r>
      <w:r w:rsidRPr="0039690B">
        <w:t xml:space="preserve">recipients </w:t>
      </w:r>
      <w:r w:rsidR="0077002F">
        <w:t xml:space="preserve">still </w:t>
      </w:r>
      <w:r w:rsidRPr="0039690B">
        <w:t>spent more than 30 per cent o</w:t>
      </w:r>
      <w:r w:rsidR="00D238FF">
        <w:t xml:space="preserve">f their income on rent </w:t>
      </w:r>
      <w:r w:rsidR="005C60EF">
        <w:t xml:space="preserve">(figure G.1 and </w:t>
      </w:r>
      <w:r w:rsidR="00D238FF">
        <w:t>table G</w:t>
      </w:r>
      <w:r w:rsidRPr="0039690B">
        <w:t>A.</w:t>
      </w:r>
      <w:r w:rsidR="00D238FF" w:rsidRPr="00010DF3">
        <w:t>2</w:t>
      </w:r>
      <w:r w:rsidR="00914738">
        <w:t>8</w:t>
      </w:r>
      <w:r w:rsidRPr="0039690B">
        <w:t>).</w:t>
      </w:r>
      <w:r w:rsidR="00A41A90" w:rsidRPr="00A41A90">
        <w:t xml:space="preserve"> </w:t>
      </w:r>
      <w:r w:rsidR="00A41A90">
        <w:t xml:space="preserve">(Social housing </w:t>
      </w:r>
      <w:r w:rsidR="00DE33B0">
        <w:t>households</w:t>
      </w:r>
      <w:r w:rsidR="00A93686">
        <w:t xml:space="preserve"> in rental stress are</w:t>
      </w:r>
      <w:r w:rsidR="00A41A90">
        <w:t xml:space="preserve"> reported separately in Chapter 17.)</w:t>
      </w:r>
      <w:r w:rsidR="0077002F">
        <w:t xml:space="preserve"> </w:t>
      </w:r>
    </w:p>
    <w:p w:rsidR="00DB497C" w:rsidRDefault="00DB497C" w:rsidP="00A513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497C" w:rsidTr="00A5136F">
        <w:tc>
          <w:tcPr>
            <w:tcW w:w="8771" w:type="dxa"/>
            <w:tcBorders>
              <w:top w:val="single" w:sz="6" w:space="0" w:color="78A22F"/>
              <w:left w:val="nil"/>
              <w:bottom w:val="nil"/>
              <w:right w:val="nil"/>
            </w:tcBorders>
            <w:shd w:val="clear" w:color="auto" w:fill="auto"/>
          </w:tcPr>
          <w:p w:rsidR="00DB497C" w:rsidRPr="00EA1262" w:rsidRDefault="00DB497C" w:rsidP="003B5F82">
            <w:pPr>
              <w:pStyle w:val="FigureTitle"/>
              <w:rPr>
                <w:vertAlign w:val="superscript"/>
              </w:rPr>
            </w:pPr>
            <w:r w:rsidRPr="00784A05">
              <w:rPr>
                <w:b w:val="0"/>
              </w:rPr>
              <w:t xml:space="preserve">Figure </w:t>
            </w:r>
            <w:r w:rsidR="001871EE">
              <w:rPr>
                <w:b w:val="0"/>
              </w:rPr>
              <w:t>G.</w:t>
            </w:r>
            <w:r w:rsidR="00901877">
              <w:rPr>
                <w:b w:val="0"/>
              </w:rPr>
              <w:t>1</w:t>
            </w:r>
            <w:r>
              <w:tab/>
            </w:r>
            <w:r w:rsidR="00EA1262">
              <w:t>P</w:t>
            </w:r>
            <w:r w:rsidR="00EA1262" w:rsidRPr="00EA1262">
              <w:t xml:space="preserve">roportion of income units receiving CRA with more than </w:t>
            </w:r>
            <w:r w:rsidR="00EA1262">
              <w:t>3</w:t>
            </w:r>
            <w:r w:rsidR="00EA1262" w:rsidRPr="00EA1262">
              <w:t>0</w:t>
            </w:r>
            <w:r w:rsidR="00EA1262">
              <w:t> </w:t>
            </w:r>
            <w:r w:rsidR="00EA1262" w:rsidRPr="00EA1262">
              <w:t>per cent of income spent on rent, by special needs</w:t>
            </w:r>
            <w:r w:rsidR="00EA1262">
              <w:t xml:space="preserve"> group, </w:t>
            </w:r>
            <w:proofErr w:type="spellStart"/>
            <w:r w:rsidR="00EA1262">
              <w:t>2015</w:t>
            </w:r>
            <w:r w:rsidR="00EA1262">
              <w:rPr>
                <w:vertAlign w:val="superscript"/>
              </w:rPr>
              <w:t>a</w:t>
            </w:r>
            <w:proofErr w:type="spellEnd"/>
          </w:p>
        </w:tc>
      </w:tr>
      <w:tr w:rsidR="00DB497C" w:rsidTr="00A5136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B497C" w:rsidTr="00A5136F">
              <w:trPr>
                <w:jc w:val="center"/>
              </w:trPr>
              <w:tc>
                <w:tcPr>
                  <w:tcW w:w="5000" w:type="pct"/>
                  <w:tcBorders>
                    <w:top w:val="nil"/>
                    <w:bottom w:val="nil"/>
                  </w:tcBorders>
                </w:tcPr>
                <w:p w:rsidR="00DB497C" w:rsidRDefault="00D35154" w:rsidP="00A5136F">
                  <w:pPr>
                    <w:pStyle w:val="Figure"/>
                    <w:spacing w:before="60" w:after="60"/>
                  </w:pPr>
                  <w:r>
                    <w:rPr>
                      <w:noProof/>
                    </w:rPr>
                    <w:drawing>
                      <wp:inline distT="0" distB="0" distL="0" distR="0">
                        <wp:extent cx="5390515" cy="2860040"/>
                        <wp:effectExtent l="0" t="0" r="635" b="0"/>
                        <wp:docPr id="9" name="Picture 9" descr="Figure G.1 Proportion of income units receiving CRA with more than 30 per cent of income spent on rent, by special needs group,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0515" cy="2860040"/>
                                </a:xfrm>
                                <a:prstGeom prst="rect">
                                  <a:avLst/>
                                </a:prstGeom>
                                <a:noFill/>
                                <a:ln>
                                  <a:noFill/>
                                </a:ln>
                              </pic:spPr>
                            </pic:pic>
                          </a:graphicData>
                        </a:graphic>
                      </wp:inline>
                    </w:drawing>
                  </w:r>
                </w:p>
              </w:tc>
            </w:tr>
          </w:tbl>
          <w:p w:rsidR="00DB497C" w:rsidRDefault="00DB497C" w:rsidP="00A5136F">
            <w:pPr>
              <w:pStyle w:val="Figure"/>
            </w:pPr>
          </w:p>
        </w:tc>
      </w:tr>
      <w:tr w:rsidR="00DB497C" w:rsidRPr="00176D3F" w:rsidTr="00A5136F">
        <w:tc>
          <w:tcPr>
            <w:tcW w:w="8771" w:type="dxa"/>
            <w:tcBorders>
              <w:top w:val="nil"/>
              <w:left w:val="nil"/>
              <w:bottom w:val="nil"/>
              <w:right w:val="nil"/>
            </w:tcBorders>
            <w:shd w:val="clear" w:color="auto" w:fill="auto"/>
          </w:tcPr>
          <w:p w:rsidR="00DB497C" w:rsidRPr="00176D3F" w:rsidRDefault="00EA1262" w:rsidP="00EA1262">
            <w:pPr>
              <w:pStyle w:val="Note"/>
            </w:pPr>
            <w:r>
              <w:rPr>
                <w:rStyle w:val="NoteLabel"/>
              </w:rPr>
              <w:t>a</w:t>
            </w:r>
            <w:r>
              <w:t xml:space="preserve"> See tables </w:t>
            </w:r>
            <w:r w:rsidRPr="00C24BA0">
              <w:t>GA.</w:t>
            </w:r>
            <w:r>
              <w:t>24–33</w:t>
            </w:r>
            <w:r w:rsidRPr="00C24BA0">
              <w:t xml:space="preserve"> </w:t>
            </w:r>
            <w:r w:rsidRPr="005244E3">
              <w:t>for detailed definitions, footnotes and caveats.</w:t>
            </w:r>
          </w:p>
        </w:tc>
      </w:tr>
      <w:tr w:rsidR="00DB497C" w:rsidRPr="00176D3F" w:rsidTr="00A5136F">
        <w:tc>
          <w:tcPr>
            <w:tcW w:w="8771" w:type="dxa"/>
            <w:tcBorders>
              <w:top w:val="nil"/>
              <w:left w:val="nil"/>
              <w:bottom w:val="nil"/>
              <w:right w:val="nil"/>
            </w:tcBorders>
            <w:shd w:val="clear" w:color="auto" w:fill="auto"/>
          </w:tcPr>
          <w:p w:rsidR="00DB497C" w:rsidRPr="00176D3F" w:rsidRDefault="003F5BBF" w:rsidP="009E1E33">
            <w:pPr>
              <w:pStyle w:val="Source"/>
            </w:pPr>
            <w:r>
              <w:rPr>
                <w:i/>
              </w:rPr>
              <w:t>S</w:t>
            </w:r>
            <w:r w:rsidR="00DB497C" w:rsidRPr="00784A05">
              <w:rPr>
                <w:i/>
              </w:rPr>
              <w:t>ource</w:t>
            </w:r>
            <w:r w:rsidR="00DB497C" w:rsidRPr="00176D3F">
              <w:t xml:space="preserve">: </w:t>
            </w:r>
            <w:r w:rsidRPr="003F5BBF">
              <w:t>Department of Social Ser</w:t>
            </w:r>
            <w:r>
              <w:t xml:space="preserve">vices and </w:t>
            </w:r>
            <w:proofErr w:type="spellStart"/>
            <w:r>
              <w:t>FaHCSIA</w:t>
            </w:r>
            <w:proofErr w:type="spellEnd"/>
            <w:r>
              <w:t xml:space="preserve"> (unpublished); table </w:t>
            </w:r>
            <w:r w:rsidRPr="00C24BA0">
              <w:t>GA.</w:t>
            </w:r>
            <w:r w:rsidR="00914738">
              <w:t>28</w:t>
            </w:r>
            <w:r>
              <w:t>.</w:t>
            </w:r>
          </w:p>
        </w:tc>
      </w:tr>
      <w:tr w:rsidR="00DB497C" w:rsidTr="00A5136F">
        <w:tc>
          <w:tcPr>
            <w:tcW w:w="8771" w:type="dxa"/>
            <w:tcBorders>
              <w:top w:val="nil"/>
              <w:left w:val="nil"/>
              <w:bottom w:val="single" w:sz="6" w:space="0" w:color="78A22F"/>
              <w:right w:val="nil"/>
            </w:tcBorders>
            <w:shd w:val="clear" w:color="auto" w:fill="auto"/>
          </w:tcPr>
          <w:p w:rsidR="00DB497C" w:rsidRDefault="00DB497C" w:rsidP="00A5136F">
            <w:pPr>
              <w:pStyle w:val="Figurespace"/>
            </w:pPr>
          </w:p>
        </w:tc>
      </w:tr>
      <w:tr w:rsidR="00DB497C" w:rsidRPr="000863A5" w:rsidTr="00A5136F">
        <w:tc>
          <w:tcPr>
            <w:tcW w:w="8771" w:type="dxa"/>
            <w:tcBorders>
              <w:top w:val="single" w:sz="6" w:space="0" w:color="78A22F"/>
              <w:left w:val="nil"/>
              <w:bottom w:val="nil"/>
              <w:right w:val="nil"/>
            </w:tcBorders>
          </w:tcPr>
          <w:p w:rsidR="00DB497C" w:rsidRPr="00626D32" w:rsidRDefault="00DB497C" w:rsidP="00A5136F">
            <w:pPr>
              <w:pStyle w:val="BoxSpaceBelow"/>
            </w:pPr>
          </w:p>
        </w:tc>
      </w:tr>
    </w:tbl>
    <w:p w:rsidR="005C60EF" w:rsidRDefault="005C60EF" w:rsidP="005C60EF">
      <w:pPr>
        <w:pStyle w:val="BodyText"/>
        <w:keepNext/>
      </w:pPr>
      <w:r>
        <w:t xml:space="preserve">Nationally in 2015, the proportion of income units receiving CRA and classified as being in rental stress: </w:t>
      </w:r>
    </w:p>
    <w:p w:rsidR="005C60EF" w:rsidRDefault="005C60EF" w:rsidP="005C60EF">
      <w:pPr>
        <w:pStyle w:val="ListBullet"/>
      </w:pPr>
      <w:r>
        <w:t>57.5 per cent had a member aged 24 years or under</w:t>
      </w:r>
      <w:r w:rsidR="00080F6D">
        <w:t xml:space="preserve"> </w:t>
      </w:r>
    </w:p>
    <w:p w:rsidR="005C60EF" w:rsidRDefault="005C60EF" w:rsidP="005C60EF">
      <w:pPr>
        <w:pStyle w:val="ListBullet"/>
      </w:pPr>
      <w:r>
        <w:t xml:space="preserve">32.8 per cent </w:t>
      </w:r>
      <w:r w:rsidRPr="00463099">
        <w:t>had a member</w:t>
      </w:r>
      <w:r>
        <w:t xml:space="preserve"> who was an Aboriginal and Torres Strait Islander person</w:t>
      </w:r>
    </w:p>
    <w:p w:rsidR="005C60EF" w:rsidRDefault="005C60EF" w:rsidP="005C60EF">
      <w:pPr>
        <w:pStyle w:val="ListBullet"/>
      </w:pPr>
      <w:r>
        <w:t xml:space="preserve">31.2 per cent </w:t>
      </w:r>
      <w:r w:rsidRPr="00463099">
        <w:t>had a member</w:t>
      </w:r>
      <w:r>
        <w:t xml:space="preserve"> who received the disability support pension </w:t>
      </w:r>
    </w:p>
    <w:p w:rsidR="005C60EF" w:rsidRPr="00E86F55" w:rsidRDefault="005C60EF" w:rsidP="005C60EF">
      <w:pPr>
        <w:pStyle w:val="ListBullet"/>
      </w:pPr>
      <w:r>
        <w:lastRenderedPageBreak/>
        <w:t>25.5 per cent had a member aged 75 years or older (figure G.1).</w:t>
      </w:r>
    </w:p>
    <w:p w:rsidR="005C60EF" w:rsidRPr="00C31869" w:rsidRDefault="005C60EF" w:rsidP="00E86F55">
      <w:pPr>
        <w:pStyle w:val="BodyText"/>
      </w:pPr>
      <w:r w:rsidRPr="00C31869">
        <w:t>Tables GA.</w:t>
      </w:r>
      <w:r w:rsidRPr="00010DF3">
        <w:t>1</w:t>
      </w:r>
      <w:r>
        <w:t xml:space="preserve">3–35 </w:t>
      </w:r>
      <w:r w:rsidRPr="00C31869">
        <w:t>present a range of detailed data on CRA</w:t>
      </w:r>
      <w:r>
        <w:t xml:space="preserve">, including </w:t>
      </w:r>
      <w:r w:rsidRPr="00C31869">
        <w:t xml:space="preserve">Australian Government expenditure; </w:t>
      </w:r>
      <w:r>
        <w:t>additional information on C</w:t>
      </w:r>
      <w:r w:rsidRPr="00C31869">
        <w:t xml:space="preserve">RA recipients, including </w:t>
      </w:r>
      <w:r>
        <w:t>Aboriginal and Torres Strait Islander</w:t>
      </w:r>
      <w:r w:rsidRPr="00C31869">
        <w:t xml:space="preserve"> recipients and</w:t>
      </w:r>
      <w:r w:rsidRPr="00C31869">
        <w:rPr>
          <w:b/>
        </w:rPr>
        <w:t xml:space="preserve"> </w:t>
      </w:r>
      <w:r w:rsidRPr="00C31869">
        <w:t>those with special needs;</w:t>
      </w:r>
      <w:r>
        <w:t xml:space="preserve"> and previously unpublished CRA data disaggregated </w:t>
      </w:r>
      <w:r w:rsidRPr="009E1E33">
        <w:t>by</w:t>
      </w:r>
      <w:r>
        <w:t xml:space="preserve"> remoteness areas (which shows the proportion of CRA income units in rental stress was higher in capital cities (45.5 per cent) compared to other areas (35.1 per cent)) (table GA.29).</w:t>
      </w:r>
    </w:p>
    <w:p w:rsidR="00421114" w:rsidRDefault="00421114" w:rsidP="005D7553">
      <w:pPr>
        <w:pStyle w:val="Heading3"/>
      </w:pPr>
      <w:r w:rsidRPr="009C01D2">
        <w:t xml:space="preserve">Social and </w:t>
      </w:r>
      <w:r w:rsidRPr="005D7553">
        <w:t>economic</w:t>
      </w:r>
      <w:r w:rsidRPr="009C01D2">
        <w:t xml:space="preserve"> factors affecting demand for services</w:t>
      </w:r>
    </w:p>
    <w:p w:rsidR="0017775E" w:rsidRDefault="00AB5A20" w:rsidP="00AB5A20">
      <w:pPr>
        <w:pStyle w:val="BodyText"/>
        <w:rPr>
          <w:shd w:val="clear" w:color="auto" w:fill="FFFF00"/>
        </w:rPr>
      </w:pPr>
      <w:r w:rsidRPr="00463099">
        <w:t xml:space="preserve">According </w:t>
      </w:r>
      <w:r w:rsidR="009E1E33" w:rsidRPr="00463099">
        <w:t xml:space="preserve">to </w:t>
      </w:r>
      <w:r w:rsidRPr="00463099">
        <w:t xml:space="preserve">the 2014 General Social Survey, approximately 2.5 million people aged 15 years </w:t>
      </w:r>
      <w:r w:rsidR="009E1E33" w:rsidRPr="00463099">
        <w:t>or</w:t>
      </w:r>
      <w:r w:rsidRPr="00463099">
        <w:t xml:space="preserve"> over have experienced homelessness at some time in their lives</w:t>
      </w:r>
      <w:r w:rsidR="009E1E33" w:rsidRPr="00463099">
        <w:t xml:space="preserve">, of whom around </w:t>
      </w:r>
      <w:r w:rsidRPr="00463099">
        <w:t>1.4 million had experienced at least one episode in the last 10 years</w:t>
      </w:r>
      <w:r w:rsidR="00553F54" w:rsidRPr="00463099">
        <w:t xml:space="preserve">. Amongst this </w:t>
      </w:r>
      <w:r w:rsidR="009E1E33" w:rsidRPr="00463099">
        <w:t>2.5 million people</w:t>
      </w:r>
      <w:r w:rsidR="00553F54" w:rsidRPr="00463099">
        <w:t>, in their most recent episode of homelessness</w:t>
      </w:r>
      <w:r w:rsidRPr="00463099">
        <w:t xml:space="preserve"> 15</w:t>
      </w:r>
      <w:r w:rsidR="00553F54" w:rsidRPr="00463099">
        <w:t>.0</w:t>
      </w:r>
      <w:r w:rsidRPr="00463099">
        <w:t xml:space="preserve"> per cent sought assistance from housing service providers, 7.9 per cent sought crisis accommodation/supported accommodation for the homeless, 7.0 per cent sought a church or community organisation and 6.7 per cent contacted a counselling service (ABS 2015</w:t>
      </w:r>
      <w:r w:rsidR="0017775E" w:rsidRPr="00463099">
        <w:t>).</w:t>
      </w:r>
    </w:p>
    <w:p w:rsidR="00BC6055" w:rsidRPr="00E86F55" w:rsidRDefault="00D95230" w:rsidP="00C51088">
      <w:pPr>
        <w:pStyle w:val="BodyText"/>
      </w:pPr>
      <w:r>
        <w:t xml:space="preserve">Demand for housing and homelessness services is influenced by </w:t>
      </w:r>
      <w:r w:rsidRPr="00463099">
        <w:t>family and relationship breakdown</w:t>
      </w:r>
      <w:r>
        <w:t xml:space="preserve">, </w:t>
      </w:r>
      <w:r w:rsidR="009E1E33">
        <w:t>a</w:t>
      </w:r>
      <w:r>
        <w:t xml:space="preserve"> shortage of affordable housing, long</w:t>
      </w:r>
      <w:r w:rsidR="009E1E33">
        <w:noBreakHyphen/>
      </w:r>
      <w:r>
        <w:t>term unemployment and financial hardship, mental health issues and substance abuse</w:t>
      </w:r>
      <w:r w:rsidRPr="00463099">
        <w:t xml:space="preserve">. </w:t>
      </w:r>
      <w:r w:rsidR="0068015B" w:rsidRPr="00463099">
        <w:t>In 2014</w:t>
      </w:r>
      <w:r w:rsidR="00080F6D">
        <w:noBreakHyphen/>
      </w:r>
      <w:r w:rsidR="0068015B" w:rsidRPr="00463099">
        <w:t>15, an estimated 36 per cent</w:t>
      </w:r>
      <w:r w:rsidR="00603CD2" w:rsidRPr="00463099">
        <w:t xml:space="preserve"> of specialist homelessness services clients</w:t>
      </w:r>
      <w:r w:rsidR="009A31AE" w:rsidRPr="00463099">
        <w:t xml:space="preserve"> </w:t>
      </w:r>
      <w:r w:rsidR="00603CD2" w:rsidRPr="00463099">
        <w:t>received assistance as a result of experiencing family</w:t>
      </w:r>
      <w:r w:rsidR="0068015B" w:rsidRPr="00463099">
        <w:t xml:space="preserve"> or domestic violence (AIHW </w:t>
      </w:r>
      <w:proofErr w:type="spellStart"/>
      <w:r w:rsidR="0068015B" w:rsidRPr="00463099">
        <w:t>2015b</w:t>
      </w:r>
      <w:proofErr w:type="spellEnd"/>
      <w:r w:rsidR="00327B16" w:rsidRPr="00463099">
        <w:t>).</w:t>
      </w:r>
    </w:p>
    <w:p w:rsidR="00C51088" w:rsidRDefault="00372EF5" w:rsidP="00C51088">
      <w:pPr>
        <w:pStyle w:val="BodyText"/>
      </w:pPr>
      <w:r>
        <w:t>Research shows the pathways to homelessness are varied and complex. Longitudinal factors (for example, influences from early childhood) can compound with situational factors, leading to homelessness. For young people, factors such as family conflict or abuse, drug use, unstable employment, participating in education and training, combining work and study, and financial pressure</w:t>
      </w:r>
      <w:r w:rsidR="00C25775">
        <w:t>s</w:t>
      </w:r>
      <w:r>
        <w:t xml:space="preserve"> can potentially lead to unstable housing and increase the risk of homelessness (</w:t>
      </w:r>
      <w:proofErr w:type="spellStart"/>
      <w:r>
        <w:t>Memmott</w:t>
      </w:r>
      <w:proofErr w:type="spellEnd"/>
      <w:r>
        <w:t xml:space="preserve"> and Chambers 2010; CHP 2005).</w:t>
      </w:r>
    </w:p>
    <w:p w:rsidR="00C25775" w:rsidRDefault="00C25775" w:rsidP="00C25775">
      <w:pPr>
        <w:pStyle w:val="BodyText"/>
      </w:pPr>
      <w:r>
        <w:t xml:space="preserve">Factors affecting the ability to remain in housing or obtain housing are also significant. AIHW analysis of homelessness services data over the 2.5 years to 31 December 2013 found that </w:t>
      </w:r>
      <w:r w:rsidRPr="001401DC">
        <w:t xml:space="preserve">those clients who were unemployed, had no income or were only receiving income support payments, had a past history of homelessness </w:t>
      </w:r>
      <w:r w:rsidRPr="00463099">
        <w:t>and</w:t>
      </w:r>
      <w:r w:rsidR="009A31AE" w:rsidRPr="00463099">
        <w:t>/or</w:t>
      </w:r>
      <w:r w:rsidRPr="001401DC">
        <w:t xml:space="preserve"> more complex presenting issues were least likely to remain in their housing or be able to obtain housing. The poorest housing outcomes were seen among those who had problematic drug and alcohol use. This cohort had the highest rates of homelessness at both the start and finish of support compared to other cohorts (AIHW 2014).</w:t>
      </w:r>
    </w:p>
    <w:p w:rsidR="005921CE" w:rsidRDefault="00372EF5" w:rsidP="00C51088">
      <w:pPr>
        <w:pStyle w:val="BodyText"/>
      </w:pPr>
      <w:r>
        <w:t xml:space="preserve">Demand for housing assistance and service support may continue even after recipients have gained stable employment and financial circumstances are improved. A study of workforce participation of women living in public housing in Australia found that job </w:t>
      </w:r>
      <w:r>
        <w:lastRenderedPageBreak/>
        <w:t>insecurity and low wages are the main incentives for tenants to continue to live in public housing (</w:t>
      </w:r>
      <w:proofErr w:type="spellStart"/>
      <w:r>
        <w:t>Saugeres</w:t>
      </w:r>
      <w:proofErr w:type="spellEnd"/>
      <w:r>
        <w:t xml:space="preserve"> and </w:t>
      </w:r>
      <w:proofErr w:type="spellStart"/>
      <w:r>
        <w:t>Hulse</w:t>
      </w:r>
      <w:proofErr w:type="spellEnd"/>
      <w:r>
        <w:t xml:space="preserve"> 2010).</w:t>
      </w:r>
      <w:r w:rsidR="005921CE">
        <w:t xml:space="preserve"> </w:t>
      </w:r>
    </w:p>
    <w:p w:rsidR="00372EF5" w:rsidRPr="00587C1D" w:rsidRDefault="005921CE" w:rsidP="00463099">
      <w:pPr>
        <w:pStyle w:val="BodyText"/>
      </w:pPr>
      <w:r>
        <w:t>Productivity Commission</w:t>
      </w:r>
      <w:r w:rsidR="00351B4D">
        <w:t xml:space="preserve"> research on the links between housing assistance and employment</w:t>
      </w:r>
      <w:r w:rsidR="00780741">
        <w:t>, using administrative data</w:t>
      </w:r>
      <w:r w:rsidR="009441ED">
        <w:t>sets</w:t>
      </w:r>
      <w:r w:rsidR="00DA0BB9">
        <w:t xml:space="preserve"> from the </w:t>
      </w:r>
      <w:r w:rsidR="00DA0BB9" w:rsidRPr="00587C1D">
        <w:t>Australian</w:t>
      </w:r>
      <w:r w:rsidR="009E1E33">
        <w:t>,</w:t>
      </w:r>
      <w:r w:rsidR="00DA0BB9" w:rsidRPr="00587C1D">
        <w:t xml:space="preserve"> </w:t>
      </w:r>
      <w:r w:rsidR="00780741" w:rsidRPr="00587C1D">
        <w:t xml:space="preserve">WA and SA </w:t>
      </w:r>
      <w:r w:rsidR="009E1E33">
        <w:t xml:space="preserve">governments </w:t>
      </w:r>
      <w:r w:rsidR="00DA0BB9" w:rsidRPr="00587C1D">
        <w:t>(</w:t>
      </w:r>
      <w:r w:rsidR="00780741" w:rsidRPr="00587C1D">
        <w:t>2003</w:t>
      </w:r>
      <w:r w:rsidR="00587C1D">
        <w:t> </w:t>
      </w:r>
      <w:r w:rsidR="00780741" w:rsidRPr="00587C1D">
        <w:t>to</w:t>
      </w:r>
      <w:r w:rsidR="00587C1D">
        <w:t> </w:t>
      </w:r>
      <w:r w:rsidR="00780741" w:rsidRPr="00587C1D">
        <w:t>2013</w:t>
      </w:r>
      <w:r w:rsidR="00DA0BB9" w:rsidRPr="00587C1D">
        <w:t>)</w:t>
      </w:r>
      <w:r w:rsidR="00780741" w:rsidRPr="00587C1D">
        <w:t>,</w:t>
      </w:r>
      <w:r w:rsidR="007754EC" w:rsidRPr="00587C1D">
        <w:t xml:space="preserve"> found</w:t>
      </w:r>
      <w:r w:rsidR="00351B4D" w:rsidRPr="00587C1D">
        <w:t xml:space="preserve"> that receiving public housing assistance </w:t>
      </w:r>
      <w:r w:rsidR="00780741" w:rsidRPr="00587C1D">
        <w:t xml:space="preserve">is unlikely to </w:t>
      </w:r>
      <w:r w:rsidR="00351B4D" w:rsidRPr="00587C1D">
        <w:t>impact tenants participation in employment</w:t>
      </w:r>
      <w:r w:rsidR="00780741" w:rsidRPr="00587C1D">
        <w:t xml:space="preserve">, </w:t>
      </w:r>
      <w:r w:rsidR="00DA0BB9" w:rsidRPr="00587C1D">
        <w:t>and that it is</w:t>
      </w:r>
      <w:r w:rsidR="00780741" w:rsidRPr="00587C1D">
        <w:t xml:space="preserve"> ‘the characteristics of individuals, and not the characteristics of the housing assistance that they receive that matter to participation’ </w:t>
      </w:r>
      <w:r w:rsidRPr="00587C1D">
        <w:t>(P</w:t>
      </w:r>
      <w:r w:rsidR="00B074A1" w:rsidRPr="00587C1D">
        <w:t>C</w:t>
      </w:r>
      <w:r w:rsidR="00587C1D">
        <w:t> </w:t>
      </w:r>
      <w:r w:rsidRPr="00587C1D">
        <w:t>2015).</w:t>
      </w:r>
    </w:p>
    <w:p w:rsidR="00421114" w:rsidRDefault="00421114" w:rsidP="00421114">
      <w:pPr>
        <w:pStyle w:val="Heading3"/>
      </w:pPr>
      <w:r>
        <w:t>Service</w:t>
      </w:r>
      <w:r w:rsidR="00C9055F">
        <w:noBreakHyphen/>
      </w:r>
      <w:r>
        <w:t>sector objectives</w:t>
      </w:r>
    </w:p>
    <w:p w:rsidR="0018436A" w:rsidRDefault="00421114" w:rsidP="00421114">
      <w:pPr>
        <w:pStyle w:val="BodyText"/>
      </w:pPr>
      <w:r>
        <w:t>The overarching service</w:t>
      </w:r>
      <w:r w:rsidR="00C9055F">
        <w:noBreakHyphen/>
      </w:r>
      <w:r>
        <w:t xml:space="preserve">sector objectives in box </w:t>
      </w:r>
      <w:r w:rsidR="00D15E8B">
        <w:t>G.4</w:t>
      </w:r>
      <w:r>
        <w:t xml:space="preserve"> draw together the objectives from each of the specific services (described in chapters 1</w:t>
      </w:r>
      <w:r w:rsidR="003A00ED">
        <w:t>7</w:t>
      </w:r>
      <w:r>
        <w:t xml:space="preserve"> and 1</w:t>
      </w:r>
      <w:r w:rsidR="003A00ED">
        <w:t>8</w:t>
      </w:r>
      <w:r>
        <w:t>), as well as reflecting the objectives set out in the NAHA</w:t>
      </w:r>
      <w:r w:rsidR="00443CA1">
        <w:t xml:space="preserve"> (box G.1</w:t>
      </w:r>
      <w:r w:rsidR="002D7B19">
        <w:t>)</w:t>
      </w:r>
      <w:r>
        <w:t>.</w:t>
      </w:r>
    </w:p>
    <w:p w:rsidR="0068269E" w:rsidRDefault="0068269E">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68269E" w:rsidTr="00372EF5">
        <w:tc>
          <w:tcPr>
            <w:tcW w:w="5000" w:type="pct"/>
            <w:tcBorders>
              <w:top w:val="single" w:sz="6" w:space="0" w:color="78A22F"/>
              <w:left w:val="nil"/>
              <w:bottom w:val="nil"/>
              <w:right w:val="nil"/>
            </w:tcBorders>
            <w:shd w:val="clear" w:color="auto" w:fill="F2F2F2" w:themeFill="background1" w:themeFillShade="F2"/>
          </w:tcPr>
          <w:p w:rsidR="0068269E" w:rsidRDefault="0068269E" w:rsidP="008C30D0">
            <w:pPr>
              <w:pStyle w:val="BoxTitle"/>
            </w:pPr>
            <w:r>
              <w:rPr>
                <w:b w:val="0"/>
              </w:rPr>
              <w:t xml:space="preserve">Box </w:t>
            </w:r>
            <w:r w:rsidR="008C30D0">
              <w:rPr>
                <w:b w:val="0"/>
              </w:rPr>
              <w:t>G.</w:t>
            </w:r>
            <w:r w:rsidR="00D15E8B">
              <w:rPr>
                <w:b w:val="0"/>
                <w:noProof/>
              </w:rPr>
              <w:t>4</w:t>
            </w:r>
            <w:r w:rsidR="008C30D0">
              <w:tab/>
            </w:r>
            <w:r w:rsidR="008C30D0" w:rsidRPr="008C30D0">
              <w:t>Objectives for housing and homelessness services</w:t>
            </w:r>
          </w:p>
        </w:tc>
      </w:tr>
      <w:tr w:rsidR="0068269E" w:rsidTr="00372EF5">
        <w:trPr>
          <w:cantSplit/>
        </w:trPr>
        <w:tc>
          <w:tcPr>
            <w:tcW w:w="5000" w:type="pct"/>
            <w:tcBorders>
              <w:top w:val="nil"/>
              <w:left w:val="nil"/>
              <w:bottom w:val="nil"/>
              <w:right w:val="nil"/>
            </w:tcBorders>
            <w:shd w:val="clear" w:color="auto" w:fill="F2F2F2" w:themeFill="background1" w:themeFillShade="F2"/>
          </w:tcPr>
          <w:p w:rsidR="008C30D0" w:rsidRPr="008C30D0" w:rsidRDefault="008C30D0" w:rsidP="008C30D0">
            <w:pPr>
              <w:pStyle w:val="Box"/>
            </w:pPr>
            <w:r w:rsidRPr="008C30D0">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r w:rsidR="00860D6B">
              <w:t xml:space="preserve"> </w:t>
            </w:r>
            <w:r w:rsidRPr="008C30D0">
              <w:t>The specific objectives of the services that comprise the housing and homelessness services sector are summarised below:</w:t>
            </w:r>
          </w:p>
          <w:p w:rsidR="008C30D0" w:rsidRPr="008C30D0" w:rsidRDefault="008C30D0" w:rsidP="00342F6F">
            <w:pPr>
              <w:pStyle w:val="Box"/>
            </w:pPr>
            <w:r w:rsidRPr="008C30D0">
              <w:rPr>
                <w:i/>
              </w:rPr>
              <w:t>Social housing</w:t>
            </w:r>
            <w:r w:rsidRPr="008C30D0">
              <w:t xml:space="preserve"> </w:t>
            </w:r>
            <w:r w:rsidR="0048170E" w:rsidRPr="0048170E">
              <w:rPr>
                <w:i/>
              </w:rPr>
              <w:t xml:space="preserve">assistance </w:t>
            </w:r>
            <w:r w:rsidRPr="008C30D0">
              <w:t xml:space="preserve">aims to </w:t>
            </w:r>
            <w:r w:rsidR="00B978FC" w:rsidRPr="008C30D0">
              <w:t>help</w:t>
            </w:r>
            <w:r w:rsidRPr="008C30D0">
              <w:t xml:space="preserve"> people unable to access alternative </w:t>
            </w:r>
            <w:r w:rsidR="00062C30">
              <w:t xml:space="preserve">suitable </w:t>
            </w:r>
            <w:r w:rsidRPr="008C30D0">
              <w:t>housing options, through the delivery of affordable, appropriate, flexi</w:t>
            </w:r>
            <w:r w:rsidR="00225554">
              <w:t>ble and diverse social housing</w:t>
            </w:r>
            <w:r w:rsidR="00B978FC">
              <w:t xml:space="preserve"> that meets their needs;</w:t>
            </w:r>
            <w:r w:rsidR="007254F6">
              <w:t xml:space="preserve"> and for Aboriginal and Torres Strait Islander people to have improved amenity and reduced overcrowding</w:t>
            </w:r>
            <w:r w:rsidR="00225554">
              <w:t xml:space="preserve"> </w:t>
            </w:r>
            <w:r w:rsidRPr="008C30D0">
              <w:t>(chapter 17).</w:t>
            </w:r>
          </w:p>
          <w:p w:rsidR="0068269E" w:rsidRDefault="008C30D0" w:rsidP="00225554">
            <w:pPr>
              <w:pStyle w:val="Box"/>
            </w:pPr>
            <w:r w:rsidRPr="008C30D0">
              <w:rPr>
                <w:i/>
              </w:rPr>
              <w:t>Government funded specialist homelessness services</w:t>
            </w:r>
            <w:r w:rsidRPr="008C30D0">
              <w:t xml:space="preserve"> aim to provide transitional supported accommodation and a range of related support services, to help people who are homeless or at imminent </w:t>
            </w:r>
            <w:r w:rsidR="00F6267F">
              <w:t>risk of homelessness to achieve</w:t>
            </w:r>
            <w:r w:rsidR="00225554">
              <w:t xml:space="preserve"> the maximum possible degree of self</w:t>
            </w:r>
            <w:r w:rsidR="00C9055F">
              <w:noBreakHyphen/>
            </w:r>
            <w:r w:rsidR="00225554">
              <w:t xml:space="preserve">reliance and independence </w:t>
            </w:r>
            <w:r w:rsidR="00D709C6">
              <w:t>(chapter </w:t>
            </w:r>
            <w:r w:rsidRPr="008C30D0">
              <w:t>18).</w:t>
            </w:r>
          </w:p>
        </w:tc>
      </w:tr>
      <w:tr w:rsidR="0068269E" w:rsidTr="00372EF5">
        <w:trPr>
          <w:cantSplit/>
        </w:trPr>
        <w:tc>
          <w:tcPr>
            <w:tcW w:w="5000" w:type="pct"/>
            <w:tcBorders>
              <w:top w:val="nil"/>
              <w:left w:val="nil"/>
              <w:bottom w:val="nil"/>
              <w:right w:val="nil"/>
            </w:tcBorders>
            <w:shd w:val="clear" w:color="auto" w:fill="F2F2F2" w:themeFill="background1" w:themeFillShade="F2"/>
          </w:tcPr>
          <w:p w:rsidR="0068269E" w:rsidRDefault="0068269E" w:rsidP="00E334E3">
            <w:pPr>
              <w:pStyle w:val="BoxSource"/>
            </w:pPr>
            <w:r>
              <w:rPr>
                <w:i/>
              </w:rPr>
              <w:t>Sourc</w:t>
            </w:r>
            <w:r w:rsidR="008C30D0">
              <w:rPr>
                <w:i/>
              </w:rPr>
              <w:t>e</w:t>
            </w:r>
            <w:r w:rsidR="00EF7A81">
              <w:rPr>
                <w:i/>
              </w:rPr>
              <w:t>s</w:t>
            </w:r>
            <w:r w:rsidRPr="00167F06">
              <w:t xml:space="preserve">: </w:t>
            </w:r>
            <w:r w:rsidR="00225554">
              <w:t>COAG (2012); C</w:t>
            </w:r>
            <w:r w:rsidR="008C30D0" w:rsidRPr="008C30D0">
              <w:t>hapters 17 and 18</w:t>
            </w:r>
            <w:r w:rsidR="008C30D0">
              <w:t>.</w:t>
            </w:r>
          </w:p>
        </w:tc>
      </w:tr>
      <w:tr w:rsidR="0068269E" w:rsidTr="00372EF5">
        <w:trPr>
          <w:cantSplit/>
        </w:trPr>
        <w:tc>
          <w:tcPr>
            <w:tcW w:w="5000" w:type="pct"/>
            <w:tcBorders>
              <w:top w:val="nil"/>
              <w:left w:val="nil"/>
              <w:bottom w:val="single" w:sz="6" w:space="0" w:color="78A22F"/>
              <w:right w:val="nil"/>
            </w:tcBorders>
            <w:shd w:val="clear" w:color="auto" w:fill="F2F2F2" w:themeFill="background1" w:themeFillShade="F2"/>
          </w:tcPr>
          <w:p w:rsidR="0068269E" w:rsidRDefault="0068269E">
            <w:pPr>
              <w:pStyle w:val="Box"/>
              <w:spacing w:before="0" w:line="120" w:lineRule="exact"/>
            </w:pPr>
          </w:p>
        </w:tc>
      </w:tr>
      <w:tr w:rsidR="0068269E" w:rsidRPr="000863A5" w:rsidTr="00372EF5">
        <w:tc>
          <w:tcPr>
            <w:tcW w:w="5000" w:type="pct"/>
            <w:tcBorders>
              <w:top w:val="single" w:sz="6" w:space="0" w:color="78A22F"/>
              <w:left w:val="nil"/>
              <w:bottom w:val="nil"/>
              <w:right w:val="nil"/>
            </w:tcBorders>
          </w:tcPr>
          <w:p w:rsidR="0068269E" w:rsidRPr="00626D32" w:rsidRDefault="0068269E" w:rsidP="00AB5A61">
            <w:pPr>
              <w:pStyle w:val="BoxSpaceBelow"/>
            </w:pPr>
          </w:p>
        </w:tc>
      </w:tr>
    </w:tbl>
    <w:p w:rsidR="00440110" w:rsidRDefault="00C066DD" w:rsidP="005A1BAE">
      <w:pPr>
        <w:pStyle w:val="Heading2"/>
      </w:pPr>
      <w:bookmarkStart w:id="9" w:name="_Toc306106366"/>
      <w:bookmarkStart w:id="10" w:name="_Toc401736868"/>
      <w:bookmarkStart w:id="11" w:name="_Toc439927311"/>
      <w:r>
        <w:t>G.</w:t>
      </w:r>
      <w:r w:rsidR="00561A56">
        <w:rPr>
          <w:noProof/>
        </w:rPr>
        <w:t>2</w:t>
      </w:r>
      <w:r>
        <w:tab/>
      </w:r>
      <w:r w:rsidR="00440110">
        <w:t xml:space="preserve">Sector performance </w:t>
      </w:r>
      <w:r w:rsidR="00440110" w:rsidRPr="005A1BAE">
        <w:t>indicator</w:t>
      </w:r>
      <w:r w:rsidR="00440110">
        <w:t xml:space="preserve"> framework</w:t>
      </w:r>
      <w:bookmarkEnd w:id="9"/>
      <w:bookmarkEnd w:id="10"/>
      <w:bookmarkEnd w:id="11"/>
    </w:p>
    <w:p w:rsidR="00440110" w:rsidRPr="00463099" w:rsidRDefault="00440110" w:rsidP="00440110">
      <w:pPr>
        <w:pStyle w:val="BodyText"/>
      </w:pPr>
      <w:r w:rsidRPr="00463099">
        <w:t xml:space="preserve">This </w:t>
      </w:r>
      <w:r w:rsidR="00BB2E89" w:rsidRPr="00463099">
        <w:t>sector overview</w:t>
      </w:r>
      <w:r w:rsidRPr="00463099">
        <w:t xml:space="preserve"> is based on a sector performance indicator framework (figure </w:t>
      </w:r>
      <w:r w:rsidR="00D90830" w:rsidRPr="00463099">
        <w:t>G.2</w:t>
      </w:r>
      <w:r w:rsidRPr="00463099">
        <w:t>). This framework is made up of the following elements:</w:t>
      </w:r>
    </w:p>
    <w:p w:rsidR="00440110" w:rsidRDefault="00440110" w:rsidP="00440110">
      <w:pPr>
        <w:pStyle w:val="ListBullet"/>
      </w:pPr>
      <w:r>
        <w:t xml:space="preserve">Sector </w:t>
      </w:r>
      <w:r w:rsidR="008953B9">
        <w:t xml:space="preserve">objectives </w:t>
      </w:r>
      <w:r>
        <w:t xml:space="preserve">— three sector </w:t>
      </w:r>
      <w:r w:rsidR="008953B9">
        <w:t xml:space="preserve">objectives </w:t>
      </w:r>
      <w:r>
        <w:t xml:space="preserve">are </w:t>
      </w:r>
      <w:r w:rsidR="008953B9">
        <w:t>a précis of</w:t>
      </w:r>
      <w:r>
        <w:t xml:space="preserve"> the key objectives of housing and homelessness services and reflect the outcomes in the NAHA.</w:t>
      </w:r>
    </w:p>
    <w:p w:rsidR="00440110" w:rsidRDefault="00440110" w:rsidP="00440110">
      <w:pPr>
        <w:pStyle w:val="ListBullet"/>
      </w:pPr>
      <w:r>
        <w:t>Sector</w:t>
      </w:r>
      <w:r w:rsidR="00C9055F">
        <w:noBreakHyphen/>
      </w:r>
      <w:r>
        <w:t>wide indicators — three</w:t>
      </w:r>
      <w:r w:rsidR="0098507D">
        <w:t xml:space="preserve"> sector</w:t>
      </w:r>
      <w:r w:rsidR="00C9055F">
        <w:noBreakHyphen/>
      </w:r>
      <w:r w:rsidR="0098507D">
        <w:t>wide indicators relate</w:t>
      </w:r>
      <w:r>
        <w:t xml:space="preserve"> to the overarching service sector objectives.</w:t>
      </w:r>
    </w:p>
    <w:p w:rsidR="00440110" w:rsidRDefault="00440110" w:rsidP="00440110">
      <w:pPr>
        <w:pStyle w:val="ListBullet"/>
      </w:pPr>
      <w:r>
        <w:lastRenderedPageBreak/>
        <w:t>Information from the service</w:t>
      </w:r>
      <w:r w:rsidR="00C9055F">
        <w:noBreakHyphen/>
      </w:r>
      <w:r>
        <w:t>specific performance indicator frameworks that relate to housing and homelessness services. Discussed in more detail in chapters</w:t>
      </w:r>
      <w:r w:rsidR="004410B3">
        <w:t> </w:t>
      </w:r>
      <w:r>
        <w:t>1</w:t>
      </w:r>
      <w:r w:rsidR="004410B3">
        <w:t>7</w:t>
      </w:r>
      <w:r>
        <w:t xml:space="preserve"> and 1</w:t>
      </w:r>
      <w:r w:rsidR="004410B3">
        <w:t>8</w:t>
      </w:r>
      <w:r>
        <w:t>, the service</w:t>
      </w:r>
      <w:r w:rsidR="00C9055F">
        <w:noBreakHyphen/>
      </w:r>
      <w:r>
        <w:t xml:space="preserve">specific frameworks provide comprehensive information on the equity, effectiveness and efficiency of </w:t>
      </w:r>
      <w:r w:rsidR="0098507D">
        <w:t xml:space="preserve">these </w:t>
      </w:r>
      <w:r>
        <w:t>services.</w:t>
      </w:r>
    </w:p>
    <w:p w:rsidR="00863844" w:rsidRDefault="00863844" w:rsidP="00933E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63844" w:rsidTr="00933EEE">
        <w:tc>
          <w:tcPr>
            <w:tcW w:w="8771" w:type="dxa"/>
            <w:tcBorders>
              <w:top w:val="single" w:sz="6" w:space="0" w:color="78A22F"/>
              <w:left w:val="nil"/>
              <w:bottom w:val="nil"/>
              <w:right w:val="nil"/>
            </w:tcBorders>
            <w:shd w:val="clear" w:color="auto" w:fill="auto"/>
          </w:tcPr>
          <w:p w:rsidR="00863844" w:rsidRPr="00176D3F" w:rsidRDefault="00863844" w:rsidP="003944A4">
            <w:pPr>
              <w:pStyle w:val="FigureTitle"/>
              <w:spacing w:after="0"/>
            </w:pPr>
            <w:r w:rsidRPr="00784A05">
              <w:rPr>
                <w:b w:val="0"/>
              </w:rPr>
              <w:t xml:space="preserve">Figure </w:t>
            </w:r>
            <w:r>
              <w:rPr>
                <w:b w:val="0"/>
              </w:rPr>
              <w:t>G.</w:t>
            </w:r>
            <w:r w:rsidR="006359A6">
              <w:rPr>
                <w:b w:val="0"/>
                <w:noProof/>
              </w:rPr>
              <w:t>2</w:t>
            </w:r>
            <w:r>
              <w:tab/>
              <w:t>Housing and homelessness services sector performance indicator framework</w:t>
            </w:r>
          </w:p>
        </w:tc>
      </w:tr>
      <w:tr w:rsidR="00863844" w:rsidTr="00A5136F">
        <w:tc>
          <w:tcPr>
            <w:tcW w:w="8771" w:type="dxa"/>
            <w:tcBorders>
              <w:top w:val="nil"/>
              <w:left w:val="nil"/>
              <w:bottom w:val="nil"/>
              <w:right w:val="nil"/>
            </w:tcBorders>
            <w:shd w:val="clear" w:color="auto" w:fill="auto"/>
            <w:tcMar>
              <w:top w:w="28" w:type="dxa"/>
              <w:bottom w:w="28" w:type="dxa"/>
            </w:tcMar>
          </w:tcPr>
          <w:p w:rsidR="00863844" w:rsidRPr="00A5136F" w:rsidRDefault="00E67F9A" w:rsidP="00A5136F">
            <w:pPr>
              <w:pStyle w:val="Figure"/>
            </w:pPr>
            <w:r>
              <w:rPr>
                <w:noProof/>
              </w:rPr>
              <w:drawing>
                <wp:inline distT="0" distB="0" distL="0" distR="0" wp14:anchorId="62FB5D4E" wp14:editId="60376BC0">
                  <wp:extent cx="5380355" cy="6528435"/>
                  <wp:effectExtent l="0" t="0" r="0" b="0"/>
                  <wp:docPr id="1" name="Picture 1" descr="Figure G.2 Housing and homelessness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0355" cy="6528435"/>
                          </a:xfrm>
                          <a:prstGeom prst="rect">
                            <a:avLst/>
                          </a:prstGeom>
                          <a:noFill/>
                          <a:ln>
                            <a:noFill/>
                          </a:ln>
                        </pic:spPr>
                      </pic:pic>
                    </a:graphicData>
                  </a:graphic>
                </wp:inline>
              </w:drawing>
            </w:r>
          </w:p>
        </w:tc>
      </w:tr>
      <w:tr w:rsidR="00863844" w:rsidRPr="000863A5" w:rsidTr="00933EEE">
        <w:tc>
          <w:tcPr>
            <w:tcW w:w="8771" w:type="dxa"/>
            <w:tcBorders>
              <w:top w:val="single" w:sz="6" w:space="0" w:color="78A22F"/>
              <w:left w:val="nil"/>
              <w:bottom w:val="nil"/>
              <w:right w:val="nil"/>
            </w:tcBorders>
          </w:tcPr>
          <w:p w:rsidR="00863844" w:rsidRPr="00626D32" w:rsidRDefault="00863844" w:rsidP="00933EEE">
            <w:pPr>
              <w:pStyle w:val="BoxSpaceBelow"/>
            </w:pPr>
          </w:p>
        </w:tc>
      </w:tr>
    </w:tbl>
    <w:p w:rsidR="00297BD1" w:rsidRDefault="00297BD1" w:rsidP="00297BD1">
      <w:pPr>
        <w:pStyle w:val="BodyText"/>
      </w:pPr>
      <w:r>
        <w:lastRenderedPageBreak/>
        <w:t xml:space="preserve">This sector overview provides an </w:t>
      </w:r>
      <w:r w:rsidRPr="00CF7D56">
        <w:t>overview</w:t>
      </w:r>
      <w:r w:rsidRPr="004F7C55">
        <w:t xml:space="preserve"> </w:t>
      </w:r>
      <w:r>
        <w:t xml:space="preserve">of relevant performance information. </w:t>
      </w:r>
      <w:r w:rsidRPr="004F7C55">
        <w:t>Chapters</w:t>
      </w:r>
      <w:r>
        <w:t xml:space="preserve"> 17 and 18 </w:t>
      </w:r>
      <w:r w:rsidRPr="004F7C55">
        <w:t xml:space="preserve">and their associated attachment tables provide </w:t>
      </w:r>
      <w:r>
        <w:t xml:space="preserve">more detailed </w:t>
      </w:r>
      <w:r w:rsidRPr="004F7C55">
        <w:t>information</w:t>
      </w:r>
      <w:r w:rsidRPr="00FB2E43">
        <w:t>.</w:t>
      </w:r>
      <w:r>
        <w:t xml:space="preserve"> </w:t>
      </w:r>
    </w:p>
    <w:p w:rsidR="005D7553" w:rsidRDefault="005D7553" w:rsidP="005D7553">
      <w:pPr>
        <w:pStyle w:val="Heading3"/>
      </w:pPr>
      <w:r>
        <w:t>Sector</w:t>
      </w:r>
      <w:r>
        <w:noBreakHyphen/>
        <w:t>wide indicators</w:t>
      </w:r>
    </w:p>
    <w:p w:rsidR="004D31FC" w:rsidRDefault="004D31FC" w:rsidP="004D31FC">
      <w:pPr>
        <w:pStyle w:val="BodyText"/>
      </w:pPr>
      <w:r w:rsidRPr="00503BD1">
        <w:t xml:space="preserve">This section includes high level indicators of </w:t>
      </w:r>
      <w:r>
        <w:t xml:space="preserve">housing and homelessness </w:t>
      </w:r>
      <w:r w:rsidRPr="00503BD1">
        <w:t xml:space="preserve">outcomes. </w:t>
      </w:r>
      <w:r>
        <w:t>While m</w:t>
      </w:r>
      <w:r w:rsidRPr="00503BD1">
        <w:t xml:space="preserve">any factors </w:t>
      </w:r>
      <w:r>
        <w:t>affect</w:t>
      </w:r>
      <w:r w:rsidRPr="00503BD1">
        <w:t xml:space="preserve"> outcomes — not solely the performance of government services —</w:t>
      </w:r>
      <w:r>
        <w:t xml:space="preserve"> </w:t>
      </w:r>
      <w:r w:rsidRPr="00503BD1">
        <w:t>outcomes inform the development of appropriate policies and delivery of government services.</w:t>
      </w:r>
    </w:p>
    <w:p w:rsidR="004D31FC" w:rsidRDefault="004D31FC" w:rsidP="00B71F30">
      <w:pPr>
        <w:pStyle w:val="BodyText"/>
      </w:pPr>
      <w:r w:rsidRPr="00DA4A32">
        <w:t>Data Quality Information (DQI) is included where available for performance indicators in this Report. The purpose of DQI is to provide structured and consistent information about</w:t>
      </w:r>
      <w:r w:rsidR="009A31AE">
        <w:t xml:space="preserve"> the</w:t>
      </w:r>
      <w:r w:rsidRPr="00DA4A32">
        <w:t xml:space="preserve"> quality of data used to report on performance indicators, in addition to material in the chapter or sector overview and attachment tables. All DQI for the 2016 Report can be found at www.pc.gov.au/</w:t>
      </w:r>
      <w:proofErr w:type="spellStart"/>
      <w:r w:rsidRPr="00DA4A32">
        <w:t>rogs</w:t>
      </w:r>
      <w:proofErr w:type="spellEnd"/>
      <w:r w:rsidRPr="00DA4A32">
        <w:t>/2016.</w:t>
      </w:r>
    </w:p>
    <w:p w:rsidR="00E91696" w:rsidRDefault="00E91696" w:rsidP="00C51E13">
      <w:pPr>
        <w:pStyle w:val="Heading4"/>
        <w:spacing w:before="360"/>
      </w:pPr>
      <w:r>
        <w:t>Low income households in rental stress</w:t>
      </w:r>
    </w:p>
    <w:p w:rsidR="00A50F2D" w:rsidRPr="005341CB" w:rsidRDefault="00E91696" w:rsidP="005341CB">
      <w:pPr>
        <w:pStyle w:val="BodyText"/>
      </w:pPr>
      <w:r w:rsidRPr="005341CB">
        <w:t>‘Low income households in rental stress’ is an indicator of governments’ objective to provide affordable housing to assist people who are unable to access suitable housing (box</w:t>
      </w:r>
      <w:r w:rsidR="003448E1" w:rsidRPr="005341CB">
        <w:t> </w:t>
      </w:r>
      <w:r w:rsidR="00D15E8B">
        <w:t>G.5</w:t>
      </w:r>
      <w:r w:rsidRPr="005341CB">
        <w:t>).</w:t>
      </w:r>
      <w:r w:rsidR="00D30183">
        <w:t xml:space="preserve"> </w:t>
      </w:r>
    </w:p>
    <w:p w:rsidR="00A517E9" w:rsidRDefault="00A517E9">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A517E9" w:rsidTr="006E4606">
        <w:tc>
          <w:tcPr>
            <w:tcW w:w="5000" w:type="pct"/>
            <w:tcBorders>
              <w:top w:val="single" w:sz="6" w:space="0" w:color="78A22F"/>
              <w:left w:val="nil"/>
              <w:bottom w:val="nil"/>
              <w:right w:val="nil"/>
            </w:tcBorders>
            <w:shd w:val="clear" w:color="auto" w:fill="F2F2F2" w:themeFill="background1" w:themeFillShade="F2"/>
          </w:tcPr>
          <w:p w:rsidR="00A517E9" w:rsidRDefault="00A517E9" w:rsidP="00A517E9">
            <w:pPr>
              <w:pStyle w:val="BoxTitle"/>
            </w:pPr>
            <w:r>
              <w:rPr>
                <w:b w:val="0"/>
              </w:rPr>
              <w:t>Box G.</w:t>
            </w:r>
            <w:r w:rsidR="00D15E8B">
              <w:rPr>
                <w:b w:val="0"/>
                <w:noProof/>
              </w:rPr>
              <w:t>5</w:t>
            </w:r>
            <w:r>
              <w:tab/>
            </w:r>
            <w:r w:rsidRPr="00A517E9">
              <w:t>Low income households in rental stress</w:t>
            </w:r>
          </w:p>
        </w:tc>
      </w:tr>
      <w:tr w:rsidR="00A517E9" w:rsidTr="006E4606">
        <w:trPr>
          <w:cantSplit/>
        </w:trPr>
        <w:tc>
          <w:tcPr>
            <w:tcW w:w="5000" w:type="pct"/>
            <w:tcBorders>
              <w:top w:val="nil"/>
              <w:left w:val="nil"/>
              <w:bottom w:val="nil"/>
              <w:right w:val="nil"/>
            </w:tcBorders>
            <w:shd w:val="clear" w:color="auto" w:fill="F2F2F2" w:themeFill="background1" w:themeFillShade="F2"/>
          </w:tcPr>
          <w:p w:rsidR="00A517E9" w:rsidRPr="00A517E9" w:rsidRDefault="00A517E9" w:rsidP="00A517E9">
            <w:pPr>
              <w:pStyle w:val="Box"/>
            </w:pPr>
            <w:r w:rsidRPr="00A517E9">
              <w:t>‘Low income households in rental stress’ is defined as the proportion of low income renter households spending more than 30 per cent of their gross household income on rent.</w:t>
            </w:r>
          </w:p>
          <w:p w:rsidR="00A517E9" w:rsidRPr="00A517E9" w:rsidRDefault="00A517E9" w:rsidP="00A517E9">
            <w:pPr>
              <w:pStyle w:val="Box"/>
            </w:pPr>
            <w:r w:rsidRPr="00A517E9">
              <w:t xml:space="preserve">Low income renter households are defined as those </w:t>
            </w:r>
            <w:r w:rsidR="009A31AE">
              <w:t xml:space="preserve">with </w:t>
            </w:r>
            <w:r w:rsidR="009A31AE" w:rsidRPr="00A517E9">
              <w:t xml:space="preserve">equivalised disposable household incomes </w:t>
            </w:r>
            <w:r w:rsidR="009A31AE">
              <w:t>in the bottom 40 per cent</w:t>
            </w:r>
            <w:r w:rsidRPr="00A517E9">
              <w:t xml:space="preserve">. Equivalised disposable income is an indicator of disposable household income after taking into account household size and composition (ABS </w:t>
            </w:r>
            <w:proofErr w:type="spellStart"/>
            <w:r w:rsidRPr="00A517E9">
              <w:t>2010a</w:t>
            </w:r>
            <w:proofErr w:type="spellEnd"/>
            <w:r w:rsidRPr="00A517E9">
              <w:t xml:space="preserve">). Household income and rent expenditure exclude </w:t>
            </w:r>
            <w:r w:rsidR="00FD539C">
              <w:t>CRA.</w:t>
            </w:r>
          </w:p>
          <w:p w:rsidR="00A517E9" w:rsidRPr="00A517E9" w:rsidRDefault="00A517E9" w:rsidP="00A517E9">
            <w:pPr>
              <w:pStyle w:val="Box"/>
            </w:pPr>
            <w:r w:rsidRPr="00A517E9">
              <w:t>A low or decreasing proportion of households in rental stress implies greater housing affordability.</w:t>
            </w:r>
            <w:r w:rsidR="004D31FC">
              <w:t xml:space="preserve"> </w:t>
            </w:r>
            <w:r w:rsidRPr="00A517E9">
              <w:t>The housing outcome indicator ‘affordability’ provides additional information on rental stress (chapter 17).</w:t>
            </w:r>
            <w:r w:rsidR="002E33D2">
              <w:t xml:space="preserve"> Data include 95 per cent confidence intervals (in the form of error bars in figures). </w:t>
            </w:r>
            <w:r w:rsidRPr="00A517E9">
              <w:t>Data reported for these measures are:</w:t>
            </w:r>
          </w:p>
          <w:p w:rsidR="00A517E9" w:rsidRPr="00A517E9" w:rsidRDefault="00A517E9" w:rsidP="00A517E9">
            <w:pPr>
              <w:pStyle w:val="Box"/>
              <w:numPr>
                <w:ilvl w:val="0"/>
                <w:numId w:val="1"/>
              </w:numPr>
            </w:pPr>
            <w:r w:rsidRPr="00A517E9">
              <w:t>comparable (subject to caveats) across jurisdictions and over time</w:t>
            </w:r>
          </w:p>
          <w:p w:rsidR="002E33D2" w:rsidRDefault="00A517E9" w:rsidP="002E33D2">
            <w:pPr>
              <w:pStyle w:val="Box"/>
              <w:numPr>
                <w:ilvl w:val="0"/>
                <w:numId w:val="1"/>
              </w:numPr>
            </w:pPr>
            <w:r w:rsidRPr="00A517E9">
              <w:t>complete for the current rep</w:t>
            </w:r>
            <w:r w:rsidR="00FD539C">
              <w:t xml:space="preserve">orting period. All required </w:t>
            </w:r>
            <w:r w:rsidRPr="00A517E9">
              <w:t>201</w:t>
            </w:r>
            <w:r w:rsidR="00871DC1">
              <w:t>3</w:t>
            </w:r>
            <w:r w:rsidR="00080F6D">
              <w:noBreakHyphen/>
            </w:r>
            <w:r w:rsidR="00871DC1">
              <w:t>14</w:t>
            </w:r>
            <w:r w:rsidRPr="00A517E9">
              <w:t xml:space="preserve"> data are available for all jurisdictions.</w:t>
            </w:r>
          </w:p>
          <w:p w:rsidR="00A517E9" w:rsidRDefault="00644B84" w:rsidP="00A517E9">
            <w:pPr>
              <w:pStyle w:val="Box"/>
            </w:pPr>
            <w:r w:rsidRPr="006F328C">
              <w:t>Data quality information for this indicator</w:t>
            </w:r>
            <w:r>
              <w:t xml:space="preserve"> is at www.pc.gov.au/</w:t>
            </w:r>
            <w:proofErr w:type="spellStart"/>
            <w:r>
              <w:t>rogs</w:t>
            </w:r>
            <w:proofErr w:type="spellEnd"/>
            <w:r>
              <w:t>/2016</w:t>
            </w:r>
            <w:r w:rsidRPr="006F328C">
              <w:t>.</w:t>
            </w:r>
          </w:p>
        </w:tc>
      </w:tr>
      <w:tr w:rsidR="00A517E9" w:rsidTr="006E4606">
        <w:trPr>
          <w:cantSplit/>
        </w:trPr>
        <w:tc>
          <w:tcPr>
            <w:tcW w:w="5000" w:type="pct"/>
            <w:tcBorders>
              <w:top w:val="nil"/>
              <w:left w:val="nil"/>
              <w:bottom w:val="single" w:sz="6" w:space="0" w:color="78A22F"/>
              <w:right w:val="nil"/>
            </w:tcBorders>
            <w:shd w:val="clear" w:color="auto" w:fill="F2F2F2" w:themeFill="background1" w:themeFillShade="F2"/>
          </w:tcPr>
          <w:p w:rsidR="00A517E9" w:rsidRDefault="00A517E9">
            <w:pPr>
              <w:pStyle w:val="Box"/>
              <w:spacing w:before="0" w:line="120" w:lineRule="exact"/>
            </w:pPr>
          </w:p>
        </w:tc>
      </w:tr>
      <w:tr w:rsidR="00A517E9" w:rsidRPr="000863A5" w:rsidTr="006E4606">
        <w:tc>
          <w:tcPr>
            <w:tcW w:w="5000" w:type="pct"/>
            <w:tcBorders>
              <w:top w:val="single" w:sz="6" w:space="0" w:color="78A22F"/>
              <w:left w:val="nil"/>
              <w:bottom w:val="nil"/>
              <w:right w:val="nil"/>
            </w:tcBorders>
          </w:tcPr>
          <w:p w:rsidR="00A517E9" w:rsidRPr="00626D32" w:rsidRDefault="00A517E9" w:rsidP="00AB5A61">
            <w:pPr>
              <w:pStyle w:val="BoxSpaceBelow"/>
            </w:pPr>
          </w:p>
        </w:tc>
      </w:tr>
    </w:tbl>
    <w:p w:rsidR="00A50F2D" w:rsidRDefault="009B3C11" w:rsidP="003448E1">
      <w:pPr>
        <w:pStyle w:val="BodyText"/>
        <w:spacing w:after="240"/>
        <w:rPr>
          <w:color w:val="000000" w:themeColor="text1"/>
        </w:rPr>
      </w:pPr>
      <w:r w:rsidRPr="00CE5578">
        <w:rPr>
          <w:color w:val="000000" w:themeColor="text1"/>
        </w:rPr>
        <w:t xml:space="preserve">Nationally, the proportion of low income </w:t>
      </w:r>
      <w:r w:rsidR="005A15F4" w:rsidRPr="00463099">
        <w:t>renter</w:t>
      </w:r>
      <w:r w:rsidR="005A15F4">
        <w:rPr>
          <w:color w:val="000000" w:themeColor="text1"/>
        </w:rPr>
        <w:t xml:space="preserve"> </w:t>
      </w:r>
      <w:r w:rsidRPr="00CE5578">
        <w:rPr>
          <w:color w:val="000000" w:themeColor="text1"/>
        </w:rPr>
        <w:t>households in rental stress increased from 3</w:t>
      </w:r>
      <w:r w:rsidR="00470F7C" w:rsidRPr="00CE5578">
        <w:rPr>
          <w:color w:val="000000" w:themeColor="text1"/>
        </w:rPr>
        <w:t>5.4</w:t>
      </w:r>
      <w:r w:rsidR="002F7031">
        <w:rPr>
          <w:color w:val="000000" w:themeColor="text1"/>
        </w:rPr>
        <w:t> </w:t>
      </w:r>
      <w:r w:rsidRPr="00CE5578">
        <w:rPr>
          <w:color w:val="000000" w:themeColor="text1"/>
        </w:rPr>
        <w:t>per</w:t>
      </w:r>
      <w:r w:rsidR="002F7031">
        <w:rPr>
          <w:color w:val="000000" w:themeColor="text1"/>
        </w:rPr>
        <w:t> </w:t>
      </w:r>
      <w:r w:rsidRPr="00CE5578">
        <w:rPr>
          <w:color w:val="000000" w:themeColor="text1"/>
        </w:rPr>
        <w:t>cent in 2007</w:t>
      </w:r>
      <w:r w:rsidR="00080F6D">
        <w:rPr>
          <w:color w:val="000000" w:themeColor="text1"/>
        </w:rPr>
        <w:noBreakHyphen/>
      </w:r>
      <w:r w:rsidRPr="00CE5578">
        <w:rPr>
          <w:color w:val="000000" w:themeColor="text1"/>
        </w:rPr>
        <w:t>08</w:t>
      </w:r>
      <w:r w:rsidRPr="00562635">
        <w:rPr>
          <w:color w:val="000000" w:themeColor="text1"/>
        </w:rPr>
        <w:t xml:space="preserve"> to </w:t>
      </w:r>
      <w:r w:rsidR="00461BF9" w:rsidRPr="00461BF9">
        <w:t>4</w:t>
      </w:r>
      <w:r w:rsidR="00877B6F">
        <w:t>2</w:t>
      </w:r>
      <w:r w:rsidR="00461BF9" w:rsidRPr="00461BF9">
        <w:t>.5</w:t>
      </w:r>
      <w:r w:rsidR="00562635" w:rsidRPr="00461BF9">
        <w:t xml:space="preserve"> </w:t>
      </w:r>
      <w:r w:rsidR="00D14A5E" w:rsidRPr="00461BF9">
        <w:t>p</w:t>
      </w:r>
      <w:r w:rsidRPr="00461BF9">
        <w:t>er cent</w:t>
      </w:r>
      <w:r w:rsidRPr="00562635">
        <w:rPr>
          <w:color w:val="000000" w:themeColor="text1"/>
        </w:rPr>
        <w:t xml:space="preserve"> in 20</w:t>
      </w:r>
      <w:r w:rsidR="00D14A5E" w:rsidRPr="00562635">
        <w:rPr>
          <w:color w:val="000000" w:themeColor="text1"/>
        </w:rPr>
        <w:t>1</w:t>
      </w:r>
      <w:r w:rsidR="00634142">
        <w:rPr>
          <w:color w:val="000000" w:themeColor="text1"/>
        </w:rPr>
        <w:t>3</w:t>
      </w:r>
      <w:r w:rsidR="00080F6D">
        <w:rPr>
          <w:color w:val="000000" w:themeColor="text1"/>
        </w:rPr>
        <w:noBreakHyphen/>
      </w:r>
      <w:r w:rsidRPr="00562635">
        <w:rPr>
          <w:color w:val="000000" w:themeColor="text1"/>
        </w:rPr>
        <w:t>1</w:t>
      </w:r>
      <w:r w:rsidR="00634142">
        <w:rPr>
          <w:color w:val="000000" w:themeColor="text1"/>
        </w:rPr>
        <w:t>4</w:t>
      </w:r>
      <w:r w:rsidRPr="00562635">
        <w:rPr>
          <w:color w:val="000000" w:themeColor="text1"/>
        </w:rPr>
        <w:t xml:space="preserve">, though this varied across jurisdictions (figure </w:t>
      </w:r>
      <w:r w:rsidR="006359A6">
        <w:rPr>
          <w:color w:val="000000" w:themeColor="text1"/>
        </w:rPr>
        <w:t>G.3</w:t>
      </w:r>
      <w:r w:rsidRPr="00562635">
        <w:rPr>
          <w:color w:val="000000" w:themeColor="text1"/>
        </w:rPr>
        <w:t>).</w:t>
      </w:r>
    </w:p>
    <w:p w:rsidR="00A5136F" w:rsidRDefault="00A5136F" w:rsidP="00A513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136F" w:rsidTr="00A5136F">
        <w:tc>
          <w:tcPr>
            <w:tcW w:w="8771" w:type="dxa"/>
            <w:tcBorders>
              <w:top w:val="single" w:sz="6" w:space="0" w:color="78A22F"/>
              <w:left w:val="nil"/>
              <w:bottom w:val="nil"/>
              <w:right w:val="nil"/>
            </w:tcBorders>
            <w:shd w:val="clear" w:color="auto" w:fill="auto"/>
          </w:tcPr>
          <w:p w:rsidR="00A5136F" w:rsidRPr="00176D3F" w:rsidRDefault="00A5136F" w:rsidP="006359A6">
            <w:pPr>
              <w:pStyle w:val="FigureTitle"/>
            </w:pPr>
            <w:r w:rsidRPr="00784A05">
              <w:rPr>
                <w:b w:val="0"/>
              </w:rPr>
              <w:t xml:space="preserve">Figure </w:t>
            </w:r>
            <w:r w:rsidR="006359A6">
              <w:rPr>
                <w:b w:val="0"/>
              </w:rPr>
              <w:t>G.3</w:t>
            </w:r>
            <w:r>
              <w:tab/>
            </w:r>
            <w:r w:rsidRPr="00A5136F">
              <w:t xml:space="preserve">Proportion of low income households in rental </w:t>
            </w:r>
            <w:proofErr w:type="spellStart"/>
            <w:r w:rsidRPr="00A5136F">
              <w:t>stress</w:t>
            </w:r>
            <w:r>
              <w:rPr>
                <w:vertAlign w:val="superscript"/>
              </w:rPr>
              <w:t>a</w:t>
            </w:r>
            <w:proofErr w:type="spellEnd"/>
          </w:p>
        </w:tc>
      </w:tr>
      <w:tr w:rsidR="00A5136F" w:rsidTr="00A5136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5136F" w:rsidTr="00A5136F">
              <w:trPr>
                <w:jc w:val="center"/>
              </w:trPr>
              <w:tc>
                <w:tcPr>
                  <w:tcW w:w="5000" w:type="pct"/>
                  <w:tcBorders>
                    <w:top w:val="nil"/>
                    <w:bottom w:val="nil"/>
                  </w:tcBorders>
                </w:tcPr>
                <w:p w:rsidR="00A5136F" w:rsidRDefault="00D35154" w:rsidP="00A5136F">
                  <w:pPr>
                    <w:pStyle w:val="Figure"/>
                    <w:spacing w:before="60" w:after="60"/>
                  </w:pPr>
                  <w:r>
                    <w:rPr>
                      <w:noProof/>
                    </w:rPr>
                    <w:drawing>
                      <wp:inline distT="0" distB="0" distL="0" distR="0">
                        <wp:extent cx="5369560" cy="2679700"/>
                        <wp:effectExtent l="0" t="0" r="2540" b="6350"/>
                        <wp:docPr id="4" name="Picture 4" descr="Figure G.3 Proportion of low income households in rental str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9560" cy="2679700"/>
                                </a:xfrm>
                                <a:prstGeom prst="rect">
                                  <a:avLst/>
                                </a:prstGeom>
                                <a:noFill/>
                                <a:ln>
                                  <a:noFill/>
                                </a:ln>
                              </pic:spPr>
                            </pic:pic>
                          </a:graphicData>
                        </a:graphic>
                      </wp:inline>
                    </w:drawing>
                  </w:r>
                </w:p>
              </w:tc>
            </w:tr>
          </w:tbl>
          <w:p w:rsidR="00A5136F" w:rsidRDefault="00A5136F" w:rsidP="00A5136F">
            <w:pPr>
              <w:pStyle w:val="Figure"/>
            </w:pPr>
          </w:p>
        </w:tc>
      </w:tr>
      <w:tr w:rsidR="00A5136F" w:rsidRPr="00176D3F" w:rsidTr="00A5136F">
        <w:tc>
          <w:tcPr>
            <w:tcW w:w="8771" w:type="dxa"/>
            <w:tcBorders>
              <w:top w:val="nil"/>
              <w:left w:val="nil"/>
              <w:bottom w:val="nil"/>
              <w:right w:val="nil"/>
            </w:tcBorders>
            <w:shd w:val="clear" w:color="auto" w:fill="auto"/>
          </w:tcPr>
          <w:p w:rsidR="00A5136F" w:rsidRPr="00176D3F" w:rsidRDefault="00A5136F" w:rsidP="00A5136F">
            <w:pPr>
              <w:pStyle w:val="Note"/>
            </w:pPr>
            <w:r>
              <w:rPr>
                <w:rStyle w:val="NoteLabel"/>
              </w:rPr>
              <w:t>a</w:t>
            </w:r>
            <w:r w:rsidR="00D90830">
              <w:t xml:space="preserve"> See box G.5</w:t>
            </w:r>
            <w:r w:rsidRPr="005244E3">
              <w:t xml:space="preserve"> </w:t>
            </w:r>
            <w:r>
              <w:t xml:space="preserve">and table </w:t>
            </w:r>
            <w:r w:rsidRPr="00C24BA0">
              <w:t xml:space="preserve">GA.5 </w:t>
            </w:r>
            <w:r w:rsidRPr="005244E3">
              <w:t>for detailed definitions, footnotes and caveats.</w:t>
            </w:r>
          </w:p>
        </w:tc>
      </w:tr>
      <w:tr w:rsidR="00A5136F" w:rsidRPr="00176D3F" w:rsidTr="00A5136F">
        <w:tc>
          <w:tcPr>
            <w:tcW w:w="8771" w:type="dxa"/>
            <w:tcBorders>
              <w:top w:val="nil"/>
              <w:left w:val="nil"/>
              <w:bottom w:val="nil"/>
              <w:right w:val="nil"/>
            </w:tcBorders>
            <w:shd w:val="clear" w:color="auto" w:fill="auto"/>
          </w:tcPr>
          <w:p w:rsidR="00A5136F" w:rsidRPr="00176D3F" w:rsidRDefault="00A5136F" w:rsidP="004D31FC">
            <w:pPr>
              <w:pStyle w:val="Source"/>
            </w:pPr>
            <w:r>
              <w:rPr>
                <w:i/>
              </w:rPr>
              <w:t>S</w:t>
            </w:r>
            <w:r w:rsidRPr="00784A05">
              <w:rPr>
                <w:i/>
              </w:rPr>
              <w:t>ource</w:t>
            </w:r>
            <w:r w:rsidRPr="00176D3F">
              <w:t xml:space="preserve">: </w:t>
            </w:r>
            <w:r w:rsidRPr="00A517E9">
              <w:t xml:space="preserve">ABS (unpublished) </w:t>
            </w:r>
            <w:r w:rsidRPr="00B71F30">
              <w:t xml:space="preserve">Survey of Income and Housing </w:t>
            </w:r>
            <w:r w:rsidR="004D31FC">
              <w:t>(various years)</w:t>
            </w:r>
            <w:r w:rsidRPr="004D31FC">
              <w:t>; table GA.5.</w:t>
            </w:r>
          </w:p>
        </w:tc>
      </w:tr>
      <w:tr w:rsidR="00A5136F" w:rsidTr="00A5136F">
        <w:tc>
          <w:tcPr>
            <w:tcW w:w="8771" w:type="dxa"/>
            <w:tcBorders>
              <w:top w:val="nil"/>
              <w:left w:val="nil"/>
              <w:bottom w:val="single" w:sz="6" w:space="0" w:color="78A22F"/>
              <w:right w:val="nil"/>
            </w:tcBorders>
            <w:shd w:val="clear" w:color="auto" w:fill="auto"/>
          </w:tcPr>
          <w:p w:rsidR="00A5136F" w:rsidRDefault="00A5136F" w:rsidP="00A5136F">
            <w:pPr>
              <w:pStyle w:val="Figurespace"/>
            </w:pPr>
          </w:p>
        </w:tc>
      </w:tr>
      <w:tr w:rsidR="00A5136F" w:rsidRPr="000863A5" w:rsidTr="00A5136F">
        <w:tc>
          <w:tcPr>
            <w:tcW w:w="8771" w:type="dxa"/>
            <w:tcBorders>
              <w:top w:val="single" w:sz="6" w:space="0" w:color="78A22F"/>
              <w:left w:val="nil"/>
              <w:bottom w:val="nil"/>
              <w:right w:val="nil"/>
            </w:tcBorders>
          </w:tcPr>
          <w:p w:rsidR="00A5136F" w:rsidRPr="00626D32" w:rsidRDefault="00A5136F" w:rsidP="00A5136F">
            <w:pPr>
              <w:pStyle w:val="BoxSpaceBelow"/>
            </w:pPr>
          </w:p>
        </w:tc>
      </w:tr>
    </w:tbl>
    <w:p w:rsidR="003845BF" w:rsidRDefault="003845BF" w:rsidP="00A5136F">
      <w:pPr>
        <w:pStyle w:val="Heading4"/>
      </w:pPr>
      <w:r>
        <w:t>Appropriateness of</w:t>
      </w:r>
      <w:r w:rsidR="00712232">
        <w:t xml:space="preserve"> </w:t>
      </w:r>
      <w:r w:rsidR="008462B5">
        <w:t xml:space="preserve">Aboriginal and Torres Strait Islander </w:t>
      </w:r>
      <w:r>
        <w:t>housing</w:t>
      </w:r>
    </w:p>
    <w:p w:rsidR="006F328C" w:rsidRDefault="003845BF" w:rsidP="00B71F30">
      <w:pPr>
        <w:pStyle w:val="BodyText"/>
        <w:spacing w:after="240"/>
      </w:pPr>
      <w:r w:rsidRPr="00C2463A">
        <w:t xml:space="preserve">‘Appropriateness of </w:t>
      </w:r>
      <w:r w:rsidR="00A0650D">
        <w:t xml:space="preserve">Aboriginal and Torres Strait Islander </w:t>
      </w:r>
      <w:r w:rsidRPr="00C2463A">
        <w:t xml:space="preserve">housing’ is an indicator of governments’ objective to ensure all Australians have access to affordable, safe, appropriate and sustainable housing (box </w:t>
      </w:r>
      <w:r w:rsidR="00D15E8B">
        <w:t>G.6</w:t>
      </w:r>
      <w:r w:rsidRPr="00C2463A">
        <w:t xml:space="preserve">). </w:t>
      </w:r>
    </w:p>
    <w:p w:rsidR="006F328C" w:rsidRDefault="006F328C">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6F328C" w:rsidTr="009C70C5">
        <w:tc>
          <w:tcPr>
            <w:tcW w:w="5000" w:type="pct"/>
            <w:tcBorders>
              <w:top w:val="single" w:sz="6" w:space="0" w:color="78A22F"/>
              <w:left w:val="nil"/>
              <w:bottom w:val="nil"/>
              <w:right w:val="nil"/>
            </w:tcBorders>
            <w:shd w:val="clear" w:color="auto" w:fill="F2F2F2" w:themeFill="background1" w:themeFillShade="F2"/>
          </w:tcPr>
          <w:p w:rsidR="006F328C" w:rsidRDefault="006F328C" w:rsidP="004B5244">
            <w:pPr>
              <w:pStyle w:val="BoxTitle"/>
            </w:pPr>
            <w:r>
              <w:rPr>
                <w:b w:val="0"/>
              </w:rPr>
              <w:t>Box G.</w:t>
            </w:r>
            <w:r w:rsidR="00D15E8B">
              <w:rPr>
                <w:b w:val="0"/>
                <w:noProof/>
              </w:rPr>
              <w:t>6</w:t>
            </w:r>
            <w:r>
              <w:tab/>
            </w:r>
            <w:r w:rsidRPr="006F328C">
              <w:t xml:space="preserve">Appropriateness of </w:t>
            </w:r>
            <w:r w:rsidR="00013CEA">
              <w:t xml:space="preserve">Aboriginal and Torres Strait Islander </w:t>
            </w:r>
            <w:r w:rsidRPr="006F328C">
              <w:t>housing</w:t>
            </w:r>
          </w:p>
        </w:tc>
      </w:tr>
      <w:tr w:rsidR="006F328C" w:rsidTr="009C70C5">
        <w:trPr>
          <w:cantSplit/>
        </w:trPr>
        <w:tc>
          <w:tcPr>
            <w:tcW w:w="5000" w:type="pct"/>
            <w:tcBorders>
              <w:top w:val="nil"/>
              <w:left w:val="nil"/>
              <w:bottom w:val="nil"/>
              <w:right w:val="nil"/>
            </w:tcBorders>
            <w:shd w:val="clear" w:color="auto" w:fill="F2F2F2" w:themeFill="background1" w:themeFillShade="F2"/>
          </w:tcPr>
          <w:p w:rsidR="00E94EC2" w:rsidRDefault="006F328C" w:rsidP="00E94EC2">
            <w:pPr>
              <w:pStyle w:val="Box"/>
            </w:pPr>
            <w:r w:rsidRPr="006F328C">
              <w:t xml:space="preserve">‘Appropriateness of </w:t>
            </w:r>
            <w:r w:rsidR="00FA3EAE">
              <w:t xml:space="preserve">Aboriginal and Torres Strait Islander </w:t>
            </w:r>
            <w:r w:rsidRPr="006F328C">
              <w:t>housing’ is an indicator of the effectiveness and quality of Indigenous hous</w:t>
            </w:r>
            <w:r w:rsidR="00E94EC2">
              <w:t>ing. Two measures are reported for this indicator.</w:t>
            </w:r>
          </w:p>
          <w:p w:rsidR="006F328C" w:rsidRPr="00E94EC2" w:rsidRDefault="00E94EC2" w:rsidP="00E94EC2">
            <w:pPr>
              <w:pStyle w:val="Box"/>
            </w:pPr>
            <w:r>
              <w:rPr>
                <w:i/>
              </w:rPr>
              <w:t>P</w:t>
            </w:r>
            <w:r w:rsidR="006F328C" w:rsidRPr="00E94EC2">
              <w:rPr>
                <w:i/>
              </w:rPr>
              <w:t xml:space="preserve">roportion of Aboriginal and Torres Strait Islander households </w:t>
            </w:r>
            <w:r w:rsidR="003066B1">
              <w:rPr>
                <w:i/>
              </w:rPr>
              <w:t xml:space="preserve">in social housing </w:t>
            </w:r>
            <w:r w:rsidR="006F328C" w:rsidRPr="00E94EC2">
              <w:rPr>
                <w:i/>
              </w:rPr>
              <w:t xml:space="preserve">living in overcrowded conditions </w:t>
            </w:r>
          </w:p>
          <w:p w:rsidR="00A3655E" w:rsidRDefault="00E94EC2" w:rsidP="00A3655E">
            <w:pPr>
              <w:pStyle w:val="Box"/>
            </w:pPr>
            <w:r w:rsidRPr="006F328C">
              <w:t>Overcrowding is defined and measured using the Canadian National Occupancy Standard under which overcrowding is deemed to have occurred if one or more additional bedrooms are required to meet the standard.</w:t>
            </w:r>
            <w:r>
              <w:t xml:space="preserve"> </w:t>
            </w:r>
            <w:r w:rsidR="00A3655E">
              <w:t>The agreed method for determining overcrowding requires the age, sex and relationship status of all tenants within a household to be known, as well as the number of bedrooms within the dwelling. Only households with complete information available are included in the calculation of the indicator.</w:t>
            </w:r>
          </w:p>
          <w:p w:rsidR="00F355F4" w:rsidRDefault="00F355F4" w:rsidP="00A3655E">
            <w:pPr>
              <w:pStyle w:val="Box"/>
            </w:pPr>
            <w:r w:rsidRPr="006F328C">
              <w:t xml:space="preserve">A low proportion of </w:t>
            </w:r>
            <w:r>
              <w:t xml:space="preserve">Aboriginal and Torres Strait Islander </w:t>
            </w:r>
            <w:r w:rsidRPr="006F328C">
              <w:t>households</w:t>
            </w:r>
            <w:r w:rsidR="003066B1">
              <w:t xml:space="preserve"> in social housing</w:t>
            </w:r>
            <w:r w:rsidRPr="006F328C">
              <w:t xml:space="preserve"> living in overcrowded conditions is desirable.</w:t>
            </w:r>
            <w:r>
              <w:t xml:space="preserve"> </w:t>
            </w:r>
          </w:p>
          <w:p w:rsidR="006F328C" w:rsidRDefault="00F355F4" w:rsidP="00B71F30">
            <w:pPr>
              <w:pStyle w:val="Box"/>
              <w:jc w:val="right"/>
              <w:rPr>
                <w:szCs w:val="24"/>
              </w:rPr>
            </w:pPr>
            <w:r w:rsidRPr="00B71F30">
              <w:rPr>
                <w:sz w:val="18"/>
                <w:szCs w:val="18"/>
              </w:rPr>
              <w:t>(continued next page)</w:t>
            </w:r>
          </w:p>
        </w:tc>
      </w:tr>
      <w:tr w:rsidR="006F328C" w:rsidTr="009C70C5">
        <w:trPr>
          <w:cantSplit/>
        </w:trPr>
        <w:tc>
          <w:tcPr>
            <w:tcW w:w="5000" w:type="pct"/>
            <w:tcBorders>
              <w:top w:val="nil"/>
              <w:left w:val="nil"/>
              <w:bottom w:val="single" w:sz="6" w:space="0" w:color="78A22F"/>
              <w:right w:val="nil"/>
            </w:tcBorders>
            <w:shd w:val="clear" w:color="auto" w:fill="F2F2F2" w:themeFill="background1" w:themeFillShade="F2"/>
          </w:tcPr>
          <w:p w:rsidR="006F328C" w:rsidRDefault="006F328C">
            <w:pPr>
              <w:pStyle w:val="Box"/>
              <w:spacing w:before="0" w:line="120" w:lineRule="exact"/>
            </w:pPr>
          </w:p>
        </w:tc>
      </w:tr>
      <w:tr w:rsidR="006F328C" w:rsidRPr="000863A5" w:rsidTr="009C70C5">
        <w:tc>
          <w:tcPr>
            <w:tcW w:w="5000" w:type="pct"/>
            <w:tcBorders>
              <w:top w:val="single" w:sz="6" w:space="0" w:color="78A22F"/>
              <w:left w:val="nil"/>
              <w:bottom w:val="nil"/>
              <w:right w:val="nil"/>
            </w:tcBorders>
          </w:tcPr>
          <w:p w:rsidR="006F328C" w:rsidRPr="00626D32" w:rsidRDefault="006F328C" w:rsidP="005624FF">
            <w:pPr>
              <w:pStyle w:val="BoxSpaceBelow"/>
            </w:pPr>
          </w:p>
        </w:tc>
      </w:tr>
    </w:tbl>
    <w:p w:rsidR="004D31FC" w:rsidRDefault="004D31FC" w:rsidP="004D31FC">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4D31FC" w:rsidTr="00F9645E">
        <w:tc>
          <w:tcPr>
            <w:tcW w:w="5000" w:type="pct"/>
            <w:tcBorders>
              <w:top w:val="single" w:sz="6" w:space="0" w:color="78A22F"/>
              <w:left w:val="nil"/>
              <w:bottom w:val="nil"/>
              <w:right w:val="nil"/>
            </w:tcBorders>
            <w:shd w:val="clear" w:color="auto" w:fill="F2F2F2" w:themeFill="background1" w:themeFillShade="F2"/>
          </w:tcPr>
          <w:p w:rsidR="004D31FC" w:rsidRDefault="004D31FC" w:rsidP="00F355F4">
            <w:pPr>
              <w:pStyle w:val="BoxTitle"/>
            </w:pPr>
            <w:r>
              <w:rPr>
                <w:b w:val="0"/>
              </w:rPr>
              <w:t>Box G.</w:t>
            </w:r>
            <w:r>
              <w:rPr>
                <w:b w:val="0"/>
                <w:noProof/>
              </w:rPr>
              <w:t>6</w:t>
            </w:r>
            <w:r>
              <w:tab/>
            </w:r>
            <w:r w:rsidR="00F355F4" w:rsidRPr="00B71F30">
              <w:rPr>
                <w:b w:val="0"/>
                <w:sz w:val="18"/>
                <w:szCs w:val="18"/>
              </w:rPr>
              <w:t>(continued)</w:t>
            </w:r>
          </w:p>
        </w:tc>
      </w:tr>
      <w:tr w:rsidR="004D31FC" w:rsidTr="00F9645E">
        <w:trPr>
          <w:cantSplit/>
        </w:trPr>
        <w:tc>
          <w:tcPr>
            <w:tcW w:w="5000" w:type="pct"/>
            <w:tcBorders>
              <w:top w:val="nil"/>
              <w:left w:val="nil"/>
              <w:bottom w:val="nil"/>
              <w:right w:val="nil"/>
            </w:tcBorders>
            <w:shd w:val="clear" w:color="auto" w:fill="F2F2F2" w:themeFill="background1" w:themeFillShade="F2"/>
          </w:tcPr>
          <w:p w:rsidR="004D31FC" w:rsidRDefault="004D31FC" w:rsidP="00F9645E">
            <w:pPr>
              <w:pStyle w:val="Box"/>
            </w:pPr>
            <w:r>
              <w:t xml:space="preserve">Data for this indicator are reported for public housing, SOMIH, community housing and </w:t>
            </w:r>
            <w:proofErr w:type="spellStart"/>
            <w:r>
              <w:t>ICH</w:t>
            </w:r>
            <w:proofErr w:type="spellEnd"/>
            <w:r>
              <w:t>.</w:t>
            </w:r>
          </w:p>
          <w:p w:rsidR="004D31FC" w:rsidRDefault="004D31FC" w:rsidP="00F9645E">
            <w:pPr>
              <w:pStyle w:val="Box"/>
            </w:pPr>
            <w:r>
              <w:t>Data reported</w:t>
            </w:r>
            <w:r w:rsidR="00F355F4">
              <w:t xml:space="preserve"> for this measure</w:t>
            </w:r>
            <w:r>
              <w:t xml:space="preserve"> are:</w:t>
            </w:r>
          </w:p>
          <w:p w:rsidR="00F355F4" w:rsidRDefault="00F355F4" w:rsidP="00F9645E">
            <w:pPr>
              <w:pStyle w:val="Box"/>
              <w:numPr>
                <w:ilvl w:val="0"/>
                <w:numId w:val="1"/>
              </w:numPr>
            </w:pPr>
            <w:r w:rsidRPr="00E84F5E">
              <w:t>not comparable across public housing, SOMIH</w:t>
            </w:r>
            <w:r>
              <w:t xml:space="preserve">, </w:t>
            </w:r>
            <w:r w:rsidRPr="00E84F5E">
              <w:t>community housing</w:t>
            </w:r>
            <w:r>
              <w:t xml:space="preserve"> and </w:t>
            </w:r>
            <w:proofErr w:type="spellStart"/>
            <w:r>
              <w:t>ICH</w:t>
            </w:r>
            <w:proofErr w:type="spellEnd"/>
          </w:p>
          <w:p w:rsidR="004D31FC" w:rsidRDefault="00F355F4" w:rsidP="00F9645E">
            <w:pPr>
              <w:pStyle w:val="Box"/>
              <w:numPr>
                <w:ilvl w:val="0"/>
                <w:numId w:val="1"/>
              </w:numPr>
            </w:pPr>
            <w:r>
              <w:t xml:space="preserve">comparable across jurisdiction (subject to caveats) and </w:t>
            </w:r>
            <w:r w:rsidR="004D31FC" w:rsidRPr="00E84F5E">
              <w:t>complete for public housing and SOMIH for the current reporting period (subject to caveats). All required 201</w:t>
            </w:r>
            <w:r w:rsidR="004D31FC">
              <w:t>4</w:t>
            </w:r>
            <w:r w:rsidR="00080F6D">
              <w:noBreakHyphen/>
            </w:r>
            <w:r w:rsidR="004D31FC" w:rsidRPr="00E84F5E">
              <w:t>1</w:t>
            </w:r>
            <w:r w:rsidR="004D31FC">
              <w:t>5</w:t>
            </w:r>
            <w:r w:rsidR="004D31FC" w:rsidRPr="00E84F5E">
              <w:t xml:space="preserve"> data are available for all jurisdictions providing the service</w:t>
            </w:r>
          </w:p>
          <w:p w:rsidR="004D31FC" w:rsidRDefault="004D31FC" w:rsidP="00F9645E">
            <w:pPr>
              <w:pStyle w:val="BoxListBullet"/>
            </w:pPr>
            <w:r>
              <w:t>not comparable across jurisdictions and are incomplete for:</w:t>
            </w:r>
          </w:p>
          <w:p w:rsidR="004D31FC" w:rsidRPr="00023ACE" w:rsidRDefault="004D31FC" w:rsidP="00F9645E">
            <w:pPr>
              <w:pStyle w:val="BoxListBullet2"/>
            </w:pPr>
            <w:r w:rsidRPr="00023ACE">
              <w:t>community housing (all required 2014</w:t>
            </w:r>
            <w:r w:rsidR="00080F6D">
              <w:noBreakHyphen/>
            </w:r>
            <w:r w:rsidRPr="00023ACE">
              <w:t>15 data not available for Queensland and the NT)</w:t>
            </w:r>
          </w:p>
          <w:p w:rsidR="004D31FC" w:rsidRPr="00A3655E" w:rsidRDefault="004D31FC" w:rsidP="00F9645E">
            <w:pPr>
              <w:pStyle w:val="BoxListBullet2"/>
            </w:pPr>
            <w:proofErr w:type="spellStart"/>
            <w:r>
              <w:t>ICH</w:t>
            </w:r>
            <w:proofErr w:type="spellEnd"/>
            <w:r>
              <w:t xml:space="preserve"> (all required 2014 data not available for NSW, SA, Tasmania and the NT).</w:t>
            </w:r>
          </w:p>
          <w:p w:rsidR="004D31FC" w:rsidRPr="00E94EC2" w:rsidRDefault="004D31FC" w:rsidP="00F9645E">
            <w:pPr>
              <w:pStyle w:val="Box"/>
              <w:rPr>
                <w:i/>
              </w:rPr>
            </w:pPr>
            <w:r>
              <w:rPr>
                <w:i/>
              </w:rPr>
              <w:t>P</w:t>
            </w:r>
            <w:r w:rsidRPr="00E94EC2">
              <w:rPr>
                <w:i/>
              </w:rPr>
              <w:t xml:space="preserve">roportion of Aboriginal and Torres Strait Islander households </w:t>
            </w:r>
            <w:r w:rsidR="003066B1">
              <w:rPr>
                <w:i/>
              </w:rPr>
              <w:t xml:space="preserve">in social housing </w:t>
            </w:r>
            <w:r w:rsidRPr="00E94EC2">
              <w:rPr>
                <w:i/>
              </w:rPr>
              <w:t>living in dwel</w:t>
            </w:r>
            <w:r>
              <w:rPr>
                <w:i/>
              </w:rPr>
              <w:t>lings of an acceptable standard</w:t>
            </w:r>
          </w:p>
          <w:p w:rsidR="00F355F4" w:rsidRDefault="004D31FC" w:rsidP="00F9645E">
            <w:pPr>
              <w:pStyle w:val="Box"/>
            </w:pPr>
            <w:r w:rsidRPr="006F328C">
              <w:t xml:space="preserve">For all housing tenures, acceptable standard is defined as a dwelling with four working facilities (for washing people, for washing clothes/bedding, for storing/preparing food, and sewerage) and not more than two major structural problems. </w:t>
            </w:r>
          </w:p>
          <w:p w:rsidR="004D31FC" w:rsidRDefault="004D31FC" w:rsidP="00F9645E">
            <w:pPr>
              <w:pStyle w:val="Box"/>
            </w:pPr>
            <w:r w:rsidRPr="006F328C">
              <w:t>A high proportion of Aboriginal and Torres Strait Islander households</w:t>
            </w:r>
            <w:r w:rsidR="003066B1">
              <w:t xml:space="preserve"> in social housing</w:t>
            </w:r>
            <w:r w:rsidRPr="006F328C">
              <w:t xml:space="preserve"> living in dwellings of an acceptable standard is desirable</w:t>
            </w:r>
            <w:r>
              <w:t>.</w:t>
            </w:r>
          </w:p>
          <w:p w:rsidR="002E33D2" w:rsidRDefault="002E33D2" w:rsidP="002E33D2">
            <w:pPr>
              <w:rPr>
                <w:rFonts w:ascii="Arial" w:hAnsi="Arial"/>
                <w:sz w:val="20"/>
                <w:szCs w:val="20"/>
              </w:rPr>
            </w:pPr>
          </w:p>
          <w:p w:rsidR="004D31FC" w:rsidRPr="002E33D2" w:rsidRDefault="002E33D2" w:rsidP="002E33D2">
            <w:pPr>
              <w:rPr>
                <w:rFonts w:ascii="Arial" w:hAnsi="Arial"/>
                <w:sz w:val="20"/>
                <w:szCs w:val="20"/>
              </w:rPr>
            </w:pPr>
            <w:r w:rsidRPr="002E33D2">
              <w:rPr>
                <w:rFonts w:ascii="Arial" w:hAnsi="Arial"/>
                <w:sz w:val="20"/>
                <w:szCs w:val="20"/>
              </w:rPr>
              <w:t xml:space="preserve">Data for this measure include 95 per cent confidence intervals (in the </w:t>
            </w:r>
            <w:r>
              <w:rPr>
                <w:rFonts w:ascii="Arial" w:hAnsi="Arial"/>
                <w:sz w:val="20"/>
                <w:szCs w:val="20"/>
              </w:rPr>
              <w:t xml:space="preserve">form of error bars in figures). </w:t>
            </w:r>
            <w:r w:rsidR="004D31FC" w:rsidRPr="002E33D2">
              <w:rPr>
                <w:rFonts w:ascii="Arial" w:hAnsi="Arial"/>
                <w:sz w:val="20"/>
                <w:szCs w:val="20"/>
              </w:rPr>
              <w:t>Data reported</w:t>
            </w:r>
            <w:r w:rsidR="00F355F4" w:rsidRPr="002E33D2">
              <w:rPr>
                <w:rFonts w:ascii="Arial" w:hAnsi="Arial"/>
                <w:sz w:val="20"/>
                <w:szCs w:val="20"/>
              </w:rPr>
              <w:t xml:space="preserve"> for this measure</w:t>
            </w:r>
            <w:r w:rsidR="004D31FC" w:rsidRPr="002E33D2">
              <w:rPr>
                <w:rFonts w:ascii="Arial" w:hAnsi="Arial"/>
                <w:sz w:val="20"/>
                <w:szCs w:val="20"/>
              </w:rPr>
              <w:t xml:space="preserve"> are:</w:t>
            </w:r>
          </w:p>
          <w:p w:rsidR="004D31FC" w:rsidRPr="00B704A4" w:rsidRDefault="00F355F4" w:rsidP="00F9645E">
            <w:pPr>
              <w:pStyle w:val="BoxListBullet"/>
            </w:pPr>
            <w:r>
              <w:t xml:space="preserve">comparable (subject to caveats) across jurisdictions and complete for the most recent reporting period </w:t>
            </w:r>
            <w:r w:rsidR="004D31FC" w:rsidRPr="00B704A4">
              <w:t>for public housing, SOMIH</w:t>
            </w:r>
            <w:r>
              <w:t>,</w:t>
            </w:r>
            <w:r w:rsidR="004D31FC" w:rsidRPr="00B704A4">
              <w:t xml:space="preserve"> and community housing</w:t>
            </w:r>
            <w:r w:rsidR="004D31FC">
              <w:t xml:space="preserve"> from the </w:t>
            </w:r>
            <w:r w:rsidR="00086944">
              <w:t>National Social Housing Survey</w:t>
            </w:r>
            <w:r>
              <w:t>. All required 2014 data available for all jurisdictions</w:t>
            </w:r>
            <w:r w:rsidR="004D31FC" w:rsidRPr="00B704A4">
              <w:t xml:space="preserve"> </w:t>
            </w:r>
          </w:p>
          <w:p w:rsidR="004D31FC" w:rsidRPr="00877FF2" w:rsidRDefault="004D31FC" w:rsidP="00F9645E">
            <w:pPr>
              <w:pStyle w:val="BoxListBullet"/>
            </w:pPr>
            <w:r w:rsidRPr="00F76C54">
              <w:t xml:space="preserve">incomplete for community housing for the current reporting period. </w:t>
            </w:r>
            <w:r w:rsidRPr="00877FF2">
              <w:t>All required 2014 data are not available for the NT</w:t>
            </w:r>
          </w:p>
          <w:p w:rsidR="004D31FC" w:rsidRDefault="004D31FC" w:rsidP="00F9645E">
            <w:pPr>
              <w:pStyle w:val="BoxListBullet"/>
            </w:pPr>
            <w:r>
              <w:t xml:space="preserve">comparable </w:t>
            </w:r>
            <w:r w:rsidR="00F355F4">
              <w:t xml:space="preserve">(subject to caveats) and </w:t>
            </w:r>
            <w:r w:rsidR="00F355F4" w:rsidRPr="00021A17">
              <w:t xml:space="preserve">complete </w:t>
            </w:r>
            <w:r w:rsidR="00F355F4">
              <w:t xml:space="preserve">and </w:t>
            </w:r>
            <w:r w:rsidRPr="00021A17">
              <w:t xml:space="preserve">for </w:t>
            </w:r>
            <w:proofErr w:type="spellStart"/>
            <w:r w:rsidRPr="00021A17">
              <w:t>ICH</w:t>
            </w:r>
            <w:proofErr w:type="spellEnd"/>
            <w:r w:rsidRPr="00021A17">
              <w:t xml:space="preserve"> for the most current reporting period</w:t>
            </w:r>
            <w:r>
              <w:t xml:space="preserve"> (2012</w:t>
            </w:r>
            <w:r w:rsidR="00080F6D">
              <w:noBreakHyphen/>
            </w:r>
            <w:r>
              <w:t>13). T</w:t>
            </w:r>
            <w:r w:rsidRPr="00021A17">
              <w:t xml:space="preserve">hese </w:t>
            </w:r>
            <w:proofErr w:type="spellStart"/>
            <w:r w:rsidR="00F355F4">
              <w:t>ICH</w:t>
            </w:r>
            <w:proofErr w:type="spellEnd"/>
            <w:r w:rsidR="00F355F4">
              <w:t xml:space="preserve"> </w:t>
            </w:r>
            <w:r w:rsidRPr="00021A17">
              <w:t xml:space="preserve">data are </w:t>
            </w:r>
            <w:r>
              <w:t>not comparable with data for other social housing types</w:t>
            </w:r>
            <w:r w:rsidRPr="00021A17">
              <w:t>.</w:t>
            </w:r>
          </w:p>
          <w:p w:rsidR="004D31FC" w:rsidRPr="006F328C" w:rsidRDefault="004D31FC" w:rsidP="00F9645E">
            <w:pPr>
              <w:pStyle w:val="Box"/>
            </w:pPr>
            <w:r w:rsidRPr="006F328C">
              <w:t xml:space="preserve">Related information on the appropriateness of social housing is presented for the outcome indicators ‘match of dwelling to household size’ and </w:t>
            </w:r>
            <w:r>
              <w:t>‘</w:t>
            </w:r>
            <w:r w:rsidRPr="006F328C">
              <w:t>amenity/location’ in ch</w:t>
            </w:r>
            <w:r>
              <w:t>apter 17.</w:t>
            </w:r>
          </w:p>
          <w:p w:rsidR="004D31FC" w:rsidRDefault="004D31FC" w:rsidP="00F9645E">
            <w:pPr>
              <w:pStyle w:val="Box"/>
            </w:pPr>
            <w:r w:rsidRPr="006F328C">
              <w:t>Data quality information for this indicator</w:t>
            </w:r>
            <w:r>
              <w:t xml:space="preserve"> is at www.pc.gov.au/</w:t>
            </w:r>
            <w:proofErr w:type="spellStart"/>
            <w:r>
              <w:t>rogs</w:t>
            </w:r>
            <w:proofErr w:type="spellEnd"/>
            <w:r>
              <w:t>/2016</w:t>
            </w:r>
            <w:r w:rsidRPr="006F328C">
              <w:t>.</w:t>
            </w:r>
          </w:p>
        </w:tc>
      </w:tr>
      <w:tr w:rsidR="004D31FC" w:rsidTr="00F9645E">
        <w:trPr>
          <w:cantSplit/>
        </w:trPr>
        <w:tc>
          <w:tcPr>
            <w:tcW w:w="5000" w:type="pct"/>
            <w:tcBorders>
              <w:top w:val="nil"/>
              <w:left w:val="nil"/>
              <w:bottom w:val="single" w:sz="6" w:space="0" w:color="78A22F"/>
              <w:right w:val="nil"/>
            </w:tcBorders>
            <w:shd w:val="clear" w:color="auto" w:fill="F2F2F2" w:themeFill="background1" w:themeFillShade="F2"/>
          </w:tcPr>
          <w:p w:rsidR="004D31FC" w:rsidRDefault="004D31FC" w:rsidP="00F9645E">
            <w:pPr>
              <w:pStyle w:val="Box"/>
              <w:spacing w:before="0" w:line="120" w:lineRule="exact"/>
            </w:pPr>
          </w:p>
        </w:tc>
      </w:tr>
      <w:tr w:rsidR="004D31FC" w:rsidRPr="000863A5" w:rsidTr="00F9645E">
        <w:tc>
          <w:tcPr>
            <w:tcW w:w="5000" w:type="pct"/>
            <w:tcBorders>
              <w:top w:val="single" w:sz="6" w:space="0" w:color="78A22F"/>
              <w:left w:val="nil"/>
              <w:bottom w:val="nil"/>
              <w:right w:val="nil"/>
            </w:tcBorders>
          </w:tcPr>
          <w:p w:rsidR="004D31FC" w:rsidRPr="00626D32" w:rsidRDefault="004D31FC" w:rsidP="00F9645E">
            <w:pPr>
              <w:pStyle w:val="BoxSpaceBelow"/>
            </w:pPr>
          </w:p>
        </w:tc>
      </w:tr>
    </w:tbl>
    <w:p w:rsidR="00AC474F" w:rsidRPr="00D14A5E" w:rsidRDefault="00A0650D" w:rsidP="005D7553">
      <w:pPr>
        <w:pStyle w:val="Heading5"/>
      </w:pPr>
      <w:r>
        <w:t xml:space="preserve">Aboriginal and Torres Strait Islander </w:t>
      </w:r>
      <w:r w:rsidR="00840640" w:rsidRPr="00D14A5E">
        <w:t>households</w:t>
      </w:r>
      <w:r w:rsidR="003066B1">
        <w:t xml:space="preserve"> in social housing</w:t>
      </w:r>
      <w:r w:rsidR="00840640" w:rsidRPr="00D14A5E">
        <w:t xml:space="preserve"> living in overcrowded conditions</w:t>
      </w:r>
    </w:p>
    <w:p w:rsidR="00C45AC4" w:rsidRPr="00E86F55" w:rsidRDefault="00787CCC" w:rsidP="00C45AC4">
      <w:pPr>
        <w:pStyle w:val="BodyText"/>
      </w:pPr>
      <w:r w:rsidRPr="00D14A5E">
        <w:rPr>
          <w:color w:val="000000" w:themeColor="text1"/>
        </w:rPr>
        <w:t>O</w:t>
      </w:r>
      <w:r w:rsidR="00205E8A" w:rsidRPr="00D14A5E">
        <w:rPr>
          <w:color w:val="000000" w:themeColor="text1"/>
        </w:rPr>
        <w:t xml:space="preserve">vercrowding </w:t>
      </w:r>
      <w:r w:rsidR="00A227FB" w:rsidRPr="00D14A5E">
        <w:rPr>
          <w:color w:val="000000" w:themeColor="text1"/>
        </w:rPr>
        <w:t xml:space="preserve">is </w:t>
      </w:r>
      <w:r w:rsidR="00C510FA" w:rsidRPr="009E1E33">
        <w:t xml:space="preserve">a significant issue for </w:t>
      </w:r>
      <w:r w:rsidR="005B0A94" w:rsidRPr="009E1E33">
        <w:t xml:space="preserve">many </w:t>
      </w:r>
      <w:r w:rsidR="005B69AB" w:rsidRPr="009E1E33">
        <w:t>Aboriginal and Torres Strait Islander</w:t>
      </w:r>
      <w:r w:rsidR="00A227FB" w:rsidRPr="009E1E33">
        <w:t xml:space="preserve"> </w:t>
      </w:r>
      <w:r w:rsidR="0040622F" w:rsidRPr="009E1E33">
        <w:t>people</w:t>
      </w:r>
      <w:r w:rsidR="00460CA1" w:rsidRPr="009E1E33">
        <w:t xml:space="preserve">. </w:t>
      </w:r>
      <w:r w:rsidR="00C45AC4" w:rsidRPr="009E1E33">
        <w:t xml:space="preserve">The proportion of </w:t>
      </w:r>
      <w:r w:rsidR="005B69AB" w:rsidRPr="009E1E33">
        <w:t>Aboriginal and Torres Strait Islander</w:t>
      </w:r>
      <w:r w:rsidR="00C45AC4" w:rsidRPr="009E1E33">
        <w:t xml:space="preserve"> households living in overcrowded conditions varied across jurisdictions</w:t>
      </w:r>
      <w:r w:rsidR="003A1C9C" w:rsidRPr="009E1E33">
        <w:t>, and across social housing programs</w:t>
      </w:r>
      <w:r w:rsidR="00C45AC4" w:rsidRPr="009E1E33">
        <w:t xml:space="preserve"> in 201</w:t>
      </w:r>
      <w:r w:rsidR="006B1C65" w:rsidRPr="009E1E33">
        <w:t>5</w:t>
      </w:r>
      <w:r w:rsidR="00EE1C9C" w:rsidRPr="009E1E33">
        <w:t xml:space="preserve"> </w:t>
      </w:r>
      <w:r w:rsidR="00E66D1F" w:rsidRPr="009E1E33">
        <w:t>(figure G.4</w:t>
      </w:r>
      <w:r w:rsidR="00C45AC4" w:rsidRPr="009E1E33">
        <w:t>).</w:t>
      </w:r>
      <w:r w:rsidR="00A12AF2" w:rsidRPr="009E1E33">
        <w:t xml:space="preserve"> </w:t>
      </w:r>
    </w:p>
    <w:p w:rsidR="00BE6BDE" w:rsidRDefault="00BE6BDE" w:rsidP="00F054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6BDE" w:rsidTr="00F054D7">
        <w:tc>
          <w:tcPr>
            <w:tcW w:w="8771" w:type="dxa"/>
            <w:tcBorders>
              <w:top w:val="single" w:sz="6" w:space="0" w:color="78A22F"/>
              <w:left w:val="nil"/>
              <w:bottom w:val="nil"/>
              <w:right w:val="nil"/>
            </w:tcBorders>
            <w:shd w:val="clear" w:color="auto" w:fill="auto"/>
          </w:tcPr>
          <w:p w:rsidR="00BE6BDE" w:rsidRPr="0073573C" w:rsidRDefault="00BE6BDE" w:rsidP="003066B1">
            <w:pPr>
              <w:pStyle w:val="FigureTitle"/>
              <w:rPr>
                <w:rStyle w:val="DraftingNote"/>
              </w:rPr>
            </w:pPr>
            <w:r w:rsidRPr="00023ACE">
              <w:rPr>
                <w:b w:val="0"/>
              </w:rPr>
              <w:t>Figure G.</w:t>
            </w:r>
            <w:r w:rsidR="00E66D1F" w:rsidRPr="00023ACE">
              <w:rPr>
                <w:b w:val="0"/>
              </w:rPr>
              <w:t>4</w:t>
            </w:r>
            <w:r w:rsidRPr="00023ACE">
              <w:rPr>
                <w:b w:val="0"/>
              </w:rPr>
              <w:tab/>
            </w:r>
            <w:r w:rsidRPr="00023ACE">
              <w:t xml:space="preserve">Proportion of Aboriginal and Torres Strait Islander households living in overcrowded conditions, </w:t>
            </w:r>
            <w:r w:rsidR="003066B1" w:rsidRPr="00023ACE">
              <w:t xml:space="preserve">by social housing type, </w:t>
            </w:r>
            <w:r w:rsidRPr="00023ACE">
              <w:t>at</w:t>
            </w:r>
            <w:r w:rsidR="003066B1" w:rsidRPr="00023ACE">
              <w:t xml:space="preserve"> </w:t>
            </w:r>
            <w:r w:rsidRPr="00023ACE">
              <w:t>30 June 2015</w:t>
            </w:r>
            <w:r w:rsidRPr="00023ACE">
              <w:rPr>
                <w:rStyle w:val="NoteLabel"/>
                <w:b/>
              </w:rPr>
              <w:t>a, b</w:t>
            </w:r>
          </w:p>
        </w:tc>
      </w:tr>
      <w:tr w:rsidR="00BE6BDE" w:rsidTr="00F054D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FFFF00"/>
              <w:tblLayout w:type="fixed"/>
              <w:tblCellMar>
                <w:top w:w="28" w:type="dxa"/>
                <w:left w:w="0" w:type="dxa"/>
                <w:right w:w="0" w:type="dxa"/>
              </w:tblCellMar>
              <w:tblLook w:val="0000" w:firstRow="0" w:lastRow="0" w:firstColumn="0" w:lastColumn="0" w:noHBand="0" w:noVBand="0"/>
            </w:tblPr>
            <w:tblGrid>
              <w:gridCol w:w="8504"/>
            </w:tblGrid>
            <w:tr w:rsidR="00BE6BDE" w:rsidTr="00463099">
              <w:trPr>
                <w:jc w:val="center"/>
              </w:trPr>
              <w:tc>
                <w:tcPr>
                  <w:tcW w:w="5000" w:type="pct"/>
                  <w:tcBorders>
                    <w:top w:val="nil"/>
                    <w:bottom w:val="nil"/>
                  </w:tcBorders>
                  <w:shd w:val="clear" w:color="auto" w:fill="auto"/>
                </w:tcPr>
                <w:p w:rsidR="00BE6BDE" w:rsidRDefault="00D35154" w:rsidP="00F054D7">
                  <w:pPr>
                    <w:pStyle w:val="Figure"/>
                    <w:spacing w:before="60" w:after="60"/>
                  </w:pPr>
                  <w:r>
                    <w:rPr>
                      <w:noProof/>
                    </w:rPr>
                    <w:drawing>
                      <wp:inline distT="0" distB="0" distL="0" distR="0">
                        <wp:extent cx="5347970" cy="2689860"/>
                        <wp:effectExtent l="0" t="0" r="5080" b="0"/>
                        <wp:docPr id="6" name="Picture 6" descr="Figure G.4 Proportion of Aboriginal and Torres Strait Islander households living in overcrowded conditions, by social housing type, at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7970" cy="2689860"/>
                                </a:xfrm>
                                <a:prstGeom prst="rect">
                                  <a:avLst/>
                                </a:prstGeom>
                                <a:noFill/>
                                <a:ln>
                                  <a:noFill/>
                                </a:ln>
                              </pic:spPr>
                            </pic:pic>
                          </a:graphicData>
                        </a:graphic>
                      </wp:inline>
                    </w:drawing>
                  </w:r>
                </w:p>
              </w:tc>
            </w:tr>
          </w:tbl>
          <w:p w:rsidR="00BE6BDE" w:rsidRDefault="00BE6BDE" w:rsidP="00F054D7">
            <w:pPr>
              <w:pStyle w:val="Figure"/>
            </w:pPr>
          </w:p>
        </w:tc>
      </w:tr>
      <w:tr w:rsidR="00BE6BDE" w:rsidRPr="00176D3F" w:rsidTr="00F054D7">
        <w:tc>
          <w:tcPr>
            <w:tcW w:w="8771" w:type="dxa"/>
            <w:tcBorders>
              <w:top w:val="nil"/>
              <w:left w:val="nil"/>
              <w:bottom w:val="nil"/>
              <w:right w:val="nil"/>
            </w:tcBorders>
            <w:shd w:val="clear" w:color="auto" w:fill="auto"/>
          </w:tcPr>
          <w:p w:rsidR="00BE6BDE" w:rsidRPr="00176D3F" w:rsidRDefault="00BE6BDE" w:rsidP="00F054D7">
            <w:pPr>
              <w:pStyle w:val="Note"/>
            </w:pPr>
            <w:r w:rsidRPr="00391EE0">
              <w:rPr>
                <w:rStyle w:val="NoteLabel"/>
              </w:rPr>
              <w:t>a</w:t>
            </w:r>
            <w:r w:rsidR="000B197C">
              <w:t xml:space="preserve"> See box </w:t>
            </w:r>
            <w:r w:rsidR="000B197C" w:rsidRPr="000672AC">
              <w:t>G.6</w:t>
            </w:r>
            <w:r w:rsidRPr="000672AC">
              <w:t xml:space="preserve"> </w:t>
            </w:r>
            <w:r>
              <w:t xml:space="preserve">and table GA.6 for detailed definitions, footnotes and caveats. </w:t>
            </w:r>
            <w:r>
              <w:rPr>
                <w:rStyle w:val="NoteLabel"/>
              </w:rPr>
              <w:t>b</w:t>
            </w:r>
            <w:r>
              <w:t xml:space="preserve"> SOMIH is not applicable in Victoria, WA, the ACT, and the NT.</w:t>
            </w:r>
            <w:r w:rsidR="00023ACE">
              <w:t xml:space="preserve"> </w:t>
            </w:r>
            <w:r w:rsidR="00023ACE" w:rsidRPr="00463099">
              <w:t>Community housing data are not available for Queensland and</w:t>
            </w:r>
            <w:r w:rsidR="009E1E33" w:rsidRPr="00463099">
              <w:t xml:space="preserve"> the</w:t>
            </w:r>
            <w:r w:rsidR="00023ACE" w:rsidRPr="00463099">
              <w:t xml:space="preserve"> NT.</w:t>
            </w:r>
          </w:p>
        </w:tc>
      </w:tr>
      <w:tr w:rsidR="00BE6BDE" w:rsidRPr="00176D3F" w:rsidTr="00F054D7">
        <w:tc>
          <w:tcPr>
            <w:tcW w:w="8771" w:type="dxa"/>
            <w:tcBorders>
              <w:top w:val="nil"/>
              <w:left w:val="nil"/>
              <w:bottom w:val="nil"/>
              <w:right w:val="nil"/>
            </w:tcBorders>
            <w:shd w:val="clear" w:color="auto" w:fill="auto"/>
          </w:tcPr>
          <w:p w:rsidR="00BE6BDE" w:rsidRPr="00176D3F" w:rsidRDefault="00BE6BDE" w:rsidP="00F054D7">
            <w:pPr>
              <w:pStyle w:val="Source"/>
            </w:pPr>
            <w:r>
              <w:rPr>
                <w:i/>
              </w:rPr>
              <w:t>S</w:t>
            </w:r>
            <w:r w:rsidRPr="00784A05">
              <w:rPr>
                <w:i/>
              </w:rPr>
              <w:t>ource</w:t>
            </w:r>
            <w:r w:rsidRPr="00176D3F">
              <w:t xml:space="preserve">: </w:t>
            </w:r>
            <w:r w:rsidRPr="00AE3321">
              <w:t xml:space="preserve">AIHW (unpublished) </w:t>
            </w:r>
            <w:r w:rsidRPr="00B71F30">
              <w:t>National Housing Assistance Data Repository</w:t>
            </w:r>
            <w:r>
              <w:t xml:space="preserve">; </w:t>
            </w:r>
            <w:r w:rsidRPr="00AE3321">
              <w:t>table</w:t>
            </w:r>
            <w:r>
              <w:t> GA.6.</w:t>
            </w:r>
          </w:p>
        </w:tc>
      </w:tr>
      <w:tr w:rsidR="00BE6BDE" w:rsidTr="00F054D7">
        <w:tc>
          <w:tcPr>
            <w:tcW w:w="8771" w:type="dxa"/>
            <w:tcBorders>
              <w:top w:val="nil"/>
              <w:left w:val="nil"/>
              <w:bottom w:val="single" w:sz="6" w:space="0" w:color="78A22F"/>
              <w:right w:val="nil"/>
            </w:tcBorders>
            <w:shd w:val="clear" w:color="auto" w:fill="auto"/>
          </w:tcPr>
          <w:p w:rsidR="00BE6BDE" w:rsidRDefault="00BE6BDE" w:rsidP="00F054D7">
            <w:pPr>
              <w:pStyle w:val="Figurespace"/>
            </w:pPr>
          </w:p>
        </w:tc>
      </w:tr>
      <w:tr w:rsidR="00BE6BDE" w:rsidRPr="000863A5" w:rsidTr="00F054D7">
        <w:tc>
          <w:tcPr>
            <w:tcW w:w="8771" w:type="dxa"/>
            <w:tcBorders>
              <w:top w:val="single" w:sz="6" w:space="0" w:color="78A22F"/>
              <w:left w:val="nil"/>
              <w:bottom w:val="nil"/>
              <w:right w:val="nil"/>
            </w:tcBorders>
          </w:tcPr>
          <w:p w:rsidR="00BE6BDE" w:rsidRPr="00626D32" w:rsidRDefault="00BE6BDE" w:rsidP="00F054D7">
            <w:pPr>
              <w:pStyle w:val="BoxSpaceBelow"/>
            </w:pPr>
          </w:p>
        </w:tc>
      </w:tr>
    </w:tbl>
    <w:p w:rsidR="009851EC" w:rsidRPr="009851EC" w:rsidRDefault="009851EC" w:rsidP="009851EC">
      <w:pPr>
        <w:pStyle w:val="BodyText"/>
      </w:pPr>
      <w:r>
        <w:t>Data for Indigenous community housing</w:t>
      </w:r>
      <w:r w:rsidR="00E66D1F">
        <w:t xml:space="preserve"> for 2012­13</w:t>
      </w:r>
      <w:r>
        <w:t xml:space="preserve"> are presented </w:t>
      </w:r>
      <w:r w:rsidRPr="00D15E8B">
        <w:t xml:space="preserve">in </w:t>
      </w:r>
      <w:r w:rsidR="00D15E8B" w:rsidRPr="00D15E8B">
        <w:t>table GA.8</w:t>
      </w:r>
      <w:r w:rsidRPr="00D15E8B">
        <w:t>.</w:t>
      </w:r>
    </w:p>
    <w:p w:rsidR="00840640" w:rsidRPr="003F5242" w:rsidRDefault="0055571E" w:rsidP="005D7553">
      <w:pPr>
        <w:pStyle w:val="Heading5"/>
      </w:pPr>
      <w:r w:rsidRPr="003F5242">
        <w:t xml:space="preserve">Aboriginal and Torres Strait Islander </w:t>
      </w:r>
      <w:r w:rsidR="00AD22C4" w:rsidRPr="003F5242">
        <w:t>households</w:t>
      </w:r>
      <w:r w:rsidR="003066B1">
        <w:t xml:space="preserve"> in social housing</w:t>
      </w:r>
      <w:r w:rsidR="00AD22C4" w:rsidRPr="003F5242">
        <w:t xml:space="preserve"> living in dwellings </w:t>
      </w:r>
      <w:r w:rsidR="00840640" w:rsidRPr="003F5242">
        <w:t>of an acceptable standard</w:t>
      </w:r>
    </w:p>
    <w:p w:rsidR="002B2A64" w:rsidRDefault="002B2A64" w:rsidP="00B71F30">
      <w:pPr>
        <w:pStyle w:val="BodyText"/>
        <w:rPr>
          <w:color w:val="000000" w:themeColor="text1"/>
        </w:rPr>
      </w:pPr>
      <w:r>
        <w:t xml:space="preserve">Nationally in 2014, the majority of </w:t>
      </w:r>
      <w:r w:rsidR="00A12AF2">
        <w:t xml:space="preserve">Aboriginal and Torres Strait Islander </w:t>
      </w:r>
      <w:r>
        <w:t>respondents lived in dwellings of an acceptable standard</w:t>
      </w:r>
      <w:r w:rsidR="003066B1">
        <w:t xml:space="preserve"> (65.9 per cent for public housing; 70.1 per cent for SOMIH and 83.0 per cent for community housing)</w:t>
      </w:r>
      <w:r w:rsidRPr="00881899">
        <w:rPr>
          <w:color w:val="000000" w:themeColor="text1"/>
        </w:rPr>
        <w:t xml:space="preserve"> (</w:t>
      </w:r>
      <w:r w:rsidR="00E66D1F">
        <w:rPr>
          <w:color w:val="000000" w:themeColor="text1"/>
        </w:rPr>
        <w:t>figure G.5</w:t>
      </w:r>
      <w:r w:rsidRPr="00881899">
        <w:rPr>
          <w:color w:val="000000" w:themeColor="text1"/>
        </w:rPr>
        <w:t>).</w:t>
      </w:r>
    </w:p>
    <w:p w:rsidR="003066B1" w:rsidRDefault="003066B1" w:rsidP="00B71F30">
      <w:pPr>
        <w:pStyle w:val="BodyText"/>
        <w:rPr>
          <w:color w:val="000000" w:themeColor="text1"/>
        </w:rPr>
      </w:pPr>
      <w:r w:rsidRPr="002B4ACB">
        <w:t>Nationally in 2012</w:t>
      </w:r>
      <w:r w:rsidR="00080F6D">
        <w:noBreakHyphen/>
      </w:r>
      <w:r w:rsidRPr="002B4ACB">
        <w:t xml:space="preserve">13, for </w:t>
      </w:r>
      <w:proofErr w:type="spellStart"/>
      <w:r>
        <w:t>ICH</w:t>
      </w:r>
      <w:proofErr w:type="spellEnd"/>
      <w:r w:rsidRPr="002B4ACB">
        <w:t xml:space="preserve"> tenants, 69</w:t>
      </w:r>
      <w:r>
        <w:t>.2 per cent of all dwellings were</w:t>
      </w:r>
      <w:r w:rsidRPr="002B4ACB">
        <w:t xml:space="preserve"> reported to </w:t>
      </w:r>
      <w:r>
        <w:t>be of an acceptable standard (GA.8</w:t>
      </w:r>
      <w:r w:rsidRPr="002B4ACB">
        <w:t xml:space="preserve">). </w:t>
      </w:r>
    </w:p>
    <w:p w:rsidR="003E06C6" w:rsidRDefault="003E06C6" w:rsidP="00351B4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06C6" w:rsidTr="00351B4D">
        <w:tc>
          <w:tcPr>
            <w:tcW w:w="8771" w:type="dxa"/>
            <w:tcBorders>
              <w:top w:val="single" w:sz="6" w:space="0" w:color="78A22F"/>
              <w:left w:val="nil"/>
              <w:bottom w:val="nil"/>
              <w:right w:val="nil"/>
            </w:tcBorders>
            <w:shd w:val="clear" w:color="auto" w:fill="auto"/>
          </w:tcPr>
          <w:p w:rsidR="003E06C6" w:rsidRPr="00176D3F" w:rsidRDefault="003E06C6" w:rsidP="00E66D1F">
            <w:pPr>
              <w:pStyle w:val="FigureTitle"/>
            </w:pPr>
            <w:r w:rsidRPr="00784A05">
              <w:rPr>
                <w:b w:val="0"/>
              </w:rPr>
              <w:t xml:space="preserve">Figure </w:t>
            </w:r>
            <w:r>
              <w:rPr>
                <w:b w:val="0"/>
              </w:rPr>
              <w:t>G.</w:t>
            </w:r>
            <w:r w:rsidR="00E66D1F">
              <w:rPr>
                <w:b w:val="0"/>
              </w:rPr>
              <w:t>5</w:t>
            </w:r>
            <w:r>
              <w:tab/>
            </w:r>
            <w:r w:rsidRPr="003E06C6">
              <w:t xml:space="preserve">Proportion of Aboriginal and Torres Strait Islander households living in dwellings of an acceptable </w:t>
            </w:r>
            <w:r w:rsidR="00E66D1F">
              <w:t>standard</w:t>
            </w:r>
            <w:r w:rsidR="00E66D1F" w:rsidRPr="00E66D1F">
              <w:rPr>
                <w:rStyle w:val="NoteLabel"/>
                <w:b/>
              </w:rPr>
              <w:t>a,</w:t>
            </w:r>
            <w:r w:rsidR="009E1E33">
              <w:rPr>
                <w:rStyle w:val="NoteLabel"/>
                <w:b/>
              </w:rPr>
              <w:t> </w:t>
            </w:r>
            <w:r w:rsidR="00E66D1F" w:rsidRPr="00E66D1F">
              <w:rPr>
                <w:rStyle w:val="NoteLabel"/>
                <w:b/>
              </w:rPr>
              <w:t>b</w:t>
            </w:r>
          </w:p>
        </w:tc>
      </w:tr>
      <w:tr w:rsidR="003E06C6" w:rsidTr="00351B4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E06C6" w:rsidTr="00351B4D">
              <w:trPr>
                <w:jc w:val="center"/>
              </w:trPr>
              <w:tc>
                <w:tcPr>
                  <w:tcW w:w="5000" w:type="pct"/>
                  <w:tcBorders>
                    <w:top w:val="nil"/>
                    <w:bottom w:val="nil"/>
                  </w:tcBorders>
                </w:tcPr>
                <w:p w:rsidR="003E06C6" w:rsidRDefault="00D35154" w:rsidP="00351B4D">
                  <w:pPr>
                    <w:pStyle w:val="Figure"/>
                    <w:spacing w:before="60" w:after="60"/>
                  </w:pPr>
                  <w:r>
                    <w:rPr>
                      <w:noProof/>
                    </w:rPr>
                    <w:drawing>
                      <wp:inline distT="0" distB="0" distL="0" distR="0">
                        <wp:extent cx="5390515" cy="2679700"/>
                        <wp:effectExtent l="0" t="0" r="635" b="6350"/>
                        <wp:docPr id="7" name="Picture 7" descr="Figure G.5 Proportion of Aboriginal and Torres Strait Islander households living in dwellings of an acceptable standar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3E06C6" w:rsidRDefault="003E06C6" w:rsidP="00351B4D">
            <w:pPr>
              <w:pStyle w:val="Figure"/>
            </w:pPr>
          </w:p>
        </w:tc>
      </w:tr>
      <w:tr w:rsidR="003E06C6" w:rsidRPr="00176D3F" w:rsidTr="00351B4D">
        <w:tc>
          <w:tcPr>
            <w:tcW w:w="8771" w:type="dxa"/>
            <w:tcBorders>
              <w:top w:val="nil"/>
              <w:left w:val="nil"/>
              <w:bottom w:val="nil"/>
              <w:right w:val="nil"/>
            </w:tcBorders>
            <w:shd w:val="clear" w:color="auto" w:fill="auto"/>
          </w:tcPr>
          <w:p w:rsidR="003E06C6" w:rsidRPr="00176D3F" w:rsidRDefault="003E06C6" w:rsidP="00FC2FD7">
            <w:pPr>
              <w:pStyle w:val="Note"/>
            </w:pPr>
            <w:r>
              <w:rPr>
                <w:rStyle w:val="NoteLabel"/>
              </w:rPr>
              <w:t>a</w:t>
            </w:r>
            <w:r>
              <w:t xml:space="preserve"> See box G.5 and tables </w:t>
            </w:r>
            <w:r w:rsidR="00C24BA0" w:rsidRPr="00C24BA0">
              <w:t>GA.</w:t>
            </w:r>
            <w:r w:rsidR="00197DF5">
              <w:t>7</w:t>
            </w:r>
            <w:r w:rsidR="00C9055F">
              <w:noBreakHyphen/>
            </w:r>
            <w:r w:rsidR="00197DF5">
              <w:t>8</w:t>
            </w:r>
            <w:r w:rsidRPr="00C24BA0">
              <w:t xml:space="preserve"> </w:t>
            </w:r>
            <w:r>
              <w:t xml:space="preserve">for detailed definitions, footnotes and caveats. </w:t>
            </w:r>
            <w:r w:rsidRPr="00877FF2">
              <w:rPr>
                <w:rStyle w:val="NoteLabel"/>
              </w:rPr>
              <w:t xml:space="preserve">b </w:t>
            </w:r>
            <w:r>
              <w:t xml:space="preserve">There were no </w:t>
            </w:r>
            <w:proofErr w:type="spellStart"/>
            <w:r>
              <w:t>ICH</w:t>
            </w:r>
            <w:proofErr w:type="spellEnd"/>
            <w:r>
              <w:t xml:space="preserve"> respondents in the survey sample for the ACT and community housing data were not available for the NT.</w:t>
            </w:r>
            <w:r w:rsidR="00E66D1F">
              <w:t xml:space="preserve"> SOMIH is not applicable in Victoria, WA, the ACT and the NT.</w:t>
            </w:r>
            <w:r>
              <w:t xml:space="preserve">  </w:t>
            </w:r>
          </w:p>
        </w:tc>
      </w:tr>
      <w:tr w:rsidR="003E06C6" w:rsidRPr="00176D3F" w:rsidTr="00351B4D">
        <w:tc>
          <w:tcPr>
            <w:tcW w:w="8771" w:type="dxa"/>
            <w:tcBorders>
              <w:top w:val="nil"/>
              <w:left w:val="nil"/>
              <w:bottom w:val="nil"/>
              <w:right w:val="nil"/>
            </w:tcBorders>
            <w:shd w:val="clear" w:color="auto" w:fill="auto"/>
          </w:tcPr>
          <w:p w:rsidR="003E06C6" w:rsidRPr="00176D3F" w:rsidRDefault="003E06C6" w:rsidP="00351B4D">
            <w:pPr>
              <w:pStyle w:val="Source"/>
            </w:pPr>
            <w:r w:rsidRPr="00A22757">
              <w:rPr>
                <w:i/>
              </w:rPr>
              <w:t>Source</w:t>
            </w:r>
            <w:r w:rsidRPr="003E06C6">
              <w:t>: ABS (unpublished) National Aboriginal and Torres Strait Islander Health Survey 2012</w:t>
            </w:r>
            <w:r w:rsidR="00080F6D">
              <w:noBreakHyphen/>
            </w:r>
            <w:r w:rsidRPr="003E06C6">
              <w:t xml:space="preserve">13, AIHW (unpublished) National Social </w:t>
            </w:r>
            <w:r>
              <w:t xml:space="preserve">Housing Survey 2014; </w:t>
            </w:r>
            <w:r w:rsidR="00443CA1">
              <w:t>tables GA.7</w:t>
            </w:r>
            <w:r w:rsidR="00C9055F">
              <w:noBreakHyphen/>
            </w:r>
            <w:r w:rsidR="00443CA1">
              <w:t>8</w:t>
            </w:r>
            <w:r w:rsidRPr="00C24BA0">
              <w:t>.</w:t>
            </w:r>
          </w:p>
        </w:tc>
      </w:tr>
      <w:tr w:rsidR="003E06C6" w:rsidTr="00351B4D">
        <w:tc>
          <w:tcPr>
            <w:tcW w:w="8771" w:type="dxa"/>
            <w:tcBorders>
              <w:top w:val="nil"/>
              <w:left w:val="nil"/>
              <w:bottom w:val="single" w:sz="6" w:space="0" w:color="78A22F"/>
              <w:right w:val="nil"/>
            </w:tcBorders>
            <w:shd w:val="clear" w:color="auto" w:fill="auto"/>
          </w:tcPr>
          <w:p w:rsidR="003E06C6" w:rsidRDefault="003E06C6" w:rsidP="00351B4D">
            <w:pPr>
              <w:pStyle w:val="Figurespace"/>
            </w:pPr>
          </w:p>
        </w:tc>
      </w:tr>
      <w:tr w:rsidR="003E06C6" w:rsidRPr="000863A5" w:rsidTr="00351B4D">
        <w:tc>
          <w:tcPr>
            <w:tcW w:w="8771" w:type="dxa"/>
            <w:tcBorders>
              <w:top w:val="single" w:sz="6" w:space="0" w:color="78A22F"/>
              <w:left w:val="nil"/>
              <w:bottom w:val="nil"/>
              <w:right w:val="nil"/>
            </w:tcBorders>
          </w:tcPr>
          <w:p w:rsidR="003E06C6" w:rsidRPr="00626D32" w:rsidRDefault="003E06C6" w:rsidP="00351B4D">
            <w:pPr>
              <w:pStyle w:val="BoxSpaceBelow"/>
            </w:pPr>
          </w:p>
        </w:tc>
      </w:tr>
    </w:tbl>
    <w:p w:rsidR="00902DBC" w:rsidRDefault="00902DBC" w:rsidP="00902DBC">
      <w:pPr>
        <w:pStyle w:val="Heading4"/>
      </w:pPr>
      <w:r>
        <w:t>Australians who are homeless</w:t>
      </w:r>
    </w:p>
    <w:p w:rsidR="00840640" w:rsidRDefault="00902DBC" w:rsidP="00C2463A">
      <w:pPr>
        <w:pStyle w:val="BodyText"/>
        <w:spacing w:after="240"/>
      </w:pPr>
      <w:r>
        <w:t xml:space="preserve">‘Australians who are homeless’ is an indicator of governments’ objective to ensure all Australians have access to affordable, safe and sustainable housing (box </w:t>
      </w:r>
      <w:r w:rsidR="00D15E8B">
        <w:t>G.7</w:t>
      </w:r>
      <w:r>
        <w:t>).</w:t>
      </w:r>
    </w:p>
    <w:p w:rsidR="00502EEE" w:rsidRDefault="00502EEE">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502EEE" w:rsidTr="009C70C5">
        <w:tc>
          <w:tcPr>
            <w:tcW w:w="5000" w:type="pct"/>
            <w:tcBorders>
              <w:top w:val="single" w:sz="6" w:space="0" w:color="78A22F"/>
              <w:left w:val="nil"/>
              <w:bottom w:val="nil"/>
              <w:right w:val="nil"/>
            </w:tcBorders>
            <w:shd w:val="clear" w:color="auto" w:fill="F2F2F2" w:themeFill="background1" w:themeFillShade="F2"/>
          </w:tcPr>
          <w:p w:rsidR="00502EEE" w:rsidRDefault="00502EEE">
            <w:pPr>
              <w:pStyle w:val="BoxTitle"/>
            </w:pPr>
            <w:r>
              <w:rPr>
                <w:b w:val="0"/>
              </w:rPr>
              <w:t>Box G.</w:t>
            </w:r>
            <w:r w:rsidR="00D15E8B">
              <w:rPr>
                <w:b w:val="0"/>
                <w:noProof/>
              </w:rPr>
              <w:t>7</w:t>
            </w:r>
            <w:r>
              <w:tab/>
            </w:r>
            <w:r w:rsidRPr="00502EEE">
              <w:t>Australians who are homeless</w:t>
            </w:r>
          </w:p>
        </w:tc>
      </w:tr>
      <w:tr w:rsidR="00502EEE" w:rsidTr="009C70C5">
        <w:trPr>
          <w:cantSplit/>
        </w:trPr>
        <w:tc>
          <w:tcPr>
            <w:tcW w:w="5000" w:type="pct"/>
            <w:tcBorders>
              <w:top w:val="nil"/>
              <w:left w:val="nil"/>
              <w:bottom w:val="nil"/>
              <w:right w:val="nil"/>
            </w:tcBorders>
            <w:shd w:val="clear" w:color="auto" w:fill="F2F2F2" w:themeFill="background1" w:themeFillShade="F2"/>
          </w:tcPr>
          <w:p w:rsidR="003066B1" w:rsidRDefault="00502EEE" w:rsidP="00502EEE">
            <w:pPr>
              <w:pStyle w:val="Box"/>
            </w:pPr>
            <w:r w:rsidRPr="00502EEE">
              <w:t>‘Australians who are homeless’ is defined as the proportion of Australians who are homeless</w:t>
            </w:r>
            <w:r w:rsidR="00F923F9">
              <w:t>, and is presented as a rate per 10 000 population</w:t>
            </w:r>
            <w:r w:rsidRPr="00502EEE">
              <w:t xml:space="preserve">. </w:t>
            </w:r>
          </w:p>
          <w:p w:rsidR="00502EEE" w:rsidRPr="00502EEE" w:rsidRDefault="00502EEE" w:rsidP="00022965">
            <w:pPr>
              <w:pStyle w:val="Box"/>
            </w:pPr>
            <w:r w:rsidRPr="00502EEE">
              <w:t>For this indicator, people are defined as homeless when a person does not have suitable accommodation alternatives and their current living arrangement:</w:t>
            </w:r>
            <w:r w:rsidR="003066B1">
              <w:t xml:space="preserve"> </w:t>
            </w:r>
            <w:r w:rsidRPr="00502EEE">
              <w:t>is in a dwelling that is inadequate; or has no tenure, or if their initial tenure is short and not extendable; or does not allow them to have control of, and access to space f</w:t>
            </w:r>
            <w:r w:rsidR="00D15E8B">
              <w:t>or social relations</w:t>
            </w:r>
            <w:r w:rsidRPr="00502EEE">
              <w:t>.</w:t>
            </w:r>
          </w:p>
          <w:p w:rsidR="00502EEE" w:rsidRPr="00502EEE" w:rsidRDefault="003066B1" w:rsidP="00502EEE">
            <w:pPr>
              <w:pStyle w:val="Box"/>
            </w:pPr>
            <w:r>
              <w:t xml:space="preserve">Data are reported for </w:t>
            </w:r>
            <w:r w:rsidR="00502EEE" w:rsidRPr="00502EEE">
              <w:t>six homeless operational groups:</w:t>
            </w:r>
          </w:p>
          <w:p w:rsidR="00502EEE" w:rsidRPr="00502EEE" w:rsidRDefault="00502EEE" w:rsidP="00502EEE">
            <w:pPr>
              <w:pStyle w:val="Box"/>
              <w:numPr>
                <w:ilvl w:val="0"/>
                <w:numId w:val="1"/>
              </w:numPr>
            </w:pPr>
            <w:r w:rsidRPr="00502EEE">
              <w:t>people who are in improvised dwellings, tents or sleeping out</w:t>
            </w:r>
          </w:p>
          <w:p w:rsidR="00502EEE" w:rsidRPr="00502EEE" w:rsidRDefault="00502EEE" w:rsidP="00502EEE">
            <w:pPr>
              <w:pStyle w:val="Box"/>
              <w:numPr>
                <w:ilvl w:val="0"/>
                <w:numId w:val="1"/>
              </w:numPr>
            </w:pPr>
            <w:r w:rsidRPr="00502EEE">
              <w:t>people in supported accommodation for the homeless</w:t>
            </w:r>
          </w:p>
          <w:p w:rsidR="00502EEE" w:rsidRPr="00502EEE" w:rsidRDefault="00502EEE" w:rsidP="00502EEE">
            <w:pPr>
              <w:pStyle w:val="Box"/>
              <w:numPr>
                <w:ilvl w:val="0"/>
                <w:numId w:val="1"/>
              </w:numPr>
            </w:pPr>
            <w:r w:rsidRPr="00502EEE">
              <w:t>people staying temporarily with other households</w:t>
            </w:r>
          </w:p>
          <w:p w:rsidR="00502EEE" w:rsidRPr="00502EEE" w:rsidRDefault="00502EEE" w:rsidP="00502EEE">
            <w:pPr>
              <w:pStyle w:val="Box"/>
              <w:numPr>
                <w:ilvl w:val="0"/>
                <w:numId w:val="1"/>
              </w:numPr>
            </w:pPr>
            <w:r w:rsidRPr="00502EEE">
              <w:t>people staying in boarding houses</w:t>
            </w:r>
          </w:p>
          <w:p w:rsidR="00502EEE" w:rsidRPr="00502EEE" w:rsidRDefault="00502EEE" w:rsidP="00502EEE">
            <w:pPr>
              <w:pStyle w:val="Box"/>
              <w:numPr>
                <w:ilvl w:val="0"/>
                <w:numId w:val="1"/>
              </w:numPr>
            </w:pPr>
            <w:r w:rsidRPr="00502EEE">
              <w:t>people in other temporary lodging, and</w:t>
            </w:r>
          </w:p>
          <w:p w:rsidR="00502EEE" w:rsidRPr="00502EEE" w:rsidRDefault="00502EEE" w:rsidP="00502EEE">
            <w:pPr>
              <w:pStyle w:val="Box"/>
              <w:numPr>
                <w:ilvl w:val="0"/>
                <w:numId w:val="1"/>
              </w:numPr>
            </w:pPr>
            <w:r w:rsidRPr="00502EEE">
              <w:t xml:space="preserve">people in </w:t>
            </w:r>
            <w:r w:rsidR="00C9055F">
              <w:t>‘</w:t>
            </w:r>
            <w:r w:rsidRPr="00502EEE">
              <w:t>severely</w:t>
            </w:r>
            <w:r w:rsidR="00C9055F">
              <w:t>’</w:t>
            </w:r>
            <w:r w:rsidRPr="00502EEE">
              <w:t xml:space="preserve"> crowded dwellings.</w:t>
            </w:r>
          </w:p>
          <w:p w:rsidR="00502EEE" w:rsidRPr="00502EEE" w:rsidRDefault="00502EEE" w:rsidP="00502EEE">
            <w:pPr>
              <w:pStyle w:val="Box"/>
              <w:rPr>
                <w:b/>
                <w:u w:val="dotted"/>
              </w:rPr>
            </w:pPr>
            <w:r w:rsidRPr="00502EEE">
              <w:t>Data for this indicator are:</w:t>
            </w:r>
          </w:p>
          <w:p w:rsidR="00502EEE" w:rsidRPr="00502EEE" w:rsidRDefault="00502EEE" w:rsidP="00502EEE">
            <w:pPr>
              <w:pStyle w:val="Box"/>
              <w:numPr>
                <w:ilvl w:val="0"/>
                <w:numId w:val="1"/>
              </w:numPr>
              <w:rPr>
                <w:u w:val="dotted"/>
              </w:rPr>
            </w:pPr>
            <w:r w:rsidRPr="00502EEE">
              <w:t>comparable (subject to caveats) across jurisdictions over time</w:t>
            </w:r>
          </w:p>
          <w:p w:rsidR="00502EEE" w:rsidRPr="00502EEE" w:rsidRDefault="00502EEE" w:rsidP="00502EEE">
            <w:pPr>
              <w:pStyle w:val="Box"/>
              <w:numPr>
                <w:ilvl w:val="0"/>
                <w:numId w:val="1"/>
              </w:numPr>
              <w:rPr>
                <w:u w:val="dotted"/>
              </w:rPr>
            </w:pPr>
            <w:r w:rsidRPr="00502EEE">
              <w:t>complete (subject to caveats) for the current reporting period. All required 2011 data are available for all jurisdictions.</w:t>
            </w:r>
          </w:p>
          <w:p w:rsidR="00502EEE" w:rsidRDefault="00644B84" w:rsidP="00502EEE">
            <w:pPr>
              <w:pStyle w:val="Box"/>
            </w:pPr>
            <w:r w:rsidRPr="006F328C">
              <w:t>Data quality information for this indicator</w:t>
            </w:r>
            <w:r>
              <w:t xml:space="preserve"> is at www.pc.gov.au/</w:t>
            </w:r>
            <w:proofErr w:type="spellStart"/>
            <w:r>
              <w:t>rogs</w:t>
            </w:r>
            <w:proofErr w:type="spellEnd"/>
            <w:r>
              <w:t>/2016</w:t>
            </w:r>
            <w:r w:rsidRPr="006F328C">
              <w:t>.</w:t>
            </w:r>
          </w:p>
        </w:tc>
      </w:tr>
      <w:tr w:rsidR="00502EEE" w:rsidTr="009C70C5">
        <w:trPr>
          <w:cantSplit/>
        </w:trPr>
        <w:tc>
          <w:tcPr>
            <w:tcW w:w="5000" w:type="pct"/>
            <w:tcBorders>
              <w:top w:val="nil"/>
              <w:left w:val="nil"/>
              <w:bottom w:val="single" w:sz="6" w:space="0" w:color="78A22F"/>
              <w:right w:val="nil"/>
            </w:tcBorders>
            <w:shd w:val="clear" w:color="auto" w:fill="F2F2F2" w:themeFill="background1" w:themeFillShade="F2"/>
          </w:tcPr>
          <w:p w:rsidR="00502EEE" w:rsidRDefault="00502EEE">
            <w:pPr>
              <w:pStyle w:val="Box"/>
              <w:spacing w:before="0" w:line="120" w:lineRule="exact"/>
            </w:pPr>
          </w:p>
        </w:tc>
      </w:tr>
      <w:tr w:rsidR="00502EEE" w:rsidRPr="000863A5" w:rsidTr="009C70C5">
        <w:tc>
          <w:tcPr>
            <w:tcW w:w="5000" w:type="pct"/>
            <w:tcBorders>
              <w:top w:val="single" w:sz="6" w:space="0" w:color="78A22F"/>
              <w:left w:val="nil"/>
              <w:bottom w:val="nil"/>
              <w:right w:val="nil"/>
            </w:tcBorders>
          </w:tcPr>
          <w:p w:rsidR="00502EEE" w:rsidRPr="00626D32" w:rsidRDefault="00502EEE" w:rsidP="005624FF">
            <w:pPr>
              <w:pStyle w:val="BoxSpaceBelow"/>
            </w:pPr>
          </w:p>
        </w:tc>
      </w:tr>
    </w:tbl>
    <w:p w:rsidR="00902DBC" w:rsidRDefault="00BF065C" w:rsidP="00C2463A">
      <w:pPr>
        <w:pStyle w:val="BodyText"/>
        <w:spacing w:after="240"/>
      </w:pPr>
      <w:r w:rsidRPr="00690C3D">
        <w:rPr>
          <w:color w:val="000000"/>
        </w:rPr>
        <w:t>Nationally in 2</w:t>
      </w:r>
      <w:r w:rsidR="00F85D18">
        <w:rPr>
          <w:color w:val="000000"/>
        </w:rPr>
        <w:t xml:space="preserve">011, </w:t>
      </w:r>
      <w:r w:rsidRPr="00BF065C">
        <w:t xml:space="preserve">approximately </w:t>
      </w:r>
      <w:r w:rsidR="00A90298" w:rsidRPr="001C231C">
        <w:rPr>
          <w:color w:val="000000" w:themeColor="text1"/>
        </w:rPr>
        <w:t>4</w:t>
      </w:r>
      <w:r w:rsidR="00EB5EF8">
        <w:rPr>
          <w:color w:val="000000" w:themeColor="text1"/>
        </w:rPr>
        <w:t>8.9</w:t>
      </w:r>
      <w:r w:rsidR="00C30F47" w:rsidRPr="00A90298">
        <w:rPr>
          <w:color w:val="000000" w:themeColor="text1"/>
        </w:rPr>
        <w:t xml:space="preserve"> </w:t>
      </w:r>
      <w:r w:rsidRPr="00A90298">
        <w:rPr>
          <w:color w:val="000000" w:themeColor="text1"/>
        </w:rPr>
        <w:t xml:space="preserve">Australians </w:t>
      </w:r>
      <w:r w:rsidRPr="005E5287">
        <w:rPr>
          <w:color w:val="000000" w:themeColor="text1"/>
        </w:rPr>
        <w:t>per 10</w:t>
      </w:r>
      <w:r w:rsidR="00E86893">
        <w:rPr>
          <w:color w:val="000000" w:themeColor="text1"/>
        </w:rPr>
        <w:t> </w:t>
      </w:r>
      <w:r w:rsidRPr="005E5287">
        <w:rPr>
          <w:color w:val="000000" w:themeColor="text1"/>
        </w:rPr>
        <w:t xml:space="preserve">000 people </w:t>
      </w:r>
      <w:r w:rsidRPr="00BF065C">
        <w:t xml:space="preserve">in the population were homeless on Census night (figure </w:t>
      </w:r>
      <w:r w:rsidR="00E66D1F">
        <w:t>G.6</w:t>
      </w:r>
      <w:r w:rsidR="001B00DA">
        <w:t>).</w:t>
      </w:r>
      <w:r w:rsidR="000D6F4D">
        <w:t xml:space="preserve"> Data for the six </w:t>
      </w:r>
      <w:r w:rsidR="00252B1F">
        <w:t xml:space="preserve">homeless </w:t>
      </w:r>
      <w:r w:rsidR="000D6F4D">
        <w:t>operational gr</w:t>
      </w:r>
      <w:r w:rsidR="00D15E8B">
        <w:t>oups are included in table GA.9</w:t>
      </w:r>
      <w:r w:rsidR="00414345">
        <w:t>.</w:t>
      </w:r>
    </w:p>
    <w:p w:rsidR="00502EEE" w:rsidRDefault="00502EEE" w:rsidP="005624FF">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502EEE" w:rsidTr="009C70C5">
        <w:tc>
          <w:tcPr>
            <w:tcW w:w="5000" w:type="pct"/>
            <w:tcBorders>
              <w:top w:val="single" w:sz="6" w:space="0" w:color="78A22F"/>
              <w:left w:val="nil"/>
              <w:bottom w:val="nil"/>
              <w:right w:val="nil"/>
            </w:tcBorders>
            <w:shd w:val="clear" w:color="auto" w:fill="auto"/>
          </w:tcPr>
          <w:p w:rsidR="00502EEE" w:rsidRPr="00176D3F" w:rsidRDefault="00502EEE" w:rsidP="00114786">
            <w:pPr>
              <w:pStyle w:val="FigureTitle"/>
            </w:pPr>
            <w:r w:rsidRPr="00784A05">
              <w:rPr>
                <w:b w:val="0"/>
              </w:rPr>
              <w:t xml:space="preserve">Figure </w:t>
            </w:r>
            <w:r w:rsidR="003F3EA6">
              <w:rPr>
                <w:b w:val="0"/>
              </w:rPr>
              <w:t>G.</w:t>
            </w:r>
            <w:r w:rsidR="00DA28F1">
              <w:rPr>
                <w:b w:val="0"/>
              </w:rPr>
              <w:t>6</w:t>
            </w:r>
            <w:r>
              <w:tab/>
            </w:r>
            <w:r w:rsidR="003F3EA6" w:rsidRPr="003F3EA6">
              <w:t>Rate of homelessness, 2011 (per 10 000 population)</w:t>
            </w:r>
            <w:r w:rsidR="00F923F9" w:rsidRPr="00B71F30">
              <w:rPr>
                <w:rStyle w:val="NoteLabel"/>
                <w:b/>
              </w:rPr>
              <w:t>a</w:t>
            </w:r>
          </w:p>
        </w:tc>
      </w:tr>
      <w:tr w:rsidR="00502EEE" w:rsidTr="009C70C5">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502EEE" w:rsidTr="00F6734A">
              <w:tc>
                <w:tcPr>
                  <w:tcW w:w="5000" w:type="pct"/>
                  <w:tcBorders>
                    <w:top w:val="nil"/>
                    <w:bottom w:val="nil"/>
                  </w:tcBorders>
                </w:tcPr>
                <w:p w:rsidR="003F3EA6" w:rsidRDefault="00D35154" w:rsidP="005624FF">
                  <w:pPr>
                    <w:pStyle w:val="Figure"/>
                    <w:spacing w:before="60" w:after="60"/>
                  </w:pPr>
                  <w:r>
                    <w:rPr>
                      <w:noProof/>
                    </w:rPr>
                    <w:drawing>
                      <wp:inline distT="0" distB="0" distL="0" distR="0">
                        <wp:extent cx="5347970" cy="2679700"/>
                        <wp:effectExtent l="0" t="0" r="5080" b="6350"/>
                        <wp:docPr id="8" name="Picture 8" descr="Figure G.6 Rate of homelessness, 2011 (per 10 000 popul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7970" cy="2679700"/>
                                </a:xfrm>
                                <a:prstGeom prst="rect">
                                  <a:avLst/>
                                </a:prstGeom>
                                <a:noFill/>
                                <a:ln>
                                  <a:noFill/>
                                </a:ln>
                              </pic:spPr>
                            </pic:pic>
                          </a:graphicData>
                        </a:graphic>
                      </wp:inline>
                    </w:drawing>
                  </w:r>
                </w:p>
              </w:tc>
            </w:tr>
          </w:tbl>
          <w:p w:rsidR="00502EEE" w:rsidRDefault="00502EEE" w:rsidP="005624FF">
            <w:pPr>
              <w:pStyle w:val="Figure"/>
            </w:pPr>
          </w:p>
        </w:tc>
      </w:tr>
      <w:tr w:rsidR="00F923F9" w:rsidRPr="00176D3F" w:rsidTr="009C70C5">
        <w:tc>
          <w:tcPr>
            <w:tcW w:w="5000" w:type="pct"/>
            <w:tcBorders>
              <w:top w:val="nil"/>
              <w:left w:val="nil"/>
              <w:bottom w:val="nil"/>
              <w:right w:val="nil"/>
            </w:tcBorders>
            <w:shd w:val="clear" w:color="auto" w:fill="auto"/>
          </w:tcPr>
          <w:p w:rsidR="00F923F9" w:rsidRDefault="00F923F9" w:rsidP="00F923F9">
            <w:pPr>
              <w:pStyle w:val="Source"/>
              <w:rPr>
                <w:i/>
              </w:rPr>
            </w:pPr>
            <w:r>
              <w:rPr>
                <w:rStyle w:val="NoteLabel"/>
              </w:rPr>
              <w:t>a</w:t>
            </w:r>
            <w:r>
              <w:t xml:space="preserve"> See box G.7 and table </w:t>
            </w:r>
            <w:r w:rsidRPr="00C24BA0">
              <w:t>GA.</w:t>
            </w:r>
            <w:r>
              <w:t>9</w:t>
            </w:r>
            <w:r w:rsidRPr="00C24BA0">
              <w:t xml:space="preserve"> </w:t>
            </w:r>
            <w:r>
              <w:t>for detailed definitions, footnotes and caveats.</w:t>
            </w:r>
          </w:p>
        </w:tc>
      </w:tr>
      <w:tr w:rsidR="00502EEE" w:rsidRPr="00176D3F" w:rsidTr="009C70C5">
        <w:tc>
          <w:tcPr>
            <w:tcW w:w="5000" w:type="pct"/>
            <w:tcBorders>
              <w:top w:val="nil"/>
              <w:left w:val="nil"/>
              <w:bottom w:val="nil"/>
              <w:right w:val="nil"/>
            </w:tcBorders>
            <w:shd w:val="clear" w:color="auto" w:fill="auto"/>
          </w:tcPr>
          <w:p w:rsidR="00502EEE" w:rsidRPr="00176D3F" w:rsidRDefault="003F3EA6" w:rsidP="00F923F9">
            <w:pPr>
              <w:pStyle w:val="Source"/>
            </w:pPr>
            <w:r>
              <w:rPr>
                <w:i/>
              </w:rPr>
              <w:t>S</w:t>
            </w:r>
            <w:r w:rsidR="00502EEE" w:rsidRPr="00784A05">
              <w:rPr>
                <w:i/>
              </w:rPr>
              <w:t>ource</w:t>
            </w:r>
            <w:r w:rsidR="00502EEE" w:rsidRPr="00176D3F">
              <w:t xml:space="preserve">: </w:t>
            </w:r>
            <w:r w:rsidRPr="003F3EA6">
              <w:t xml:space="preserve">ABS </w:t>
            </w:r>
            <w:r w:rsidR="00F923F9">
              <w:t xml:space="preserve">(2012) </w:t>
            </w:r>
            <w:r w:rsidRPr="003F3EA6">
              <w:rPr>
                <w:i/>
              </w:rPr>
              <w:t>Census of Population and Housing: Estimating Homelessness</w:t>
            </w:r>
            <w:r w:rsidR="00D15E8B">
              <w:t>, Cat. no. 2049.0; table GA.9</w:t>
            </w:r>
            <w:r w:rsidRPr="003F3EA6">
              <w:t>.</w:t>
            </w:r>
          </w:p>
        </w:tc>
      </w:tr>
      <w:tr w:rsidR="00502EEE" w:rsidTr="009C70C5">
        <w:tc>
          <w:tcPr>
            <w:tcW w:w="5000" w:type="pct"/>
            <w:tcBorders>
              <w:top w:val="nil"/>
              <w:left w:val="nil"/>
              <w:bottom w:val="single" w:sz="6" w:space="0" w:color="78A22F"/>
              <w:right w:val="nil"/>
            </w:tcBorders>
            <w:shd w:val="clear" w:color="auto" w:fill="auto"/>
          </w:tcPr>
          <w:p w:rsidR="00502EEE" w:rsidRDefault="00502EEE" w:rsidP="005624FF">
            <w:pPr>
              <w:pStyle w:val="Figurespace"/>
            </w:pPr>
          </w:p>
        </w:tc>
      </w:tr>
      <w:tr w:rsidR="00502EEE" w:rsidRPr="000863A5" w:rsidTr="009C70C5">
        <w:tc>
          <w:tcPr>
            <w:tcW w:w="5000" w:type="pct"/>
            <w:tcBorders>
              <w:top w:val="single" w:sz="6" w:space="0" w:color="78A22F"/>
              <w:left w:val="nil"/>
              <w:bottom w:val="nil"/>
              <w:right w:val="nil"/>
            </w:tcBorders>
          </w:tcPr>
          <w:p w:rsidR="00502EEE" w:rsidRPr="00626D32" w:rsidRDefault="00502EEE" w:rsidP="005624FF">
            <w:pPr>
              <w:pStyle w:val="BoxSpaceBelow"/>
            </w:pPr>
          </w:p>
        </w:tc>
      </w:tr>
    </w:tbl>
    <w:p w:rsidR="00882144" w:rsidRDefault="00882144" w:rsidP="00882144">
      <w:pPr>
        <w:pStyle w:val="Heading3"/>
      </w:pPr>
      <w:r>
        <w:t>Service</w:t>
      </w:r>
      <w:r w:rsidR="005D7553">
        <w:noBreakHyphen/>
      </w:r>
      <w:r>
        <w:t>specific performance indicator frameworks</w:t>
      </w:r>
    </w:p>
    <w:p w:rsidR="00882144" w:rsidRDefault="00882144" w:rsidP="00B71F30">
      <w:pPr>
        <w:pStyle w:val="BodyText"/>
      </w:pPr>
      <w:r>
        <w:t>This section summarises information from the performance indicator framework</w:t>
      </w:r>
      <w:r w:rsidR="00FB2B9E">
        <w:t>s</w:t>
      </w:r>
      <w:r>
        <w:t xml:space="preserve"> </w:t>
      </w:r>
      <w:r w:rsidR="00FB2B9E">
        <w:t xml:space="preserve">for </w:t>
      </w:r>
      <w:r w:rsidR="00DD7864">
        <w:t xml:space="preserve">Housing </w:t>
      </w:r>
      <w:r w:rsidR="00FB2B9E">
        <w:t>(</w:t>
      </w:r>
      <w:r>
        <w:t>chapter 1</w:t>
      </w:r>
      <w:r w:rsidR="00DD30CD">
        <w:t>7</w:t>
      </w:r>
      <w:r w:rsidR="00FB2B9E">
        <w:t>)</w:t>
      </w:r>
      <w:r>
        <w:t xml:space="preserve"> and </w:t>
      </w:r>
      <w:r w:rsidR="00DD7864">
        <w:t xml:space="preserve">Homelessness </w:t>
      </w:r>
      <w:r>
        <w:t>services</w:t>
      </w:r>
      <w:r w:rsidR="00040E46">
        <w:t xml:space="preserve"> </w:t>
      </w:r>
      <w:r w:rsidR="00FB2B9E">
        <w:t>(</w:t>
      </w:r>
      <w:r>
        <w:t>chapter 1</w:t>
      </w:r>
      <w:r w:rsidR="00DD30CD">
        <w:t>8</w:t>
      </w:r>
      <w:r w:rsidR="00FB2B9E">
        <w:t>)</w:t>
      </w:r>
      <w:r w:rsidR="007B4363">
        <w:t>.</w:t>
      </w:r>
      <w:r w:rsidR="009363DE">
        <w:t xml:space="preserve"> </w:t>
      </w:r>
    </w:p>
    <w:p w:rsidR="00F923F9" w:rsidRDefault="00F923F9" w:rsidP="00F923F9">
      <w:pPr>
        <w:pStyle w:val="BodyText"/>
      </w:pPr>
      <w:r>
        <w:t>Each performance indicator framework provides comprehensive information on the equity, effectiveness and efficiency of specific government services.</w:t>
      </w:r>
    </w:p>
    <w:p w:rsidR="00F923F9" w:rsidRDefault="00F923F9" w:rsidP="00F923F9">
      <w:pPr>
        <w:pStyle w:val="BodyText"/>
      </w:pPr>
      <w:r>
        <w:t xml:space="preserve">Additional information is available in each chapter and associated attachment tables to assist the interpretation of these results. </w:t>
      </w:r>
    </w:p>
    <w:p w:rsidR="00882144" w:rsidRDefault="00F40F8F" w:rsidP="00714566">
      <w:pPr>
        <w:pStyle w:val="Heading4"/>
        <w:spacing w:before="360"/>
      </w:pPr>
      <w:r>
        <w:t>H</w:t>
      </w:r>
      <w:r w:rsidR="00882144">
        <w:t>ousing</w:t>
      </w:r>
    </w:p>
    <w:p w:rsidR="00F923F9" w:rsidRDefault="00882144" w:rsidP="00C2463A">
      <w:pPr>
        <w:pStyle w:val="BodyText"/>
        <w:spacing w:after="240"/>
      </w:pPr>
      <w:r>
        <w:t xml:space="preserve">The performance indicator framework for social housing is presented in figure </w:t>
      </w:r>
      <w:r w:rsidR="00DA28F1">
        <w:t>G.7</w:t>
      </w:r>
      <w:r>
        <w:t>.</w:t>
      </w:r>
      <w:r w:rsidR="00F923F9" w:rsidRPr="00F923F9">
        <w:t xml:space="preserve"> </w:t>
      </w:r>
      <w:r w:rsidR="00F923F9">
        <w:t xml:space="preserve">An overview of the housing performance indicator results are presented in table G.2. </w:t>
      </w:r>
    </w:p>
    <w:p w:rsidR="003F3EA6" w:rsidRDefault="003F3EA6" w:rsidP="005624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3EA6" w:rsidTr="005624FF">
        <w:tc>
          <w:tcPr>
            <w:tcW w:w="8771" w:type="dxa"/>
            <w:tcBorders>
              <w:top w:val="single" w:sz="6" w:space="0" w:color="78A22F"/>
              <w:left w:val="nil"/>
              <w:bottom w:val="nil"/>
              <w:right w:val="nil"/>
            </w:tcBorders>
            <w:shd w:val="clear" w:color="auto" w:fill="auto"/>
          </w:tcPr>
          <w:p w:rsidR="003F3EA6" w:rsidRPr="00176D3F" w:rsidRDefault="003F3EA6" w:rsidP="00C71BE9">
            <w:pPr>
              <w:pStyle w:val="FigureTitle"/>
            </w:pPr>
            <w:r w:rsidRPr="00784A05">
              <w:rPr>
                <w:b w:val="0"/>
              </w:rPr>
              <w:t xml:space="preserve">Figure </w:t>
            </w:r>
            <w:r>
              <w:rPr>
                <w:b w:val="0"/>
              </w:rPr>
              <w:t>G.</w:t>
            </w:r>
            <w:r w:rsidR="00DA28F1">
              <w:rPr>
                <w:b w:val="0"/>
              </w:rPr>
              <w:t>7</w:t>
            </w:r>
            <w:r>
              <w:tab/>
            </w:r>
            <w:r w:rsidR="00C71BE9">
              <w:t>Social h</w:t>
            </w:r>
            <w:r>
              <w:t>o</w:t>
            </w:r>
            <w:r w:rsidRPr="003F3EA6">
              <w:t>using performance indicator framework</w:t>
            </w:r>
          </w:p>
        </w:tc>
      </w:tr>
      <w:tr w:rsidR="003F3EA6" w:rsidTr="005624F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F3EA6" w:rsidTr="005624FF">
              <w:tc>
                <w:tcPr>
                  <w:tcW w:w="5000" w:type="pct"/>
                  <w:tcBorders>
                    <w:top w:val="nil"/>
                    <w:bottom w:val="nil"/>
                  </w:tcBorders>
                </w:tcPr>
                <w:p w:rsidR="003F3EA6" w:rsidRPr="00582BE0" w:rsidRDefault="007D2FA5" w:rsidP="00582BE0">
                  <w:pPr>
                    <w:pStyle w:val="Figure"/>
                  </w:pPr>
                  <w:r>
                    <w:rPr>
                      <w:noProof/>
                    </w:rPr>
                    <w:drawing>
                      <wp:inline distT="0" distB="0" distL="0" distR="0" wp14:anchorId="492D8C9A" wp14:editId="7377C057">
                        <wp:extent cx="5390515" cy="3604260"/>
                        <wp:effectExtent l="0" t="0" r="635" b="0"/>
                        <wp:docPr id="5" name="Picture 5" descr="Figure G.7 Social housing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3604260"/>
                                </a:xfrm>
                                <a:prstGeom prst="rect">
                                  <a:avLst/>
                                </a:prstGeom>
                                <a:noFill/>
                                <a:ln>
                                  <a:noFill/>
                                </a:ln>
                              </pic:spPr>
                            </pic:pic>
                          </a:graphicData>
                        </a:graphic>
                      </wp:inline>
                    </w:drawing>
                  </w:r>
                </w:p>
              </w:tc>
            </w:tr>
          </w:tbl>
          <w:p w:rsidR="003F3EA6" w:rsidRDefault="003F3EA6" w:rsidP="005624FF">
            <w:pPr>
              <w:pStyle w:val="Figure"/>
            </w:pPr>
          </w:p>
        </w:tc>
      </w:tr>
      <w:tr w:rsidR="003F3EA6" w:rsidRPr="000863A5" w:rsidTr="005624FF">
        <w:tc>
          <w:tcPr>
            <w:tcW w:w="8771" w:type="dxa"/>
            <w:tcBorders>
              <w:top w:val="single" w:sz="6" w:space="0" w:color="78A22F"/>
              <w:left w:val="nil"/>
              <w:bottom w:val="nil"/>
              <w:right w:val="nil"/>
            </w:tcBorders>
          </w:tcPr>
          <w:p w:rsidR="003F3EA6" w:rsidRPr="00626D32" w:rsidRDefault="003F3EA6" w:rsidP="005624FF">
            <w:pPr>
              <w:pStyle w:val="BoxSpaceBelow"/>
            </w:pPr>
          </w:p>
        </w:tc>
      </w:tr>
    </w:tbl>
    <w:p w:rsidR="00EC66E1" w:rsidRDefault="00EC66E1" w:rsidP="00EC66E1">
      <w:pPr>
        <w:pStyle w:val="BodyText"/>
      </w:pPr>
    </w:p>
    <w:p w:rsidR="00F309C1" w:rsidRPr="00AF7C87" w:rsidRDefault="00F309C1" w:rsidP="00F309C1">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 xml:space="preserve">the Report. </w:t>
      </w:r>
      <w:r w:rsidR="00141BF1">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p w:rsidR="00514B47" w:rsidRDefault="00514B47" w:rsidP="00F309C1">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14B47" w:rsidTr="00637E3E">
        <w:tc>
          <w:tcPr>
            <w:tcW w:w="8771" w:type="dxa"/>
            <w:tcBorders>
              <w:top w:val="single" w:sz="6" w:space="0" w:color="78A22F"/>
              <w:left w:val="nil"/>
              <w:bottom w:val="nil"/>
              <w:right w:val="nil"/>
            </w:tcBorders>
            <w:shd w:val="clear" w:color="auto" w:fill="auto"/>
          </w:tcPr>
          <w:p w:rsidR="00514B47" w:rsidRPr="00784A05" w:rsidRDefault="00514B47" w:rsidP="00514B47">
            <w:pPr>
              <w:pStyle w:val="TableTitle"/>
            </w:pPr>
            <w:r>
              <w:rPr>
                <w:b w:val="0"/>
              </w:rPr>
              <w:t>Table G.2</w:t>
            </w:r>
            <w:r>
              <w:tab/>
              <w:t>Performance indicator results for housing</w:t>
            </w:r>
            <w:r w:rsidRPr="00433E19">
              <w:rPr>
                <w:rStyle w:val="NoteLabel"/>
              </w:rPr>
              <w:t>a, b, c</w:t>
            </w:r>
            <w:r>
              <w:rPr>
                <w:rStyle w:val="NoteLabel"/>
                <w:color w:val="FF0000"/>
              </w:rPr>
              <w:t xml:space="preserve"> </w:t>
            </w:r>
          </w:p>
        </w:tc>
      </w:tr>
      <w:tr w:rsidR="00514B47" w:rsidTr="00637E3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970"/>
              <w:gridCol w:w="733"/>
              <w:gridCol w:w="850"/>
              <w:gridCol w:w="850"/>
              <w:gridCol w:w="850"/>
              <w:gridCol w:w="850"/>
              <w:gridCol w:w="850"/>
              <w:gridCol w:w="850"/>
              <w:gridCol w:w="842"/>
              <w:gridCol w:w="842"/>
            </w:tblGrid>
            <w:tr w:rsidR="00514B47" w:rsidTr="00917D1B">
              <w:tc>
                <w:tcPr>
                  <w:tcW w:w="571" w:type="pct"/>
                  <w:tcBorders>
                    <w:top w:val="single" w:sz="6" w:space="0" w:color="BFBFBF"/>
                    <w:bottom w:val="single" w:sz="6" w:space="0" w:color="BFBFBF"/>
                  </w:tcBorders>
                  <w:shd w:val="clear" w:color="auto" w:fill="auto"/>
                  <w:tcMar>
                    <w:top w:w="28" w:type="dxa"/>
                  </w:tcMar>
                </w:tcPr>
                <w:p w:rsidR="00514B47" w:rsidRDefault="00514B47" w:rsidP="00637E3E">
                  <w:pPr>
                    <w:pStyle w:val="TableColumnHeading"/>
                    <w:jc w:val="left"/>
                  </w:pPr>
                </w:p>
              </w:tc>
              <w:tc>
                <w:tcPr>
                  <w:tcW w:w="431" w:type="pct"/>
                  <w:tcBorders>
                    <w:top w:val="single" w:sz="6" w:space="0" w:color="BFBFBF"/>
                    <w:bottom w:val="single" w:sz="6" w:space="0" w:color="BFBFBF"/>
                  </w:tcBorders>
                </w:tcPr>
                <w:p w:rsidR="00514B47" w:rsidRDefault="00514B47" w:rsidP="00637E3E">
                  <w:pPr>
                    <w:pStyle w:val="TableColumnHeading"/>
                  </w:pPr>
                  <w:r>
                    <w:t>NSW</w:t>
                  </w:r>
                </w:p>
              </w:tc>
              <w:tc>
                <w:tcPr>
                  <w:tcW w:w="501" w:type="pct"/>
                  <w:tcBorders>
                    <w:top w:val="single" w:sz="6" w:space="0" w:color="BFBFBF"/>
                    <w:bottom w:val="single" w:sz="6" w:space="0" w:color="BFBFBF"/>
                  </w:tcBorders>
                </w:tcPr>
                <w:p w:rsidR="00514B47" w:rsidRDefault="00514B47" w:rsidP="00637E3E">
                  <w:pPr>
                    <w:pStyle w:val="TableColumnHeading"/>
                  </w:pPr>
                  <w:r>
                    <w:t>Vic</w:t>
                  </w:r>
                </w:p>
              </w:tc>
              <w:tc>
                <w:tcPr>
                  <w:tcW w:w="501" w:type="pct"/>
                  <w:tcBorders>
                    <w:top w:val="single" w:sz="6" w:space="0" w:color="BFBFBF"/>
                    <w:bottom w:val="single" w:sz="6" w:space="0" w:color="BFBFBF"/>
                  </w:tcBorders>
                </w:tcPr>
                <w:p w:rsidR="00514B47" w:rsidRDefault="00514B47" w:rsidP="00637E3E">
                  <w:pPr>
                    <w:pStyle w:val="TableColumnHeading"/>
                  </w:pPr>
                  <w:r>
                    <w:t>Qld</w:t>
                  </w:r>
                </w:p>
              </w:tc>
              <w:tc>
                <w:tcPr>
                  <w:tcW w:w="501" w:type="pct"/>
                  <w:tcBorders>
                    <w:top w:val="single" w:sz="6" w:space="0" w:color="BFBFBF"/>
                    <w:bottom w:val="single" w:sz="6" w:space="0" w:color="BFBFBF"/>
                  </w:tcBorders>
                </w:tcPr>
                <w:p w:rsidR="00514B47" w:rsidRDefault="00514B47" w:rsidP="00637E3E">
                  <w:pPr>
                    <w:pStyle w:val="TableColumnHeading"/>
                  </w:pPr>
                  <w:r>
                    <w:t>WA</w:t>
                  </w:r>
                </w:p>
              </w:tc>
              <w:tc>
                <w:tcPr>
                  <w:tcW w:w="501" w:type="pct"/>
                  <w:tcBorders>
                    <w:top w:val="single" w:sz="6" w:space="0" w:color="BFBFBF"/>
                    <w:bottom w:val="single" w:sz="6" w:space="0" w:color="BFBFBF"/>
                  </w:tcBorders>
                </w:tcPr>
                <w:p w:rsidR="00514B47" w:rsidRDefault="00514B47" w:rsidP="00637E3E">
                  <w:pPr>
                    <w:pStyle w:val="TableColumnHeading"/>
                  </w:pPr>
                  <w:r>
                    <w:t>SA</w:t>
                  </w:r>
                </w:p>
              </w:tc>
              <w:tc>
                <w:tcPr>
                  <w:tcW w:w="501" w:type="pct"/>
                  <w:tcBorders>
                    <w:top w:val="single" w:sz="6" w:space="0" w:color="BFBFBF"/>
                    <w:bottom w:val="single" w:sz="6" w:space="0" w:color="BFBFBF"/>
                  </w:tcBorders>
                </w:tcPr>
                <w:p w:rsidR="00514B47" w:rsidRDefault="00514B47" w:rsidP="00637E3E">
                  <w:pPr>
                    <w:pStyle w:val="TableColumnHeading"/>
                  </w:pPr>
                  <w:r>
                    <w:t>Tas</w:t>
                  </w:r>
                </w:p>
              </w:tc>
              <w:tc>
                <w:tcPr>
                  <w:tcW w:w="501" w:type="pct"/>
                  <w:tcBorders>
                    <w:top w:val="single" w:sz="6" w:space="0" w:color="BFBFBF"/>
                    <w:bottom w:val="single" w:sz="6" w:space="0" w:color="BFBFBF"/>
                  </w:tcBorders>
                  <w:shd w:val="clear" w:color="auto" w:fill="auto"/>
                  <w:tcMar>
                    <w:top w:w="28" w:type="dxa"/>
                  </w:tcMar>
                </w:tcPr>
                <w:p w:rsidR="00514B47" w:rsidRDefault="00514B47" w:rsidP="00637E3E">
                  <w:pPr>
                    <w:pStyle w:val="TableColumnHeading"/>
                  </w:pPr>
                  <w:r>
                    <w:t>ACT</w:t>
                  </w:r>
                </w:p>
              </w:tc>
              <w:tc>
                <w:tcPr>
                  <w:tcW w:w="496" w:type="pct"/>
                  <w:tcBorders>
                    <w:top w:val="single" w:sz="6" w:space="0" w:color="BFBFBF"/>
                    <w:bottom w:val="single" w:sz="6" w:space="0" w:color="BFBFBF"/>
                  </w:tcBorders>
                </w:tcPr>
                <w:p w:rsidR="00514B47" w:rsidRDefault="00514B47" w:rsidP="00637E3E">
                  <w:pPr>
                    <w:pStyle w:val="TableColumnHeading"/>
                  </w:pPr>
                  <w:r>
                    <w:t>NT</w:t>
                  </w:r>
                </w:p>
              </w:tc>
              <w:tc>
                <w:tcPr>
                  <w:tcW w:w="496" w:type="pct"/>
                  <w:tcBorders>
                    <w:top w:val="single" w:sz="6" w:space="0" w:color="BFBFBF"/>
                    <w:bottom w:val="single" w:sz="6" w:space="0" w:color="BFBFBF"/>
                  </w:tcBorders>
                  <w:shd w:val="clear" w:color="auto" w:fill="auto"/>
                  <w:tcMar>
                    <w:top w:w="28" w:type="dxa"/>
                  </w:tcMar>
                </w:tcPr>
                <w:p w:rsidR="00514B47" w:rsidRDefault="00514B47" w:rsidP="00637E3E">
                  <w:pPr>
                    <w:pStyle w:val="TableColumnHeading"/>
                  </w:pPr>
                  <w:r>
                    <w:t>Aust</w:t>
                  </w:r>
                </w:p>
              </w:tc>
            </w:tr>
            <w:tr w:rsidR="00514B47" w:rsidTr="00637E3E">
              <w:tc>
                <w:tcPr>
                  <w:tcW w:w="5000" w:type="pct"/>
                  <w:gridSpan w:val="10"/>
                  <w:tcBorders>
                    <w:top w:val="single" w:sz="6" w:space="0" w:color="BFBFBF"/>
                  </w:tcBorders>
                </w:tcPr>
                <w:p w:rsidR="00514B47" w:rsidRDefault="00514B47" w:rsidP="00637E3E">
                  <w:pPr>
                    <w:pStyle w:val="DQIMainRowHeadings"/>
                  </w:pPr>
                  <w:r>
                    <w:t>Equity — Access indicators</w:t>
                  </w:r>
                </w:p>
              </w:tc>
            </w:tr>
            <w:tr w:rsidR="00514B47" w:rsidTr="00637E3E">
              <w:tc>
                <w:tcPr>
                  <w:tcW w:w="5000" w:type="pct"/>
                  <w:gridSpan w:val="10"/>
                </w:tcPr>
                <w:p w:rsidR="00514B47" w:rsidRPr="00514B47" w:rsidRDefault="00514B47" w:rsidP="00637E3E">
                  <w:pPr>
                    <w:pStyle w:val="DQIRowHeadings"/>
                  </w:pPr>
                  <w:r w:rsidRPr="00514B47">
                    <w:rPr>
                      <w:color w:val="000000" w:themeColor="text1"/>
                    </w:rPr>
                    <w:t>Priority access to those in greatest need</w:t>
                  </w:r>
                </w:p>
              </w:tc>
            </w:tr>
            <w:tr w:rsidR="00514B47" w:rsidTr="00637E3E">
              <w:tc>
                <w:tcPr>
                  <w:tcW w:w="5000" w:type="pct"/>
                  <w:gridSpan w:val="10"/>
                </w:tcPr>
                <w:p w:rsidR="00514B47" w:rsidRDefault="00514B47" w:rsidP="00637E3E">
                  <w:pPr>
                    <w:pStyle w:val="TableBodyText"/>
                    <w:ind w:left="113" w:right="28"/>
                    <w:jc w:val="left"/>
                  </w:pPr>
                  <w:r w:rsidRPr="00C048B8">
                    <w:rPr>
                      <w:color w:val="000000" w:themeColor="text1"/>
                    </w:rPr>
                    <w:t>Proportion of new allocations of housing to those in greatest need</w:t>
                  </w:r>
                  <w:r>
                    <w:rPr>
                      <w:color w:val="000000" w:themeColor="text1"/>
                    </w:rPr>
                    <w:t>, 2014</w:t>
                  </w:r>
                  <w:r w:rsidR="00080F6D">
                    <w:rPr>
                      <w:color w:val="000000" w:themeColor="text1"/>
                    </w:rPr>
                    <w:noBreakHyphen/>
                  </w:r>
                  <w:r>
                    <w:rPr>
                      <w:color w:val="000000" w:themeColor="text1"/>
                    </w:rPr>
                    <w:t>15</w:t>
                  </w:r>
                  <w:r w:rsidRPr="00C048B8">
                    <w:rPr>
                      <w:color w:val="000000" w:themeColor="text1"/>
                    </w:rPr>
                    <w:t> (%)</w:t>
                  </w:r>
                </w:p>
              </w:tc>
            </w:tr>
            <w:tr w:rsidR="00514B47" w:rsidTr="00637E3E">
              <w:tc>
                <w:tcPr>
                  <w:tcW w:w="5000" w:type="pct"/>
                  <w:gridSpan w:val="10"/>
                </w:tcPr>
                <w:p w:rsidR="00514B47" w:rsidRPr="00C47D6F" w:rsidRDefault="00637E3E" w:rsidP="00637E3E">
                  <w:pPr>
                    <w:pStyle w:val="TableBodyText"/>
                    <w:ind w:left="113" w:right="28"/>
                    <w:jc w:val="left"/>
                    <w:rPr>
                      <w:sz w:val="16"/>
                      <w:szCs w:val="16"/>
                    </w:rPr>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514B47" w:rsidTr="00917D1B">
              <w:tc>
                <w:tcPr>
                  <w:tcW w:w="571" w:type="pct"/>
                </w:tcPr>
                <w:p w:rsidR="00514B47" w:rsidRDefault="00514B47" w:rsidP="00917D1B">
                  <w:pPr>
                    <w:pStyle w:val="TableBodyText"/>
                    <w:ind w:left="227" w:right="0"/>
                    <w:jc w:val="left"/>
                  </w:pPr>
                  <w:r>
                    <w:t>PH</w:t>
                  </w:r>
                </w:p>
              </w:tc>
              <w:tc>
                <w:tcPr>
                  <w:tcW w:w="431" w:type="pct"/>
                  <w:vAlign w:val="bottom"/>
                </w:tcPr>
                <w:p w:rsidR="00514B47" w:rsidRPr="00514B47" w:rsidRDefault="00080F6D" w:rsidP="00514B47">
                  <w:pPr>
                    <w:pStyle w:val="TableBodyText"/>
                  </w:pPr>
                  <w:r>
                    <w:t xml:space="preserve"> </w:t>
                  </w:r>
                  <w:r w:rsidR="00514B47" w:rsidRPr="00514B47">
                    <w:t>48.0</w:t>
                  </w:r>
                </w:p>
              </w:tc>
              <w:tc>
                <w:tcPr>
                  <w:tcW w:w="501" w:type="pct"/>
                  <w:vAlign w:val="bottom"/>
                </w:tcPr>
                <w:p w:rsidR="00514B47" w:rsidRPr="00514B47" w:rsidRDefault="00080F6D" w:rsidP="00514B47">
                  <w:pPr>
                    <w:pStyle w:val="TableBodyText"/>
                  </w:pPr>
                  <w:r>
                    <w:t xml:space="preserve"> </w:t>
                  </w:r>
                  <w:r w:rsidR="00514B47" w:rsidRPr="00514B47">
                    <w:t>82.1</w:t>
                  </w:r>
                </w:p>
              </w:tc>
              <w:tc>
                <w:tcPr>
                  <w:tcW w:w="501" w:type="pct"/>
                  <w:vAlign w:val="bottom"/>
                </w:tcPr>
                <w:p w:rsidR="00514B47" w:rsidRPr="00514B47" w:rsidRDefault="00080F6D" w:rsidP="00514B47">
                  <w:pPr>
                    <w:pStyle w:val="TableBodyText"/>
                  </w:pPr>
                  <w:r>
                    <w:t xml:space="preserve"> </w:t>
                  </w:r>
                  <w:r w:rsidR="00514B47" w:rsidRPr="00514B47">
                    <w:t>95.9</w:t>
                  </w:r>
                </w:p>
              </w:tc>
              <w:tc>
                <w:tcPr>
                  <w:tcW w:w="501" w:type="pct"/>
                  <w:vAlign w:val="bottom"/>
                </w:tcPr>
                <w:p w:rsidR="00514B47" w:rsidRPr="00514B47" w:rsidRDefault="00080F6D" w:rsidP="00514B47">
                  <w:pPr>
                    <w:pStyle w:val="TableBodyText"/>
                  </w:pPr>
                  <w:r>
                    <w:t xml:space="preserve"> </w:t>
                  </w:r>
                  <w:r w:rsidR="00514B47" w:rsidRPr="00514B47">
                    <w:t>74.9</w:t>
                  </w:r>
                </w:p>
              </w:tc>
              <w:tc>
                <w:tcPr>
                  <w:tcW w:w="501" w:type="pct"/>
                  <w:vAlign w:val="bottom"/>
                </w:tcPr>
                <w:p w:rsidR="00514B47" w:rsidRPr="00514B47" w:rsidRDefault="00080F6D" w:rsidP="00514B47">
                  <w:pPr>
                    <w:pStyle w:val="TableBodyText"/>
                  </w:pPr>
                  <w:r>
                    <w:t xml:space="preserve"> </w:t>
                  </w:r>
                  <w:r w:rsidR="00514B47" w:rsidRPr="00514B47">
                    <w:t>82.4</w:t>
                  </w:r>
                </w:p>
              </w:tc>
              <w:tc>
                <w:tcPr>
                  <w:tcW w:w="501" w:type="pct"/>
                  <w:vAlign w:val="bottom"/>
                </w:tcPr>
                <w:p w:rsidR="00514B47" w:rsidRPr="00514B47" w:rsidRDefault="00080F6D" w:rsidP="00514B47">
                  <w:pPr>
                    <w:pStyle w:val="TableBodyText"/>
                  </w:pPr>
                  <w:r>
                    <w:t xml:space="preserve"> </w:t>
                  </w:r>
                  <w:r w:rsidR="00514B47" w:rsidRPr="00514B47">
                    <w:t>80.5</w:t>
                  </w:r>
                </w:p>
              </w:tc>
              <w:tc>
                <w:tcPr>
                  <w:tcW w:w="501" w:type="pct"/>
                  <w:vAlign w:val="bottom"/>
                </w:tcPr>
                <w:p w:rsidR="00514B47" w:rsidRPr="00514B47" w:rsidRDefault="00080F6D" w:rsidP="00514B47">
                  <w:pPr>
                    <w:pStyle w:val="TableBodyText"/>
                  </w:pPr>
                  <w:r>
                    <w:t xml:space="preserve"> </w:t>
                  </w:r>
                  <w:r w:rsidR="00514B47" w:rsidRPr="00514B47">
                    <w:t>96.7</w:t>
                  </w:r>
                </w:p>
              </w:tc>
              <w:tc>
                <w:tcPr>
                  <w:tcW w:w="496" w:type="pct"/>
                  <w:vAlign w:val="bottom"/>
                </w:tcPr>
                <w:p w:rsidR="00514B47" w:rsidRPr="00514B47" w:rsidRDefault="00080F6D" w:rsidP="00514B47">
                  <w:pPr>
                    <w:pStyle w:val="TableBodyText"/>
                  </w:pPr>
                  <w:r>
                    <w:t xml:space="preserve"> </w:t>
                  </w:r>
                  <w:r w:rsidR="00514B47" w:rsidRPr="00514B47">
                    <w:t>61.6</w:t>
                  </w:r>
                </w:p>
              </w:tc>
              <w:tc>
                <w:tcPr>
                  <w:tcW w:w="496" w:type="pct"/>
                  <w:vAlign w:val="bottom"/>
                </w:tcPr>
                <w:p w:rsidR="00514B47" w:rsidRPr="00514B47" w:rsidRDefault="00080F6D" w:rsidP="00514B47">
                  <w:pPr>
                    <w:pStyle w:val="TableBodyText"/>
                  </w:pPr>
                  <w:r>
                    <w:t xml:space="preserve"> </w:t>
                  </w:r>
                  <w:r w:rsidR="00514B47" w:rsidRPr="00514B47">
                    <w:t>73.7</w:t>
                  </w:r>
                </w:p>
              </w:tc>
            </w:tr>
            <w:tr w:rsidR="00514B47" w:rsidTr="00917D1B">
              <w:tc>
                <w:tcPr>
                  <w:tcW w:w="571" w:type="pct"/>
                </w:tcPr>
                <w:p w:rsidR="00514B47" w:rsidRDefault="00514B47" w:rsidP="00917D1B">
                  <w:pPr>
                    <w:pStyle w:val="TableBodyText"/>
                    <w:ind w:left="227" w:right="0"/>
                    <w:jc w:val="left"/>
                  </w:pPr>
                  <w:r>
                    <w:t>SOMIH</w:t>
                  </w:r>
                </w:p>
              </w:tc>
              <w:tc>
                <w:tcPr>
                  <w:tcW w:w="431" w:type="pct"/>
                </w:tcPr>
                <w:p w:rsidR="00514B47" w:rsidRPr="00A2004B" w:rsidRDefault="00514B47" w:rsidP="00637E3E">
                  <w:pPr>
                    <w:pStyle w:val="TableBodyText"/>
                  </w:pPr>
                  <w:r>
                    <w:t>12.9</w:t>
                  </w:r>
                </w:p>
              </w:tc>
              <w:tc>
                <w:tcPr>
                  <w:tcW w:w="501" w:type="pct"/>
                </w:tcPr>
                <w:p w:rsidR="00514B47" w:rsidRPr="00A2004B" w:rsidRDefault="00514B47" w:rsidP="00637E3E">
                  <w:pPr>
                    <w:pStyle w:val="TableBodyText"/>
                  </w:pPr>
                  <w:r>
                    <w:t>..</w:t>
                  </w:r>
                </w:p>
              </w:tc>
              <w:tc>
                <w:tcPr>
                  <w:tcW w:w="501" w:type="pct"/>
                </w:tcPr>
                <w:p w:rsidR="00514B47" w:rsidRPr="00A2004B" w:rsidRDefault="00514B47" w:rsidP="00637E3E">
                  <w:pPr>
                    <w:pStyle w:val="TableBodyText"/>
                  </w:pPr>
                  <w:r>
                    <w:t>96.5</w:t>
                  </w:r>
                </w:p>
              </w:tc>
              <w:tc>
                <w:tcPr>
                  <w:tcW w:w="501" w:type="pct"/>
                </w:tcPr>
                <w:p w:rsidR="00514B47" w:rsidRPr="00A2004B" w:rsidRDefault="00514B47" w:rsidP="00637E3E">
                  <w:pPr>
                    <w:pStyle w:val="TableBodyText"/>
                  </w:pPr>
                  <w:r>
                    <w:t>..</w:t>
                  </w:r>
                </w:p>
              </w:tc>
              <w:tc>
                <w:tcPr>
                  <w:tcW w:w="501" w:type="pct"/>
                </w:tcPr>
                <w:p w:rsidR="00514B47" w:rsidRPr="00A2004B" w:rsidRDefault="00514B47" w:rsidP="00637E3E">
                  <w:pPr>
                    <w:pStyle w:val="TableBodyText"/>
                  </w:pPr>
                  <w:r>
                    <w:t>91.1</w:t>
                  </w:r>
                </w:p>
              </w:tc>
              <w:tc>
                <w:tcPr>
                  <w:tcW w:w="501" w:type="pct"/>
                </w:tcPr>
                <w:p w:rsidR="00514B47" w:rsidRPr="00A2004B" w:rsidRDefault="00514B47" w:rsidP="00637E3E">
                  <w:pPr>
                    <w:pStyle w:val="TableBodyText"/>
                  </w:pPr>
                  <w:r>
                    <w:t>na</w:t>
                  </w:r>
                </w:p>
              </w:tc>
              <w:tc>
                <w:tcPr>
                  <w:tcW w:w="501" w:type="pct"/>
                </w:tcPr>
                <w:p w:rsidR="00514B47" w:rsidRPr="00A2004B" w:rsidRDefault="00514B47" w:rsidP="00637E3E">
                  <w:pPr>
                    <w:pStyle w:val="TableBodyText"/>
                  </w:pPr>
                  <w:r>
                    <w:t>..</w:t>
                  </w:r>
                </w:p>
              </w:tc>
              <w:tc>
                <w:tcPr>
                  <w:tcW w:w="496" w:type="pct"/>
                </w:tcPr>
                <w:p w:rsidR="00514B47" w:rsidRPr="00A2004B" w:rsidRDefault="00514B47" w:rsidP="00637E3E">
                  <w:pPr>
                    <w:pStyle w:val="TableBodyText"/>
                  </w:pPr>
                  <w:r>
                    <w:t>..</w:t>
                  </w:r>
                </w:p>
              </w:tc>
              <w:tc>
                <w:tcPr>
                  <w:tcW w:w="496" w:type="pct"/>
                </w:tcPr>
                <w:p w:rsidR="00514B47" w:rsidRPr="00A2004B" w:rsidRDefault="00514B47" w:rsidP="00637E3E">
                  <w:pPr>
                    <w:pStyle w:val="TableBodyText"/>
                  </w:pPr>
                  <w:r>
                    <w:t>51.8</w:t>
                  </w:r>
                </w:p>
              </w:tc>
            </w:tr>
            <w:tr w:rsidR="00514B47" w:rsidTr="00917D1B">
              <w:tc>
                <w:tcPr>
                  <w:tcW w:w="571" w:type="pct"/>
                </w:tcPr>
                <w:p w:rsidR="00514B47" w:rsidRDefault="00514B47" w:rsidP="00917D1B">
                  <w:pPr>
                    <w:pStyle w:val="TableBodyText"/>
                    <w:ind w:left="227" w:right="0"/>
                    <w:jc w:val="left"/>
                  </w:pPr>
                  <w:r>
                    <w:t>CH</w:t>
                  </w:r>
                </w:p>
              </w:tc>
              <w:tc>
                <w:tcPr>
                  <w:tcW w:w="431" w:type="pct"/>
                  <w:vAlign w:val="center"/>
                </w:tcPr>
                <w:p w:rsidR="00514B47" w:rsidRPr="00514B47" w:rsidRDefault="00080F6D" w:rsidP="00514B47">
                  <w:pPr>
                    <w:pStyle w:val="TableBodyText"/>
                  </w:pPr>
                  <w:r>
                    <w:t xml:space="preserve"> </w:t>
                  </w:r>
                  <w:r w:rsidR="00514B47" w:rsidRPr="00514B47">
                    <w:t>72.5</w:t>
                  </w:r>
                </w:p>
              </w:tc>
              <w:tc>
                <w:tcPr>
                  <w:tcW w:w="501" w:type="pct"/>
                  <w:vAlign w:val="center"/>
                </w:tcPr>
                <w:p w:rsidR="00514B47" w:rsidRPr="00514B47" w:rsidRDefault="00080F6D" w:rsidP="00514B47">
                  <w:pPr>
                    <w:pStyle w:val="TableBodyText"/>
                  </w:pPr>
                  <w:r>
                    <w:t xml:space="preserve"> </w:t>
                  </w:r>
                  <w:r w:rsidR="00514B47" w:rsidRPr="00514B47">
                    <w:t>84.9</w:t>
                  </w:r>
                </w:p>
              </w:tc>
              <w:tc>
                <w:tcPr>
                  <w:tcW w:w="501" w:type="pct"/>
                  <w:vAlign w:val="center"/>
                </w:tcPr>
                <w:p w:rsidR="00514B47" w:rsidRPr="00514B47" w:rsidRDefault="00080F6D" w:rsidP="00514B47">
                  <w:pPr>
                    <w:pStyle w:val="TableBodyText"/>
                  </w:pPr>
                  <w:r>
                    <w:t xml:space="preserve"> </w:t>
                  </w:r>
                  <w:r w:rsidR="00514B47" w:rsidRPr="00514B47">
                    <w:t>85.9</w:t>
                  </w:r>
                </w:p>
              </w:tc>
              <w:tc>
                <w:tcPr>
                  <w:tcW w:w="501" w:type="pct"/>
                  <w:vAlign w:val="center"/>
                </w:tcPr>
                <w:p w:rsidR="00514B47" w:rsidRPr="00514B47" w:rsidRDefault="00080F6D" w:rsidP="00514B47">
                  <w:pPr>
                    <w:pStyle w:val="TableBodyText"/>
                  </w:pPr>
                  <w:r>
                    <w:t xml:space="preserve"> </w:t>
                  </w:r>
                  <w:r w:rsidR="00514B47" w:rsidRPr="00514B47">
                    <w:t>79.4</w:t>
                  </w:r>
                </w:p>
              </w:tc>
              <w:tc>
                <w:tcPr>
                  <w:tcW w:w="501" w:type="pct"/>
                  <w:vAlign w:val="center"/>
                </w:tcPr>
                <w:p w:rsidR="00514B47" w:rsidRPr="00514B47" w:rsidRDefault="00080F6D" w:rsidP="00514B47">
                  <w:pPr>
                    <w:pStyle w:val="TableBodyText"/>
                  </w:pPr>
                  <w:r>
                    <w:t xml:space="preserve"> </w:t>
                  </w:r>
                  <w:r w:rsidR="00514B47" w:rsidRPr="00514B47">
                    <w:t>83.1</w:t>
                  </w:r>
                </w:p>
              </w:tc>
              <w:tc>
                <w:tcPr>
                  <w:tcW w:w="501" w:type="pct"/>
                  <w:vAlign w:val="center"/>
                </w:tcPr>
                <w:p w:rsidR="00514B47" w:rsidRPr="00514B47" w:rsidRDefault="00080F6D" w:rsidP="00514B47">
                  <w:pPr>
                    <w:pStyle w:val="TableBodyText"/>
                  </w:pPr>
                  <w:r>
                    <w:t xml:space="preserve"> </w:t>
                  </w:r>
                  <w:r w:rsidR="00514B47" w:rsidRPr="00514B47">
                    <w:t>51.7</w:t>
                  </w:r>
                </w:p>
              </w:tc>
              <w:tc>
                <w:tcPr>
                  <w:tcW w:w="501" w:type="pct"/>
                  <w:vAlign w:val="center"/>
                </w:tcPr>
                <w:p w:rsidR="00514B47" w:rsidRPr="00514B47" w:rsidRDefault="00080F6D" w:rsidP="00514B47">
                  <w:pPr>
                    <w:pStyle w:val="TableBodyText"/>
                  </w:pPr>
                  <w:r>
                    <w:t xml:space="preserve"> </w:t>
                  </w:r>
                  <w:r w:rsidR="00514B47" w:rsidRPr="00514B47">
                    <w:t>97.9</w:t>
                  </w:r>
                </w:p>
              </w:tc>
              <w:tc>
                <w:tcPr>
                  <w:tcW w:w="496" w:type="pct"/>
                  <w:vAlign w:val="center"/>
                </w:tcPr>
                <w:p w:rsidR="00514B47" w:rsidRPr="00514B47" w:rsidRDefault="00514B47" w:rsidP="00514B47">
                  <w:pPr>
                    <w:pStyle w:val="TableBodyText"/>
                  </w:pPr>
                  <w:r w:rsidRPr="00514B47">
                    <w:t>na</w:t>
                  </w:r>
                </w:p>
              </w:tc>
              <w:tc>
                <w:tcPr>
                  <w:tcW w:w="496" w:type="pct"/>
                  <w:vAlign w:val="center"/>
                </w:tcPr>
                <w:p w:rsidR="00514B47" w:rsidRPr="00514B47" w:rsidRDefault="00080F6D" w:rsidP="00514B47">
                  <w:pPr>
                    <w:pStyle w:val="TableBodyText"/>
                  </w:pPr>
                  <w:r>
                    <w:t xml:space="preserve"> </w:t>
                  </w:r>
                  <w:r w:rsidR="00514B47" w:rsidRPr="00514B47">
                    <w:t>73.4</w:t>
                  </w:r>
                </w:p>
              </w:tc>
            </w:tr>
            <w:tr w:rsidR="00514B47" w:rsidTr="00637E3E">
              <w:tc>
                <w:tcPr>
                  <w:tcW w:w="5000" w:type="pct"/>
                  <w:gridSpan w:val="10"/>
                </w:tcPr>
                <w:p w:rsidR="00514B47" w:rsidRDefault="00514B47" w:rsidP="00637E3E">
                  <w:pPr>
                    <w:pStyle w:val="Source"/>
                    <w:spacing w:before="0" w:after="80"/>
                    <w:ind w:left="113"/>
                  </w:pPr>
                  <w:r w:rsidRPr="00253B66">
                    <w:rPr>
                      <w:i/>
                    </w:rPr>
                    <w:t>Source</w:t>
                  </w:r>
                  <w:r w:rsidRPr="00080F6D">
                    <w:t>:</w:t>
                  </w:r>
                  <w:r>
                    <w:t xml:space="preserve"> Attachment table </w:t>
                  </w:r>
                  <w:proofErr w:type="spellStart"/>
                  <w:r w:rsidR="00637E3E">
                    <w:t>17</w:t>
                  </w:r>
                  <w:r>
                    <w:t>A.</w:t>
                  </w:r>
                  <w:r w:rsidR="00637E3E">
                    <w:t>9</w:t>
                  </w:r>
                  <w:proofErr w:type="spellEnd"/>
                  <w:r w:rsidR="00637E3E">
                    <w:t>–11</w:t>
                  </w:r>
                  <w:r w:rsidR="00C9055F">
                    <w:t>.</w:t>
                  </w:r>
                </w:p>
              </w:tc>
            </w:tr>
            <w:tr w:rsidR="00514B47" w:rsidTr="00637E3E">
              <w:tc>
                <w:tcPr>
                  <w:tcW w:w="5000" w:type="pct"/>
                  <w:gridSpan w:val="10"/>
                </w:tcPr>
                <w:p w:rsidR="00514B47" w:rsidRPr="00637E3E" w:rsidRDefault="00637E3E" w:rsidP="00637E3E">
                  <w:pPr>
                    <w:pStyle w:val="DQIRowHeadings"/>
                  </w:pPr>
                  <w:r w:rsidRPr="00637E3E">
                    <w:rPr>
                      <w:color w:val="000000" w:themeColor="text1"/>
                    </w:rPr>
                    <w:t>Special</w:t>
                  </w:r>
                  <w:r w:rsidRPr="00637E3E">
                    <w:t xml:space="preserve"> needs</w:t>
                  </w:r>
                </w:p>
              </w:tc>
            </w:tr>
            <w:tr w:rsidR="00637E3E" w:rsidTr="00637E3E">
              <w:tc>
                <w:tcPr>
                  <w:tcW w:w="5000" w:type="pct"/>
                  <w:gridSpan w:val="10"/>
                </w:tcPr>
                <w:p w:rsidR="00637E3E" w:rsidRDefault="00637E3E" w:rsidP="00637E3E">
                  <w:pPr>
                    <w:pStyle w:val="TableBodyText"/>
                    <w:ind w:left="113" w:right="28"/>
                    <w:jc w:val="left"/>
                  </w:pPr>
                  <w:r>
                    <w:t>P</w:t>
                  </w:r>
                  <w:r w:rsidRPr="00853AB5">
                    <w:t>roportion of new tenancies allocated to h</w:t>
                  </w:r>
                  <w:r>
                    <w:t>ouseholds with special needs</w:t>
                  </w:r>
                  <w:r>
                    <w:rPr>
                      <w:color w:val="000000" w:themeColor="text1"/>
                    </w:rPr>
                    <w:t>, 2014</w:t>
                  </w:r>
                  <w:r w:rsidR="00080F6D">
                    <w:rPr>
                      <w:color w:val="000000" w:themeColor="text1"/>
                    </w:rPr>
                    <w:noBreakHyphen/>
                  </w:r>
                  <w:r>
                    <w:rPr>
                      <w:color w:val="000000" w:themeColor="text1"/>
                    </w:rPr>
                    <w:t>15</w:t>
                  </w:r>
                  <w:r w:rsidRPr="00C048B8">
                    <w:rPr>
                      <w:color w:val="000000" w:themeColor="text1"/>
                    </w:rPr>
                    <w:t> (%)</w:t>
                  </w:r>
                </w:p>
              </w:tc>
            </w:tr>
            <w:tr w:rsidR="00637E3E" w:rsidTr="00637E3E">
              <w:tc>
                <w:tcPr>
                  <w:tcW w:w="5000" w:type="pct"/>
                  <w:gridSpan w:val="10"/>
                </w:tcPr>
                <w:p w:rsidR="00637E3E" w:rsidRPr="00C47D6F" w:rsidRDefault="00637E3E" w:rsidP="00637E3E">
                  <w:pPr>
                    <w:pStyle w:val="TableBodyText"/>
                    <w:ind w:left="113" w:right="28"/>
                    <w:jc w:val="left"/>
                    <w:rPr>
                      <w:sz w:val="16"/>
                      <w:szCs w:val="16"/>
                    </w:rPr>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637E3E" w:rsidTr="00917D1B">
              <w:tc>
                <w:tcPr>
                  <w:tcW w:w="571" w:type="pct"/>
                </w:tcPr>
                <w:p w:rsidR="00637E3E" w:rsidRDefault="00637E3E" w:rsidP="00917D1B">
                  <w:pPr>
                    <w:pStyle w:val="TableBodyText"/>
                    <w:ind w:left="227" w:right="0"/>
                    <w:jc w:val="left"/>
                  </w:pPr>
                  <w:r>
                    <w:t>PH</w:t>
                  </w:r>
                </w:p>
              </w:tc>
              <w:tc>
                <w:tcPr>
                  <w:tcW w:w="431" w:type="pct"/>
                  <w:vAlign w:val="center"/>
                </w:tcPr>
                <w:p w:rsidR="00637E3E" w:rsidRPr="00637E3E" w:rsidRDefault="00080F6D" w:rsidP="00637E3E">
                  <w:pPr>
                    <w:pStyle w:val="TableBodyText"/>
                  </w:pPr>
                  <w:r>
                    <w:t xml:space="preserve"> </w:t>
                  </w:r>
                  <w:r w:rsidR="00637E3E" w:rsidRPr="00637E3E">
                    <w:t>68.0</w:t>
                  </w:r>
                </w:p>
              </w:tc>
              <w:tc>
                <w:tcPr>
                  <w:tcW w:w="501" w:type="pct"/>
                  <w:vAlign w:val="center"/>
                </w:tcPr>
                <w:p w:rsidR="00637E3E" w:rsidRPr="00637E3E" w:rsidRDefault="00080F6D" w:rsidP="00637E3E">
                  <w:pPr>
                    <w:pStyle w:val="TableBodyText"/>
                  </w:pPr>
                  <w:r>
                    <w:t xml:space="preserve"> </w:t>
                  </w:r>
                  <w:r w:rsidR="00637E3E" w:rsidRPr="00637E3E">
                    <w:t>57.7</w:t>
                  </w:r>
                </w:p>
              </w:tc>
              <w:tc>
                <w:tcPr>
                  <w:tcW w:w="501" w:type="pct"/>
                  <w:vAlign w:val="center"/>
                </w:tcPr>
                <w:p w:rsidR="00637E3E" w:rsidRPr="00637E3E" w:rsidRDefault="00080F6D" w:rsidP="00637E3E">
                  <w:pPr>
                    <w:pStyle w:val="TableBodyText"/>
                  </w:pPr>
                  <w:r>
                    <w:t xml:space="preserve"> </w:t>
                  </w:r>
                  <w:r w:rsidR="00637E3E" w:rsidRPr="00637E3E">
                    <w:t>67.2</w:t>
                  </w:r>
                </w:p>
              </w:tc>
              <w:tc>
                <w:tcPr>
                  <w:tcW w:w="501" w:type="pct"/>
                  <w:vAlign w:val="center"/>
                </w:tcPr>
                <w:p w:rsidR="00637E3E" w:rsidRPr="00637E3E" w:rsidRDefault="00080F6D" w:rsidP="00637E3E">
                  <w:pPr>
                    <w:pStyle w:val="TableBodyText"/>
                  </w:pPr>
                  <w:r>
                    <w:t xml:space="preserve"> </w:t>
                  </w:r>
                  <w:r w:rsidR="00637E3E" w:rsidRPr="00637E3E">
                    <w:t>54.1</w:t>
                  </w:r>
                </w:p>
              </w:tc>
              <w:tc>
                <w:tcPr>
                  <w:tcW w:w="501" w:type="pct"/>
                  <w:vAlign w:val="center"/>
                </w:tcPr>
                <w:p w:rsidR="00637E3E" w:rsidRPr="00637E3E" w:rsidRDefault="00080F6D" w:rsidP="00637E3E">
                  <w:pPr>
                    <w:pStyle w:val="TableBodyText"/>
                  </w:pPr>
                  <w:r>
                    <w:t xml:space="preserve"> </w:t>
                  </w:r>
                  <w:r w:rsidR="00637E3E" w:rsidRPr="00637E3E">
                    <w:t>67.2</w:t>
                  </w:r>
                </w:p>
              </w:tc>
              <w:tc>
                <w:tcPr>
                  <w:tcW w:w="501" w:type="pct"/>
                  <w:vAlign w:val="center"/>
                </w:tcPr>
                <w:p w:rsidR="00637E3E" w:rsidRPr="00637E3E" w:rsidRDefault="00080F6D" w:rsidP="00637E3E">
                  <w:pPr>
                    <w:pStyle w:val="TableBodyText"/>
                  </w:pPr>
                  <w:r>
                    <w:t xml:space="preserve"> </w:t>
                  </w:r>
                  <w:r w:rsidR="00637E3E" w:rsidRPr="00637E3E">
                    <w:t>60.6</w:t>
                  </w:r>
                </w:p>
              </w:tc>
              <w:tc>
                <w:tcPr>
                  <w:tcW w:w="501" w:type="pct"/>
                  <w:vAlign w:val="center"/>
                </w:tcPr>
                <w:p w:rsidR="00637E3E" w:rsidRPr="00637E3E" w:rsidRDefault="00080F6D" w:rsidP="00637E3E">
                  <w:pPr>
                    <w:pStyle w:val="TableBodyText"/>
                  </w:pPr>
                  <w:r>
                    <w:t xml:space="preserve"> </w:t>
                  </w:r>
                  <w:r w:rsidR="00637E3E" w:rsidRPr="00637E3E">
                    <w:t>66.5</w:t>
                  </w:r>
                </w:p>
              </w:tc>
              <w:tc>
                <w:tcPr>
                  <w:tcW w:w="496" w:type="pct"/>
                  <w:vAlign w:val="center"/>
                </w:tcPr>
                <w:p w:rsidR="00637E3E" w:rsidRPr="00637E3E" w:rsidRDefault="00080F6D" w:rsidP="00637E3E">
                  <w:pPr>
                    <w:pStyle w:val="TableBodyText"/>
                  </w:pPr>
                  <w:r>
                    <w:t xml:space="preserve"> </w:t>
                  </w:r>
                  <w:r w:rsidR="00637E3E" w:rsidRPr="00637E3E">
                    <w:t>69.8</w:t>
                  </w:r>
                </w:p>
              </w:tc>
              <w:tc>
                <w:tcPr>
                  <w:tcW w:w="496" w:type="pct"/>
                  <w:vAlign w:val="center"/>
                </w:tcPr>
                <w:p w:rsidR="00637E3E" w:rsidRPr="00637E3E" w:rsidRDefault="00080F6D" w:rsidP="00637E3E">
                  <w:pPr>
                    <w:pStyle w:val="TableBodyText"/>
                  </w:pPr>
                  <w:r>
                    <w:t xml:space="preserve"> </w:t>
                  </w:r>
                  <w:r w:rsidR="00637E3E" w:rsidRPr="00637E3E">
                    <w:t>63.7</w:t>
                  </w:r>
                </w:p>
              </w:tc>
            </w:tr>
            <w:tr w:rsidR="00637E3E" w:rsidTr="00917D1B">
              <w:tc>
                <w:tcPr>
                  <w:tcW w:w="571" w:type="pct"/>
                </w:tcPr>
                <w:p w:rsidR="00637E3E" w:rsidRDefault="00637E3E" w:rsidP="00917D1B">
                  <w:pPr>
                    <w:pStyle w:val="TableBodyText"/>
                    <w:ind w:left="227" w:right="0"/>
                    <w:jc w:val="left"/>
                  </w:pPr>
                  <w:r>
                    <w:t>SOMIH</w:t>
                  </w:r>
                </w:p>
              </w:tc>
              <w:tc>
                <w:tcPr>
                  <w:tcW w:w="431" w:type="pct"/>
                  <w:vAlign w:val="center"/>
                </w:tcPr>
                <w:p w:rsidR="00637E3E" w:rsidRPr="00637E3E" w:rsidRDefault="00080F6D" w:rsidP="00637E3E">
                  <w:pPr>
                    <w:pStyle w:val="TableBodyText"/>
                  </w:pPr>
                  <w:r>
                    <w:t xml:space="preserve"> </w:t>
                  </w:r>
                  <w:r w:rsidR="00637E3E" w:rsidRPr="00637E3E">
                    <w:t>55.6</w:t>
                  </w:r>
                </w:p>
              </w:tc>
              <w:tc>
                <w:tcPr>
                  <w:tcW w:w="501" w:type="pct"/>
                  <w:vAlign w:val="center"/>
                </w:tcPr>
                <w:p w:rsidR="00637E3E" w:rsidRPr="00637E3E" w:rsidRDefault="00637E3E" w:rsidP="00637E3E">
                  <w:pPr>
                    <w:pStyle w:val="TableBodyText"/>
                  </w:pPr>
                  <w:r w:rsidRPr="00637E3E">
                    <w:t>..</w:t>
                  </w:r>
                </w:p>
              </w:tc>
              <w:tc>
                <w:tcPr>
                  <w:tcW w:w="501" w:type="pct"/>
                  <w:vAlign w:val="center"/>
                </w:tcPr>
                <w:p w:rsidR="00637E3E" w:rsidRPr="00637E3E" w:rsidRDefault="00080F6D" w:rsidP="00637E3E">
                  <w:pPr>
                    <w:pStyle w:val="TableBodyText"/>
                  </w:pPr>
                  <w:r>
                    <w:t xml:space="preserve"> </w:t>
                  </w:r>
                  <w:r w:rsidR="00637E3E" w:rsidRPr="00637E3E">
                    <w:t>51.9</w:t>
                  </w:r>
                </w:p>
              </w:tc>
              <w:tc>
                <w:tcPr>
                  <w:tcW w:w="501" w:type="pct"/>
                  <w:vAlign w:val="center"/>
                </w:tcPr>
                <w:p w:rsidR="00637E3E" w:rsidRPr="00637E3E" w:rsidRDefault="00637E3E" w:rsidP="00637E3E">
                  <w:pPr>
                    <w:pStyle w:val="TableBodyText"/>
                  </w:pPr>
                  <w:r w:rsidRPr="00637E3E">
                    <w:t>..</w:t>
                  </w:r>
                </w:p>
              </w:tc>
              <w:tc>
                <w:tcPr>
                  <w:tcW w:w="501" w:type="pct"/>
                  <w:vAlign w:val="center"/>
                </w:tcPr>
                <w:p w:rsidR="00637E3E" w:rsidRPr="00637E3E" w:rsidRDefault="00080F6D" w:rsidP="00637E3E">
                  <w:pPr>
                    <w:pStyle w:val="TableBodyText"/>
                  </w:pPr>
                  <w:r>
                    <w:t xml:space="preserve"> </w:t>
                  </w:r>
                  <w:r w:rsidR="00637E3E" w:rsidRPr="00637E3E">
                    <w:t>50.0</w:t>
                  </w:r>
                </w:p>
              </w:tc>
              <w:tc>
                <w:tcPr>
                  <w:tcW w:w="501" w:type="pct"/>
                  <w:vAlign w:val="center"/>
                </w:tcPr>
                <w:p w:rsidR="00637E3E" w:rsidRPr="00637E3E" w:rsidRDefault="00080F6D" w:rsidP="00637E3E">
                  <w:pPr>
                    <w:pStyle w:val="TableBodyText"/>
                  </w:pPr>
                  <w:r>
                    <w:t xml:space="preserve"> </w:t>
                  </w:r>
                  <w:r w:rsidR="00637E3E" w:rsidRPr="00637E3E">
                    <w:t>63.0</w:t>
                  </w:r>
                </w:p>
              </w:tc>
              <w:tc>
                <w:tcPr>
                  <w:tcW w:w="501" w:type="pct"/>
                  <w:vAlign w:val="center"/>
                </w:tcPr>
                <w:p w:rsidR="00637E3E" w:rsidRPr="00637E3E" w:rsidRDefault="00637E3E" w:rsidP="00637E3E">
                  <w:pPr>
                    <w:pStyle w:val="TableBodyText"/>
                  </w:pPr>
                  <w:r w:rsidRPr="00637E3E">
                    <w:t>..</w:t>
                  </w:r>
                </w:p>
              </w:tc>
              <w:tc>
                <w:tcPr>
                  <w:tcW w:w="496" w:type="pct"/>
                </w:tcPr>
                <w:p w:rsidR="00637E3E" w:rsidRPr="00A2004B" w:rsidRDefault="00637E3E" w:rsidP="00637E3E">
                  <w:pPr>
                    <w:pStyle w:val="TableBodyText"/>
                  </w:pPr>
                  <w:r>
                    <w:t>..</w:t>
                  </w:r>
                </w:p>
              </w:tc>
              <w:tc>
                <w:tcPr>
                  <w:tcW w:w="496" w:type="pct"/>
                  <w:vAlign w:val="center"/>
                </w:tcPr>
                <w:p w:rsidR="00637E3E" w:rsidRPr="00637E3E" w:rsidRDefault="00080F6D" w:rsidP="00637E3E">
                  <w:pPr>
                    <w:pStyle w:val="TableBodyText"/>
                  </w:pPr>
                  <w:r>
                    <w:t xml:space="preserve"> </w:t>
                  </w:r>
                  <w:r w:rsidR="00637E3E" w:rsidRPr="00637E3E">
                    <w:t>53.8</w:t>
                  </w:r>
                </w:p>
              </w:tc>
            </w:tr>
            <w:tr w:rsidR="00637E3E" w:rsidTr="00917D1B">
              <w:tc>
                <w:tcPr>
                  <w:tcW w:w="571" w:type="pct"/>
                </w:tcPr>
                <w:p w:rsidR="00637E3E" w:rsidRDefault="00637E3E" w:rsidP="00917D1B">
                  <w:pPr>
                    <w:pStyle w:val="TableBodyText"/>
                    <w:ind w:left="227" w:right="0"/>
                    <w:jc w:val="left"/>
                  </w:pPr>
                  <w:r>
                    <w:t>CH</w:t>
                  </w:r>
                </w:p>
              </w:tc>
              <w:tc>
                <w:tcPr>
                  <w:tcW w:w="431" w:type="pct"/>
                  <w:vAlign w:val="center"/>
                </w:tcPr>
                <w:p w:rsidR="00637E3E" w:rsidRPr="00637E3E" w:rsidRDefault="00080F6D" w:rsidP="00637E3E">
                  <w:pPr>
                    <w:pStyle w:val="TableBodyText"/>
                  </w:pPr>
                  <w:r>
                    <w:t xml:space="preserve"> </w:t>
                  </w:r>
                  <w:r w:rsidR="00637E3E" w:rsidRPr="00637E3E">
                    <w:t>57.7</w:t>
                  </w:r>
                </w:p>
              </w:tc>
              <w:tc>
                <w:tcPr>
                  <w:tcW w:w="501" w:type="pct"/>
                  <w:vAlign w:val="center"/>
                </w:tcPr>
                <w:p w:rsidR="00637E3E" w:rsidRPr="00637E3E" w:rsidRDefault="00080F6D" w:rsidP="00637E3E">
                  <w:pPr>
                    <w:pStyle w:val="TableBodyText"/>
                  </w:pPr>
                  <w:r>
                    <w:t xml:space="preserve"> </w:t>
                  </w:r>
                  <w:r w:rsidR="00637E3E" w:rsidRPr="00637E3E">
                    <w:t>46.7</w:t>
                  </w:r>
                </w:p>
              </w:tc>
              <w:tc>
                <w:tcPr>
                  <w:tcW w:w="501" w:type="pct"/>
                  <w:vAlign w:val="center"/>
                </w:tcPr>
                <w:p w:rsidR="00637E3E" w:rsidRPr="00637E3E" w:rsidRDefault="00080F6D" w:rsidP="00637E3E">
                  <w:pPr>
                    <w:pStyle w:val="TableBodyText"/>
                  </w:pPr>
                  <w:r>
                    <w:t xml:space="preserve"> </w:t>
                  </w:r>
                  <w:r w:rsidR="00637E3E" w:rsidRPr="00637E3E">
                    <w:t>62.6</w:t>
                  </w:r>
                </w:p>
              </w:tc>
              <w:tc>
                <w:tcPr>
                  <w:tcW w:w="501" w:type="pct"/>
                  <w:vAlign w:val="center"/>
                </w:tcPr>
                <w:p w:rsidR="00637E3E" w:rsidRPr="00637E3E" w:rsidRDefault="00080F6D" w:rsidP="00637E3E">
                  <w:pPr>
                    <w:pStyle w:val="TableBodyText"/>
                  </w:pPr>
                  <w:r>
                    <w:t xml:space="preserve"> </w:t>
                  </w:r>
                  <w:r w:rsidR="00637E3E" w:rsidRPr="00637E3E">
                    <w:t>49.4</w:t>
                  </w:r>
                </w:p>
              </w:tc>
              <w:tc>
                <w:tcPr>
                  <w:tcW w:w="501" w:type="pct"/>
                  <w:vAlign w:val="center"/>
                </w:tcPr>
                <w:p w:rsidR="00637E3E" w:rsidRPr="00637E3E" w:rsidRDefault="00080F6D" w:rsidP="00637E3E">
                  <w:pPr>
                    <w:pStyle w:val="TableBodyText"/>
                  </w:pPr>
                  <w:r>
                    <w:t xml:space="preserve"> </w:t>
                  </w:r>
                  <w:r w:rsidR="00637E3E" w:rsidRPr="00637E3E">
                    <w:t>60.5</w:t>
                  </w:r>
                </w:p>
              </w:tc>
              <w:tc>
                <w:tcPr>
                  <w:tcW w:w="501" w:type="pct"/>
                  <w:vAlign w:val="center"/>
                </w:tcPr>
                <w:p w:rsidR="00637E3E" w:rsidRPr="00637E3E" w:rsidRDefault="00080F6D" w:rsidP="00637E3E">
                  <w:pPr>
                    <w:pStyle w:val="TableBodyText"/>
                  </w:pPr>
                  <w:r>
                    <w:t xml:space="preserve"> </w:t>
                  </w:r>
                  <w:r w:rsidR="00637E3E" w:rsidRPr="00637E3E">
                    <w:t>67.5</w:t>
                  </w:r>
                </w:p>
              </w:tc>
              <w:tc>
                <w:tcPr>
                  <w:tcW w:w="501" w:type="pct"/>
                  <w:vAlign w:val="center"/>
                </w:tcPr>
                <w:p w:rsidR="00637E3E" w:rsidRPr="00637E3E" w:rsidRDefault="00080F6D" w:rsidP="00637E3E">
                  <w:pPr>
                    <w:pStyle w:val="TableBodyText"/>
                  </w:pPr>
                  <w:r>
                    <w:t xml:space="preserve"> </w:t>
                  </w:r>
                  <w:r w:rsidR="00637E3E" w:rsidRPr="00637E3E">
                    <w:t>61.5</w:t>
                  </w:r>
                </w:p>
              </w:tc>
              <w:tc>
                <w:tcPr>
                  <w:tcW w:w="496" w:type="pct"/>
                  <w:vAlign w:val="center"/>
                </w:tcPr>
                <w:p w:rsidR="00637E3E" w:rsidRPr="00637E3E" w:rsidRDefault="00637E3E" w:rsidP="00637E3E">
                  <w:pPr>
                    <w:pStyle w:val="TableBodyText"/>
                  </w:pPr>
                  <w:r w:rsidRPr="00637E3E">
                    <w:t>na</w:t>
                  </w:r>
                </w:p>
              </w:tc>
              <w:tc>
                <w:tcPr>
                  <w:tcW w:w="496" w:type="pct"/>
                  <w:vAlign w:val="center"/>
                </w:tcPr>
                <w:p w:rsidR="00637E3E" w:rsidRPr="00637E3E" w:rsidRDefault="00080F6D" w:rsidP="00637E3E">
                  <w:pPr>
                    <w:pStyle w:val="TableBodyText"/>
                  </w:pPr>
                  <w:r>
                    <w:t xml:space="preserve"> </w:t>
                  </w:r>
                  <w:r w:rsidR="00637E3E" w:rsidRPr="00637E3E">
                    <w:t>55.5</w:t>
                  </w:r>
                </w:p>
              </w:tc>
            </w:tr>
            <w:tr w:rsidR="00637E3E" w:rsidTr="000A4712">
              <w:tc>
                <w:tcPr>
                  <w:tcW w:w="5000" w:type="pct"/>
                  <w:gridSpan w:val="10"/>
                </w:tcPr>
                <w:p w:rsidR="00637E3E" w:rsidRDefault="00637E3E" w:rsidP="00637E3E">
                  <w:pPr>
                    <w:pStyle w:val="Source"/>
                    <w:spacing w:before="0" w:after="80"/>
                    <w:ind w:left="113"/>
                  </w:pPr>
                  <w:r w:rsidRPr="00253B66">
                    <w:rPr>
                      <w:i/>
                    </w:rPr>
                    <w:t>Source</w:t>
                  </w:r>
                  <w:r w:rsidRPr="00080F6D">
                    <w:t>:</w:t>
                  </w:r>
                  <w:r>
                    <w:t xml:space="preserve"> Attachment table </w:t>
                  </w:r>
                  <w:proofErr w:type="spellStart"/>
                  <w:r>
                    <w:t>17A.12</w:t>
                  </w:r>
                  <w:proofErr w:type="spellEnd"/>
                  <w:r>
                    <w:t>–14</w:t>
                  </w:r>
                  <w:r w:rsidR="00C9055F">
                    <w:t>.</w:t>
                  </w:r>
                </w:p>
              </w:tc>
            </w:tr>
            <w:tr w:rsidR="00637E3E" w:rsidTr="000A4712">
              <w:tc>
                <w:tcPr>
                  <w:tcW w:w="5000" w:type="pct"/>
                  <w:gridSpan w:val="10"/>
                </w:tcPr>
                <w:p w:rsidR="00637E3E" w:rsidRDefault="00637E3E" w:rsidP="00637E3E">
                  <w:pPr>
                    <w:pStyle w:val="DQIMainRowHeadings"/>
                  </w:pPr>
                  <w:r>
                    <w:t>Equity — Effectiveness indicators</w:t>
                  </w:r>
                </w:p>
              </w:tc>
            </w:tr>
            <w:tr w:rsidR="00637E3E" w:rsidTr="00637E3E">
              <w:tc>
                <w:tcPr>
                  <w:tcW w:w="5000" w:type="pct"/>
                  <w:gridSpan w:val="10"/>
                </w:tcPr>
                <w:p w:rsidR="00637E3E" w:rsidRPr="00637E3E" w:rsidRDefault="00637E3E" w:rsidP="00637E3E">
                  <w:pPr>
                    <w:pStyle w:val="DQIRowHeadings"/>
                  </w:pPr>
                  <w:r>
                    <w:rPr>
                      <w:color w:val="000000" w:themeColor="text1"/>
                    </w:rPr>
                    <w:t>Dwelling condition</w:t>
                  </w:r>
                </w:p>
              </w:tc>
            </w:tr>
            <w:tr w:rsidR="00637E3E" w:rsidTr="00637E3E">
              <w:tc>
                <w:tcPr>
                  <w:tcW w:w="5000" w:type="pct"/>
                  <w:gridSpan w:val="10"/>
                </w:tcPr>
                <w:p w:rsidR="00637E3E" w:rsidRDefault="00637E3E" w:rsidP="002E6124">
                  <w:pPr>
                    <w:pStyle w:val="TableBodyText"/>
                    <w:ind w:left="113"/>
                    <w:jc w:val="left"/>
                  </w:pPr>
                  <w:r w:rsidRPr="00C048B8">
                    <w:rPr>
                      <w:rFonts w:cs="Arial"/>
                      <w:color w:val="000000" w:themeColor="text1"/>
                    </w:rPr>
                    <w:t>Proportion of households with at least four working facilities and not more than two major structural problems</w:t>
                  </w:r>
                  <w:r>
                    <w:rPr>
                      <w:color w:val="000000" w:themeColor="text1"/>
                    </w:rPr>
                    <w:t>, 2014</w:t>
                  </w:r>
                  <w:r w:rsidRPr="00C048B8">
                    <w:rPr>
                      <w:color w:val="000000" w:themeColor="text1"/>
                    </w:rPr>
                    <w:t> (%)</w:t>
                  </w:r>
                </w:p>
              </w:tc>
            </w:tr>
            <w:tr w:rsidR="00637E3E" w:rsidRPr="00697796" w:rsidTr="00637E3E">
              <w:tc>
                <w:tcPr>
                  <w:tcW w:w="5000" w:type="pct"/>
                  <w:gridSpan w:val="10"/>
                </w:tcPr>
                <w:p w:rsidR="00637E3E" w:rsidRPr="00697796" w:rsidRDefault="00B17B92" w:rsidP="00637E3E">
                  <w:pPr>
                    <w:pStyle w:val="TableBodyText"/>
                    <w:ind w:left="113" w:right="28"/>
                    <w:jc w:val="left"/>
                    <w:rPr>
                      <w:sz w:val="16"/>
                      <w:szCs w:val="16"/>
                    </w:rPr>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0312F6" w:rsidTr="00917D1B">
              <w:tc>
                <w:tcPr>
                  <w:tcW w:w="571" w:type="pct"/>
                </w:tcPr>
                <w:p w:rsidR="000312F6" w:rsidRDefault="000312F6" w:rsidP="00917D1B">
                  <w:pPr>
                    <w:pStyle w:val="TableBodyText"/>
                    <w:ind w:left="227" w:right="0"/>
                    <w:jc w:val="left"/>
                  </w:pPr>
                  <w:r>
                    <w:t>PH</w:t>
                  </w:r>
                </w:p>
              </w:tc>
              <w:tc>
                <w:tcPr>
                  <w:tcW w:w="431" w:type="pct"/>
                  <w:vAlign w:val="bottom"/>
                </w:tcPr>
                <w:p w:rsidR="000312F6" w:rsidRPr="000312F6" w:rsidRDefault="000312F6" w:rsidP="000312F6">
                  <w:pPr>
                    <w:pStyle w:val="TableBodyText"/>
                  </w:pPr>
                  <w:r w:rsidRPr="000312F6">
                    <w:t>75.9</w:t>
                  </w:r>
                </w:p>
              </w:tc>
              <w:tc>
                <w:tcPr>
                  <w:tcW w:w="501" w:type="pct"/>
                  <w:vAlign w:val="bottom"/>
                </w:tcPr>
                <w:p w:rsidR="000312F6" w:rsidRPr="000312F6" w:rsidRDefault="000312F6" w:rsidP="000312F6">
                  <w:pPr>
                    <w:pStyle w:val="TableBodyText"/>
                  </w:pPr>
                  <w:r w:rsidRPr="000312F6">
                    <w:t>83.1</w:t>
                  </w:r>
                </w:p>
              </w:tc>
              <w:tc>
                <w:tcPr>
                  <w:tcW w:w="501" w:type="pct"/>
                  <w:vAlign w:val="bottom"/>
                </w:tcPr>
                <w:p w:rsidR="000312F6" w:rsidRPr="000312F6" w:rsidRDefault="000312F6" w:rsidP="000312F6">
                  <w:pPr>
                    <w:pStyle w:val="TableBodyText"/>
                  </w:pPr>
                  <w:r w:rsidRPr="000312F6">
                    <w:t>88.3</w:t>
                  </w:r>
                </w:p>
              </w:tc>
              <w:tc>
                <w:tcPr>
                  <w:tcW w:w="501" w:type="pct"/>
                  <w:vAlign w:val="bottom"/>
                </w:tcPr>
                <w:p w:rsidR="000312F6" w:rsidRPr="000312F6" w:rsidRDefault="000312F6" w:rsidP="000312F6">
                  <w:pPr>
                    <w:pStyle w:val="TableBodyText"/>
                  </w:pPr>
                  <w:r w:rsidRPr="000312F6">
                    <w:t>81.9</w:t>
                  </w:r>
                </w:p>
              </w:tc>
              <w:tc>
                <w:tcPr>
                  <w:tcW w:w="501" w:type="pct"/>
                  <w:vAlign w:val="bottom"/>
                </w:tcPr>
                <w:p w:rsidR="000312F6" w:rsidRPr="000312F6" w:rsidRDefault="000312F6" w:rsidP="000312F6">
                  <w:pPr>
                    <w:pStyle w:val="TableBodyText"/>
                  </w:pPr>
                  <w:r w:rsidRPr="000312F6">
                    <w:t>84.0</w:t>
                  </w:r>
                </w:p>
              </w:tc>
              <w:tc>
                <w:tcPr>
                  <w:tcW w:w="501" w:type="pct"/>
                  <w:vAlign w:val="bottom"/>
                </w:tcPr>
                <w:p w:rsidR="000312F6" w:rsidRPr="000312F6" w:rsidRDefault="000312F6" w:rsidP="000312F6">
                  <w:pPr>
                    <w:pStyle w:val="TableBodyText"/>
                  </w:pPr>
                  <w:r w:rsidRPr="000312F6">
                    <w:t>80.6</w:t>
                  </w:r>
                </w:p>
              </w:tc>
              <w:tc>
                <w:tcPr>
                  <w:tcW w:w="501" w:type="pct"/>
                  <w:vAlign w:val="bottom"/>
                </w:tcPr>
                <w:p w:rsidR="000312F6" w:rsidRPr="000312F6" w:rsidRDefault="000312F6" w:rsidP="000312F6">
                  <w:pPr>
                    <w:pStyle w:val="TableBodyText"/>
                  </w:pPr>
                  <w:r w:rsidRPr="000312F6">
                    <w:t>75.7</w:t>
                  </w:r>
                </w:p>
              </w:tc>
              <w:tc>
                <w:tcPr>
                  <w:tcW w:w="496" w:type="pct"/>
                  <w:vAlign w:val="bottom"/>
                </w:tcPr>
                <w:p w:rsidR="000312F6" w:rsidRPr="000312F6" w:rsidRDefault="000312F6" w:rsidP="000312F6">
                  <w:pPr>
                    <w:pStyle w:val="TableBodyText"/>
                  </w:pPr>
                  <w:r w:rsidRPr="000312F6">
                    <w:t>81.7</w:t>
                  </w:r>
                </w:p>
              </w:tc>
              <w:tc>
                <w:tcPr>
                  <w:tcW w:w="496" w:type="pct"/>
                  <w:vAlign w:val="bottom"/>
                </w:tcPr>
                <w:p w:rsidR="000312F6" w:rsidRPr="000312F6" w:rsidRDefault="000312F6" w:rsidP="000312F6">
                  <w:pPr>
                    <w:pStyle w:val="TableBodyText"/>
                  </w:pPr>
                  <w:r w:rsidRPr="000312F6">
                    <w:t>81.0</w:t>
                  </w:r>
                </w:p>
              </w:tc>
            </w:tr>
            <w:tr w:rsidR="000312F6" w:rsidTr="00917D1B">
              <w:tc>
                <w:tcPr>
                  <w:tcW w:w="571" w:type="pct"/>
                  <w:shd w:val="clear" w:color="auto" w:fill="auto"/>
                </w:tcPr>
                <w:p w:rsidR="000312F6" w:rsidRDefault="00080F6D" w:rsidP="005A2BEB">
                  <w:pPr>
                    <w:pStyle w:val="TableBodyText"/>
                    <w:ind w:left="227" w:right="0"/>
                    <w:jc w:val="left"/>
                  </w:pPr>
                  <w:r>
                    <w:t xml:space="preserve"> </w:t>
                  </w:r>
                </w:p>
              </w:tc>
              <w:tc>
                <w:tcPr>
                  <w:tcW w:w="431" w:type="pct"/>
                  <w:vAlign w:val="bottom"/>
                </w:tcPr>
                <w:p w:rsidR="000312F6" w:rsidRPr="000312F6" w:rsidRDefault="005A2BEB" w:rsidP="000312F6">
                  <w:pPr>
                    <w:pStyle w:val="TableBodyText"/>
                  </w:pPr>
                  <w:r w:rsidRPr="000312F6">
                    <w:t>±</w:t>
                  </w:r>
                  <w:r>
                    <w:t xml:space="preserve"> </w:t>
                  </w:r>
                  <w:r w:rsidR="000312F6" w:rsidRPr="000312F6">
                    <w:t>1.3</w:t>
                  </w:r>
                </w:p>
              </w:tc>
              <w:tc>
                <w:tcPr>
                  <w:tcW w:w="501" w:type="pct"/>
                  <w:vAlign w:val="bottom"/>
                </w:tcPr>
                <w:p w:rsidR="000312F6" w:rsidRPr="000312F6" w:rsidRDefault="005A2BEB" w:rsidP="000312F6">
                  <w:pPr>
                    <w:pStyle w:val="TableBodyText"/>
                  </w:pPr>
                  <w:r w:rsidRPr="000312F6">
                    <w:t>±</w:t>
                  </w:r>
                  <w:r>
                    <w:t xml:space="preserve"> </w:t>
                  </w:r>
                  <w:r w:rsidR="000312F6" w:rsidRPr="000312F6">
                    <w:t>3.2</w:t>
                  </w:r>
                </w:p>
              </w:tc>
              <w:tc>
                <w:tcPr>
                  <w:tcW w:w="501" w:type="pct"/>
                  <w:vAlign w:val="bottom"/>
                </w:tcPr>
                <w:p w:rsidR="000312F6" w:rsidRPr="000312F6" w:rsidRDefault="005A2BEB" w:rsidP="000312F6">
                  <w:pPr>
                    <w:pStyle w:val="TableBodyText"/>
                  </w:pPr>
                  <w:r w:rsidRPr="000312F6">
                    <w:t>±</w:t>
                  </w:r>
                  <w:r>
                    <w:t xml:space="preserve"> </w:t>
                  </w:r>
                  <w:r w:rsidR="000312F6" w:rsidRPr="000312F6">
                    <w:t>2.8</w:t>
                  </w:r>
                </w:p>
              </w:tc>
              <w:tc>
                <w:tcPr>
                  <w:tcW w:w="501" w:type="pct"/>
                  <w:vAlign w:val="bottom"/>
                </w:tcPr>
                <w:p w:rsidR="000312F6" w:rsidRPr="000312F6" w:rsidRDefault="005A2BEB" w:rsidP="000312F6">
                  <w:pPr>
                    <w:pStyle w:val="TableBodyText"/>
                  </w:pPr>
                  <w:r w:rsidRPr="000312F6">
                    <w:t>±</w:t>
                  </w:r>
                  <w:r>
                    <w:t xml:space="preserve"> </w:t>
                  </w:r>
                  <w:r w:rsidR="000312F6" w:rsidRPr="000312F6">
                    <w:t>2.9</w:t>
                  </w:r>
                </w:p>
              </w:tc>
              <w:tc>
                <w:tcPr>
                  <w:tcW w:w="501" w:type="pct"/>
                  <w:vAlign w:val="bottom"/>
                </w:tcPr>
                <w:p w:rsidR="000312F6" w:rsidRPr="000312F6" w:rsidRDefault="005A2BEB" w:rsidP="000312F6">
                  <w:pPr>
                    <w:pStyle w:val="TableBodyText"/>
                  </w:pPr>
                  <w:r w:rsidRPr="000312F6">
                    <w:t>±</w:t>
                  </w:r>
                  <w:r>
                    <w:t xml:space="preserve"> </w:t>
                  </w:r>
                  <w:r w:rsidR="000312F6" w:rsidRPr="000312F6">
                    <w:t>3.0</w:t>
                  </w:r>
                </w:p>
              </w:tc>
              <w:tc>
                <w:tcPr>
                  <w:tcW w:w="501" w:type="pct"/>
                  <w:vAlign w:val="bottom"/>
                </w:tcPr>
                <w:p w:rsidR="000312F6" w:rsidRPr="000312F6" w:rsidRDefault="005A2BEB" w:rsidP="000312F6">
                  <w:pPr>
                    <w:pStyle w:val="TableBodyText"/>
                  </w:pPr>
                  <w:r w:rsidRPr="000312F6">
                    <w:t>±</w:t>
                  </w:r>
                  <w:r>
                    <w:t xml:space="preserve"> </w:t>
                  </w:r>
                  <w:r w:rsidR="000312F6" w:rsidRPr="000312F6">
                    <w:t>3.6</w:t>
                  </w:r>
                </w:p>
              </w:tc>
              <w:tc>
                <w:tcPr>
                  <w:tcW w:w="501" w:type="pct"/>
                  <w:shd w:val="clear" w:color="auto" w:fill="auto"/>
                  <w:vAlign w:val="bottom"/>
                </w:tcPr>
                <w:p w:rsidR="000312F6" w:rsidRPr="000312F6" w:rsidRDefault="005A2BEB" w:rsidP="000312F6">
                  <w:pPr>
                    <w:pStyle w:val="TableBodyText"/>
                  </w:pPr>
                  <w:r w:rsidRPr="000312F6">
                    <w:t>±</w:t>
                  </w:r>
                  <w:r>
                    <w:t xml:space="preserve"> </w:t>
                  </w:r>
                  <w:r w:rsidR="000312F6" w:rsidRPr="000312F6">
                    <w:t>3.8</w:t>
                  </w:r>
                </w:p>
              </w:tc>
              <w:tc>
                <w:tcPr>
                  <w:tcW w:w="496" w:type="pct"/>
                  <w:vAlign w:val="bottom"/>
                </w:tcPr>
                <w:p w:rsidR="000312F6" w:rsidRPr="000312F6" w:rsidRDefault="005A2BEB" w:rsidP="000312F6">
                  <w:pPr>
                    <w:pStyle w:val="TableBodyText"/>
                  </w:pPr>
                  <w:r w:rsidRPr="000312F6">
                    <w:t>±</w:t>
                  </w:r>
                  <w:r>
                    <w:t xml:space="preserve"> </w:t>
                  </w:r>
                  <w:r w:rsidR="000312F6" w:rsidRPr="000312F6">
                    <w:t>3.6</w:t>
                  </w:r>
                </w:p>
              </w:tc>
              <w:tc>
                <w:tcPr>
                  <w:tcW w:w="496" w:type="pct"/>
                  <w:shd w:val="clear" w:color="auto" w:fill="auto"/>
                  <w:vAlign w:val="bottom"/>
                </w:tcPr>
                <w:p w:rsidR="000312F6" w:rsidRPr="000312F6" w:rsidRDefault="005A2BEB" w:rsidP="000312F6">
                  <w:pPr>
                    <w:pStyle w:val="TableBodyText"/>
                  </w:pPr>
                  <w:r w:rsidRPr="000312F6">
                    <w:t>±</w:t>
                  </w:r>
                  <w:r>
                    <w:t xml:space="preserve"> </w:t>
                  </w:r>
                  <w:r w:rsidR="000312F6" w:rsidRPr="000312F6">
                    <w:t>1.0</w:t>
                  </w:r>
                </w:p>
              </w:tc>
            </w:tr>
            <w:tr w:rsidR="00637E3E" w:rsidTr="00917D1B">
              <w:tc>
                <w:tcPr>
                  <w:tcW w:w="571" w:type="pct"/>
                </w:tcPr>
                <w:p w:rsidR="00637E3E" w:rsidRDefault="00637E3E" w:rsidP="00917D1B">
                  <w:pPr>
                    <w:pStyle w:val="TableBodyText"/>
                    <w:ind w:left="227" w:right="0"/>
                    <w:jc w:val="left"/>
                  </w:pPr>
                  <w:r>
                    <w:t>SOMIH</w:t>
                  </w:r>
                </w:p>
              </w:tc>
              <w:tc>
                <w:tcPr>
                  <w:tcW w:w="431" w:type="pct"/>
                  <w:vAlign w:val="center"/>
                </w:tcPr>
                <w:p w:rsidR="00637E3E" w:rsidRPr="00637E3E" w:rsidRDefault="00080F6D" w:rsidP="000312F6">
                  <w:pPr>
                    <w:pStyle w:val="TableBodyText"/>
                  </w:pPr>
                  <w:r>
                    <w:t xml:space="preserve"> </w:t>
                  </w:r>
                  <w:r w:rsidR="000312F6">
                    <w:t>65.5</w:t>
                  </w:r>
                </w:p>
              </w:tc>
              <w:tc>
                <w:tcPr>
                  <w:tcW w:w="501" w:type="pct"/>
                  <w:vAlign w:val="center"/>
                </w:tcPr>
                <w:p w:rsidR="00637E3E" w:rsidRPr="00637E3E" w:rsidRDefault="00637E3E" w:rsidP="00637E3E">
                  <w:pPr>
                    <w:pStyle w:val="TableBodyText"/>
                  </w:pPr>
                  <w:r w:rsidRPr="00637E3E">
                    <w:t>..</w:t>
                  </w:r>
                </w:p>
              </w:tc>
              <w:tc>
                <w:tcPr>
                  <w:tcW w:w="501" w:type="pct"/>
                  <w:vAlign w:val="center"/>
                </w:tcPr>
                <w:p w:rsidR="00637E3E" w:rsidRPr="00637E3E" w:rsidRDefault="000312F6" w:rsidP="00637E3E">
                  <w:pPr>
                    <w:pStyle w:val="TableBodyText"/>
                  </w:pPr>
                  <w:r>
                    <w:t>80.3</w:t>
                  </w:r>
                </w:p>
              </w:tc>
              <w:tc>
                <w:tcPr>
                  <w:tcW w:w="501" w:type="pct"/>
                  <w:vAlign w:val="center"/>
                </w:tcPr>
                <w:p w:rsidR="00637E3E" w:rsidRPr="00637E3E" w:rsidRDefault="00637E3E" w:rsidP="00637E3E">
                  <w:pPr>
                    <w:pStyle w:val="TableBodyText"/>
                  </w:pPr>
                  <w:r w:rsidRPr="00637E3E">
                    <w:t>..</w:t>
                  </w:r>
                </w:p>
              </w:tc>
              <w:tc>
                <w:tcPr>
                  <w:tcW w:w="501" w:type="pct"/>
                  <w:vAlign w:val="center"/>
                </w:tcPr>
                <w:p w:rsidR="00637E3E" w:rsidRPr="00637E3E" w:rsidRDefault="000312F6" w:rsidP="00637E3E">
                  <w:pPr>
                    <w:pStyle w:val="TableBodyText"/>
                  </w:pPr>
                  <w:r>
                    <w:t>61.4</w:t>
                  </w:r>
                </w:p>
              </w:tc>
              <w:tc>
                <w:tcPr>
                  <w:tcW w:w="501" w:type="pct"/>
                  <w:vAlign w:val="center"/>
                </w:tcPr>
                <w:p w:rsidR="00637E3E" w:rsidRPr="00637E3E" w:rsidRDefault="000312F6" w:rsidP="00637E3E">
                  <w:pPr>
                    <w:pStyle w:val="TableBodyText"/>
                  </w:pPr>
                  <w:r>
                    <w:t>75.6</w:t>
                  </w:r>
                </w:p>
              </w:tc>
              <w:tc>
                <w:tcPr>
                  <w:tcW w:w="501" w:type="pct"/>
                  <w:vAlign w:val="center"/>
                </w:tcPr>
                <w:p w:rsidR="00637E3E" w:rsidRPr="00637E3E" w:rsidRDefault="00637E3E" w:rsidP="00637E3E">
                  <w:pPr>
                    <w:pStyle w:val="TableBodyText"/>
                  </w:pPr>
                  <w:r w:rsidRPr="00637E3E">
                    <w:t>..</w:t>
                  </w:r>
                </w:p>
              </w:tc>
              <w:tc>
                <w:tcPr>
                  <w:tcW w:w="496" w:type="pct"/>
                </w:tcPr>
                <w:p w:rsidR="00637E3E" w:rsidRPr="00A2004B" w:rsidRDefault="00637E3E" w:rsidP="00637E3E">
                  <w:pPr>
                    <w:pStyle w:val="TableBodyText"/>
                  </w:pPr>
                  <w:r>
                    <w:t>..</w:t>
                  </w:r>
                </w:p>
              </w:tc>
              <w:tc>
                <w:tcPr>
                  <w:tcW w:w="496" w:type="pct"/>
                  <w:vAlign w:val="center"/>
                </w:tcPr>
                <w:p w:rsidR="00637E3E" w:rsidRPr="00637E3E" w:rsidRDefault="000312F6" w:rsidP="000312F6">
                  <w:pPr>
                    <w:pStyle w:val="TableBodyText"/>
                  </w:pPr>
                  <w:r>
                    <w:t>70.1</w:t>
                  </w:r>
                </w:p>
              </w:tc>
            </w:tr>
            <w:tr w:rsidR="000312F6" w:rsidTr="00917D1B">
              <w:tc>
                <w:tcPr>
                  <w:tcW w:w="571" w:type="pct"/>
                  <w:shd w:val="clear" w:color="auto" w:fill="auto"/>
                </w:tcPr>
                <w:p w:rsidR="000312F6" w:rsidRDefault="000312F6" w:rsidP="00917D1B">
                  <w:pPr>
                    <w:pStyle w:val="TableBodyText"/>
                    <w:ind w:left="227" w:right="0"/>
                    <w:jc w:val="left"/>
                  </w:pPr>
                </w:p>
              </w:tc>
              <w:tc>
                <w:tcPr>
                  <w:tcW w:w="431" w:type="pct"/>
                  <w:vAlign w:val="center"/>
                </w:tcPr>
                <w:p w:rsidR="000312F6" w:rsidRPr="00A2004B" w:rsidRDefault="005A2BEB" w:rsidP="00045496">
                  <w:pPr>
                    <w:pStyle w:val="TableBodyText"/>
                  </w:pPr>
                  <w:r w:rsidRPr="000312F6">
                    <w:t>±</w:t>
                  </w:r>
                  <w:r>
                    <w:t xml:space="preserve"> </w:t>
                  </w:r>
                  <w:r w:rsidR="000312F6">
                    <w:t>4.2</w:t>
                  </w:r>
                </w:p>
              </w:tc>
              <w:tc>
                <w:tcPr>
                  <w:tcW w:w="501" w:type="pct"/>
                  <w:vAlign w:val="center"/>
                </w:tcPr>
                <w:p w:rsidR="000312F6" w:rsidRPr="00A2004B" w:rsidRDefault="000312F6" w:rsidP="00045496">
                  <w:pPr>
                    <w:pStyle w:val="TableBodyText"/>
                  </w:pPr>
                </w:p>
              </w:tc>
              <w:tc>
                <w:tcPr>
                  <w:tcW w:w="501" w:type="pct"/>
                  <w:vAlign w:val="center"/>
                </w:tcPr>
                <w:p w:rsidR="000312F6" w:rsidRPr="00A2004B" w:rsidRDefault="005A2BEB" w:rsidP="00045496">
                  <w:pPr>
                    <w:pStyle w:val="TableBodyText"/>
                  </w:pPr>
                  <w:r w:rsidRPr="000312F6">
                    <w:t>±</w:t>
                  </w:r>
                  <w:r>
                    <w:t xml:space="preserve"> </w:t>
                  </w:r>
                  <w:r w:rsidR="000312F6">
                    <w:t>3.5</w:t>
                  </w:r>
                </w:p>
              </w:tc>
              <w:tc>
                <w:tcPr>
                  <w:tcW w:w="501" w:type="pct"/>
                  <w:vAlign w:val="center"/>
                </w:tcPr>
                <w:p w:rsidR="000312F6" w:rsidRPr="00A2004B" w:rsidRDefault="000312F6" w:rsidP="00045496">
                  <w:pPr>
                    <w:pStyle w:val="TableBodyText"/>
                  </w:pPr>
                </w:p>
              </w:tc>
              <w:tc>
                <w:tcPr>
                  <w:tcW w:w="501" w:type="pct"/>
                  <w:vAlign w:val="center"/>
                </w:tcPr>
                <w:p w:rsidR="000312F6" w:rsidRPr="00A2004B" w:rsidRDefault="005A2BEB" w:rsidP="00045496">
                  <w:pPr>
                    <w:pStyle w:val="TableBodyText"/>
                  </w:pPr>
                  <w:r w:rsidRPr="000312F6">
                    <w:t>±</w:t>
                  </w:r>
                  <w:r>
                    <w:t xml:space="preserve"> </w:t>
                  </w:r>
                  <w:r w:rsidR="000312F6">
                    <w:t>5.7</w:t>
                  </w:r>
                </w:p>
              </w:tc>
              <w:tc>
                <w:tcPr>
                  <w:tcW w:w="501" w:type="pct"/>
                  <w:vAlign w:val="center"/>
                </w:tcPr>
                <w:p w:rsidR="000312F6" w:rsidRPr="00A2004B" w:rsidRDefault="005A2BEB" w:rsidP="00045496">
                  <w:pPr>
                    <w:pStyle w:val="TableBodyText"/>
                  </w:pPr>
                  <w:r w:rsidRPr="000312F6">
                    <w:t>±</w:t>
                  </w:r>
                  <w:r>
                    <w:t xml:space="preserve"> </w:t>
                  </w:r>
                  <w:r w:rsidR="000312F6">
                    <w:t>9.1</w:t>
                  </w:r>
                </w:p>
              </w:tc>
              <w:tc>
                <w:tcPr>
                  <w:tcW w:w="501" w:type="pct"/>
                  <w:shd w:val="clear" w:color="auto" w:fill="auto"/>
                  <w:vAlign w:val="center"/>
                </w:tcPr>
                <w:p w:rsidR="000312F6" w:rsidRPr="00A2004B" w:rsidRDefault="000312F6" w:rsidP="00045496">
                  <w:pPr>
                    <w:pStyle w:val="TableBodyText"/>
                  </w:pPr>
                </w:p>
              </w:tc>
              <w:tc>
                <w:tcPr>
                  <w:tcW w:w="496" w:type="pct"/>
                  <w:vAlign w:val="center"/>
                </w:tcPr>
                <w:p w:rsidR="000312F6" w:rsidRPr="00A2004B" w:rsidRDefault="000312F6" w:rsidP="00045496">
                  <w:pPr>
                    <w:pStyle w:val="TableBodyText"/>
                  </w:pPr>
                </w:p>
              </w:tc>
              <w:tc>
                <w:tcPr>
                  <w:tcW w:w="496" w:type="pct"/>
                  <w:shd w:val="clear" w:color="auto" w:fill="auto"/>
                  <w:vAlign w:val="center"/>
                </w:tcPr>
                <w:p w:rsidR="000312F6" w:rsidRPr="00A2004B" w:rsidRDefault="005A2BEB" w:rsidP="00045496">
                  <w:pPr>
                    <w:pStyle w:val="TableBodyText"/>
                  </w:pPr>
                  <w:r w:rsidRPr="000312F6">
                    <w:t>±</w:t>
                  </w:r>
                  <w:r>
                    <w:t xml:space="preserve"> </w:t>
                  </w:r>
                  <w:r w:rsidR="000312F6">
                    <w:t>2.5</w:t>
                  </w:r>
                </w:p>
              </w:tc>
            </w:tr>
            <w:tr w:rsidR="000312F6" w:rsidTr="00917D1B">
              <w:tc>
                <w:tcPr>
                  <w:tcW w:w="571" w:type="pct"/>
                </w:tcPr>
                <w:p w:rsidR="000312F6" w:rsidRDefault="000312F6" w:rsidP="00917D1B">
                  <w:pPr>
                    <w:pStyle w:val="TableBodyText"/>
                    <w:ind w:left="227" w:right="0"/>
                    <w:jc w:val="left"/>
                  </w:pPr>
                  <w:r>
                    <w:t>CH</w:t>
                  </w:r>
                </w:p>
              </w:tc>
              <w:tc>
                <w:tcPr>
                  <w:tcW w:w="431" w:type="pct"/>
                  <w:vAlign w:val="bottom"/>
                </w:tcPr>
                <w:p w:rsidR="000312F6" w:rsidRPr="000312F6" w:rsidRDefault="000312F6" w:rsidP="000312F6">
                  <w:pPr>
                    <w:pStyle w:val="TableBodyText"/>
                  </w:pPr>
                  <w:r w:rsidRPr="000312F6">
                    <w:t>87.9</w:t>
                  </w:r>
                </w:p>
              </w:tc>
              <w:tc>
                <w:tcPr>
                  <w:tcW w:w="501" w:type="pct"/>
                  <w:vAlign w:val="bottom"/>
                </w:tcPr>
                <w:p w:rsidR="000312F6" w:rsidRPr="000312F6" w:rsidRDefault="000312F6" w:rsidP="000312F6">
                  <w:pPr>
                    <w:pStyle w:val="TableBodyText"/>
                  </w:pPr>
                  <w:r w:rsidRPr="000312F6">
                    <w:t>87.7</w:t>
                  </w:r>
                </w:p>
              </w:tc>
              <w:tc>
                <w:tcPr>
                  <w:tcW w:w="501" w:type="pct"/>
                  <w:vAlign w:val="bottom"/>
                </w:tcPr>
                <w:p w:rsidR="000312F6" w:rsidRPr="000312F6" w:rsidRDefault="000312F6" w:rsidP="000312F6">
                  <w:pPr>
                    <w:pStyle w:val="TableBodyText"/>
                  </w:pPr>
                  <w:r w:rsidRPr="000312F6">
                    <w:t>93.8</w:t>
                  </w:r>
                </w:p>
              </w:tc>
              <w:tc>
                <w:tcPr>
                  <w:tcW w:w="501" w:type="pct"/>
                  <w:vAlign w:val="bottom"/>
                </w:tcPr>
                <w:p w:rsidR="000312F6" w:rsidRPr="000312F6" w:rsidRDefault="000312F6" w:rsidP="000312F6">
                  <w:pPr>
                    <w:pStyle w:val="TableBodyText"/>
                  </w:pPr>
                  <w:r w:rsidRPr="000312F6">
                    <w:t>94.4</w:t>
                  </w:r>
                </w:p>
              </w:tc>
              <w:tc>
                <w:tcPr>
                  <w:tcW w:w="501" w:type="pct"/>
                  <w:vAlign w:val="bottom"/>
                </w:tcPr>
                <w:p w:rsidR="000312F6" w:rsidRPr="000312F6" w:rsidRDefault="000312F6" w:rsidP="000312F6">
                  <w:pPr>
                    <w:pStyle w:val="TableBodyText"/>
                  </w:pPr>
                  <w:r w:rsidRPr="000312F6">
                    <w:t>86.4</w:t>
                  </w:r>
                </w:p>
              </w:tc>
              <w:tc>
                <w:tcPr>
                  <w:tcW w:w="501" w:type="pct"/>
                  <w:vAlign w:val="bottom"/>
                </w:tcPr>
                <w:p w:rsidR="000312F6" w:rsidRPr="000312F6" w:rsidRDefault="000312F6" w:rsidP="000312F6">
                  <w:pPr>
                    <w:pStyle w:val="TableBodyText"/>
                  </w:pPr>
                  <w:r w:rsidRPr="000312F6">
                    <w:t>80.5</w:t>
                  </w:r>
                </w:p>
              </w:tc>
              <w:tc>
                <w:tcPr>
                  <w:tcW w:w="501" w:type="pct"/>
                  <w:vAlign w:val="bottom"/>
                </w:tcPr>
                <w:p w:rsidR="000312F6" w:rsidRPr="000312F6" w:rsidRDefault="000312F6" w:rsidP="000312F6">
                  <w:pPr>
                    <w:pStyle w:val="TableBodyText"/>
                  </w:pPr>
                  <w:r w:rsidRPr="000312F6">
                    <w:t>87.6</w:t>
                  </w:r>
                </w:p>
              </w:tc>
              <w:tc>
                <w:tcPr>
                  <w:tcW w:w="496" w:type="pct"/>
                  <w:vAlign w:val="bottom"/>
                </w:tcPr>
                <w:p w:rsidR="000312F6" w:rsidRPr="000312F6" w:rsidRDefault="000312F6" w:rsidP="000312F6">
                  <w:pPr>
                    <w:pStyle w:val="TableBodyText"/>
                  </w:pPr>
                  <w:r w:rsidRPr="000312F6">
                    <w:t>na</w:t>
                  </w:r>
                </w:p>
              </w:tc>
              <w:tc>
                <w:tcPr>
                  <w:tcW w:w="496" w:type="pct"/>
                  <w:vAlign w:val="bottom"/>
                </w:tcPr>
                <w:p w:rsidR="000312F6" w:rsidRPr="000312F6" w:rsidRDefault="000312F6" w:rsidP="000312F6">
                  <w:pPr>
                    <w:pStyle w:val="TableBodyText"/>
                  </w:pPr>
                  <w:r w:rsidRPr="000312F6">
                    <w:t>89.3</w:t>
                  </w:r>
                </w:p>
              </w:tc>
            </w:tr>
            <w:tr w:rsidR="000312F6" w:rsidTr="00917D1B">
              <w:tc>
                <w:tcPr>
                  <w:tcW w:w="571" w:type="pct"/>
                  <w:shd w:val="clear" w:color="auto" w:fill="auto"/>
                </w:tcPr>
                <w:p w:rsidR="000312F6" w:rsidRDefault="000312F6" w:rsidP="00917D1B">
                  <w:pPr>
                    <w:pStyle w:val="TableBodyText"/>
                    <w:ind w:left="227" w:right="0"/>
                    <w:jc w:val="left"/>
                  </w:pPr>
                </w:p>
              </w:tc>
              <w:tc>
                <w:tcPr>
                  <w:tcW w:w="431" w:type="pct"/>
                  <w:vAlign w:val="bottom"/>
                </w:tcPr>
                <w:p w:rsidR="000312F6" w:rsidRPr="000312F6" w:rsidRDefault="005A2BEB" w:rsidP="000312F6">
                  <w:pPr>
                    <w:pStyle w:val="TableBodyText"/>
                  </w:pPr>
                  <w:r w:rsidRPr="000312F6">
                    <w:t>±</w:t>
                  </w:r>
                  <w:r>
                    <w:t xml:space="preserve"> </w:t>
                  </w:r>
                  <w:r w:rsidR="000312F6" w:rsidRPr="000312F6">
                    <w:t>2.1</w:t>
                  </w:r>
                </w:p>
              </w:tc>
              <w:tc>
                <w:tcPr>
                  <w:tcW w:w="501" w:type="pct"/>
                  <w:vAlign w:val="bottom"/>
                </w:tcPr>
                <w:p w:rsidR="000312F6" w:rsidRPr="000312F6" w:rsidRDefault="005A2BEB" w:rsidP="000312F6">
                  <w:pPr>
                    <w:pStyle w:val="TableBodyText"/>
                  </w:pPr>
                  <w:r w:rsidRPr="000312F6">
                    <w:t>±</w:t>
                  </w:r>
                  <w:r>
                    <w:t xml:space="preserve"> </w:t>
                  </w:r>
                  <w:r w:rsidR="000312F6" w:rsidRPr="000312F6">
                    <w:t>3.5</w:t>
                  </w:r>
                </w:p>
              </w:tc>
              <w:tc>
                <w:tcPr>
                  <w:tcW w:w="501" w:type="pct"/>
                  <w:vAlign w:val="bottom"/>
                </w:tcPr>
                <w:p w:rsidR="000312F6" w:rsidRPr="000312F6" w:rsidRDefault="005A2BEB" w:rsidP="000312F6">
                  <w:pPr>
                    <w:pStyle w:val="TableBodyText"/>
                  </w:pPr>
                  <w:r w:rsidRPr="000312F6">
                    <w:t>±</w:t>
                  </w:r>
                  <w:r>
                    <w:t xml:space="preserve"> </w:t>
                  </w:r>
                  <w:r w:rsidR="000312F6" w:rsidRPr="000312F6">
                    <w:t>2.5</w:t>
                  </w:r>
                </w:p>
              </w:tc>
              <w:tc>
                <w:tcPr>
                  <w:tcW w:w="501" w:type="pct"/>
                  <w:vAlign w:val="bottom"/>
                </w:tcPr>
                <w:p w:rsidR="000312F6" w:rsidRPr="000312F6" w:rsidRDefault="005A2BEB" w:rsidP="000312F6">
                  <w:pPr>
                    <w:pStyle w:val="TableBodyText"/>
                  </w:pPr>
                  <w:r w:rsidRPr="000312F6">
                    <w:t>±</w:t>
                  </w:r>
                  <w:r>
                    <w:t xml:space="preserve"> </w:t>
                  </w:r>
                  <w:r w:rsidR="000312F6" w:rsidRPr="000312F6">
                    <w:t>2.5</w:t>
                  </w:r>
                </w:p>
              </w:tc>
              <w:tc>
                <w:tcPr>
                  <w:tcW w:w="501" w:type="pct"/>
                  <w:vAlign w:val="bottom"/>
                </w:tcPr>
                <w:p w:rsidR="000312F6" w:rsidRPr="000312F6" w:rsidRDefault="005A2BEB" w:rsidP="000312F6">
                  <w:pPr>
                    <w:pStyle w:val="TableBodyText"/>
                  </w:pPr>
                  <w:r w:rsidRPr="000312F6">
                    <w:t>±</w:t>
                  </w:r>
                  <w:r>
                    <w:t xml:space="preserve"> </w:t>
                  </w:r>
                  <w:r w:rsidR="000312F6" w:rsidRPr="000312F6">
                    <w:t>3.7</w:t>
                  </w:r>
                </w:p>
              </w:tc>
              <w:tc>
                <w:tcPr>
                  <w:tcW w:w="501" w:type="pct"/>
                  <w:vAlign w:val="bottom"/>
                </w:tcPr>
                <w:p w:rsidR="000312F6" w:rsidRPr="000312F6" w:rsidRDefault="005A2BEB" w:rsidP="000312F6">
                  <w:pPr>
                    <w:pStyle w:val="TableBodyText"/>
                  </w:pPr>
                  <w:r w:rsidRPr="000312F6">
                    <w:t>±</w:t>
                  </w:r>
                  <w:r>
                    <w:t xml:space="preserve"> </w:t>
                  </w:r>
                  <w:r w:rsidR="000312F6" w:rsidRPr="000312F6">
                    <w:t>4.7</w:t>
                  </w:r>
                </w:p>
              </w:tc>
              <w:tc>
                <w:tcPr>
                  <w:tcW w:w="501" w:type="pct"/>
                  <w:shd w:val="clear" w:color="auto" w:fill="auto"/>
                  <w:vAlign w:val="bottom"/>
                </w:tcPr>
                <w:p w:rsidR="000312F6" w:rsidRPr="000312F6" w:rsidRDefault="005A2BEB" w:rsidP="000312F6">
                  <w:pPr>
                    <w:pStyle w:val="TableBodyText"/>
                  </w:pPr>
                  <w:r w:rsidRPr="000312F6">
                    <w:t>±</w:t>
                  </w:r>
                  <w:r>
                    <w:t xml:space="preserve"> </w:t>
                  </w:r>
                  <w:r w:rsidR="000312F6" w:rsidRPr="000312F6">
                    <w:t>5.9</w:t>
                  </w:r>
                </w:p>
              </w:tc>
              <w:tc>
                <w:tcPr>
                  <w:tcW w:w="496" w:type="pct"/>
                  <w:vAlign w:val="bottom"/>
                </w:tcPr>
                <w:p w:rsidR="000312F6" w:rsidRPr="000312F6" w:rsidRDefault="000312F6" w:rsidP="000312F6">
                  <w:pPr>
                    <w:pStyle w:val="TableBodyText"/>
                  </w:pPr>
                </w:p>
              </w:tc>
              <w:tc>
                <w:tcPr>
                  <w:tcW w:w="496" w:type="pct"/>
                  <w:shd w:val="clear" w:color="auto" w:fill="auto"/>
                  <w:vAlign w:val="bottom"/>
                </w:tcPr>
                <w:p w:rsidR="000312F6" w:rsidRPr="000312F6" w:rsidRDefault="005A2BEB" w:rsidP="000312F6">
                  <w:pPr>
                    <w:pStyle w:val="TableBodyText"/>
                  </w:pPr>
                  <w:r w:rsidRPr="000312F6">
                    <w:t>±</w:t>
                  </w:r>
                  <w:r>
                    <w:t xml:space="preserve"> </w:t>
                  </w:r>
                  <w:r w:rsidR="000312F6" w:rsidRPr="000312F6">
                    <w:t>1.2</w:t>
                  </w:r>
                </w:p>
              </w:tc>
            </w:tr>
            <w:tr w:rsidR="00637E3E" w:rsidTr="00933B54">
              <w:tc>
                <w:tcPr>
                  <w:tcW w:w="5000" w:type="pct"/>
                  <w:gridSpan w:val="10"/>
                  <w:shd w:val="clear" w:color="auto" w:fill="auto"/>
                </w:tcPr>
                <w:p w:rsidR="00637E3E" w:rsidRDefault="00637E3E" w:rsidP="00922F3B">
                  <w:pPr>
                    <w:pStyle w:val="Source"/>
                    <w:spacing w:before="0" w:after="80"/>
                    <w:ind w:left="113"/>
                  </w:pPr>
                  <w:r w:rsidRPr="00253B66">
                    <w:rPr>
                      <w:i/>
                    </w:rPr>
                    <w:t>Source</w:t>
                  </w:r>
                  <w:r w:rsidRPr="00080F6D">
                    <w:t>:</w:t>
                  </w:r>
                  <w:r w:rsidRPr="0046068B">
                    <w:rPr>
                      <w:i/>
                    </w:rPr>
                    <w:t xml:space="preserve"> </w:t>
                  </w:r>
                  <w:r>
                    <w:t>Attachment table</w:t>
                  </w:r>
                  <w:r w:rsidR="00922F3B">
                    <w:t>s</w:t>
                  </w:r>
                  <w:r>
                    <w:t xml:space="preserve"> </w:t>
                  </w:r>
                  <w:proofErr w:type="spellStart"/>
                  <w:r w:rsidR="00922F3B">
                    <w:t>17</w:t>
                  </w:r>
                  <w:r>
                    <w:t>A.1</w:t>
                  </w:r>
                  <w:r w:rsidR="00922F3B">
                    <w:t>5</w:t>
                  </w:r>
                  <w:proofErr w:type="spellEnd"/>
                  <w:r w:rsidR="00922F3B">
                    <w:t>–17</w:t>
                  </w:r>
                  <w:r w:rsidR="00C9055F">
                    <w:t>.</w:t>
                  </w:r>
                </w:p>
              </w:tc>
            </w:tr>
            <w:tr w:rsidR="00922F3B" w:rsidTr="00933B54">
              <w:tc>
                <w:tcPr>
                  <w:tcW w:w="5000" w:type="pct"/>
                  <w:gridSpan w:val="10"/>
                </w:tcPr>
                <w:p w:rsidR="00922F3B" w:rsidRDefault="00922F3B" w:rsidP="00922F3B">
                  <w:pPr>
                    <w:pStyle w:val="DQIMainRowHeadings"/>
                  </w:pPr>
                  <w:r w:rsidRPr="00922F3B">
                    <w:t>Efficiency indicators</w:t>
                  </w:r>
                </w:p>
              </w:tc>
            </w:tr>
            <w:tr w:rsidR="00637E3E" w:rsidTr="00637E3E">
              <w:tc>
                <w:tcPr>
                  <w:tcW w:w="5000" w:type="pct"/>
                  <w:gridSpan w:val="10"/>
                  <w:shd w:val="clear" w:color="auto" w:fill="auto"/>
                </w:tcPr>
                <w:p w:rsidR="00637E3E" w:rsidRPr="00922F3B" w:rsidRDefault="00922F3B" w:rsidP="00637E3E">
                  <w:pPr>
                    <w:pStyle w:val="DQIRowHeadings"/>
                  </w:pPr>
                  <w:r w:rsidRPr="00922F3B">
                    <w:t>Net recurrent cost per dwelling</w:t>
                  </w:r>
                  <w:r>
                    <w:t xml:space="preserve"> </w:t>
                  </w:r>
                </w:p>
              </w:tc>
            </w:tr>
            <w:tr w:rsidR="00637E3E" w:rsidTr="00637E3E">
              <w:tc>
                <w:tcPr>
                  <w:tcW w:w="5000" w:type="pct"/>
                  <w:gridSpan w:val="10"/>
                  <w:shd w:val="clear" w:color="auto" w:fill="auto"/>
                </w:tcPr>
                <w:p w:rsidR="00637E3E" w:rsidRDefault="00922F3B" w:rsidP="00922F3B">
                  <w:pPr>
                    <w:pStyle w:val="TableBodyText"/>
                    <w:ind w:left="113" w:right="28"/>
                    <w:jc w:val="left"/>
                  </w:pPr>
                  <w:r w:rsidRPr="00922F3B">
                    <w:t>Net recurrent cost per dwelling</w:t>
                  </w:r>
                  <w:r w:rsidR="00637E3E">
                    <w:t>, 2014</w:t>
                  </w:r>
                  <w:r w:rsidR="00080F6D">
                    <w:noBreakHyphen/>
                  </w:r>
                  <w:r>
                    <w:t>15</w:t>
                  </w:r>
                  <w:r w:rsidR="00B17B92">
                    <w:t xml:space="preserve"> (</w:t>
                  </w:r>
                  <w:r w:rsidR="00E70B6A">
                    <w:t xml:space="preserve">CH and </w:t>
                  </w:r>
                  <w:proofErr w:type="spellStart"/>
                  <w:r w:rsidR="00B17B92">
                    <w:t>ICH</w:t>
                  </w:r>
                  <w:proofErr w:type="spellEnd"/>
                  <w:r w:rsidR="00B17B92">
                    <w:t xml:space="preserve"> = 2013</w:t>
                  </w:r>
                  <w:r w:rsidR="00080F6D">
                    <w:noBreakHyphen/>
                  </w:r>
                  <w:r w:rsidR="00B17B92">
                    <w:t>14)</w:t>
                  </w:r>
                  <w:r>
                    <w:t xml:space="preserve"> ($)</w:t>
                  </w:r>
                </w:p>
              </w:tc>
            </w:tr>
            <w:tr w:rsidR="00637E3E" w:rsidTr="00637E3E">
              <w:tc>
                <w:tcPr>
                  <w:tcW w:w="5000" w:type="pct"/>
                  <w:gridSpan w:val="10"/>
                  <w:shd w:val="clear" w:color="auto" w:fill="auto"/>
                </w:tcPr>
                <w:p w:rsidR="00637E3E" w:rsidRDefault="00B17B92" w:rsidP="00637E3E">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B17B92" w:rsidTr="00917D1B">
              <w:tc>
                <w:tcPr>
                  <w:tcW w:w="571" w:type="pct"/>
                </w:tcPr>
                <w:p w:rsidR="00B17B92" w:rsidRDefault="00B17B92" w:rsidP="00917D1B">
                  <w:pPr>
                    <w:pStyle w:val="TableBodyText"/>
                    <w:ind w:left="227" w:right="0"/>
                    <w:jc w:val="left"/>
                  </w:pPr>
                  <w:r>
                    <w:t>PH</w:t>
                  </w:r>
                </w:p>
              </w:tc>
              <w:tc>
                <w:tcPr>
                  <w:tcW w:w="431" w:type="pct"/>
                  <w:vAlign w:val="center"/>
                </w:tcPr>
                <w:p w:rsidR="00B17B92" w:rsidRPr="00B17B92" w:rsidRDefault="00B17B92" w:rsidP="00B17B92">
                  <w:pPr>
                    <w:pStyle w:val="TableBodyText"/>
                  </w:pPr>
                  <w:r w:rsidRPr="00B17B92">
                    <w:t xml:space="preserve"> 8 133</w:t>
                  </w:r>
                </w:p>
              </w:tc>
              <w:tc>
                <w:tcPr>
                  <w:tcW w:w="501" w:type="pct"/>
                  <w:vAlign w:val="center"/>
                </w:tcPr>
                <w:p w:rsidR="00B17B92" w:rsidRPr="00B17B92" w:rsidRDefault="00B17B92" w:rsidP="00B17B92">
                  <w:pPr>
                    <w:pStyle w:val="TableBodyText"/>
                  </w:pPr>
                  <w:r w:rsidRPr="00B17B92">
                    <w:t xml:space="preserve"> 7 055</w:t>
                  </w:r>
                </w:p>
              </w:tc>
              <w:tc>
                <w:tcPr>
                  <w:tcW w:w="501" w:type="pct"/>
                  <w:vAlign w:val="center"/>
                </w:tcPr>
                <w:p w:rsidR="00B17B92" w:rsidRPr="00B17B92" w:rsidRDefault="00B17B92" w:rsidP="00B17B92">
                  <w:pPr>
                    <w:pStyle w:val="TableBodyText"/>
                  </w:pPr>
                  <w:r w:rsidRPr="00B17B92">
                    <w:t xml:space="preserve"> 7 880</w:t>
                  </w:r>
                </w:p>
              </w:tc>
              <w:tc>
                <w:tcPr>
                  <w:tcW w:w="501" w:type="pct"/>
                  <w:vAlign w:val="center"/>
                </w:tcPr>
                <w:p w:rsidR="00B17B92" w:rsidRPr="00B17B92" w:rsidRDefault="00B17B92" w:rsidP="00B17B92">
                  <w:pPr>
                    <w:pStyle w:val="TableBodyText"/>
                  </w:pPr>
                  <w:r w:rsidRPr="00B17B92">
                    <w:t xml:space="preserve"> 11 061</w:t>
                  </w:r>
                </w:p>
              </w:tc>
              <w:tc>
                <w:tcPr>
                  <w:tcW w:w="501" w:type="pct"/>
                  <w:vAlign w:val="center"/>
                </w:tcPr>
                <w:p w:rsidR="00B17B92" w:rsidRPr="00B17B92" w:rsidRDefault="00B17B92" w:rsidP="00B17B92">
                  <w:pPr>
                    <w:pStyle w:val="TableBodyText"/>
                  </w:pPr>
                  <w:r w:rsidRPr="00B17B92">
                    <w:t xml:space="preserve"> 9 284</w:t>
                  </w:r>
                </w:p>
              </w:tc>
              <w:tc>
                <w:tcPr>
                  <w:tcW w:w="501" w:type="pct"/>
                  <w:vAlign w:val="center"/>
                </w:tcPr>
                <w:p w:rsidR="00B17B92" w:rsidRPr="00B17B92" w:rsidRDefault="00B17B92" w:rsidP="00B17B92">
                  <w:pPr>
                    <w:pStyle w:val="TableBodyText"/>
                  </w:pPr>
                  <w:r w:rsidRPr="00B17B92">
                    <w:t xml:space="preserve"> 8 379</w:t>
                  </w:r>
                </w:p>
              </w:tc>
              <w:tc>
                <w:tcPr>
                  <w:tcW w:w="501" w:type="pct"/>
                  <w:vAlign w:val="center"/>
                </w:tcPr>
                <w:p w:rsidR="00B17B92" w:rsidRPr="00B17B92" w:rsidRDefault="00B17B92" w:rsidP="00B17B92">
                  <w:pPr>
                    <w:pStyle w:val="TableBodyText"/>
                  </w:pPr>
                  <w:r w:rsidRPr="00B17B92">
                    <w:t xml:space="preserve"> 9 630</w:t>
                  </w:r>
                </w:p>
              </w:tc>
              <w:tc>
                <w:tcPr>
                  <w:tcW w:w="496" w:type="pct"/>
                  <w:vAlign w:val="center"/>
                </w:tcPr>
                <w:p w:rsidR="00B17B92" w:rsidRPr="00B17B92" w:rsidRDefault="00B17B92" w:rsidP="00B17B92">
                  <w:pPr>
                    <w:pStyle w:val="TableBodyText"/>
                  </w:pPr>
                  <w:r w:rsidRPr="00B17B92">
                    <w:t xml:space="preserve"> 14 741</w:t>
                  </w:r>
                </w:p>
              </w:tc>
              <w:tc>
                <w:tcPr>
                  <w:tcW w:w="496" w:type="pct"/>
                  <w:vAlign w:val="center"/>
                </w:tcPr>
                <w:p w:rsidR="00B17B92" w:rsidRPr="00B17B92" w:rsidRDefault="00B17B92" w:rsidP="00B17B92">
                  <w:pPr>
                    <w:pStyle w:val="TableBodyText"/>
                  </w:pPr>
                  <w:r w:rsidRPr="00B17B92">
                    <w:t xml:space="preserve"> 8 486</w:t>
                  </w:r>
                </w:p>
              </w:tc>
            </w:tr>
            <w:tr w:rsidR="00B17B92" w:rsidTr="00917D1B">
              <w:tc>
                <w:tcPr>
                  <w:tcW w:w="571" w:type="pct"/>
                </w:tcPr>
                <w:p w:rsidR="00B17B92" w:rsidRDefault="00B17B92" w:rsidP="00917D1B">
                  <w:pPr>
                    <w:pStyle w:val="TableBodyText"/>
                    <w:ind w:left="227" w:right="0"/>
                    <w:jc w:val="left"/>
                  </w:pPr>
                  <w:r>
                    <w:t>SOMIH</w:t>
                  </w:r>
                </w:p>
              </w:tc>
              <w:tc>
                <w:tcPr>
                  <w:tcW w:w="431" w:type="pct"/>
                  <w:vAlign w:val="center"/>
                </w:tcPr>
                <w:p w:rsidR="00B17B92" w:rsidRPr="00B17B92" w:rsidRDefault="00B17B92" w:rsidP="00B17B92">
                  <w:pPr>
                    <w:pStyle w:val="TableBodyText"/>
                  </w:pPr>
                  <w:r w:rsidRPr="00B17B92">
                    <w:t xml:space="preserve"> 9 186</w:t>
                  </w:r>
                </w:p>
              </w:tc>
              <w:tc>
                <w:tcPr>
                  <w:tcW w:w="501" w:type="pct"/>
                  <w:vAlign w:val="center"/>
                </w:tcPr>
                <w:p w:rsidR="00B17B92" w:rsidRPr="00B17B92" w:rsidRDefault="00B17B92" w:rsidP="00B17B92">
                  <w:pPr>
                    <w:pStyle w:val="TableBodyText"/>
                  </w:pPr>
                  <w:r w:rsidRPr="00B17B92">
                    <w:t>..</w:t>
                  </w:r>
                </w:p>
              </w:tc>
              <w:tc>
                <w:tcPr>
                  <w:tcW w:w="501" w:type="pct"/>
                  <w:vAlign w:val="center"/>
                </w:tcPr>
                <w:p w:rsidR="00B17B92" w:rsidRPr="00B17B92" w:rsidRDefault="00B17B92" w:rsidP="00B17B92">
                  <w:pPr>
                    <w:pStyle w:val="TableBodyText"/>
                  </w:pPr>
                  <w:r w:rsidRPr="00B17B92">
                    <w:t xml:space="preserve"> 13 102</w:t>
                  </w:r>
                </w:p>
              </w:tc>
              <w:tc>
                <w:tcPr>
                  <w:tcW w:w="501" w:type="pct"/>
                  <w:vAlign w:val="center"/>
                </w:tcPr>
                <w:p w:rsidR="00B17B92" w:rsidRPr="00B17B92" w:rsidRDefault="00B17B92" w:rsidP="00B17B92">
                  <w:pPr>
                    <w:pStyle w:val="TableBodyText"/>
                  </w:pPr>
                  <w:r w:rsidRPr="00B17B92">
                    <w:t>..</w:t>
                  </w:r>
                </w:p>
              </w:tc>
              <w:tc>
                <w:tcPr>
                  <w:tcW w:w="501" w:type="pct"/>
                  <w:vAlign w:val="center"/>
                </w:tcPr>
                <w:p w:rsidR="00B17B92" w:rsidRPr="00B17B92" w:rsidRDefault="00B17B92" w:rsidP="00B17B92">
                  <w:pPr>
                    <w:pStyle w:val="TableBodyText"/>
                  </w:pPr>
                  <w:r w:rsidRPr="00B17B92">
                    <w:t xml:space="preserve"> 12 288</w:t>
                  </w:r>
                </w:p>
              </w:tc>
              <w:tc>
                <w:tcPr>
                  <w:tcW w:w="501" w:type="pct"/>
                  <w:vAlign w:val="center"/>
                </w:tcPr>
                <w:p w:rsidR="00B17B92" w:rsidRPr="00B17B92" w:rsidRDefault="00B17B92" w:rsidP="00B17B92">
                  <w:pPr>
                    <w:pStyle w:val="TableBodyText"/>
                  </w:pPr>
                  <w:r w:rsidRPr="00B17B92">
                    <w:t xml:space="preserve"> 7 766</w:t>
                  </w:r>
                </w:p>
              </w:tc>
              <w:tc>
                <w:tcPr>
                  <w:tcW w:w="501" w:type="pct"/>
                  <w:vAlign w:val="center"/>
                </w:tcPr>
                <w:p w:rsidR="00B17B92" w:rsidRPr="00B17B92" w:rsidRDefault="00B17B92" w:rsidP="00B17B92">
                  <w:pPr>
                    <w:pStyle w:val="TableBodyText"/>
                  </w:pPr>
                  <w:r w:rsidRPr="00B17B92">
                    <w:t>..</w:t>
                  </w:r>
                </w:p>
              </w:tc>
              <w:tc>
                <w:tcPr>
                  <w:tcW w:w="496" w:type="pct"/>
                </w:tcPr>
                <w:p w:rsidR="00B17B92" w:rsidRPr="00A2004B" w:rsidRDefault="00B17B92" w:rsidP="00B17B92">
                  <w:pPr>
                    <w:pStyle w:val="TableBodyText"/>
                  </w:pPr>
                  <w:r>
                    <w:t>..</w:t>
                  </w:r>
                </w:p>
              </w:tc>
              <w:tc>
                <w:tcPr>
                  <w:tcW w:w="496" w:type="pct"/>
                  <w:vAlign w:val="center"/>
                </w:tcPr>
                <w:p w:rsidR="00B17B92" w:rsidRPr="00B17B92" w:rsidRDefault="00B17B92" w:rsidP="00B17B92">
                  <w:pPr>
                    <w:pStyle w:val="TableBodyText"/>
                  </w:pPr>
                  <w:r w:rsidRPr="00B17B92">
                    <w:t xml:space="preserve"> 10 999</w:t>
                  </w:r>
                </w:p>
              </w:tc>
            </w:tr>
            <w:tr w:rsidR="00B17B92" w:rsidTr="00917D1B">
              <w:tc>
                <w:tcPr>
                  <w:tcW w:w="571" w:type="pct"/>
                </w:tcPr>
                <w:p w:rsidR="00B17B92" w:rsidRDefault="00B17B92" w:rsidP="00917D1B">
                  <w:pPr>
                    <w:pStyle w:val="TableBodyText"/>
                    <w:ind w:left="227" w:right="0"/>
                    <w:jc w:val="left"/>
                  </w:pPr>
                  <w:r>
                    <w:t>CH</w:t>
                  </w:r>
                </w:p>
              </w:tc>
              <w:tc>
                <w:tcPr>
                  <w:tcW w:w="431" w:type="pct"/>
                  <w:vAlign w:val="center"/>
                </w:tcPr>
                <w:p w:rsidR="00B17B92" w:rsidRPr="00B17B92" w:rsidRDefault="00B17B92" w:rsidP="00B17B92">
                  <w:pPr>
                    <w:pStyle w:val="TableBodyText"/>
                  </w:pPr>
                  <w:r w:rsidRPr="00B17B92">
                    <w:t xml:space="preserve"> 10 380</w:t>
                  </w:r>
                </w:p>
              </w:tc>
              <w:tc>
                <w:tcPr>
                  <w:tcW w:w="501" w:type="pct"/>
                  <w:vAlign w:val="center"/>
                </w:tcPr>
                <w:p w:rsidR="00B17B92" w:rsidRPr="00B17B92" w:rsidRDefault="00B17B92" w:rsidP="00B17B92">
                  <w:pPr>
                    <w:pStyle w:val="TableBodyText"/>
                  </w:pPr>
                  <w:r w:rsidRPr="00B17B92">
                    <w:t xml:space="preserve"> 8 788</w:t>
                  </w:r>
                </w:p>
              </w:tc>
              <w:tc>
                <w:tcPr>
                  <w:tcW w:w="501" w:type="pct"/>
                  <w:vAlign w:val="center"/>
                </w:tcPr>
                <w:p w:rsidR="00B17B92" w:rsidRPr="00B17B92" w:rsidRDefault="00B17B92" w:rsidP="00B17B92">
                  <w:pPr>
                    <w:pStyle w:val="TableBodyText"/>
                  </w:pPr>
                  <w:r w:rsidRPr="00B17B92">
                    <w:t xml:space="preserve"> 7 261</w:t>
                  </w:r>
                </w:p>
              </w:tc>
              <w:tc>
                <w:tcPr>
                  <w:tcW w:w="501" w:type="pct"/>
                  <w:vAlign w:val="center"/>
                </w:tcPr>
                <w:p w:rsidR="00B17B92" w:rsidRPr="00B17B92" w:rsidRDefault="00B17B92" w:rsidP="00B17B92">
                  <w:pPr>
                    <w:pStyle w:val="TableBodyText"/>
                  </w:pPr>
                  <w:r w:rsidRPr="00B17B92">
                    <w:t xml:space="preserve"> 10 046</w:t>
                  </w:r>
                </w:p>
              </w:tc>
              <w:tc>
                <w:tcPr>
                  <w:tcW w:w="501" w:type="pct"/>
                  <w:vAlign w:val="center"/>
                </w:tcPr>
                <w:p w:rsidR="00B17B92" w:rsidRPr="00B17B92" w:rsidRDefault="00B17B92" w:rsidP="00B17B92">
                  <w:pPr>
                    <w:pStyle w:val="TableBodyText"/>
                  </w:pPr>
                  <w:r w:rsidRPr="00B17B92">
                    <w:t xml:space="preserve"> 9 600</w:t>
                  </w:r>
                </w:p>
              </w:tc>
              <w:tc>
                <w:tcPr>
                  <w:tcW w:w="501" w:type="pct"/>
                  <w:vAlign w:val="center"/>
                </w:tcPr>
                <w:p w:rsidR="00B17B92" w:rsidRPr="00B17B92" w:rsidRDefault="00B17B92" w:rsidP="00B17B92">
                  <w:pPr>
                    <w:pStyle w:val="TableBodyText"/>
                  </w:pPr>
                  <w:r w:rsidRPr="00B17B92">
                    <w:t>na</w:t>
                  </w:r>
                </w:p>
              </w:tc>
              <w:tc>
                <w:tcPr>
                  <w:tcW w:w="501" w:type="pct"/>
                  <w:vAlign w:val="center"/>
                </w:tcPr>
                <w:p w:rsidR="00B17B92" w:rsidRPr="00B17B92" w:rsidRDefault="00B17B92" w:rsidP="00B17B92">
                  <w:pPr>
                    <w:pStyle w:val="TableBodyText"/>
                  </w:pPr>
                  <w:r w:rsidRPr="00B17B92">
                    <w:t xml:space="preserve"> 6 638</w:t>
                  </w:r>
                </w:p>
              </w:tc>
              <w:tc>
                <w:tcPr>
                  <w:tcW w:w="496" w:type="pct"/>
                  <w:vAlign w:val="center"/>
                </w:tcPr>
                <w:p w:rsidR="00B17B92" w:rsidRPr="00B17B92" w:rsidRDefault="00B17B92" w:rsidP="00B17B92">
                  <w:pPr>
                    <w:pStyle w:val="TableBodyText"/>
                  </w:pPr>
                  <w:r w:rsidRPr="00B17B92">
                    <w:t>na</w:t>
                  </w:r>
                </w:p>
              </w:tc>
              <w:tc>
                <w:tcPr>
                  <w:tcW w:w="496" w:type="pct"/>
                  <w:vAlign w:val="center"/>
                </w:tcPr>
                <w:p w:rsidR="00B17B92" w:rsidRPr="00B17B92" w:rsidRDefault="00B17B92" w:rsidP="00B17B92">
                  <w:pPr>
                    <w:pStyle w:val="TableBodyText"/>
                  </w:pPr>
                  <w:r w:rsidRPr="00B17B92">
                    <w:t xml:space="preserve"> 9 264</w:t>
                  </w:r>
                </w:p>
              </w:tc>
            </w:tr>
            <w:tr w:rsidR="00B17B92" w:rsidTr="00917D1B">
              <w:tc>
                <w:tcPr>
                  <w:tcW w:w="571" w:type="pct"/>
                  <w:shd w:val="clear" w:color="auto" w:fill="auto"/>
                </w:tcPr>
                <w:p w:rsidR="00B17B92" w:rsidRDefault="00B17B92" w:rsidP="00917D1B">
                  <w:pPr>
                    <w:pStyle w:val="TableBodyText"/>
                    <w:ind w:left="227" w:right="0"/>
                    <w:jc w:val="left"/>
                  </w:pPr>
                  <w:proofErr w:type="spellStart"/>
                  <w:r>
                    <w:t>ICH</w:t>
                  </w:r>
                  <w:proofErr w:type="spellEnd"/>
                </w:p>
              </w:tc>
              <w:tc>
                <w:tcPr>
                  <w:tcW w:w="431" w:type="pct"/>
                  <w:vAlign w:val="center"/>
                </w:tcPr>
                <w:p w:rsidR="00B17B92" w:rsidRPr="00B17B92" w:rsidRDefault="00B17B92" w:rsidP="00B17B92">
                  <w:pPr>
                    <w:pStyle w:val="TableBodyText"/>
                  </w:pPr>
                  <w:r w:rsidRPr="00B17B92">
                    <w:t xml:space="preserve"> 4 052</w:t>
                  </w:r>
                </w:p>
              </w:tc>
              <w:tc>
                <w:tcPr>
                  <w:tcW w:w="501" w:type="pct"/>
                  <w:vAlign w:val="center"/>
                </w:tcPr>
                <w:p w:rsidR="00B17B92" w:rsidRPr="00B17B92" w:rsidRDefault="00B17B92" w:rsidP="00B17B92">
                  <w:pPr>
                    <w:pStyle w:val="TableBodyText"/>
                  </w:pPr>
                  <w:r w:rsidRPr="00B17B92">
                    <w:t xml:space="preserve"> 7 792</w:t>
                  </w:r>
                </w:p>
              </w:tc>
              <w:tc>
                <w:tcPr>
                  <w:tcW w:w="501" w:type="pct"/>
                  <w:vAlign w:val="center"/>
                </w:tcPr>
                <w:p w:rsidR="00B17B92" w:rsidRPr="00B17B92" w:rsidRDefault="00B17B92" w:rsidP="00B17B92">
                  <w:pPr>
                    <w:pStyle w:val="TableBodyText"/>
                  </w:pPr>
                  <w:r w:rsidRPr="00B17B92">
                    <w:t xml:space="preserve"> 9 544</w:t>
                  </w:r>
                </w:p>
              </w:tc>
              <w:tc>
                <w:tcPr>
                  <w:tcW w:w="501" w:type="pct"/>
                  <w:vAlign w:val="center"/>
                </w:tcPr>
                <w:p w:rsidR="00B17B92" w:rsidRPr="00B17B92" w:rsidRDefault="00B17B92" w:rsidP="00B17B92">
                  <w:pPr>
                    <w:pStyle w:val="TableBodyText"/>
                  </w:pPr>
                  <w:r w:rsidRPr="00B17B92">
                    <w:t xml:space="preserve"> 10 353</w:t>
                  </w:r>
                </w:p>
              </w:tc>
              <w:tc>
                <w:tcPr>
                  <w:tcW w:w="501" w:type="pct"/>
                  <w:vAlign w:val="center"/>
                </w:tcPr>
                <w:p w:rsidR="00B17B92" w:rsidRPr="00B17B92" w:rsidRDefault="00B17B92" w:rsidP="00B17B92">
                  <w:pPr>
                    <w:pStyle w:val="TableBodyText"/>
                  </w:pPr>
                  <w:r w:rsidRPr="00B17B92">
                    <w:t>na</w:t>
                  </w:r>
                </w:p>
              </w:tc>
              <w:tc>
                <w:tcPr>
                  <w:tcW w:w="501" w:type="pct"/>
                  <w:vAlign w:val="center"/>
                </w:tcPr>
                <w:p w:rsidR="00B17B92" w:rsidRPr="00B17B92" w:rsidRDefault="00B17B92" w:rsidP="00B17B92">
                  <w:pPr>
                    <w:pStyle w:val="TableBodyText"/>
                  </w:pPr>
                  <w:r w:rsidRPr="00B17B92">
                    <w:t xml:space="preserve"> 3 792</w:t>
                  </w:r>
                </w:p>
              </w:tc>
              <w:tc>
                <w:tcPr>
                  <w:tcW w:w="501" w:type="pct"/>
                  <w:shd w:val="clear" w:color="auto" w:fill="auto"/>
                  <w:vAlign w:val="center"/>
                </w:tcPr>
                <w:p w:rsidR="00B17B92" w:rsidRPr="00B17B92" w:rsidRDefault="00B17B92" w:rsidP="00B17B92">
                  <w:pPr>
                    <w:pStyle w:val="TableBodyText"/>
                  </w:pPr>
                  <w:r w:rsidRPr="00B17B92">
                    <w:t>..</w:t>
                  </w:r>
                </w:p>
              </w:tc>
              <w:tc>
                <w:tcPr>
                  <w:tcW w:w="496" w:type="pct"/>
                  <w:vAlign w:val="center"/>
                </w:tcPr>
                <w:p w:rsidR="00B17B92" w:rsidRPr="00B17B92" w:rsidRDefault="00B17B92" w:rsidP="00B17B92">
                  <w:pPr>
                    <w:pStyle w:val="TableBodyText"/>
                  </w:pPr>
                  <w:r w:rsidRPr="00B17B92">
                    <w:t>na</w:t>
                  </w:r>
                </w:p>
              </w:tc>
              <w:tc>
                <w:tcPr>
                  <w:tcW w:w="496" w:type="pct"/>
                  <w:shd w:val="clear" w:color="auto" w:fill="auto"/>
                  <w:vAlign w:val="center"/>
                </w:tcPr>
                <w:p w:rsidR="00B17B92" w:rsidRPr="00B17B92" w:rsidRDefault="00B17B92" w:rsidP="00B17B92">
                  <w:pPr>
                    <w:pStyle w:val="TableBodyText"/>
                  </w:pPr>
                  <w:r w:rsidRPr="00B17B92">
                    <w:t xml:space="preserve"> 8 615</w:t>
                  </w:r>
                </w:p>
              </w:tc>
            </w:tr>
            <w:tr w:rsidR="00B17B92" w:rsidTr="00637E3E">
              <w:tc>
                <w:tcPr>
                  <w:tcW w:w="5000" w:type="pct"/>
                  <w:gridSpan w:val="10"/>
                  <w:tcBorders>
                    <w:bottom w:val="single" w:sz="6" w:space="0" w:color="BFBFBF"/>
                  </w:tcBorders>
                  <w:shd w:val="clear" w:color="auto" w:fill="auto"/>
                </w:tcPr>
                <w:p w:rsidR="00B17B92" w:rsidRDefault="00B17B92" w:rsidP="00B17B92">
                  <w:pPr>
                    <w:pStyle w:val="Source"/>
                    <w:spacing w:before="0" w:after="80"/>
                    <w:ind w:left="113"/>
                  </w:pPr>
                  <w:r w:rsidRPr="00253B66">
                    <w:rPr>
                      <w:i/>
                    </w:rPr>
                    <w:t>Source</w:t>
                  </w:r>
                  <w:r w:rsidRPr="00080F6D">
                    <w:t>:</w:t>
                  </w:r>
                  <w:r w:rsidRPr="0046068B">
                    <w:rPr>
                      <w:i/>
                    </w:rPr>
                    <w:t xml:space="preserve"> </w:t>
                  </w:r>
                  <w:r>
                    <w:t xml:space="preserve">Attachment table </w:t>
                  </w:r>
                  <w:proofErr w:type="spellStart"/>
                  <w:r>
                    <w:t>17A.19</w:t>
                  </w:r>
                  <w:proofErr w:type="spellEnd"/>
                  <w:r>
                    <w:t>–23</w:t>
                  </w:r>
                  <w:r w:rsidR="00C9055F">
                    <w:t>.</w:t>
                  </w:r>
                </w:p>
              </w:tc>
            </w:tr>
          </w:tbl>
          <w:p w:rsidR="00514B47" w:rsidRDefault="00514B47" w:rsidP="00637E3E">
            <w:pPr>
              <w:pStyle w:val="Box"/>
            </w:pPr>
          </w:p>
        </w:tc>
      </w:tr>
      <w:tr w:rsidR="00514B47" w:rsidTr="00637E3E">
        <w:trPr>
          <w:cantSplit/>
        </w:trPr>
        <w:tc>
          <w:tcPr>
            <w:tcW w:w="8771" w:type="dxa"/>
            <w:tcBorders>
              <w:top w:val="nil"/>
              <w:left w:val="nil"/>
              <w:bottom w:val="nil"/>
              <w:right w:val="nil"/>
            </w:tcBorders>
            <w:shd w:val="clear" w:color="auto" w:fill="auto"/>
          </w:tcPr>
          <w:p w:rsidR="00514B47" w:rsidRPr="00C23135" w:rsidRDefault="00514B47" w:rsidP="000A4712">
            <w:pPr>
              <w:pStyle w:val="Continued"/>
            </w:pPr>
            <w:r>
              <w:t>(continued next page)</w:t>
            </w:r>
          </w:p>
        </w:tc>
      </w:tr>
      <w:tr w:rsidR="00514B47" w:rsidTr="00637E3E">
        <w:trPr>
          <w:cantSplit/>
        </w:trPr>
        <w:tc>
          <w:tcPr>
            <w:tcW w:w="8771" w:type="dxa"/>
            <w:tcBorders>
              <w:top w:val="nil"/>
              <w:left w:val="nil"/>
              <w:bottom w:val="single" w:sz="6" w:space="0" w:color="78A22F"/>
              <w:right w:val="nil"/>
            </w:tcBorders>
            <w:shd w:val="clear" w:color="auto" w:fill="auto"/>
          </w:tcPr>
          <w:p w:rsidR="00514B47" w:rsidRDefault="00514B47" w:rsidP="00637E3E">
            <w:pPr>
              <w:pStyle w:val="Box"/>
              <w:spacing w:before="0" w:line="120" w:lineRule="exact"/>
            </w:pPr>
          </w:p>
        </w:tc>
      </w:tr>
      <w:tr w:rsidR="00514B47" w:rsidRPr="000863A5" w:rsidTr="00637E3E">
        <w:tc>
          <w:tcPr>
            <w:tcW w:w="8771" w:type="dxa"/>
            <w:tcBorders>
              <w:top w:val="single" w:sz="6" w:space="0" w:color="78A22F"/>
              <w:left w:val="nil"/>
              <w:bottom w:val="nil"/>
              <w:right w:val="nil"/>
            </w:tcBorders>
          </w:tcPr>
          <w:p w:rsidR="00514B47" w:rsidRPr="00626D32" w:rsidRDefault="00514B47" w:rsidP="00637E3E">
            <w:pPr>
              <w:pStyle w:val="BoxSpaceBelow"/>
            </w:pPr>
          </w:p>
        </w:tc>
      </w:tr>
    </w:tbl>
    <w:p w:rsidR="00F309C1" w:rsidRPr="00AF7C87" w:rsidRDefault="00F309C1" w:rsidP="00F309C1">
      <w:pPr>
        <w:pStyle w:val="Heading5"/>
        <w:spacing w:before="0" w:line="240" w:lineRule="auto"/>
        <w:rPr>
          <w:rFonts w:ascii="Calibri" w:hAnsi="Calibri"/>
          <w:i w:val="0"/>
          <w:sz w:val="16"/>
          <w:szCs w:val="16"/>
        </w:rPr>
      </w:pPr>
      <w:r w:rsidRPr="00AF7C87">
        <w:rPr>
          <w:rFonts w:ascii="Calibri" w:hAnsi="Calibri"/>
          <w:i w:val="0"/>
          <w:sz w:val="16"/>
          <w:szCs w:val="16"/>
        </w:rPr>
        <w:lastRenderedPageBreak/>
        <w:t xml:space="preserve">This page has changed since </w:t>
      </w:r>
      <w:r>
        <w:rPr>
          <w:rFonts w:ascii="Calibri" w:hAnsi="Calibri"/>
          <w:i w:val="0"/>
          <w:sz w:val="16"/>
          <w:szCs w:val="16"/>
        </w:rPr>
        <w:t xml:space="preserve">an earlier version of </w:t>
      </w:r>
      <w:r w:rsidRPr="00AF7C87">
        <w:rPr>
          <w:rFonts w:ascii="Calibri" w:hAnsi="Calibri"/>
          <w:i w:val="0"/>
          <w:sz w:val="16"/>
          <w:szCs w:val="16"/>
        </w:rPr>
        <w:t xml:space="preserve">the Report. </w:t>
      </w:r>
      <w:r w:rsidR="00141BF1">
        <w:rPr>
          <w:rFonts w:ascii="Calibri" w:hAnsi="Calibri"/>
          <w:i w:val="0"/>
          <w:sz w:val="16"/>
          <w:szCs w:val="16"/>
        </w:rPr>
        <w:br/>
      </w:r>
      <w:r w:rsidRPr="00AF7C87">
        <w:rPr>
          <w:rFonts w:ascii="Calibri" w:hAnsi="Calibri"/>
          <w:i w:val="0"/>
          <w:sz w:val="16"/>
          <w:szCs w:val="16"/>
        </w:rPr>
        <w:t>See errata at www.pc.gov.au/research/recurring/report-on</w:t>
      </w:r>
      <w:r>
        <w:rPr>
          <w:rFonts w:ascii="Calibri" w:hAnsi="Calibri"/>
          <w:i w:val="0"/>
          <w:sz w:val="16"/>
          <w:szCs w:val="16"/>
        </w:rPr>
        <w:noBreakHyphen/>
      </w:r>
      <w:r w:rsidRPr="00AF7C87">
        <w:rPr>
          <w:rFonts w:ascii="Calibri" w:hAnsi="Calibri"/>
          <w:i w:val="0"/>
          <w:sz w:val="16"/>
          <w:szCs w:val="16"/>
        </w:rPr>
        <w:t>government-services/201</w:t>
      </w:r>
      <w:r>
        <w:rPr>
          <w:rFonts w:ascii="Calibri" w:hAnsi="Calibri"/>
          <w:i w:val="0"/>
          <w:sz w:val="16"/>
          <w:szCs w:val="16"/>
        </w:rPr>
        <w:t>6</w:t>
      </w:r>
      <w:r w:rsidRPr="00AF7C87">
        <w:rPr>
          <w:rFonts w:ascii="Calibri" w:hAnsi="Calibri"/>
          <w:i w:val="0"/>
          <w:sz w:val="16"/>
          <w:szCs w:val="16"/>
        </w:rPr>
        <w:t>/housing-and-homelessness</w:t>
      </w:r>
      <w:r>
        <w:rPr>
          <w:rFonts w:ascii="Calibri" w:hAnsi="Calibri"/>
          <w:i w:val="0"/>
          <w:sz w:val="16"/>
          <w:szCs w:val="16"/>
        </w:rPr>
        <w:t>#errata.</w:t>
      </w:r>
    </w:p>
    <w:p w:rsidR="00514B47" w:rsidRDefault="00514B47" w:rsidP="00F309C1">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14B47" w:rsidTr="00637E3E">
        <w:tc>
          <w:tcPr>
            <w:tcW w:w="8771" w:type="dxa"/>
            <w:tcBorders>
              <w:top w:val="single" w:sz="6" w:space="0" w:color="78A22F"/>
              <w:left w:val="nil"/>
              <w:bottom w:val="nil"/>
              <w:right w:val="nil"/>
            </w:tcBorders>
            <w:shd w:val="clear" w:color="auto" w:fill="auto"/>
          </w:tcPr>
          <w:p w:rsidR="00514B47" w:rsidRPr="00784A05" w:rsidRDefault="00514B47" w:rsidP="00045496">
            <w:pPr>
              <w:pStyle w:val="TableTitle"/>
            </w:pPr>
            <w:r>
              <w:rPr>
                <w:b w:val="0"/>
              </w:rPr>
              <w:t xml:space="preserve">Table </w:t>
            </w:r>
            <w:r w:rsidR="00045496">
              <w:rPr>
                <w:b w:val="0"/>
              </w:rPr>
              <w:t>G.2</w:t>
            </w:r>
            <w:r>
              <w:tab/>
            </w:r>
            <w:r w:rsidRPr="00FA6691">
              <w:rPr>
                <w:b w:val="0"/>
                <w:sz w:val="18"/>
                <w:szCs w:val="18"/>
              </w:rPr>
              <w:t>(continued)</w:t>
            </w:r>
          </w:p>
        </w:tc>
      </w:tr>
      <w:tr w:rsidR="00514B47" w:rsidTr="00637E3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968"/>
              <w:gridCol w:w="732"/>
              <w:gridCol w:w="160"/>
              <w:gridCol w:w="691"/>
              <w:gridCol w:w="139"/>
              <w:gridCol w:w="711"/>
              <w:gridCol w:w="119"/>
              <w:gridCol w:w="732"/>
              <w:gridCol w:w="98"/>
              <w:gridCol w:w="752"/>
              <w:gridCol w:w="78"/>
              <w:gridCol w:w="772"/>
              <w:gridCol w:w="58"/>
              <w:gridCol w:w="793"/>
              <w:gridCol w:w="39"/>
              <w:gridCol w:w="803"/>
              <w:gridCol w:w="20"/>
              <w:gridCol w:w="822"/>
            </w:tblGrid>
            <w:tr w:rsidR="00514B47" w:rsidTr="00917D1B">
              <w:tc>
                <w:tcPr>
                  <w:tcW w:w="571" w:type="pct"/>
                  <w:tcBorders>
                    <w:top w:val="single" w:sz="6" w:space="0" w:color="BFBFBF"/>
                    <w:bottom w:val="single" w:sz="6" w:space="0" w:color="BFBFBF"/>
                  </w:tcBorders>
                  <w:shd w:val="clear" w:color="auto" w:fill="auto"/>
                  <w:tcMar>
                    <w:top w:w="28" w:type="dxa"/>
                  </w:tcMar>
                </w:tcPr>
                <w:p w:rsidR="00514B47" w:rsidRDefault="00514B47" w:rsidP="00637E3E">
                  <w:pPr>
                    <w:pStyle w:val="TableColumnHeading"/>
                    <w:jc w:val="left"/>
                  </w:pPr>
                </w:p>
              </w:tc>
              <w:tc>
                <w:tcPr>
                  <w:tcW w:w="525" w:type="pct"/>
                  <w:gridSpan w:val="2"/>
                  <w:tcBorders>
                    <w:top w:val="single" w:sz="6" w:space="0" w:color="BFBFBF"/>
                    <w:bottom w:val="single" w:sz="6" w:space="0" w:color="BFBFBF"/>
                  </w:tcBorders>
                </w:tcPr>
                <w:p w:rsidR="00514B47" w:rsidRDefault="00514B47" w:rsidP="00637E3E">
                  <w:pPr>
                    <w:pStyle w:val="TableColumnHeading"/>
                  </w:pPr>
                  <w:r>
                    <w:t>NSW</w:t>
                  </w:r>
                </w:p>
              </w:tc>
              <w:tc>
                <w:tcPr>
                  <w:tcW w:w="489" w:type="pct"/>
                  <w:gridSpan w:val="2"/>
                  <w:tcBorders>
                    <w:top w:val="single" w:sz="6" w:space="0" w:color="BFBFBF"/>
                    <w:bottom w:val="single" w:sz="6" w:space="0" w:color="BFBFBF"/>
                  </w:tcBorders>
                </w:tcPr>
                <w:p w:rsidR="00514B47" w:rsidRDefault="00514B47" w:rsidP="00637E3E">
                  <w:pPr>
                    <w:pStyle w:val="TableColumnHeading"/>
                  </w:pPr>
                  <w:r>
                    <w:t>Vic</w:t>
                  </w:r>
                </w:p>
              </w:tc>
              <w:tc>
                <w:tcPr>
                  <w:tcW w:w="489" w:type="pct"/>
                  <w:gridSpan w:val="2"/>
                  <w:tcBorders>
                    <w:top w:val="single" w:sz="6" w:space="0" w:color="BFBFBF"/>
                    <w:bottom w:val="single" w:sz="6" w:space="0" w:color="BFBFBF"/>
                  </w:tcBorders>
                </w:tcPr>
                <w:p w:rsidR="00514B47" w:rsidRDefault="00514B47" w:rsidP="00637E3E">
                  <w:pPr>
                    <w:pStyle w:val="TableColumnHeading"/>
                  </w:pPr>
                  <w:r>
                    <w:t>Qld</w:t>
                  </w:r>
                </w:p>
              </w:tc>
              <w:tc>
                <w:tcPr>
                  <w:tcW w:w="489" w:type="pct"/>
                  <w:gridSpan w:val="2"/>
                  <w:tcBorders>
                    <w:top w:val="single" w:sz="6" w:space="0" w:color="BFBFBF"/>
                    <w:bottom w:val="single" w:sz="6" w:space="0" w:color="BFBFBF"/>
                  </w:tcBorders>
                </w:tcPr>
                <w:p w:rsidR="00514B47" w:rsidRDefault="00514B47" w:rsidP="00637E3E">
                  <w:pPr>
                    <w:pStyle w:val="TableColumnHeading"/>
                  </w:pPr>
                  <w:r>
                    <w:t>WA</w:t>
                  </w:r>
                </w:p>
              </w:tc>
              <w:tc>
                <w:tcPr>
                  <w:tcW w:w="489" w:type="pct"/>
                  <w:gridSpan w:val="2"/>
                  <w:tcBorders>
                    <w:top w:val="single" w:sz="6" w:space="0" w:color="BFBFBF"/>
                    <w:bottom w:val="single" w:sz="6" w:space="0" w:color="BFBFBF"/>
                  </w:tcBorders>
                </w:tcPr>
                <w:p w:rsidR="00514B47" w:rsidRDefault="00514B47" w:rsidP="00637E3E">
                  <w:pPr>
                    <w:pStyle w:val="TableColumnHeading"/>
                  </w:pPr>
                  <w:r>
                    <w:t>SA</w:t>
                  </w:r>
                </w:p>
              </w:tc>
              <w:tc>
                <w:tcPr>
                  <w:tcW w:w="489" w:type="pct"/>
                  <w:gridSpan w:val="2"/>
                  <w:tcBorders>
                    <w:top w:val="single" w:sz="6" w:space="0" w:color="BFBFBF"/>
                    <w:bottom w:val="single" w:sz="6" w:space="0" w:color="BFBFBF"/>
                  </w:tcBorders>
                </w:tcPr>
                <w:p w:rsidR="00514B47" w:rsidRDefault="00514B47" w:rsidP="00637E3E">
                  <w:pPr>
                    <w:pStyle w:val="TableColumnHeading"/>
                  </w:pPr>
                  <w:r>
                    <w:t>Tas</w:t>
                  </w:r>
                </w:p>
              </w:tc>
              <w:tc>
                <w:tcPr>
                  <w:tcW w:w="490" w:type="pct"/>
                  <w:gridSpan w:val="2"/>
                  <w:tcBorders>
                    <w:top w:val="single" w:sz="6" w:space="0" w:color="BFBFBF"/>
                    <w:bottom w:val="single" w:sz="6" w:space="0" w:color="BFBFBF"/>
                  </w:tcBorders>
                  <w:shd w:val="clear" w:color="auto" w:fill="auto"/>
                  <w:tcMar>
                    <w:top w:w="28" w:type="dxa"/>
                  </w:tcMar>
                </w:tcPr>
                <w:p w:rsidR="00514B47" w:rsidRDefault="00514B47" w:rsidP="00637E3E">
                  <w:pPr>
                    <w:pStyle w:val="TableColumnHeading"/>
                  </w:pPr>
                  <w:r>
                    <w:t>ACT</w:t>
                  </w:r>
                </w:p>
              </w:tc>
              <w:tc>
                <w:tcPr>
                  <w:tcW w:w="485" w:type="pct"/>
                  <w:gridSpan w:val="2"/>
                  <w:tcBorders>
                    <w:top w:val="single" w:sz="6" w:space="0" w:color="BFBFBF"/>
                    <w:bottom w:val="single" w:sz="6" w:space="0" w:color="BFBFBF"/>
                  </w:tcBorders>
                </w:tcPr>
                <w:p w:rsidR="00514B47" w:rsidRDefault="00514B47" w:rsidP="00637E3E">
                  <w:pPr>
                    <w:pStyle w:val="TableColumnHeading"/>
                  </w:pPr>
                  <w:r>
                    <w:t>NT</w:t>
                  </w:r>
                </w:p>
              </w:tc>
              <w:tc>
                <w:tcPr>
                  <w:tcW w:w="484" w:type="pct"/>
                  <w:tcBorders>
                    <w:top w:val="single" w:sz="6" w:space="0" w:color="BFBFBF"/>
                    <w:bottom w:val="single" w:sz="6" w:space="0" w:color="BFBFBF"/>
                  </w:tcBorders>
                  <w:shd w:val="clear" w:color="auto" w:fill="auto"/>
                  <w:tcMar>
                    <w:top w:w="28" w:type="dxa"/>
                  </w:tcMar>
                </w:tcPr>
                <w:p w:rsidR="00514B47" w:rsidRDefault="00514B47" w:rsidP="00637E3E">
                  <w:pPr>
                    <w:pStyle w:val="TableColumnHeading"/>
                  </w:pPr>
                  <w:r>
                    <w:t>Aust</w:t>
                  </w:r>
                </w:p>
              </w:tc>
            </w:tr>
            <w:tr w:rsidR="00B17B92" w:rsidTr="000A4712">
              <w:tc>
                <w:tcPr>
                  <w:tcW w:w="5000" w:type="pct"/>
                  <w:gridSpan w:val="18"/>
                  <w:shd w:val="clear" w:color="auto" w:fill="auto"/>
                </w:tcPr>
                <w:p w:rsidR="00B17B92" w:rsidRPr="00922F3B" w:rsidRDefault="00B17B92" w:rsidP="00045496">
                  <w:pPr>
                    <w:pStyle w:val="DQIRowHeadings"/>
                  </w:pPr>
                  <w:r>
                    <w:t>Occupancy rates</w:t>
                  </w:r>
                </w:p>
              </w:tc>
            </w:tr>
            <w:tr w:rsidR="00514B47" w:rsidTr="000A4712">
              <w:tc>
                <w:tcPr>
                  <w:tcW w:w="5000" w:type="pct"/>
                  <w:gridSpan w:val="18"/>
                </w:tcPr>
                <w:p w:rsidR="00514B47" w:rsidRDefault="00B17B92" w:rsidP="00C73598">
                  <w:pPr>
                    <w:pStyle w:val="TableBodyText"/>
                    <w:ind w:left="113" w:right="28"/>
                    <w:jc w:val="left"/>
                  </w:pPr>
                  <w:r>
                    <w:t>Occupancy rates, 201</w:t>
                  </w:r>
                  <w:r w:rsidR="00C73598">
                    <w:t>5 (</w:t>
                  </w:r>
                  <w:proofErr w:type="spellStart"/>
                  <w:r w:rsidR="00C73598">
                    <w:t>ICH</w:t>
                  </w:r>
                  <w:proofErr w:type="spellEnd"/>
                  <w:r w:rsidR="00C73598">
                    <w:t xml:space="preserve"> = 201</w:t>
                  </w:r>
                  <w:r>
                    <w:t>4) (%)</w:t>
                  </w:r>
                </w:p>
              </w:tc>
            </w:tr>
            <w:tr w:rsidR="00B17B92" w:rsidTr="00045496">
              <w:tc>
                <w:tcPr>
                  <w:tcW w:w="5000" w:type="pct"/>
                  <w:gridSpan w:val="18"/>
                  <w:shd w:val="clear" w:color="auto" w:fill="auto"/>
                </w:tcPr>
                <w:p w:rsidR="00B17B92" w:rsidRDefault="00B17B92"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B17B92" w:rsidTr="00917D1B">
              <w:tc>
                <w:tcPr>
                  <w:tcW w:w="571" w:type="pct"/>
                </w:tcPr>
                <w:p w:rsidR="00B17B92" w:rsidRDefault="00B17B92" w:rsidP="00917D1B">
                  <w:pPr>
                    <w:pStyle w:val="TableBodyText"/>
                    <w:ind w:left="227" w:right="0"/>
                    <w:jc w:val="left"/>
                  </w:pPr>
                  <w:r>
                    <w:t>PH</w:t>
                  </w:r>
                </w:p>
              </w:tc>
              <w:tc>
                <w:tcPr>
                  <w:tcW w:w="431" w:type="pct"/>
                  <w:vAlign w:val="center"/>
                </w:tcPr>
                <w:p w:rsidR="00B17B92" w:rsidRPr="00C73598" w:rsidRDefault="00080F6D" w:rsidP="00C73598">
                  <w:pPr>
                    <w:pStyle w:val="TableBodyText"/>
                  </w:pPr>
                  <w:r>
                    <w:t xml:space="preserve"> </w:t>
                  </w:r>
                  <w:r w:rsidR="00B17B92" w:rsidRPr="00C73598">
                    <w:t>98.7</w:t>
                  </w:r>
                </w:p>
              </w:tc>
              <w:tc>
                <w:tcPr>
                  <w:tcW w:w="501" w:type="pct"/>
                  <w:gridSpan w:val="2"/>
                  <w:vAlign w:val="center"/>
                </w:tcPr>
                <w:p w:rsidR="00B17B92" w:rsidRPr="00C73598" w:rsidRDefault="00080F6D" w:rsidP="00C73598">
                  <w:pPr>
                    <w:pStyle w:val="TableBodyText"/>
                  </w:pPr>
                  <w:r>
                    <w:t xml:space="preserve"> </w:t>
                  </w:r>
                  <w:r w:rsidR="00B17B92" w:rsidRPr="00C73598">
                    <w:t>98.0</w:t>
                  </w:r>
                </w:p>
              </w:tc>
              <w:tc>
                <w:tcPr>
                  <w:tcW w:w="501" w:type="pct"/>
                  <w:gridSpan w:val="2"/>
                  <w:vAlign w:val="center"/>
                </w:tcPr>
                <w:p w:rsidR="00B17B92" w:rsidRPr="00C73598" w:rsidRDefault="00080F6D" w:rsidP="00C73598">
                  <w:pPr>
                    <w:pStyle w:val="TableBodyText"/>
                  </w:pPr>
                  <w:r>
                    <w:t xml:space="preserve"> </w:t>
                  </w:r>
                  <w:r w:rsidR="00B17B92" w:rsidRPr="00C73598">
                    <w:t>98.3</w:t>
                  </w:r>
                </w:p>
              </w:tc>
              <w:tc>
                <w:tcPr>
                  <w:tcW w:w="501" w:type="pct"/>
                  <w:gridSpan w:val="2"/>
                  <w:vAlign w:val="center"/>
                </w:tcPr>
                <w:p w:rsidR="00B17B92" w:rsidRPr="00C73598" w:rsidRDefault="00080F6D" w:rsidP="00C73598">
                  <w:pPr>
                    <w:pStyle w:val="TableBodyText"/>
                  </w:pPr>
                  <w:r>
                    <w:t xml:space="preserve"> </w:t>
                  </w:r>
                  <w:r w:rsidR="00B17B92" w:rsidRPr="00C73598">
                    <w:t>97.7</w:t>
                  </w:r>
                </w:p>
              </w:tc>
              <w:tc>
                <w:tcPr>
                  <w:tcW w:w="501" w:type="pct"/>
                  <w:gridSpan w:val="2"/>
                  <w:vAlign w:val="center"/>
                </w:tcPr>
                <w:p w:rsidR="00B17B92" w:rsidRPr="00C73598" w:rsidRDefault="00080F6D" w:rsidP="00C73598">
                  <w:pPr>
                    <w:pStyle w:val="TableBodyText"/>
                  </w:pPr>
                  <w:r>
                    <w:t xml:space="preserve"> </w:t>
                  </w:r>
                  <w:r w:rsidR="00B17B92" w:rsidRPr="00C73598">
                    <w:t>95.8</w:t>
                  </w:r>
                </w:p>
              </w:tc>
              <w:tc>
                <w:tcPr>
                  <w:tcW w:w="501" w:type="pct"/>
                  <w:gridSpan w:val="2"/>
                  <w:vAlign w:val="center"/>
                </w:tcPr>
                <w:p w:rsidR="00B17B92" w:rsidRPr="00C73598" w:rsidRDefault="00080F6D" w:rsidP="00C73598">
                  <w:pPr>
                    <w:pStyle w:val="TableBodyText"/>
                  </w:pPr>
                  <w:r>
                    <w:t xml:space="preserve"> </w:t>
                  </w:r>
                  <w:r w:rsidR="00B17B92" w:rsidRPr="00C73598">
                    <w:t>98.3</w:t>
                  </w:r>
                </w:p>
              </w:tc>
              <w:tc>
                <w:tcPr>
                  <w:tcW w:w="501" w:type="pct"/>
                  <w:gridSpan w:val="2"/>
                  <w:vAlign w:val="center"/>
                </w:tcPr>
                <w:p w:rsidR="00B17B92" w:rsidRPr="00C73598" w:rsidRDefault="00080F6D" w:rsidP="00C73598">
                  <w:pPr>
                    <w:pStyle w:val="TableBodyText"/>
                  </w:pPr>
                  <w:r>
                    <w:t xml:space="preserve"> </w:t>
                  </w:r>
                  <w:r w:rsidR="00B17B92" w:rsidRPr="00C73598">
                    <w:t>98.0</w:t>
                  </w:r>
                </w:p>
              </w:tc>
              <w:tc>
                <w:tcPr>
                  <w:tcW w:w="496" w:type="pct"/>
                  <w:gridSpan w:val="2"/>
                  <w:vAlign w:val="center"/>
                </w:tcPr>
                <w:p w:rsidR="00B17B92" w:rsidRPr="00C73598" w:rsidRDefault="00080F6D" w:rsidP="00C73598">
                  <w:pPr>
                    <w:pStyle w:val="TableBodyText"/>
                  </w:pPr>
                  <w:r>
                    <w:t xml:space="preserve"> </w:t>
                  </w:r>
                  <w:r w:rsidR="00B17B92" w:rsidRPr="00C73598">
                    <w:t>94.7</w:t>
                  </w:r>
                </w:p>
              </w:tc>
              <w:tc>
                <w:tcPr>
                  <w:tcW w:w="496" w:type="pct"/>
                  <w:gridSpan w:val="2"/>
                  <w:vAlign w:val="center"/>
                </w:tcPr>
                <w:p w:rsidR="00B17B92" w:rsidRPr="00C73598" w:rsidRDefault="00080F6D" w:rsidP="00C73598">
                  <w:pPr>
                    <w:pStyle w:val="TableBodyText"/>
                  </w:pPr>
                  <w:r>
                    <w:t xml:space="preserve"> </w:t>
                  </w:r>
                  <w:r w:rsidR="00B17B92" w:rsidRPr="00C73598">
                    <w:t>97.9</w:t>
                  </w:r>
                </w:p>
              </w:tc>
            </w:tr>
            <w:tr w:rsidR="00C73598" w:rsidTr="00917D1B">
              <w:tc>
                <w:tcPr>
                  <w:tcW w:w="571" w:type="pct"/>
                </w:tcPr>
                <w:p w:rsidR="00C73598" w:rsidRDefault="00C73598" w:rsidP="00917D1B">
                  <w:pPr>
                    <w:pStyle w:val="TableBodyText"/>
                    <w:ind w:left="227" w:right="0"/>
                    <w:jc w:val="left"/>
                  </w:pPr>
                  <w:r>
                    <w:t>SOMIH</w:t>
                  </w:r>
                </w:p>
              </w:tc>
              <w:tc>
                <w:tcPr>
                  <w:tcW w:w="431" w:type="pct"/>
                  <w:vAlign w:val="center"/>
                </w:tcPr>
                <w:p w:rsidR="00C73598" w:rsidRPr="00C73598" w:rsidRDefault="00080F6D" w:rsidP="00C73598">
                  <w:pPr>
                    <w:pStyle w:val="TableBodyText"/>
                  </w:pPr>
                  <w:r>
                    <w:t xml:space="preserve"> </w:t>
                  </w:r>
                  <w:r w:rsidR="00C73598" w:rsidRPr="00C73598">
                    <w:t>97.6</w:t>
                  </w:r>
                </w:p>
              </w:tc>
              <w:tc>
                <w:tcPr>
                  <w:tcW w:w="501" w:type="pct"/>
                  <w:gridSpan w:val="2"/>
                  <w:vAlign w:val="center"/>
                </w:tcPr>
                <w:p w:rsidR="00C73598" w:rsidRPr="00C73598" w:rsidRDefault="00C73598" w:rsidP="00C73598">
                  <w:pPr>
                    <w:pStyle w:val="TableBodyText"/>
                  </w:pPr>
                  <w:r w:rsidRPr="00C73598">
                    <w:t>..</w:t>
                  </w:r>
                </w:p>
              </w:tc>
              <w:tc>
                <w:tcPr>
                  <w:tcW w:w="501" w:type="pct"/>
                  <w:gridSpan w:val="2"/>
                  <w:vAlign w:val="center"/>
                </w:tcPr>
                <w:p w:rsidR="00C73598" w:rsidRPr="00C73598" w:rsidRDefault="00080F6D" w:rsidP="00C73598">
                  <w:pPr>
                    <w:pStyle w:val="TableBodyText"/>
                  </w:pPr>
                  <w:r>
                    <w:t xml:space="preserve"> </w:t>
                  </w:r>
                  <w:r w:rsidR="00C73598" w:rsidRPr="00C73598">
                    <w:t>96.6</w:t>
                  </w:r>
                </w:p>
              </w:tc>
              <w:tc>
                <w:tcPr>
                  <w:tcW w:w="501" w:type="pct"/>
                  <w:gridSpan w:val="2"/>
                  <w:vAlign w:val="center"/>
                </w:tcPr>
                <w:p w:rsidR="00C73598" w:rsidRPr="00C73598" w:rsidRDefault="00C73598" w:rsidP="00C73598">
                  <w:pPr>
                    <w:pStyle w:val="TableBodyText"/>
                  </w:pPr>
                  <w:r w:rsidRPr="00C73598">
                    <w:t>..</w:t>
                  </w:r>
                </w:p>
              </w:tc>
              <w:tc>
                <w:tcPr>
                  <w:tcW w:w="501" w:type="pct"/>
                  <w:gridSpan w:val="2"/>
                  <w:vAlign w:val="center"/>
                </w:tcPr>
                <w:p w:rsidR="00C73598" w:rsidRPr="00C73598" w:rsidRDefault="00080F6D" w:rsidP="00C73598">
                  <w:pPr>
                    <w:pStyle w:val="TableBodyText"/>
                  </w:pPr>
                  <w:r>
                    <w:t xml:space="preserve"> </w:t>
                  </w:r>
                  <w:r w:rsidR="00C73598" w:rsidRPr="00C73598">
                    <w:t>95.8</w:t>
                  </w:r>
                </w:p>
              </w:tc>
              <w:tc>
                <w:tcPr>
                  <w:tcW w:w="501" w:type="pct"/>
                  <w:gridSpan w:val="2"/>
                  <w:vAlign w:val="center"/>
                </w:tcPr>
                <w:p w:rsidR="00C73598" w:rsidRPr="00C73598" w:rsidRDefault="00080F6D" w:rsidP="00C73598">
                  <w:pPr>
                    <w:pStyle w:val="TableBodyText"/>
                  </w:pPr>
                  <w:r>
                    <w:t xml:space="preserve"> </w:t>
                  </w:r>
                  <w:r w:rsidR="00C73598" w:rsidRPr="00C73598">
                    <w:t>98.6</w:t>
                  </w:r>
                </w:p>
              </w:tc>
              <w:tc>
                <w:tcPr>
                  <w:tcW w:w="501" w:type="pct"/>
                  <w:gridSpan w:val="2"/>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080F6D" w:rsidP="00C73598">
                  <w:pPr>
                    <w:pStyle w:val="TableBodyText"/>
                  </w:pPr>
                  <w:r>
                    <w:t xml:space="preserve"> </w:t>
                  </w:r>
                  <w:r w:rsidR="00C73598" w:rsidRPr="00C73598">
                    <w:t>97.0</w:t>
                  </w:r>
                </w:p>
              </w:tc>
            </w:tr>
            <w:tr w:rsidR="00C73598" w:rsidTr="00917D1B">
              <w:tc>
                <w:tcPr>
                  <w:tcW w:w="571" w:type="pct"/>
                </w:tcPr>
                <w:p w:rsidR="00C73598" w:rsidRDefault="00C73598" w:rsidP="00917D1B">
                  <w:pPr>
                    <w:pStyle w:val="TableBodyText"/>
                    <w:ind w:left="227" w:right="0"/>
                    <w:jc w:val="left"/>
                  </w:pPr>
                  <w:r>
                    <w:t>CH</w:t>
                  </w:r>
                </w:p>
              </w:tc>
              <w:tc>
                <w:tcPr>
                  <w:tcW w:w="431" w:type="pct"/>
                  <w:vAlign w:val="center"/>
                </w:tcPr>
                <w:p w:rsidR="00C73598" w:rsidRPr="00C73598" w:rsidRDefault="00080F6D" w:rsidP="00C73598">
                  <w:pPr>
                    <w:pStyle w:val="TableBodyText"/>
                  </w:pPr>
                  <w:r>
                    <w:t xml:space="preserve"> </w:t>
                  </w:r>
                  <w:r w:rsidR="00C73598" w:rsidRPr="00C73598">
                    <w:t>93.0</w:t>
                  </w:r>
                </w:p>
              </w:tc>
              <w:tc>
                <w:tcPr>
                  <w:tcW w:w="501" w:type="pct"/>
                  <w:gridSpan w:val="2"/>
                  <w:vAlign w:val="center"/>
                </w:tcPr>
                <w:p w:rsidR="00C73598" w:rsidRPr="00C73598" w:rsidRDefault="00080F6D" w:rsidP="00C73598">
                  <w:pPr>
                    <w:pStyle w:val="TableBodyText"/>
                  </w:pPr>
                  <w:r>
                    <w:t xml:space="preserve"> </w:t>
                  </w:r>
                  <w:r w:rsidR="00C73598" w:rsidRPr="00C73598">
                    <w:t>94.0</w:t>
                  </w:r>
                </w:p>
              </w:tc>
              <w:tc>
                <w:tcPr>
                  <w:tcW w:w="501" w:type="pct"/>
                  <w:gridSpan w:val="2"/>
                  <w:vAlign w:val="center"/>
                </w:tcPr>
                <w:p w:rsidR="00C73598" w:rsidRPr="00C73598" w:rsidRDefault="00080F6D" w:rsidP="00C73598">
                  <w:pPr>
                    <w:pStyle w:val="TableBodyText"/>
                  </w:pPr>
                  <w:r>
                    <w:t xml:space="preserve"> </w:t>
                  </w:r>
                  <w:r w:rsidR="00C73598" w:rsidRPr="00C73598">
                    <w:t>97.0</w:t>
                  </w:r>
                </w:p>
              </w:tc>
              <w:tc>
                <w:tcPr>
                  <w:tcW w:w="501" w:type="pct"/>
                  <w:gridSpan w:val="2"/>
                  <w:vAlign w:val="center"/>
                </w:tcPr>
                <w:p w:rsidR="00C73598" w:rsidRPr="00C73598" w:rsidRDefault="00080F6D" w:rsidP="00C73598">
                  <w:pPr>
                    <w:pStyle w:val="TableBodyText"/>
                  </w:pPr>
                  <w:r>
                    <w:t xml:space="preserve"> </w:t>
                  </w:r>
                  <w:r w:rsidR="00C73598" w:rsidRPr="00C73598">
                    <w:t>95.0</w:t>
                  </w:r>
                </w:p>
              </w:tc>
              <w:tc>
                <w:tcPr>
                  <w:tcW w:w="501" w:type="pct"/>
                  <w:gridSpan w:val="2"/>
                  <w:vAlign w:val="center"/>
                </w:tcPr>
                <w:p w:rsidR="00C73598" w:rsidRPr="00C73598" w:rsidRDefault="00080F6D" w:rsidP="00C73598">
                  <w:pPr>
                    <w:pStyle w:val="TableBodyText"/>
                  </w:pPr>
                  <w:r>
                    <w:t xml:space="preserve"> </w:t>
                  </w:r>
                  <w:r w:rsidR="00C73598" w:rsidRPr="00C73598">
                    <w:t>96.0</w:t>
                  </w:r>
                </w:p>
              </w:tc>
              <w:tc>
                <w:tcPr>
                  <w:tcW w:w="501" w:type="pct"/>
                  <w:gridSpan w:val="2"/>
                  <w:vAlign w:val="center"/>
                </w:tcPr>
                <w:p w:rsidR="00C73598" w:rsidRPr="00C73598" w:rsidRDefault="00080F6D" w:rsidP="00C73598">
                  <w:pPr>
                    <w:pStyle w:val="TableBodyText"/>
                  </w:pPr>
                  <w:r>
                    <w:t xml:space="preserve"> </w:t>
                  </w:r>
                  <w:r w:rsidR="00C73598" w:rsidRPr="00C73598">
                    <w:t>96.0</w:t>
                  </w:r>
                </w:p>
              </w:tc>
              <w:tc>
                <w:tcPr>
                  <w:tcW w:w="501" w:type="pct"/>
                  <w:gridSpan w:val="2"/>
                  <w:vAlign w:val="center"/>
                </w:tcPr>
                <w:p w:rsidR="00C73598" w:rsidRPr="00C73598" w:rsidRDefault="00080F6D" w:rsidP="00C73598">
                  <w:pPr>
                    <w:pStyle w:val="TableBodyText"/>
                  </w:pPr>
                  <w:r>
                    <w:t xml:space="preserve"> </w:t>
                  </w:r>
                  <w:r w:rsidR="00C73598" w:rsidRPr="00C73598">
                    <w:t>87.0</w:t>
                  </w:r>
                </w:p>
              </w:tc>
              <w:tc>
                <w:tcPr>
                  <w:tcW w:w="496" w:type="pct"/>
                  <w:gridSpan w:val="2"/>
                  <w:vAlign w:val="center"/>
                </w:tcPr>
                <w:p w:rsidR="00C73598" w:rsidRPr="00C73598" w:rsidRDefault="00080F6D" w:rsidP="00C73598">
                  <w:pPr>
                    <w:pStyle w:val="TableBodyText"/>
                  </w:pPr>
                  <w:r>
                    <w:t xml:space="preserve"> </w:t>
                  </w:r>
                  <w:r w:rsidR="00C73598" w:rsidRPr="00C73598">
                    <w:t>100.0</w:t>
                  </w:r>
                </w:p>
              </w:tc>
              <w:tc>
                <w:tcPr>
                  <w:tcW w:w="496" w:type="pct"/>
                  <w:gridSpan w:val="2"/>
                  <w:vAlign w:val="center"/>
                </w:tcPr>
                <w:p w:rsidR="00C73598" w:rsidRPr="00C73598" w:rsidRDefault="00080F6D" w:rsidP="00C73598">
                  <w:pPr>
                    <w:pStyle w:val="TableBodyText"/>
                  </w:pPr>
                  <w:r>
                    <w:t xml:space="preserve"> </w:t>
                  </w:r>
                  <w:r w:rsidR="00C73598" w:rsidRPr="00C73598">
                    <w:t>94.4</w:t>
                  </w:r>
                </w:p>
              </w:tc>
            </w:tr>
            <w:tr w:rsidR="00C73598" w:rsidTr="00917D1B">
              <w:tc>
                <w:tcPr>
                  <w:tcW w:w="571" w:type="pct"/>
                  <w:shd w:val="clear" w:color="auto" w:fill="auto"/>
                </w:tcPr>
                <w:p w:rsidR="00C73598" w:rsidRDefault="00C73598" w:rsidP="00917D1B">
                  <w:pPr>
                    <w:pStyle w:val="TableBodyText"/>
                    <w:ind w:left="227" w:right="0"/>
                    <w:jc w:val="left"/>
                  </w:pPr>
                  <w:proofErr w:type="spellStart"/>
                  <w:r>
                    <w:t>ICH</w:t>
                  </w:r>
                  <w:proofErr w:type="spellEnd"/>
                </w:p>
              </w:tc>
              <w:tc>
                <w:tcPr>
                  <w:tcW w:w="431" w:type="pct"/>
                  <w:vAlign w:val="center"/>
                </w:tcPr>
                <w:p w:rsidR="00C73598" w:rsidRPr="00C73598" w:rsidRDefault="00080F6D" w:rsidP="00C73598">
                  <w:pPr>
                    <w:pStyle w:val="TableBodyText"/>
                  </w:pPr>
                  <w:r>
                    <w:t xml:space="preserve"> </w:t>
                  </w:r>
                  <w:r w:rsidR="00C73598" w:rsidRPr="00C73598">
                    <w:t>96.7</w:t>
                  </w:r>
                </w:p>
              </w:tc>
              <w:tc>
                <w:tcPr>
                  <w:tcW w:w="501" w:type="pct"/>
                  <w:gridSpan w:val="2"/>
                  <w:vAlign w:val="center"/>
                </w:tcPr>
                <w:p w:rsidR="00C73598" w:rsidRPr="00C73598" w:rsidRDefault="00080F6D" w:rsidP="00C73598">
                  <w:pPr>
                    <w:pStyle w:val="TableBodyText"/>
                  </w:pPr>
                  <w:r>
                    <w:t xml:space="preserve"> </w:t>
                  </w:r>
                  <w:r w:rsidR="00C73598" w:rsidRPr="00C73598">
                    <w:t>98.5</w:t>
                  </w:r>
                </w:p>
              </w:tc>
              <w:tc>
                <w:tcPr>
                  <w:tcW w:w="501" w:type="pct"/>
                  <w:gridSpan w:val="2"/>
                  <w:vAlign w:val="center"/>
                </w:tcPr>
                <w:p w:rsidR="00C73598" w:rsidRPr="00C73598" w:rsidRDefault="00080F6D" w:rsidP="00C73598">
                  <w:pPr>
                    <w:pStyle w:val="TableBodyText"/>
                  </w:pPr>
                  <w:r>
                    <w:t xml:space="preserve"> </w:t>
                  </w:r>
                  <w:r w:rsidR="00C73598" w:rsidRPr="00C73598">
                    <w:t>94.1</w:t>
                  </w:r>
                </w:p>
              </w:tc>
              <w:tc>
                <w:tcPr>
                  <w:tcW w:w="501" w:type="pct"/>
                  <w:gridSpan w:val="2"/>
                  <w:vAlign w:val="center"/>
                </w:tcPr>
                <w:p w:rsidR="00C73598" w:rsidRPr="00C73598" w:rsidRDefault="00080F6D" w:rsidP="00C73598">
                  <w:pPr>
                    <w:pStyle w:val="TableBodyText"/>
                  </w:pPr>
                  <w:r>
                    <w:t xml:space="preserve"> </w:t>
                  </w:r>
                  <w:r w:rsidR="00C73598" w:rsidRPr="00C73598">
                    <w:t>91.3</w:t>
                  </w:r>
                </w:p>
              </w:tc>
              <w:tc>
                <w:tcPr>
                  <w:tcW w:w="501" w:type="pct"/>
                  <w:gridSpan w:val="2"/>
                  <w:vAlign w:val="center"/>
                </w:tcPr>
                <w:p w:rsidR="00C73598" w:rsidRPr="00C73598" w:rsidRDefault="00080F6D" w:rsidP="00C73598">
                  <w:pPr>
                    <w:pStyle w:val="TableBodyText"/>
                  </w:pPr>
                  <w:r>
                    <w:t xml:space="preserve"> </w:t>
                  </w:r>
                  <w:r w:rsidR="00C73598" w:rsidRPr="00C73598">
                    <w:t>88.7</w:t>
                  </w:r>
                </w:p>
              </w:tc>
              <w:tc>
                <w:tcPr>
                  <w:tcW w:w="501" w:type="pct"/>
                  <w:gridSpan w:val="2"/>
                  <w:vAlign w:val="center"/>
                </w:tcPr>
                <w:p w:rsidR="00C73598" w:rsidRPr="00C73598" w:rsidRDefault="00080F6D" w:rsidP="00C73598">
                  <w:pPr>
                    <w:pStyle w:val="TableBodyText"/>
                  </w:pPr>
                  <w:r>
                    <w:t xml:space="preserve"> </w:t>
                  </w:r>
                  <w:r w:rsidR="00C73598" w:rsidRPr="00C73598">
                    <w:t>100.0</w:t>
                  </w:r>
                </w:p>
              </w:tc>
              <w:tc>
                <w:tcPr>
                  <w:tcW w:w="501" w:type="pct"/>
                  <w:gridSpan w:val="2"/>
                  <w:shd w:val="clear" w:color="auto" w:fill="auto"/>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C73598" w:rsidP="00C73598">
                  <w:pPr>
                    <w:pStyle w:val="TableBodyText"/>
                  </w:pPr>
                  <w:r w:rsidRPr="00C73598">
                    <w:t>na</w:t>
                  </w:r>
                </w:p>
              </w:tc>
              <w:tc>
                <w:tcPr>
                  <w:tcW w:w="496" w:type="pct"/>
                  <w:gridSpan w:val="2"/>
                  <w:shd w:val="clear" w:color="auto" w:fill="auto"/>
                  <w:vAlign w:val="center"/>
                </w:tcPr>
                <w:p w:rsidR="00C73598" w:rsidRPr="00C73598" w:rsidRDefault="00080F6D" w:rsidP="00C73598">
                  <w:pPr>
                    <w:pStyle w:val="TableBodyText"/>
                  </w:pPr>
                  <w:r>
                    <w:t xml:space="preserve"> </w:t>
                  </w:r>
                  <w:r w:rsidR="00C73598" w:rsidRPr="00C73598">
                    <w:t>94.6</w:t>
                  </w:r>
                </w:p>
              </w:tc>
            </w:tr>
            <w:tr w:rsidR="00514B47" w:rsidTr="00637E3E">
              <w:tc>
                <w:tcPr>
                  <w:tcW w:w="5000" w:type="pct"/>
                  <w:gridSpan w:val="18"/>
                </w:tcPr>
                <w:p w:rsidR="00514B47" w:rsidRDefault="00514B47" w:rsidP="00B17B92">
                  <w:pPr>
                    <w:pStyle w:val="Source"/>
                    <w:spacing w:before="0" w:after="80"/>
                    <w:ind w:left="113"/>
                  </w:pPr>
                  <w:r w:rsidRPr="00253B66">
                    <w:rPr>
                      <w:i/>
                    </w:rPr>
                    <w:t>Source</w:t>
                  </w:r>
                  <w:r w:rsidRPr="00080F6D">
                    <w:t>:</w:t>
                  </w:r>
                  <w:r w:rsidRPr="0046068B">
                    <w:rPr>
                      <w:i/>
                    </w:rPr>
                    <w:t xml:space="preserve"> </w:t>
                  </w:r>
                  <w:r>
                    <w:t xml:space="preserve">Attachment table </w:t>
                  </w:r>
                  <w:proofErr w:type="spellStart"/>
                  <w:r w:rsidR="00B17B92">
                    <w:t>17</w:t>
                  </w:r>
                  <w:r>
                    <w:t>A.</w:t>
                  </w:r>
                  <w:r w:rsidR="00B17B92">
                    <w:t>24</w:t>
                  </w:r>
                  <w:proofErr w:type="spellEnd"/>
                  <w:r w:rsidR="00B17B92">
                    <w:t>–27</w:t>
                  </w:r>
                  <w:r w:rsidR="00C9055F">
                    <w:t>.</w:t>
                  </w:r>
                </w:p>
              </w:tc>
            </w:tr>
            <w:tr w:rsidR="00C73598" w:rsidTr="00045496">
              <w:tc>
                <w:tcPr>
                  <w:tcW w:w="5000" w:type="pct"/>
                  <w:gridSpan w:val="18"/>
                  <w:shd w:val="clear" w:color="auto" w:fill="auto"/>
                </w:tcPr>
                <w:p w:rsidR="00C73598" w:rsidRPr="00922F3B" w:rsidRDefault="00C73598" w:rsidP="00045496">
                  <w:pPr>
                    <w:pStyle w:val="DQIRowHeadings"/>
                  </w:pPr>
                  <w:r>
                    <w:t>Turnaround time</w:t>
                  </w:r>
                </w:p>
              </w:tc>
            </w:tr>
            <w:tr w:rsidR="00C73598" w:rsidTr="000A4712">
              <w:tc>
                <w:tcPr>
                  <w:tcW w:w="5000" w:type="pct"/>
                  <w:gridSpan w:val="18"/>
                </w:tcPr>
                <w:p w:rsidR="00C73598" w:rsidRDefault="00C73598" w:rsidP="00C73598">
                  <w:pPr>
                    <w:pStyle w:val="TableBodyText"/>
                    <w:ind w:left="113" w:right="28"/>
                    <w:jc w:val="left"/>
                  </w:pPr>
                  <w:r w:rsidRPr="00C73598">
                    <w:t>Average turnaround times for vacant stock</w:t>
                  </w:r>
                  <w:r>
                    <w:t>, 2014</w:t>
                  </w:r>
                  <w:r w:rsidR="00080F6D">
                    <w:noBreakHyphen/>
                  </w:r>
                  <w:r>
                    <w:t>15</w:t>
                  </w:r>
                  <w:r w:rsidR="00080F6D">
                    <w:t xml:space="preserve"> </w:t>
                  </w:r>
                  <w:r>
                    <w:t>(days)</w:t>
                  </w:r>
                </w:p>
              </w:tc>
            </w:tr>
            <w:tr w:rsidR="00C73598" w:rsidTr="00045496">
              <w:tc>
                <w:tcPr>
                  <w:tcW w:w="5000" w:type="pct"/>
                  <w:gridSpan w:val="18"/>
                  <w:shd w:val="clear" w:color="auto" w:fill="auto"/>
                </w:tcPr>
                <w:p w:rsidR="00C73598" w:rsidRDefault="00C73598"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C73598" w:rsidTr="00917D1B">
              <w:tc>
                <w:tcPr>
                  <w:tcW w:w="571" w:type="pct"/>
                </w:tcPr>
                <w:p w:rsidR="00C73598" w:rsidRDefault="00C73598" w:rsidP="00917D1B">
                  <w:pPr>
                    <w:pStyle w:val="TableBodyText"/>
                    <w:ind w:left="227" w:right="0"/>
                    <w:jc w:val="left"/>
                  </w:pPr>
                  <w:r>
                    <w:t>PH</w:t>
                  </w:r>
                </w:p>
              </w:tc>
              <w:tc>
                <w:tcPr>
                  <w:tcW w:w="431" w:type="pct"/>
                  <w:vAlign w:val="center"/>
                </w:tcPr>
                <w:p w:rsidR="00C73598" w:rsidRPr="00C73598" w:rsidRDefault="00080F6D" w:rsidP="00C73598">
                  <w:pPr>
                    <w:pStyle w:val="TableBodyText"/>
                  </w:pPr>
                  <w:r>
                    <w:t xml:space="preserve"> </w:t>
                  </w:r>
                  <w:r w:rsidR="00C73598" w:rsidRPr="00C73598">
                    <w:t>29.9</w:t>
                  </w:r>
                </w:p>
              </w:tc>
              <w:tc>
                <w:tcPr>
                  <w:tcW w:w="501" w:type="pct"/>
                  <w:gridSpan w:val="2"/>
                  <w:vAlign w:val="center"/>
                </w:tcPr>
                <w:p w:rsidR="00C73598" w:rsidRPr="00C73598" w:rsidRDefault="00080F6D" w:rsidP="00C73598">
                  <w:pPr>
                    <w:pStyle w:val="TableBodyText"/>
                  </w:pPr>
                  <w:r>
                    <w:t xml:space="preserve"> </w:t>
                  </w:r>
                  <w:r w:rsidR="00C73598" w:rsidRPr="00C73598">
                    <w:t>29.1</w:t>
                  </w:r>
                </w:p>
              </w:tc>
              <w:tc>
                <w:tcPr>
                  <w:tcW w:w="501" w:type="pct"/>
                  <w:gridSpan w:val="2"/>
                  <w:vAlign w:val="center"/>
                </w:tcPr>
                <w:p w:rsidR="00C73598" w:rsidRPr="00C73598" w:rsidRDefault="00080F6D" w:rsidP="00C73598">
                  <w:pPr>
                    <w:pStyle w:val="TableBodyText"/>
                  </w:pPr>
                  <w:r>
                    <w:t xml:space="preserve"> </w:t>
                  </w:r>
                  <w:r w:rsidR="00C73598" w:rsidRPr="00C73598">
                    <w:t>24.3</w:t>
                  </w:r>
                </w:p>
              </w:tc>
              <w:tc>
                <w:tcPr>
                  <w:tcW w:w="501" w:type="pct"/>
                  <w:gridSpan w:val="2"/>
                  <w:vAlign w:val="center"/>
                </w:tcPr>
                <w:p w:rsidR="00C73598" w:rsidRPr="00C73598" w:rsidRDefault="00080F6D" w:rsidP="00C73598">
                  <w:pPr>
                    <w:pStyle w:val="TableBodyText"/>
                  </w:pPr>
                  <w:r>
                    <w:t xml:space="preserve"> </w:t>
                  </w:r>
                  <w:r w:rsidR="00C73598" w:rsidRPr="00C73598">
                    <w:t>21.5</w:t>
                  </w:r>
                </w:p>
              </w:tc>
              <w:tc>
                <w:tcPr>
                  <w:tcW w:w="501" w:type="pct"/>
                  <w:gridSpan w:val="2"/>
                  <w:vAlign w:val="center"/>
                </w:tcPr>
                <w:p w:rsidR="00C73598" w:rsidRPr="00C73598" w:rsidRDefault="00C73598" w:rsidP="00C73598">
                  <w:pPr>
                    <w:pStyle w:val="TableBodyText"/>
                  </w:pPr>
                  <w:r w:rsidRPr="00C73598">
                    <w:t>na</w:t>
                  </w:r>
                </w:p>
              </w:tc>
              <w:tc>
                <w:tcPr>
                  <w:tcW w:w="501" w:type="pct"/>
                  <w:gridSpan w:val="2"/>
                  <w:vAlign w:val="center"/>
                </w:tcPr>
                <w:p w:rsidR="00C73598" w:rsidRPr="00C73598" w:rsidRDefault="00080F6D" w:rsidP="00C73598">
                  <w:pPr>
                    <w:pStyle w:val="TableBodyText"/>
                  </w:pPr>
                  <w:r>
                    <w:t xml:space="preserve"> </w:t>
                  </w:r>
                  <w:r w:rsidR="00C73598" w:rsidRPr="00C73598">
                    <w:t>26.9</w:t>
                  </w:r>
                </w:p>
              </w:tc>
              <w:tc>
                <w:tcPr>
                  <w:tcW w:w="501" w:type="pct"/>
                  <w:gridSpan w:val="2"/>
                  <w:vAlign w:val="center"/>
                </w:tcPr>
                <w:p w:rsidR="00C73598" w:rsidRPr="00C73598" w:rsidRDefault="00080F6D" w:rsidP="00C73598">
                  <w:pPr>
                    <w:pStyle w:val="TableBodyText"/>
                  </w:pPr>
                  <w:r>
                    <w:t xml:space="preserve"> </w:t>
                  </w:r>
                  <w:r w:rsidR="00C73598" w:rsidRPr="00C73598">
                    <w:t>34.1</w:t>
                  </w:r>
                </w:p>
              </w:tc>
              <w:tc>
                <w:tcPr>
                  <w:tcW w:w="496" w:type="pct"/>
                  <w:gridSpan w:val="2"/>
                  <w:vAlign w:val="center"/>
                </w:tcPr>
                <w:p w:rsidR="00C73598" w:rsidRPr="00C73598" w:rsidRDefault="00080F6D" w:rsidP="00C73598">
                  <w:pPr>
                    <w:pStyle w:val="TableBodyText"/>
                  </w:pPr>
                  <w:r>
                    <w:t xml:space="preserve"> </w:t>
                  </w:r>
                  <w:r w:rsidR="00C73598" w:rsidRPr="00C73598">
                    <w:t>93.1</w:t>
                  </w:r>
                </w:p>
              </w:tc>
              <w:tc>
                <w:tcPr>
                  <w:tcW w:w="496" w:type="pct"/>
                  <w:gridSpan w:val="2"/>
                  <w:vAlign w:val="center"/>
                </w:tcPr>
                <w:p w:rsidR="00C73598" w:rsidRPr="00C73598" w:rsidRDefault="00C73598" w:rsidP="00C73598">
                  <w:pPr>
                    <w:pStyle w:val="TableBodyText"/>
                  </w:pPr>
                  <w:r w:rsidRPr="00C73598">
                    <w:t>na</w:t>
                  </w:r>
                </w:p>
              </w:tc>
            </w:tr>
            <w:tr w:rsidR="00C73598" w:rsidTr="00917D1B">
              <w:tc>
                <w:tcPr>
                  <w:tcW w:w="571" w:type="pct"/>
                </w:tcPr>
                <w:p w:rsidR="00C73598" w:rsidRDefault="00C73598" w:rsidP="00917D1B">
                  <w:pPr>
                    <w:pStyle w:val="TableBodyText"/>
                    <w:ind w:left="227" w:right="0"/>
                    <w:jc w:val="left"/>
                  </w:pPr>
                  <w:r>
                    <w:t>SOMIH</w:t>
                  </w:r>
                </w:p>
              </w:tc>
              <w:tc>
                <w:tcPr>
                  <w:tcW w:w="431" w:type="pct"/>
                  <w:vAlign w:val="center"/>
                </w:tcPr>
                <w:p w:rsidR="00C73598" w:rsidRPr="00C73598" w:rsidRDefault="00080F6D" w:rsidP="00C73598">
                  <w:pPr>
                    <w:pStyle w:val="TableBodyText"/>
                  </w:pPr>
                  <w:r>
                    <w:t xml:space="preserve"> </w:t>
                  </w:r>
                  <w:r w:rsidR="00C73598" w:rsidRPr="00C73598">
                    <w:t>28.0</w:t>
                  </w:r>
                </w:p>
              </w:tc>
              <w:tc>
                <w:tcPr>
                  <w:tcW w:w="501" w:type="pct"/>
                  <w:gridSpan w:val="2"/>
                  <w:vAlign w:val="center"/>
                </w:tcPr>
                <w:p w:rsidR="00C73598" w:rsidRPr="00C73598" w:rsidRDefault="00C73598" w:rsidP="00C73598">
                  <w:pPr>
                    <w:pStyle w:val="TableBodyText"/>
                  </w:pPr>
                  <w:r w:rsidRPr="00C73598">
                    <w:t>..</w:t>
                  </w:r>
                </w:p>
              </w:tc>
              <w:tc>
                <w:tcPr>
                  <w:tcW w:w="501" w:type="pct"/>
                  <w:gridSpan w:val="2"/>
                  <w:vAlign w:val="center"/>
                </w:tcPr>
                <w:p w:rsidR="00C73598" w:rsidRPr="00C73598" w:rsidRDefault="00080F6D" w:rsidP="00C73598">
                  <w:pPr>
                    <w:pStyle w:val="TableBodyText"/>
                  </w:pPr>
                  <w:r>
                    <w:t xml:space="preserve"> </w:t>
                  </w:r>
                  <w:r w:rsidR="00C73598" w:rsidRPr="00C73598">
                    <w:t>38.5</w:t>
                  </w:r>
                </w:p>
              </w:tc>
              <w:tc>
                <w:tcPr>
                  <w:tcW w:w="501" w:type="pct"/>
                  <w:gridSpan w:val="2"/>
                  <w:vAlign w:val="center"/>
                </w:tcPr>
                <w:p w:rsidR="00C73598" w:rsidRPr="00C73598" w:rsidRDefault="00C73598" w:rsidP="00C73598">
                  <w:pPr>
                    <w:pStyle w:val="TableBodyText"/>
                  </w:pPr>
                  <w:r w:rsidRPr="00C73598">
                    <w:t>..</w:t>
                  </w:r>
                </w:p>
              </w:tc>
              <w:tc>
                <w:tcPr>
                  <w:tcW w:w="501" w:type="pct"/>
                  <w:gridSpan w:val="2"/>
                  <w:vAlign w:val="center"/>
                </w:tcPr>
                <w:p w:rsidR="00C73598" w:rsidRPr="00C73598" w:rsidRDefault="00C73598" w:rsidP="00C73598">
                  <w:pPr>
                    <w:pStyle w:val="TableBodyText"/>
                  </w:pPr>
                  <w:r w:rsidRPr="00C73598">
                    <w:t>na</w:t>
                  </w:r>
                </w:p>
              </w:tc>
              <w:tc>
                <w:tcPr>
                  <w:tcW w:w="501" w:type="pct"/>
                  <w:gridSpan w:val="2"/>
                  <w:vAlign w:val="center"/>
                </w:tcPr>
                <w:p w:rsidR="00C73598" w:rsidRPr="00C73598" w:rsidRDefault="00080F6D" w:rsidP="00C73598">
                  <w:pPr>
                    <w:pStyle w:val="TableBodyText"/>
                  </w:pPr>
                  <w:r>
                    <w:t xml:space="preserve"> </w:t>
                  </w:r>
                  <w:r w:rsidR="00C73598" w:rsidRPr="00C73598">
                    <w:t>27.2</w:t>
                  </w:r>
                </w:p>
              </w:tc>
              <w:tc>
                <w:tcPr>
                  <w:tcW w:w="501" w:type="pct"/>
                  <w:gridSpan w:val="2"/>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C73598" w:rsidP="00C73598">
                  <w:pPr>
                    <w:pStyle w:val="TableBodyText"/>
                  </w:pPr>
                  <w:r w:rsidRPr="00C73598">
                    <w:t>na</w:t>
                  </w:r>
                </w:p>
              </w:tc>
            </w:tr>
            <w:tr w:rsidR="00C73598" w:rsidTr="00045496">
              <w:tc>
                <w:tcPr>
                  <w:tcW w:w="5000" w:type="pct"/>
                  <w:gridSpan w:val="18"/>
                </w:tcPr>
                <w:p w:rsidR="00C73598" w:rsidRDefault="00C73598" w:rsidP="00C73598">
                  <w:pPr>
                    <w:pStyle w:val="Source"/>
                    <w:spacing w:before="0" w:after="80"/>
                    <w:ind w:left="113"/>
                  </w:pPr>
                  <w:r w:rsidRPr="00253B66">
                    <w:rPr>
                      <w:i/>
                    </w:rPr>
                    <w:t>Source</w:t>
                  </w:r>
                  <w:r w:rsidRPr="00080F6D">
                    <w:t>:</w:t>
                  </w:r>
                  <w:r w:rsidRPr="0046068B">
                    <w:rPr>
                      <w:i/>
                    </w:rPr>
                    <w:t xml:space="preserve"> </w:t>
                  </w:r>
                  <w:r>
                    <w:t xml:space="preserve">Attachment table </w:t>
                  </w:r>
                  <w:proofErr w:type="spellStart"/>
                  <w:r>
                    <w:t>17A.28</w:t>
                  </w:r>
                  <w:proofErr w:type="spellEnd"/>
                  <w:r>
                    <w:t>–29</w:t>
                  </w:r>
                  <w:r w:rsidR="00C9055F">
                    <w:t>.</w:t>
                  </w:r>
                </w:p>
              </w:tc>
            </w:tr>
            <w:tr w:rsidR="00C73598" w:rsidTr="00933B54">
              <w:tc>
                <w:tcPr>
                  <w:tcW w:w="5000" w:type="pct"/>
                  <w:gridSpan w:val="18"/>
                  <w:shd w:val="clear" w:color="auto" w:fill="auto"/>
                </w:tcPr>
                <w:p w:rsidR="00C73598" w:rsidRPr="00922F3B" w:rsidRDefault="00C73598" w:rsidP="00045496">
                  <w:pPr>
                    <w:pStyle w:val="DQIRowHeadings"/>
                  </w:pPr>
                  <w:r>
                    <w:t>Rent collection rate</w:t>
                  </w:r>
                </w:p>
              </w:tc>
            </w:tr>
            <w:tr w:rsidR="00C73598" w:rsidTr="00933B54">
              <w:tc>
                <w:tcPr>
                  <w:tcW w:w="5000" w:type="pct"/>
                  <w:gridSpan w:val="18"/>
                </w:tcPr>
                <w:p w:rsidR="00C73598" w:rsidRDefault="00C73598" w:rsidP="00C73598">
                  <w:pPr>
                    <w:pStyle w:val="TableBodyText"/>
                    <w:ind w:left="113" w:right="28"/>
                    <w:jc w:val="left"/>
                  </w:pPr>
                  <w:r>
                    <w:t>Rent collection rate, 2014</w:t>
                  </w:r>
                  <w:r w:rsidR="00080F6D">
                    <w:noBreakHyphen/>
                  </w:r>
                  <w:r>
                    <w:t>15 (</w:t>
                  </w:r>
                  <w:r w:rsidR="00E70B6A">
                    <w:t xml:space="preserve">CH and </w:t>
                  </w:r>
                  <w:proofErr w:type="spellStart"/>
                  <w:r>
                    <w:t>ICH</w:t>
                  </w:r>
                  <w:proofErr w:type="spellEnd"/>
                  <w:r>
                    <w:t xml:space="preserve"> = 2013</w:t>
                  </w:r>
                  <w:r w:rsidR="00080F6D">
                    <w:noBreakHyphen/>
                  </w:r>
                  <w:r>
                    <w:t>14) (%)</w:t>
                  </w:r>
                </w:p>
              </w:tc>
            </w:tr>
            <w:tr w:rsidR="00C73598" w:rsidTr="00045496">
              <w:tc>
                <w:tcPr>
                  <w:tcW w:w="5000" w:type="pct"/>
                  <w:gridSpan w:val="18"/>
                  <w:shd w:val="clear" w:color="auto" w:fill="auto"/>
                </w:tcPr>
                <w:p w:rsidR="00C73598" w:rsidRDefault="00C73598"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C73598" w:rsidTr="00917D1B">
              <w:tc>
                <w:tcPr>
                  <w:tcW w:w="571" w:type="pct"/>
                </w:tcPr>
                <w:p w:rsidR="00C73598" w:rsidRDefault="00C73598" w:rsidP="00917D1B">
                  <w:pPr>
                    <w:pStyle w:val="TableBodyText"/>
                    <w:ind w:left="227" w:right="0"/>
                    <w:jc w:val="left"/>
                  </w:pPr>
                  <w:r>
                    <w:t>PH</w:t>
                  </w:r>
                </w:p>
              </w:tc>
              <w:tc>
                <w:tcPr>
                  <w:tcW w:w="431" w:type="pct"/>
                  <w:vAlign w:val="center"/>
                </w:tcPr>
                <w:p w:rsidR="00C73598" w:rsidRPr="00C73598" w:rsidRDefault="00080F6D" w:rsidP="00C73598">
                  <w:pPr>
                    <w:pStyle w:val="TableBodyText"/>
                  </w:pPr>
                  <w:r>
                    <w:t xml:space="preserve"> </w:t>
                  </w:r>
                  <w:r w:rsidR="00C73598" w:rsidRPr="00C73598">
                    <w:t>99.5</w:t>
                  </w:r>
                </w:p>
              </w:tc>
              <w:tc>
                <w:tcPr>
                  <w:tcW w:w="501" w:type="pct"/>
                  <w:gridSpan w:val="2"/>
                  <w:vAlign w:val="center"/>
                </w:tcPr>
                <w:p w:rsidR="00C73598" w:rsidRPr="00C73598" w:rsidRDefault="00080F6D" w:rsidP="00C73598">
                  <w:pPr>
                    <w:pStyle w:val="TableBodyText"/>
                  </w:pPr>
                  <w:r>
                    <w:t xml:space="preserve"> </w:t>
                  </w:r>
                  <w:r w:rsidR="00C73598" w:rsidRPr="00C73598">
                    <w:t>98.8</w:t>
                  </w:r>
                </w:p>
              </w:tc>
              <w:tc>
                <w:tcPr>
                  <w:tcW w:w="501" w:type="pct"/>
                  <w:gridSpan w:val="2"/>
                  <w:vAlign w:val="center"/>
                </w:tcPr>
                <w:p w:rsidR="00C73598" w:rsidRPr="00C73598" w:rsidRDefault="00080F6D" w:rsidP="00C73598">
                  <w:pPr>
                    <w:pStyle w:val="TableBodyText"/>
                  </w:pPr>
                  <w:r>
                    <w:t xml:space="preserve"> </w:t>
                  </w:r>
                  <w:r w:rsidR="00C73598" w:rsidRPr="00C73598">
                    <w:t>100.2</w:t>
                  </w:r>
                </w:p>
              </w:tc>
              <w:tc>
                <w:tcPr>
                  <w:tcW w:w="501" w:type="pct"/>
                  <w:gridSpan w:val="2"/>
                  <w:vAlign w:val="center"/>
                </w:tcPr>
                <w:p w:rsidR="00C73598" w:rsidRPr="00C73598" w:rsidRDefault="00080F6D" w:rsidP="00C73598">
                  <w:pPr>
                    <w:pStyle w:val="TableBodyText"/>
                  </w:pPr>
                  <w:r>
                    <w:t xml:space="preserve"> </w:t>
                  </w:r>
                  <w:r w:rsidR="00C73598" w:rsidRPr="00C73598">
                    <w:t>100.0</w:t>
                  </w:r>
                </w:p>
              </w:tc>
              <w:tc>
                <w:tcPr>
                  <w:tcW w:w="501" w:type="pct"/>
                  <w:gridSpan w:val="2"/>
                  <w:vAlign w:val="center"/>
                </w:tcPr>
                <w:p w:rsidR="00C73598" w:rsidRPr="00C73598" w:rsidRDefault="00080F6D" w:rsidP="00C73598">
                  <w:pPr>
                    <w:pStyle w:val="TableBodyText"/>
                  </w:pPr>
                  <w:r>
                    <w:t xml:space="preserve"> </w:t>
                  </w:r>
                  <w:r w:rsidR="00C73598" w:rsidRPr="00C73598">
                    <w:t>99.8</w:t>
                  </w:r>
                </w:p>
              </w:tc>
              <w:tc>
                <w:tcPr>
                  <w:tcW w:w="501" w:type="pct"/>
                  <w:gridSpan w:val="2"/>
                  <w:vAlign w:val="center"/>
                </w:tcPr>
                <w:p w:rsidR="00C73598" w:rsidRPr="00C73598" w:rsidRDefault="00080F6D" w:rsidP="00C73598">
                  <w:pPr>
                    <w:pStyle w:val="TableBodyText"/>
                  </w:pPr>
                  <w:r>
                    <w:t xml:space="preserve"> </w:t>
                  </w:r>
                  <w:r w:rsidR="00C73598" w:rsidRPr="00C73598">
                    <w:t>98.5</w:t>
                  </w:r>
                </w:p>
              </w:tc>
              <w:tc>
                <w:tcPr>
                  <w:tcW w:w="501" w:type="pct"/>
                  <w:gridSpan w:val="2"/>
                  <w:vAlign w:val="center"/>
                </w:tcPr>
                <w:p w:rsidR="00C73598" w:rsidRPr="00C73598" w:rsidRDefault="00080F6D" w:rsidP="00C73598">
                  <w:pPr>
                    <w:pStyle w:val="TableBodyText"/>
                  </w:pPr>
                  <w:r>
                    <w:t xml:space="preserve"> </w:t>
                  </w:r>
                  <w:r w:rsidR="00C73598" w:rsidRPr="00C73598">
                    <w:t>99.3</w:t>
                  </w:r>
                </w:p>
              </w:tc>
              <w:tc>
                <w:tcPr>
                  <w:tcW w:w="496" w:type="pct"/>
                  <w:gridSpan w:val="2"/>
                  <w:vAlign w:val="center"/>
                </w:tcPr>
                <w:p w:rsidR="00C73598" w:rsidRPr="00C73598" w:rsidRDefault="00080F6D" w:rsidP="00C73598">
                  <w:pPr>
                    <w:pStyle w:val="TableBodyText"/>
                  </w:pPr>
                  <w:r>
                    <w:t xml:space="preserve"> </w:t>
                  </w:r>
                  <w:r w:rsidR="00C73598" w:rsidRPr="00C73598">
                    <w:t>98.5</w:t>
                  </w:r>
                </w:p>
              </w:tc>
              <w:tc>
                <w:tcPr>
                  <w:tcW w:w="496" w:type="pct"/>
                  <w:gridSpan w:val="2"/>
                  <w:vAlign w:val="center"/>
                </w:tcPr>
                <w:p w:rsidR="00C73598" w:rsidRPr="00C73598" w:rsidRDefault="00080F6D" w:rsidP="00C73598">
                  <w:pPr>
                    <w:pStyle w:val="TableBodyText"/>
                  </w:pPr>
                  <w:r>
                    <w:t xml:space="preserve"> </w:t>
                  </w:r>
                  <w:r w:rsidR="00C73598" w:rsidRPr="00C73598">
                    <w:t>99.5</w:t>
                  </w:r>
                </w:p>
              </w:tc>
            </w:tr>
            <w:tr w:rsidR="00C73598" w:rsidTr="00917D1B">
              <w:tc>
                <w:tcPr>
                  <w:tcW w:w="571" w:type="pct"/>
                </w:tcPr>
                <w:p w:rsidR="00C73598" w:rsidRDefault="00C73598" w:rsidP="00917D1B">
                  <w:pPr>
                    <w:pStyle w:val="TableBodyText"/>
                    <w:ind w:left="227" w:right="0"/>
                    <w:jc w:val="left"/>
                  </w:pPr>
                  <w:r>
                    <w:t>SOMIH</w:t>
                  </w:r>
                </w:p>
              </w:tc>
              <w:tc>
                <w:tcPr>
                  <w:tcW w:w="431" w:type="pct"/>
                  <w:vAlign w:val="center"/>
                </w:tcPr>
                <w:p w:rsidR="00C73598" w:rsidRPr="00C73598" w:rsidRDefault="00080F6D" w:rsidP="00C73598">
                  <w:pPr>
                    <w:pStyle w:val="TableBodyText"/>
                  </w:pPr>
                  <w:r>
                    <w:t xml:space="preserve"> </w:t>
                  </w:r>
                  <w:r w:rsidR="00C73598" w:rsidRPr="00C73598">
                    <w:t>94.0</w:t>
                  </w:r>
                </w:p>
              </w:tc>
              <w:tc>
                <w:tcPr>
                  <w:tcW w:w="501" w:type="pct"/>
                  <w:gridSpan w:val="2"/>
                  <w:vAlign w:val="center"/>
                </w:tcPr>
                <w:p w:rsidR="00C73598" w:rsidRPr="00C73598" w:rsidRDefault="00C73598" w:rsidP="00C73598">
                  <w:pPr>
                    <w:pStyle w:val="TableBodyText"/>
                  </w:pPr>
                  <w:r w:rsidRPr="00C73598">
                    <w:t>..</w:t>
                  </w:r>
                </w:p>
              </w:tc>
              <w:tc>
                <w:tcPr>
                  <w:tcW w:w="501" w:type="pct"/>
                  <w:gridSpan w:val="2"/>
                  <w:vAlign w:val="center"/>
                </w:tcPr>
                <w:p w:rsidR="00C73598" w:rsidRPr="00C73598" w:rsidRDefault="00080F6D" w:rsidP="00C73598">
                  <w:pPr>
                    <w:pStyle w:val="TableBodyText"/>
                  </w:pPr>
                  <w:r>
                    <w:t xml:space="preserve"> </w:t>
                  </w:r>
                  <w:r w:rsidR="00C73598" w:rsidRPr="00C73598">
                    <w:t>100.3</w:t>
                  </w:r>
                </w:p>
              </w:tc>
              <w:tc>
                <w:tcPr>
                  <w:tcW w:w="501" w:type="pct"/>
                  <w:gridSpan w:val="2"/>
                  <w:vAlign w:val="center"/>
                </w:tcPr>
                <w:p w:rsidR="00C73598" w:rsidRPr="00C73598" w:rsidRDefault="00C73598" w:rsidP="00C73598">
                  <w:pPr>
                    <w:pStyle w:val="TableBodyText"/>
                  </w:pPr>
                  <w:r w:rsidRPr="00C73598">
                    <w:t>..</w:t>
                  </w:r>
                </w:p>
              </w:tc>
              <w:tc>
                <w:tcPr>
                  <w:tcW w:w="501" w:type="pct"/>
                  <w:gridSpan w:val="2"/>
                  <w:vAlign w:val="center"/>
                </w:tcPr>
                <w:p w:rsidR="00C73598" w:rsidRPr="00C73598" w:rsidRDefault="00080F6D" w:rsidP="00C73598">
                  <w:pPr>
                    <w:pStyle w:val="TableBodyText"/>
                  </w:pPr>
                  <w:r>
                    <w:t xml:space="preserve"> </w:t>
                  </w:r>
                  <w:r w:rsidR="00C73598" w:rsidRPr="00C73598">
                    <w:t>97.4</w:t>
                  </w:r>
                </w:p>
              </w:tc>
              <w:tc>
                <w:tcPr>
                  <w:tcW w:w="501" w:type="pct"/>
                  <w:gridSpan w:val="2"/>
                  <w:vAlign w:val="center"/>
                </w:tcPr>
                <w:p w:rsidR="00C73598" w:rsidRPr="00C73598" w:rsidRDefault="00080F6D" w:rsidP="00C73598">
                  <w:pPr>
                    <w:pStyle w:val="TableBodyText"/>
                  </w:pPr>
                  <w:r>
                    <w:t xml:space="preserve"> </w:t>
                  </w:r>
                  <w:r w:rsidR="00C73598" w:rsidRPr="00C73598">
                    <w:t>98.4</w:t>
                  </w:r>
                </w:p>
              </w:tc>
              <w:tc>
                <w:tcPr>
                  <w:tcW w:w="501" w:type="pct"/>
                  <w:gridSpan w:val="2"/>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080F6D" w:rsidP="00C73598">
                  <w:pPr>
                    <w:pStyle w:val="TableBodyText"/>
                  </w:pPr>
                  <w:r>
                    <w:t xml:space="preserve"> </w:t>
                  </w:r>
                  <w:r w:rsidR="00C73598" w:rsidRPr="00C73598">
                    <w:t>96.3</w:t>
                  </w:r>
                </w:p>
              </w:tc>
            </w:tr>
            <w:tr w:rsidR="00C73598" w:rsidTr="00917D1B">
              <w:tc>
                <w:tcPr>
                  <w:tcW w:w="571" w:type="pct"/>
                </w:tcPr>
                <w:p w:rsidR="00C73598" w:rsidRDefault="00C73598" w:rsidP="00917D1B">
                  <w:pPr>
                    <w:pStyle w:val="TableBodyText"/>
                    <w:ind w:left="227" w:right="0"/>
                    <w:jc w:val="left"/>
                  </w:pPr>
                  <w:r>
                    <w:t>CH</w:t>
                  </w:r>
                </w:p>
              </w:tc>
              <w:tc>
                <w:tcPr>
                  <w:tcW w:w="431" w:type="pct"/>
                  <w:vAlign w:val="center"/>
                </w:tcPr>
                <w:p w:rsidR="00C73598" w:rsidRPr="00C73598" w:rsidRDefault="00080F6D" w:rsidP="00C73598">
                  <w:pPr>
                    <w:pStyle w:val="TableBodyText"/>
                  </w:pPr>
                  <w:r>
                    <w:t xml:space="preserve"> </w:t>
                  </w:r>
                  <w:r w:rsidR="00C73598" w:rsidRPr="00C73598">
                    <w:t>97.7</w:t>
                  </w:r>
                </w:p>
              </w:tc>
              <w:tc>
                <w:tcPr>
                  <w:tcW w:w="501" w:type="pct"/>
                  <w:gridSpan w:val="2"/>
                  <w:vAlign w:val="center"/>
                </w:tcPr>
                <w:p w:rsidR="00C73598" w:rsidRPr="00C73598" w:rsidRDefault="00080F6D" w:rsidP="00C73598">
                  <w:pPr>
                    <w:pStyle w:val="TableBodyText"/>
                  </w:pPr>
                  <w:r>
                    <w:t xml:space="preserve"> </w:t>
                  </w:r>
                  <w:r w:rsidR="00C73598" w:rsidRPr="00C73598">
                    <w:t>100.4</w:t>
                  </w:r>
                </w:p>
              </w:tc>
              <w:tc>
                <w:tcPr>
                  <w:tcW w:w="501" w:type="pct"/>
                  <w:gridSpan w:val="2"/>
                  <w:vAlign w:val="center"/>
                </w:tcPr>
                <w:p w:rsidR="00C73598" w:rsidRPr="00C73598" w:rsidRDefault="00080F6D" w:rsidP="00C73598">
                  <w:pPr>
                    <w:pStyle w:val="TableBodyText"/>
                  </w:pPr>
                  <w:r>
                    <w:t xml:space="preserve"> </w:t>
                  </w:r>
                  <w:r w:rsidR="00C73598" w:rsidRPr="00C73598">
                    <w:t>99.9</w:t>
                  </w:r>
                </w:p>
              </w:tc>
              <w:tc>
                <w:tcPr>
                  <w:tcW w:w="501" w:type="pct"/>
                  <w:gridSpan w:val="2"/>
                  <w:vAlign w:val="center"/>
                </w:tcPr>
                <w:p w:rsidR="00C73598" w:rsidRPr="00C73598" w:rsidRDefault="00080F6D" w:rsidP="00C73598">
                  <w:pPr>
                    <w:pStyle w:val="TableBodyText"/>
                  </w:pPr>
                  <w:r>
                    <w:t xml:space="preserve"> </w:t>
                  </w:r>
                  <w:r w:rsidR="00C73598" w:rsidRPr="00C73598">
                    <w:t>99.9</w:t>
                  </w:r>
                </w:p>
              </w:tc>
              <w:tc>
                <w:tcPr>
                  <w:tcW w:w="501" w:type="pct"/>
                  <w:gridSpan w:val="2"/>
                  <w:vAlign w:val="center"/>
                </w:tcPr>
                <w:p w:rsidR="00C73598" w:rsidRPr="00C73598" w:rsidRDefault="00080F6D" w:rsidP="00C73598">
                  <w:pPr>
                    <w:pStyle w:val="TableBodyText"/>
                  </w:pPr>
                  <w:r>
                    <w:t xml:space="preserve"> </w:t>
                  </w:r>
                  <w:r w:rsidR="00C73598" w:rsidRPr="00C73598">
                    <w:t>99.6</w:t>
                  </w:r>
                </w:p>
              </w:tc>
              <w:tc>
                <w:tcPr>
                  <w:tcW w:w="501" w:type="pct"/>
                  <w:gridSpan w:val="2"/>
                  <w:vAlign w:val="center"/>
                </w:tcPr>
                <w:p w:rsidR="00C73598" w:rsidRPr="00C73598" w:rsidRDefault="00080F6D" w:rsidP="00C73598">
                  <w:pPr>
                    <w:pStyle w:val="TableBodyText"/>
                  </w:pPr>
                  <w:r>
                    <w:t xml:space="preserve"> </w:t>
                  </w:r>
                  <w:r w:rsidR="00C73598" w:rsidRPr="00C73598">
                    <w:t>109.0</w:t>
                  </w:r>
                </w:p>
              </w:tc>
              <w:tc>
                <w:tcPr>
                  <w:tcW w:w="501" w:type="pct"/>
                  <w:gridSpan w:val="2"/>
                  <w:vAlign w:val="center"/>
                </w:tcPr>
                <w:p w:rsidR="00C73598" w:rsidRPr="00C73598" w:rsidRDefault="00080F6D" w:rsidP="00C73598">
                  <w:pPr>
                    <w:pStyle w:val="TableBodyText"/>
                  </w:pPr>
                  <w:r>
                    <w:t xml:space="preserve"> </w:t>
                  </w:r>
                  <w:r w:rsidR="00C73598" w:rsidRPr="00C73598">
                    <w:t>98.7</w:t>
                  </w:r>
                </w:p>
              </w:tc>
              <w:tc>
                <w:tcPr>
                  <w:tcW w:w="496" w:type="pct"/>
                  <w:gridSpan w:val="2"/>
                  <w:vAlign w:val="center"/>
                </w:tcPr>
                <w:p w:rsidR="00C73598" w:rsidRPr="00C73598" w:rsidRDefault="00C73598" w:rsidP="00C73598">
                  <w:pPr>
                    <w:pStyle w:val="TableBodyText"/>
                  </w:pPr>
                  <w:r w:rsidRPr="00C73598">
                    <w:t>na</w:t>
                  </w:r>
                </w:p>
              </w:tc>
              <w:tc>
                <w:tcPr>
                  <w:tcW w:w="496" w:type="pct"/>
                  <w:gridSpan w:val="2"/>
                  <w:vAlign w:val="center"/>
                </w:tcPr>
                <w:p w:rsidR="00C73598" w:rsidRPr="00C73598" w:rsidRDefault="00080F6D" w:rsidP="00C73598">
                  <w:pPr>
                    <w:pStyle w:val="TableBodyText"/>
                  </w:pPr>
                  <w:r>
                    <w:t xml:space="preserve"> </w:t>
                  </w:r>
                  <w:r w:rsidR="00C73598" w:rsidRPr="00C73598">
                    <w:t>99.2</w:t>
                  </w:r>
                </w:p>
              </w:tc>
            </w:tr>
            <w:tr w:rsidR="00C73598" w:rsidTr="00917D1B">
              <w:tc>
                <w:tcPr>
                  <w:tcW w:w="571" w:type="pct"/>
                  <w:shd w:val="clear" w:color="auto" w:fill="auto"/>
                </w:tcPr>
                <w:p w:rsidR="00C73598" w:rsidRDefault="00C73598" w:rsidP="00917D1B">
                  <w:pPr>
                    <w:pStyle w:val="TableBodyText"/>
                    <w:ind w:left="227" w:right="0"/>
                    <w:jc w:val="left"/>
                  </w:pPr>
                  <w:proofErr w:type="spellStart"/>
                  <w:r>
                    <w:t>ICH</w:t>
                  </w:r>
                  <w:proofErr w:type="spellEnd"/>
                </w:p>
              </w:tc>
              <w:tc>
                <w:tcPr>
                  <w:tcW w:w="431" w:type="pct"/>
                  <w:vAlign w:val="center"/>
                </w:tcPr>
                <w:p w:rsidR="00C73598" w:rsidRPr="00C73598" w:rsidRDefault="00080F6D" w:rsidP="00C73598">
                  <w:pPr>
                    <w:pStyle w:val="TableBodyText"/>
                  </w:pPr>
                  <w:r>
                    <w:t xml:space="preserve"> </w:t>
                  </w:r>
                  <w:r w:rsidR="00C73598" w:rsidRPr="00C73598">
                    <w:t>92.5</w:t>
                  </w:r>
                </w:p>
              </w:tc>
              <w:tc>
                <w:tcPr>
                  <w:tcW w:w="501" w:type="pct"/>
                  <w:gridSpan w:val="2"/>
                  <w:vAlign w:val="center"/>
                </w:tcPr>
                <w:p w:rsidR="00C73598" w:rsidRPr="00C73598" w:rsidRDefault="00080F6D" w:rsidP="00C73598">
                  <w:pPr>
                    <w:pStyle w:val="TableBodyText"/>
                  </w:pPr>
                  <w:r>
                    <w:t xml:space="preserve"> </w:t>
                  </w:r>
                  <w:r w:rsidR="00C73598" w:rsidRPr="00C73598">
                    <w:t>100.1</w:t>
                  </w:r>
                </w:p>
              </w:tc>
              <w:tc>
                <w:tcPr>
                  <w:tcW w:w="501" w:type="pct"/>
                  <w:gridSpan w:val="2"/>
                  <w:vAlign w:val="center"/>
                </w:tcPr>
                <w:p w:rsidR="00C73598" w:rsidRPr="00C73598" w:rsidRDefault="00080F6D" w:rsidP="00C73598">
                  <w:pPr>
                    <w:pStyle w:val="TableBodyText"/>
                  </w:pPr>
                  <w:r>
                    <w:t xml:space="preserve"> </w:t>
                  </w:r>
                  <w:r w:rsidR="00C73598" w:rsidRPr="00C73598">
                    <w:t>82.1</w:t>
                  </w:r>
                </w:p>
              </w:tc>
              <w:tc>
                <w:tcPr>
                  <w:tcW w:w="501" w:type="pct"/>
                  <w:gridSpan w:val="2"/>
                  <w:vAlign w:val="center"/>
                </w:tcPr>
                <w:p w:rsidR="00C73598" w:rsidRPr="00C73598" w:rsidRDefault="00080F6D" w:rsidP="00C73598">
                  <w:pPr>
                    <w:pStyle w:val="TableBodyText"/>
                  </w:pPr>
                  <w:r>
                    <w:t xml:space="preserve"> </w:t>
                  </w:r>
                  <w:r w:rsidR="00C73598" w:rsidRPr="00C73598">
                    <w:t>89.7</w:t>
                  </w:r>
                </w:p>
              </w:tc>
              <w:tc>
                <w:tcPr>
                  <w:tcW w:w="501" w:type="pct"/>
                  <w:gridSpan w:val="2"/>
                  <w:vAlign w:val="center"/>
                </w:tcPr>
                <w:p w:rsidR="00C73598" w:rsidRPr="00C73598" w:rsidRDefault="00C73598" w:rsidP="00C73598">
                  <w:pPr>
                    <w:pStyle w:val="TableBodyText"/>
                  </w:pPr>
                  <w:r w:rsidRPr="00C73598">
                    <w:t>na</w:t>
                  </w:r>
                </w:p>
              </w:tc>
              <w:tc>
                <w:tcPr>
                  <w:tcW w:w="501" w:type="pct"/>
                  <w:gridSpan w:val="2"/>
                  <w:vAlign w:val="center"/>
                </w:tcPr>
                <w:p w:rsidR="00C73598" w:rsidRPr="00C73598" w:rsidRDefault="00080F6D" w:rsidP="00C73598">
                  <w:pPr>
                    <w:pStyle w:val="TableBodyText"/>
                  </w:pPr>
                  <w:r>
                    <w:t xml:space="preserve"> </w:t>
                  </w:r>
                  <w:r w:rsidR="00C73598" w:rsidRPr="00C73598">
                    <w:t>99.5</w:t>
                  </w:r>
                </w:p>
              </w:tc>
              <w:tc>
                <w:tcPr>
                  <w:tcW w:w="501" w:type="pct"/>
                  <w:gridSpan w:val="2"/>
                  <w:shd w:val="clear" w:color="auto" w:fill="auto"/>
                  <w:vAlign w:val="center"/>
                </w:tcPr>
                <w:p w:rsidR="00C73598" w:rsidRPr="00C73598" w:rsidRDefault="00C73598" w:rsidP="00C73598">
                  <w:pPr>
                    <w:pStyle w:val="TableBodyText"/>
                  </w:pPr>
                  <w:r w:rsidRPr="00C73598">
                    <w:t>..</w:t>
                  </w:r>
                </w:p>
              </w:tc>
              <w:tc>
                <w:tcPr>
                  <w:tcW w:w="496" w:type="pct"/>
                  <w:gridSpan w:val="2"/>
                  <w:vAlign w:val="center"/>
                </w:tcPr>
                <w:p w:rsidR="00C73598" w:rsidRPr="00C73598" w:rsidRDefault="00C73598" w:rsidP="00C73598">
                  <w:pPr>
                    <w:pStyle w:val="TableBodyText"/>
                  </w:pPr>
                  <w:r w:rsidRPr="00C73598">
                    <w:t>na</w:t>
                  </w:r>
                </w:p>
              </w:tc>
              <w:tc>
                <w:tcPr>
                  <w:tcW w:w="496" w:type="pct"/>
                  <w:gridSpan w:val="2"/>
                  <w:shd w:val="clear" w:color="auto" w:fill="auto"/>
                  <w:vAlign w:val="center"/>
                </w:tcPr>
                <w:p w:rsidR="00C73598" w:rsidRPr="00C73598" w:rsidRDefault="002E6124" w:rsidP="00C73598">
                  <w:pPr>
                    <w:pStyle w:val="TableBodyText"/>
                  </w:pPr>
                  <w:r>
                    <w:t>89.9</w:t>
                  </w:r>
                </w:p>
              </w:tc>
            </w:tr>
            <w:tr w:rsidR="00514B47" w:rsidTr="00637E3E">
              <w:tc>
                <w:tcPr>
                  <w:tcW w:w="5000" w:type="pct"/>
                  <w:gridSpan w:val="18"/>
                </w:tcPr>
                <w:p w:rsidR="00514B47" w:rsidRDefault="00514B47" w:rsidP="00C73598">
                  <w:pPr>
                    <w:pStyle w:val="Source"/>
                    <w:spacing w:before="0" w:after="80"/>
                    <w:ind w:left="113"/>
                  </w:pPr>
                  <w:r w:rsidRPr="00253B66">
                    <w:rPr>
                      <w:i/>
                    </w:rPr>
                    <w:t>Source</w:t>
                  </w:r>
                  <w:r w:rsidRPr="00080F6D">
                    <w:t>:</w:t>
                  </w:r>
                  <w:r w:rsidRPr="0046068B">
                    <w:rPr>
                      <w:i/>
                    </w:rPr>
                    <w:t xml:space="preserve"> </w:t>
                  </w:r>
                  <w:r w:rsidR="00C73598">
                    <w:t xml:space="preserve">Attachment table </w:t>
                  </w:r>
                  <w:proofErr w:type="spellStart"/>
                  <w:r w:rsidR="00C73598">
                    <w:t>17A.30</w:t>
                  </w:r>
                  <w:proofErr w:type="spellEnd"/>
                  <w:r w:rsidR="00C73598">
                    <w:t>–33</w:t>
                  </w:r>
                  <w:r w:rsidR="00C9055F">
                    <w:t>.</w:t>
                  </w:r>
                </w:p>
              </w:tc>
            </w:tr>
            <w:tr w:rsidR="00514B47" w:rsidTr="00637E3E">
              <w:tc>
                <w:tcPr>
                  <w:tcW w:w="5000" w:type="pct"/>
                  <w:gridSpan w:val="18"/>
                </w:tcPr>
                <w:p w:rsidR="00514B47" w:rsidRDefault="00370C30" w:rsidP="00637E3E">
                  <w:pPr>
                    <w:pStyle w:val="DQIMainRowHeadings"/>
                  </w:pPr>
                  <w:r>
                    <w:t>Outcome</w:t>
                  </w:r>
                  <w:r w:rsidR="00514B47">
                    <w:t xml:space="preserve"> indicators</w:t>
                  </w:r>
                </w:p>
              </w:tc>
            </w:tr>
            <w:tr w:rsidR="00514B47" w:rsidTr="00637E3E">
              <w:tc>
                <w:tcPr>
                  <w:tcW w:w="5000" w:type="pct"/>
                  <w:gridSpan w:val="18"/>
                </w:tcPr>
                <w:p w:rsidR="00514B47" w:rsidRDefault="00370C30" w:rsidP="00637E3E">
                  <w:pPr>
                    <w:pStyle w:val="DQIRowHeadings"/>
                  </w:pPr>
                  <w:r w:rsidRPr="00370C30">
                    <w:t>Amenity/location</w:t>
                  </w:r>
                </w:p>
              </w:tc>
            </w:tr>
            <w:tr w:rsidR="00514B47" w:rsidTr="00637E3E">
              <w:tc>
                <w:tcPr>
                  <w:tcW w:w="5000" w:type="pct"/>
                  <w:gridSpan w:val="18"/>
                </w:tcPr>
                <w:tbl>
                  <w:tblPr>
                    <w:tblW w:w="5000" w:type="pct"/>
                    <w:tblCellMar>
                      <w:top w:w="28" w:type="dxa"/>
                      <w:left w:w="0" w:type="dxa"/>
                      <w:right w:w="0" w:type="dxa"/>
                    </w:tblCellMar>
                    <w:tblLook w:val="0000" w:firstRow="0" w:lastRow="0" w:firstColumn="0" w:lastColumn="0" w:noHBand="0" w:noVBand="0"/>
                  </w:tblPr>
                  <w:tblGrid>
                    <w:gridCol w:w="8487"/>
                  </w:tblGrid>
                  <w:tr w:rsidR="00045496" w:rsidTr="00045496">
                    <w:tc>
                      <w:tcPr>
                        <w:tcW w:w="5000" w:type="pct"/>
                        <w:shd w:val="clear" w:color="auto" w:fill="auto"/>
                      </w:tcPr>
                      <w:p w:rsidR="00045496" w:rsidRDefault="00045496"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bl>
                <w:p w:rsidR="00514B47" w:rsidRDefault="00370C30" w:rsidP="00637E3E">
                  <w:pPr>
                    <w:pStyle w:val="TableBodyText"/>
                    <w:ind w:left="113" w:right="28"/>
                    <w:jc w:val="left"/>
                  </w:pPr>
                  <w:r w:rsidRPr="00F772E2">
                    <w:t>Amenity important and meeting needs</w:t>
                  </w:r>
                  <w:r w:rsidR="00045496">
                    <w:t>, 2014</w:t>
                  </w:r>
                  <w:r w:rsidRPr="00F772E2">
                    <w:t xml:space="preserve"> (%)</w:t>
                  </w:r>
                </w:p>
              </w:tc>
            </w:tr>
            <w:tr w:rsidR="00045496" w:rsidTr="00917D1B">
              <w:tc>
                <w:tcPr>
                  <w:tcW w:w="571" w:type="pct"/>
                </w:tcPr>
                <w:p w:rsidR="00045496" w:rsidRDefault="00045496" w:rsidP="00917D1B">
                  <w:pPr>
                    <w:pStyle w:val="TableBodyText"/>
                    <w:ind w:left="227" w:right="0"/>
                    <w:jc w:val="left"/>
                  </w:pPr>
                  <w:r>
                    <w:t>PH</w:t>
                  </w:r>
                </w:p>
              </w:tc>
              <w:tc>
                <w:tcPr>
                  <w:tcW w:w="431" w:type="pct"/>
                  <w:vAlign w:val="center"/>
                </w:tcPr>
                <w:p w:rsidR="00045496" w:rsidRPr="00045496" w:rsidRDefault="00080F6D" w:rsidP="00045496">
                  <w:pPr>
                    <w:pStyle w:val="TableBodyText"/>
                  </w:pPr>
                  <w:r>
                    <w:t xml:space="preserve"> </w:t>
                  </w:r>
                  <w:r w:rsidR="00045496" w:rsidRPr="00045496">
                    <w:t>80.8</w:t>
                  </w:r>
                </w:p>
              </w:tc>
              <w:tc>
                <w:tcPr>
                  <w:tcW w:w="501" w:type="pct"/>
                  <w:gridSpan w:val="2"/>
                  <w:vAlign w:val="center"/>
                </w:tcPr>
                <w:p w:rsidR="00045496" w:rsidRPr="00045496" w:rsidRDefault="00080F6D" w:rsidP="00045496">
                  <w:pPr>
                    <w:pStyle w:val="TableBodyText"/>
                  </w:pPr>
                  <w:r>
                    <w:t xml:space="preserve"> </w:t>
                  </w:r>
                  <w:r w:rsidR="00045496" w:rsidRPr="00045496">
                    <w:t>81.8</w:t>
                  </w:r>
                </w:p>
              </w:tc>
              <w:tc>
                <w:tcPr>
                  <w:tcW w:w="501" w:type="pct"/>
                  <w:gridSpan w:val="2"/>
                  <w:vAlign w:val="center"/>
                </w:tcPr>
                <w:p w:rsidR="00045496" w:rsidRPr="00045496" w:rsidRDefault="00080F6D" w:rsidP="00045496">
                  <w:pPr>
                    <w:pStyle w:val="TableBodyText"/>
                  </w:pPr>
                  <w:r>
                    <w:t xml:space="preserve"> </w:t>
                  </w:r>
                  <w:r w:rsidR="00045496" w:rsidRPr="00045496">
                    <w:t>87.1</w:t>
                  </w:r>
                </w:p>
              </w:tc>
              <w:tc>
                <w:tcPr>
                  <w:tcW w:w="501" w:type="pct"/>
                  <w:gridSpan w:val="2"/>
                  <w:vAlign w:val="center"/>
                </w:tcPr>
                <w:p w:rsidR="00045496" w:rsidRPr="00045496" w:rsidRDefault="00080F6D" w:rsidP="00045496">
                  <w:pPr>
                    <w:pStyle w:val="TableBodyText"/>
                  </w:pPr>
                  <w:r>
                    <w:t xml:space="preserve"> </w:t>
                  </w:r>
                  <w:r w:rsidR="00045496" w:rsidRPr="00045496">
                    <w:t>85.7</w:t>
                  </w:r>
                </w:p>
              </w:tc>
              <w:tc>
                <w:tcPr>
                  <w:tcW w:w="501" w:type="pct"/>
                  <w:gridSpan w:val="2"/>
                  <w:vAlign w:val="center"/>
                </w:tcPr>
                <w:p w:rsidR="00045496" w:rsidRPr="00045496" w:rsidRDefault="00080F6D" w:rsidP="00045496">
                  <w:pPr>
                    <w:pStyle w:val="TableBodyText"/>
                  </w:pPr>
                  <w:r>
                    <w:t xml:space="preserve"> </w:t>
                  </w:r>
                  <w:r w:rsidR="00045496" w:rsidRPr="00045496">
                    <w:t>86.7</w:t>
                  </w:r>
                </w:p>
              </w:tc>
              <w:tc>
                <w:tcPr>
                  <w:tcW w:w="501" w:type="pct"/>
                  <w:gridSpan w:val="2"/>
                  <w:vAlign w:val="center"/>
                </w:tcPr>
                <w:p w:rsidR="00045496" w:rsidRPr="00045496" w:rsidRDefault="00080F6D" w:rsidP="00045496">
                  <w:pPr>
                    <w:pStyle w:val="TableBodyText"/>
                  </w:pPr>
                  <w:r>
                    <w:t xml:space="preserve"> </w:t>
                  </w:r>
                  <w:r w:rsidR="00045496" w:rsidRPr="00045496">
                    <w:t>85.2</w:t>
                  </w:r>
                </w:p>
              </w:tc>
              <w:tc>
                <w:tcPr>
                  <w:tcW w:w="501" w:type="pct"/>
                  <w:gridSpan w:val="2"/>
                  <w:vAlign w:val="center"/>
                </w:tcPr>
                <w:p w:rsidR="00045496" w:rsidRPr="00045496" w:rsidRDefault="00080F6D" w:rsidP="00045496">
                  <w:pPr>
                    <w:pStyle w:val="TableBodyText"/>
                  </w:pPr>
                  <w:r>
                    <w:t xml:space="preserve"> </w:t>
                  </w:r>
                  <w:r w:rsidR="00045496" w:rsidRPr="00045496">
                    <w:t>80.5</w:t>
                  </w:r>
                </w:p>
              </w:tc>
              <w:tc>
                <w:tcPr>
                  <w:tcW w:w="496" w:type="pct"/>
                  <w:gridSpan w:val="2"/>
                  <w:vAlign w:val="center"/>
                </w:tcPr>
                <w:p w:rsidR="00045496" w:rsidRPr="00045496" w:rsidRDefault="00080F6D" w:rsidP="00045496">
                  <w:pPr>
                    <w:pStyle w:val="TableBodyText"/>
                  </w:pPr>
                  <w:r>
                    <w:t xml:space="preserve"> </w:t>
                  </w:r>
                  <w:r w:rsidR="00045496" w:rsidRPr="00045496">
                    <w:t>82.2</w:t>
                  </w:r>
                </w:p>
              </w:tc>
              <w:tc>
                <w:tcPr>
                  <w:tcW w:w="496" w:type="pct"/>
                  <w:gridSpan w:val="2"/>
                  <w:vAlign w:val="center"/>
                </w:tcPr>
                <w:p w:rsidR="00045496" w:rsidRPr="00045496" w:rsidRDefault="00080F6D" w:rsidP="00045496">
                  <w:pPr>
                    <w:pStyle w:val="TableBodyText"/>
                  </w:pPr>
                  <w:r>
                    <w:t xml:space="preserve"> </w:t>
                  </w:r>
                  <w:r w:rsidR="00045496" w:rsidRPr="00045496">
                    <w:t>83.4</w:t>
                  </w:r>
                </w:p>
              </w:tc>
            </w:tr>
            <w:tr w:rsidR="00045496" w:rsidTr="00917D1B">
              <w:tc>
                <w:tcPr>
                  <w:tcW w:w="571" w:type="pct"/>
                </w:tcPr>
                <w:p w:rsidR="00045496" w:rsidRDefault="00045496" w:rsidP="00917D1B">
                  <w:pPr>
                    <w:pStyle w:val="TableBodyText"/>
                    <w:ind w:left="227" w:right="0"/>
                    <w:jc w:val="left"/>
                  </w:pPr>
                  <w:r>
                    <w:t>SOMIH</w:t>
                  </w:r>
                </w:p>
              </w:tc>
              <w:tc>
                <w:tcPr>
                  <w:tcW w:w="431" w:type="pct"/>
                  <w:vAlign w:val="center"/>
                </w:tcPr>
                <w:p w:rsidR="00045496" w:rsidRPr="00045496" w:rsidRDefault="00080F6D" w:rsidP="00045496">
                  <w:pPr>
                    <w:pStyle w:val="TableBodyText"/>
                  </w:pPr>
                  <w:r>
                    <w:t xml:space="preserve"> </w:t>
                  </w:r>
                  <w:r w:rsidR="00045496" w:rsidRPr="00045496">
                    <w:t>75.9</w:t>
                  </w:r>
                </w:p>
              </w:tc>
              <w:tc>
                <w:tcPr>
                  <w:tcW w:w="501" w:type="pct"/>
                  <w:gridSpan w:val="2"/>
                  <w:vAlign w:val="center"/>
                </w:tcPr>
                <w:p w:rsidR="00045496" w:rsidRPr="00045496" w:rsidRDefault="00045496" w:rsidP="00045496">
                  <w:pPr>
                    <w:pStyle w:val="TableBodyText"/>
                  </w:pPr>
                  <w:r w:rsidRPr="00045496">
                    <w:t>..</w:t>
                  </w:r>
                </w:p>
              </w:tc>
              <w:tc>
                <w:tcPr>
                  <w:tcW w:w="501" w:type="pct"/>
                  <w:gridSpan w:val="2"/>
                  <w:vAlign w:val="center"/>
                </w:tcPr>
                <w:p w:rsidR="00045496" w:rsidRPr="00045496" w:rsidRDefault="00080F6D" w:rsidP="00045496">
                  <w:pPr>
                    <w:pStyle w:val="TableBodyText"/>
                  </w:pPr>
                  <w:r>
                    <w:t xml:space="preserve"> </w:t>
                  </w:r>
                  <w:r w:rsidR="00045496" w:rsidRPr="00045496">
                    <w:t>82.9</w:t>
                  </w:r>
                </w:p>
              </w:tc>
              <w:tc>
                <w:tcPr>
                  <w:tcW w:w="501" w:type="pct"/>
                  <w:gridSpan w:val="2"/>
                  <w:vAlign w:val="center"/>
                </w:tcPr>
                <w:p w:rsidR="00045496" w:rsidRPr="00045496" w:rsidRDefault="00045496" w:rsidP="00045496">
                  <w:pPr>
                    <w:pStyle w:val="TableBodyText"/>
                  </w:pPr>
                  <w:r w:rsidRPr="00045496">
                    <w:t>..</w:t>
                  </w:r>
                </w:p>
              </w:tc>
              <w:tc>
                <w:tcPr>
                  <w:tcW w:w="501" w:type="pct"/>
                  <w:gridSpan w:val="2"/>
                  <w:vAlign w:val="center"/>
                </w:tcPr>
                <w:p w:rsidR="00045496" w:rsidRPr="00045496" w:rsidRDefault="00080F6D" w:rsidP="00045496">
                  <w:pPr>
                    <w:pStyle w:val="TableBodyText"/>
                  </w:pPr>
                  <w:r>
                    <w:t xml:space="preserve"> </w:t>
                  </w:r>
                  <w:r w:rsidR="00045496" w:rsidRPr="00045496">
                    <w:t>79.8</w:t>
                  </w:r>
                </w:p>
              </w:tc>
              <w:tc>
                <w:tcPr>
                  <w:tcW w:w="501" w:type="pct"/>
                  <w:gridSpan w:val="2"/>
                  <w:vAlign w:val="center"/>
                </w:tcPr>
                <w:p w:rsidR="00045496" w:rsidRPr="00045496" w:rsidRDefault="00080F6D" w:rsidP="00045496">
                  <w:pPr>
                    <w:pStyle w:val="TableBodyText"/>
                  </w:pPr>
                  <w:r>
                    <w:t xml:space="preserve"> </w:t>
                  </w:r>
                  <w:r w:rsidR="00045496" w:rsidRPr="00045496">
                    <w:t>82.0</w:t>
                  </w:r>
                </w:p>
              </w:tc>
              <w:tc>
                <w:tcPr>
                  <w:tcW w:w="501" w:type="pct"/>
                  <w:gridSpan w:val="2"/>
                  <w:vAlign w:val="center"/>
                </w:tcPr>
                <w:p w:rsidR="00045496" w:rsidRPr="00045496" w:rsidRDefault="00045496" w:rsidP="00045496">
                  <w:pPr>
                    <w:pStyle w:val="TableBodyText"/>
                  </w:pPr>
                  <w:r w:rsidRPr="00045496">
                    <w:t>..</w:t>
                  </w:r>
                </w:p>
              </w:tc>
              <w:tc>
                <w:tcPr>
                  <w:tcW w:w="496" w:type="pct"/>
                  <w:gridSpan w:val="2"/>
                  <w:vAlign w:val="center"/>
                </w:tcPr>
                <w:p w:rsidR="00045496" w:rsidRPr="00045496" w:rsidRDefault="00045496" w:rsidP="00045496">
                  <w:pPr>
                    <w:pStyle w:val="TableBodyText"/>
                  </w:pPr>
                  <w:r w:rsidRPr="00045496">
                    <w:t>..</w:t>
                  </w:r>
                </w:p>
              </w:tc>
              <w:tc>
                <w:tcPr>
                  <w:tcW w:w="496" w:type="pct"/>
                  <w:gridSpan w:val="2"/>
                  <w:vAlign w:val="center"/>
                </w:tcPr>
                <w:p w:rsidR="00045496" w:rsidRPr="00045496" w:rsidRDefault="00080F6D" w:rsidP="00045496">
                  <w:pPr>
                    <w:pStyle w:val="TableBodyText"/>
                  </w:pPr>
                  <w:r>
                    <w:t xml:space="preserve"> </w:t>
                  </w:r>
                  <w:r w:rsidR="00045496" w:rsidRPr="00045496">
                    <w:t>79.0</w:t>
                  </w:r>
                </w:p>
              </w:tc>
            </w:tr>
            <w:tr w:rsidR="00045496" w:rsidTr="00917D1B">
              <w:tc>
                <w:tcPr>
                  <w:tcW w:w="571" w:type="pct"/>
                </w:tcPr>
                <w:p w:rsidR="00045496" w:rsidRDefault="00045496" w:rsidP="00917D1B">
                  <w:pPr>
                    <w:pStyle w:val="TableBodyText"/>
                    <w:ind w:left="227" w:right="0"/>
                    <w:jc w:val="left"/>
                  </w:pPr>
                  <w:r>
                    <w:t>CH</w:t>
                  </w:r>
                </w:p>
              </w:tc>
              <w:tc>
                <w:tcPr>
                  <w:tcW w:w="431" w:type="pct"/>
                  <w:vAlign w:val="center"/>
                </w:tcPr>
                <w:p w:rsidR="00045496" w:rsidRPr="00045496" w:rsidRDefault="00080F6D" w:rsidP="00045496">
                  <w:pPr>
                    <w:pStyle w:val="TableBodyText"/>
                  </w:pPr>
                  <w:r>
                    <w:t xml:space="preserve"> </w:t>
                  </w:r>
                  <w:r w:rsidR="00045496" w:rsidRPr="00045496">
                    <w:t>84.2</w:t>
                  </w:r>
                </w:p>
              </w:tc>
              <w:tc>
                <w:tcPr>
                  <w:tcW w:w="501" w:type="pct"/>
                  <w:gridSpan w:val="2"/>
                  <w:vAlign w:val="center"/>
                </w:tcPr>
                <w:p w:rsidR="00045496" w:rsidRPr="00045496" w:rsidRDefault="00080F6D" w:rsidP="00045496">
                  <w:pPr>
                    <w:pStyle w:val="TableBodyText"/>
                  </w:pPr>
                  <w:r>
                    <w:t xml:space="preserve"> </w:t>
                  </w:r>
                  <w:r w:rsidR="00045496" w:rsidRPr="00045496">
                    <w:t>86.0</w:t>
                  </w:r>
                </w:p>
              </w:tc>
              <w:tc>
                <w:tcPr>
                  <w:tcW w:w="501" w:type="pct"/>
                  <w:gridSpan w:val="2"/>
                  <w:vAlign w:val="center"/>
                </w:tcPr>
                <w:p w:rsidR="00045496" w:rsidRPr="00045496" w:rsidRDefault="00080F6D" w:rsidP="00045496">
                  <w:pPr>
                    <w:pStyle w:val="TableBodyText"/>
                  </w:pPr>
                  <w:r>
                    <w:t xml:space="preserve"> </w:t>
                  </w:r>
                  <w:r w:rsidR="00045496" w:rsidRPr="00045496">
                    <w:t>86.1</w:t>
                  </w:r>
                </w:p>
              </w:tc>
              <w:tc>
                <w:tcPr>
                  <w:tcW w:w="501" w:type="pct"/>
                  <w:gridSpan w:val="2"/>
                  <w:vAlign w:val="center"/>
                </w:tcPr>
                <w:p w:rsidR="00045496" w:rsidRPr="00045496" w:rsidRDefault="00080F6D" w:rsidP="00045496">
                  <w:pPr>
                    <w:pStyle w:val="TableBodyText"/>
                  </w:pPr>
                  <w:r>
                    <w:t xml:space="preserve"> </w:t>
                  </w:r>
                  <w:r w:rsidR="00045496" w:rsidRPr="00045496">
                    <w:t>88.4</w:t>
                  </w:r>
                </w:p>
              </w:tc>
              <w:tc>
                <w:tcPr>
                  <w:tcW w:w="501" w:type="pct"/>
                  <w:gridSpan w:val="2"/>
                  <w:vAlign w:val="center"/>
                </w:tcPr>
                <w:p w:rsidR="00045496" w:rsidRPr="00045496" w:rsidRDefault="00080F6D" w:rsidP="00045496">
                  <w:pPr>
                    <w:pStyle w:val="TableBodyText"/>
                  </w:pPr>
                  <w:r>
                    <w:t xml:space="preserve"> </w:t>
                  </w:r>
                  <w:r w:rsidR="00045496" w:rsidRPr="00045496">
                    <w:t>88.2</w:t>
                  </w:r>
                </w:p>
              </w:tc>
              <w:tc>
                <w:tcPr>
                  <w:tcW w:w="501" w:type="pct"/>
                  <w:gridSpan w:val="2"/>
                  <w:vAlign w:val="center"/>
                </w:tcPr>
                <w:p w:rsidR="00045496" w:rsidRPr="00045496" w:rsidRDefault="00080F6D" w:rsidP="00045496">
                  <w:pPr>
                    <w:pStyle w:val="TableBodyText"/>
                  </w:pPr>
                  <w:r>
                    <w:t xml:space="preserve"> </w:t>
                  </w:r>
                  <w:r w:rsidR="00045496" w:rsidRPr="00045496">
                    <w:t>82.5</w:t>
                  </w:r>
                </w:p>
              </w:tc>
              <w:tc>
                <w:tcPr>
                  <w:tcW w:w="501" w:type="pct"/>
                  <w:gridSpan w:val="2"/>
                  <w:vAlign w:val="center"/>
                </w:tcPr>
                <w:p w:rsidR="00045496" w:rsidRPr="00045496" w:rsidRDefault="00080F6D" w:rsidP="00045496">
                  <w:pPr>
                    <w:pStyle w:val="TableBodyText"/>
                  </w:pPr>
                  <w:r>
                    <w:t xml:space="preserve"> </w:t>
                  </w:r>
                  <w:r w:rsidR="00045496" w:rsidRPr="00045496">
                    <w:t>81.1</w:t>
                  </w:r>
                </w:p>
              </w:tc>
              <w:tc>
                <w:tcPr>
                  <w:tcW w:w="496" w:type="pct"/>
                  <w:gridSpan w:val="2"/>
                </w:tcPr>
                <w:p w:rsidR="00045496" w:rsidRPr="00045496" w:rsidRDefault="00045496" w:rsidP="00045496">
                  <w:pPr>
                    <w:pStyle w:val="TableBodyText"/>
                  </w:pPr>
                  <w:r w:rsidRPr="00045496">
                    <w:t>na</w:t>
                  </w:r>
                </w:p>
              </w:tc>
              <w:tc>
                <w:tcPr>
                  <w:tcW w:w="496" w:type="pct"/>
                  <w:gridSpan w:val="2"/>
                  <w:vAlign w:val="center"/>
                </w:tcPr>
                <w:p w:rsidR="00045496" w:rsidRPr="00045496" w:rsidRDefault="00080F6D" w:rsidP="00045496">
                  <w:pPr>
                    <w:pStyle w:val="TableBodyText"/>
                  </w:pPr>
                  <w:r>
                    <w:t xml:space="preserve"> </w:t>
                  </w:r>
                  <w:r w:rsidR="00045496" w:rsidRPr="00045496">
                    <w:t>85.5</w:t>
                  </w:r>
                </w:p>
              </w:tc>
            </w:tr>
            <w:tr w:rsidR="00370C30" w:rsidTr="00045496">
              <w:tc>
                <w:tcPr>
                  <w:tcW w:w="5000" w:type="pct"/>
                  <w:gridSpan w:val="18"/>
                </w:tcPr>
                <w:p w:rsidR="00370C30" w:rsidRDefault="00045496" w:rsidP="00045496">
                  <w:pPr>
                    <w:pStyle w:val="TableBodyText"/>
                    <w:ind w:left="113" w:right="28"/>
                    <w:jc w:val="left"/>
                  </w:pPr>
                  <w:r w:rsidRPr="00F772E2">
                    <w:t>Location important and meeting needs</w:t>
                  </w:r>
                  <w:r>
                    <w:t>, 2014</w:t>
                  </w:r>
                  <w:r w:rsidRPr="00F772E2">
                    <w:t xml:space="preserve"> </w:t>
                  </w:r>
                  <w:r w:rsidR="00370C30" w:rsidRPr="00F772E2">
                    <w:t>(%)</w:t>
                  </w:r>
                </w:p>
              </w:tc>
            </w:tr>
            <w:tr w:rsidR="00045496" w:rsidTr="00917D1B">
              <w:tc>
                <w:tcPr>
                  <w:tcW w:w="571" w:type="pct"/>
                </w:tcPr>
                <w:p w:rsidR="00045496" w:rsidRDefault="00045496" w:rsidP="00917D1B">
                  <w:pPr>
                    <w:pStyle w:val="TableBodyText"/>
                    <w:ind w:left="227" w:right="0"/>
                    <w:jc w:val="left"/>
                  </w:pPr>
                  <w:r>
                    <w:t>PH</w:t>
                  </w:r>
                </w:p>
              </w:tc>
              <w:tc>
                <w:tcPr>
                  <w:tcW w:w="431" w:type="pct"/>
                  <w:vAlign w:val="center"/>
                </w:tcPr>
                <w:p w:rsidR="00045496" w:rsidRPr="00045496" w:rsidRDefault="00080F6D" w:rsidP="00045496">
                  <w:pPr>
                    <w:pStyle w:val="TableBodyText"/>
                  </w:pPr>
                  <w:r>
                    <w:t xml:space="preserve"> </w:t>
                  </w:r>
                  <w:r w:rsidR="00045496" w:rsidRPr="00045496">
                    <w:t>88.9</w:t>
                  </w:r>
                </w:p>
              </w:tc>
              <w:tc>
                <w:tcPr>
                  <w:tcW w:w="501" w:type="pct"/>
                  <w:gridSpan w:val="2"/>
                  <w:vAlign w:val="center"/>
                </w:tcPr>
                <w:p w:rsidR="00045496" w:rsidRPr="00045496" w:rsidRDefault="00080F6D" w:rsidP="00045496">
                  <w:pPr>
                    <w:pStyle w:val="TableBodyText"/>
                  </w:pPr>
                  <w:r>
                    <w:t xml:space="preserve"> </w:t>
                  </w:r>
                  <w:r w:rsidR="00045496" w:rsidRPr="00045496">
                    <w:t>87.3</w:t>
                  </w:r>
                </w:p>
              </w:tc>
              <w:tc>
                <w:tcPr>
                  <w:tcW w:w="501" w:type="pct"/>
                  <w:gridSpan w:val="2"/>
                  <w:vAlign w:val="center"/>
                </w:tcPr>
                <w:p w:rsidR="00045496" w:rsidRPr="00045496" w:rsidRDefault="00080F6D" w:rsidP="00045496">
                  <w:pPr>
                    <w:pStyle w:val="TableBodyText"/>
                  </w:pPr>
                  <w:r>
                    <w:t xml:space="preserve"> </w:t>
                  </w:r>
                  <w:r w:rsidR="00045496" w:rsidRPr="00045496">
                    <w:t>90.1</w:t>
                  </w:r>
                </w:p>
              </w:tc>
              <w:tc>
                <w:tcPr>
                  <w:tcW w:w="501" w:type="pct"/>
                  <w:gridSpan w:val="2"/>
                  <w:vAlign w:val="center"/>
                </w:tcPr>
                <w:p w:rsidR="00045496" w:rsidRPr="00045496" w:rsidRDefault="00080F6D" w:rsidP="00045496">
                  <w:pPr>
                    <w:pStyle w:val="TableBodyText"/>
                  </w:pPr>
                  <w:r>
                    <w:t xml:space="preserve"> </w:t>
                  </w:r>
                  <w:r w:rsidR="00045496" w:rsidRPr="00045496">
                    <w:t>89.7</w:t>
                  </w:r>
                </w:p>
              </w:tc>
              <w:tc>
                <w:tcPr>
                  <w:tcW w:w="501" w:type="pct"/>
                  <w:gridSpan w:val="2"/>
                  <w:vAlign w:val="center"/>
                </w:tcPr>
                <w:p w:rsidR="00045496" w:rsidRPr="00045496" w:rsidRDefault="00080F6D" w:rsidP="00045496">
                  <w:pPr>
                    <w:pStyle w:val="TableBodyText"/>
                  </w:pPr>
                  <w:r>
                    <w:t xml:space="preserve"> </w:t>
                  </w:r>
                  <w:r w:rsidR="00045496" w:rsidRPr="00045496">
                    <w:t>89.2</w:t>
                  </w:r>
                </w:p>
              </w:tc>
              <w:tc>
                <w:tcPr>
                  <w:tcW w:w="501" w:type="pct"/>
                  <w:gridSpan w:val="2"/>
                  <w:vAlign w:val="center"/>
                </w:tcPr>
                <w:p w:rsidR="00045496" w:rsidRPr="00045496" w:rsidRDefault="00080F6D" w:rsidP="00045496">
                  <w:pPr>
                    <w:pStyle w:val="TableBodyText"/>
                  </w:pPr>
                  <w:r>
                    <w:t xml:space="preserve"> </w:t>
                  </w:r>
                  <w:r w:rsidR="00045496" w:rsidRPr="00045496">
                    <w:t>88.8</w:t>
                  </w:r>
                </w:p>
              </w:tc>
              <w:tc>
                <w:tcPr>
                  <w:tcW w:w="501" w:type="pct"/>
                  <w:gridSpan w:val="2"/>
                  <w:vAlign w:val="center"/>
                </w:tcPr>
                <w:p w:rsidR="00045496" w:rsidRPr="00045496" w:rsidRDefault="00080F6D" w:rsidP="00045496">
                  <w:pPr>
                    <w:pStyle w:val="TableBodyText"/>
                  </w:pPr>
                  <w:r>
                    <w:t xml:space="preserve"> </w:t>
                  </w:r>
                  <w:r w:rsidR="00045496" w:rsidRPr="00045496">
                    <w:t>90.0</w:t>
                  </w:r>
                </w:p>
              </w:tc>
              <w:tc>
                <w:tcPr>
                  <w:tcW w:w="496" w:type="pct"/>
                  <w:gridSpan w:val="2"/>
                  <w:vAlign w:val="center"/>
                </w:tcPr>
                <w:p w:rsidR="00045496" w:rsidRPr="00045496" w:rsidRDefault="00080F6D" w:rsidP="00045496">
                  <w:pPr>
                    <w:pStyle w:val="TableBodyText"/>
                  </w:pPr>
                  <w:r>
                    <w:t xml:space="preserve"> </w:t>
                  </w:r>
                  <w:r w:rsidR="00045496" w:rsidRPr="00045496">
                    <w:t>87.9</w:t>
                  </w:r>
                </w:p>
              </w:tc>
              <w:tc>
                <w:tcPr>
                  <w:tcW w:w="496" w:type="pct"/>
                  <w:gridSpan w:val="2"/>
                  <w:vAlign w:val="center"/>
                </w:tcPr>
                <w:p w:rsidR="00045496" w:rsidRPr="00045496" w:rsidRDefault="00080F6D" w:rsidP="00045496">
                  <w:pPr>
                    <w:pStyle w:val="TableBodyText"/>
                  </w:pPr>
                  <w:r>
                    <w:t xml:space="preserve"> </w:t>
                  </w:r>
                  <w:r w:rsidR="00045496" w:rsidRPr="00045496">
                    <w:t>88.9</w:t>
                  </w:r>
                </w:p>
              </w:tc>
            </w:tr>
            <w:tr w:rsidR="00045496" w:rsidTr="00917D1B">
              <w:tc>
                <w:tcPr>
                  <w:tcW w:w="571" w:type="pct"/>
                </w:tcPr>
                <w:p w:rsidR="00045496" w:rsidRDefault="00045496" w:rsidP="00917D1B">
                  <w:pPr>
                    <w:pStyle w:val="TableBodyText"/>
                    <w:ind w:left="227" w:right="0"/>
                    <w:jc w:val="left"/>
                  </w:pPr>
                  <w:r>
                    <w:t>SOMIH</w:t>
                  </w:r>
                </w:p>
              </w:tc>
              <w:tc>
                <w:tcPr>
                  <w:tcW w:w="431" w:type="pct"/>
                  <w:vAlign w:val="center"/>
                </w:tcPr>
                <w:p w:rsidR="00045496" w:rsidRPr="00045496" w:rsidRDefault="00080F6D" w:rsidP="00045496">
                  <w:pPr>
                    <w:pStyle w:val="TableBodyText"/>
                  </w:pPr>
                  <w:r>
                    <w:t xml:space="preserve"> </w:t>
                  </w:r>
                  <w:r w:rsidR="00045496" w:rsidRPr="00045496">
                    <w:t>89.4</w:t>
                  </w:r>
                </w:p>
              </w:tc>
              <w:tc>
                <w:tcPr>
                  <w:tcW w:w="501" w:type="pct"/>
                  <w:gridSpan w:val="2"/>
                  <w:vAlign w:val="center"/>
                </w:tcPr>
                <w:p w:rsidR="00045496" w:rsidRPr="00045496" w:rsidRDefault="00045496" w:rsidP="00045496">
                  <w:pPr>
                    <w:pStyle w:val="TableBodyText"/>
                  </w:pPr>
                  <w:r w:rsidRPr="00045496">
                    <w:t>..</w:t>
                  </w:r>
                </w:p>
              </w:tc>
              <w:tc>
                <w:tcPr>
                  <w:tcW w:w="501" w:type="pct"/>
                  <w:gridSpan w:val="2"/>
                  <w:vAlign w:val="center"/>
                </w:tcPr>
                <w:p w:rsidR="00045496" w:rsidRPr="00045496" w:rsidRDefault="00080F6D" w:rsidP="00045496">
                  <w:pPr>
                    <w:pStyle w:val="TableBodyText"/>
                  </w:pPr>
                  <w:r>
                    <w:t xml:space="preserve"> </w:t>
                  </w:r>
                  <w:r w:rsidR="00045496" w:rsidRPr="00045496">
                    <w:t>89.3</w:t>
                  </w:r>
                </w:p>
              </w:tc>
              <w:tc>
                <w:tcPr>
                  <w:tcW w:w="501" w:type="pct"/>
                  <w:gridSpan w:val="2"/>
                  <w:vAlign w:val="center"/>
                </w:tcPr>
                <w:p w:rsidR="00045496" w:rsidRPr="00045496" w:rsidRDefault="00045496" w:rsidP="00045496">
                  <w:pPr>
                    <w:pStyle w:val="TableBodyText"/>
                  </w:pPr>
                  <w:r w:rsidRPr="00045496">
                    <w:t>..</w:t>
                  </w:r>
                </w:p>
              </w:tc>
              <w:tc>
                <w:tcPr>
                  <w:tcW w:w="501" w:type="pct"/>
                  <w:gridSpan w:val="2"/>
                  <w:vAlign w:val="center"/>
                </w:tcPr>
                <w:p w:rsidR="00045496" w:rsidRPr="00045496" w:rsidRDefault="00080F6D" w:rsidP="00045496">
                  <w:pPr>
                    <w:pStyle w:val="TableBodyText"/>
                  </w:pPr>
                  <w:r>
                    <w:t xml:space="preserve"> </w:t>
                  </w:r>
                  <w:r w:rsidR="00045496" w:rsidRPr="00045496">
                    <w:t>89.4</w:t>
                  </w:r>
                </w:p>
              </w:tc>
              <w:tc>
                <w:tcPr>
                  <w:tcW w:w="501" w:type="pct"/>
                  <w:gridSpan w:val="2"/>
                  <w:vAlign w:val="center"/>
                </w:tcPr>
                <w:p w:rsidR="00045496" w:rsidRPr="00045496" w:rsidRDefault="00080F6D" w:rsidP="00045496">
                  <w:pPr>
                    <w:pStyle w:val="TableBodyText"/>
                  </w:pPr>
                  <w:r>
                    <w:t xml:space="preserve"> </w:t>
                  </w:r>
                  <w:r w:rsidR="00045496" w:rsidRPr="00045496">
                    <w:t>93.8</w:t>
                  </w:r>
                </w:p>
              </w:tc>
              <w:tc>
                <w:tcPr>
                  <w:tcW w:w="501" w:type="pct"/>
                  <w:gridSpan w:val="2"/>
                  <w:vAlign w:val="center"/>
                </w:tcPr>
                <w:p w:rsidR="00045496" w:rsidRPr="00045496" w:rsidRDefault="00045496" w:rsidP="00045496">
                  <w:pPr>
                    <w:pStyle w:val="TableBodyText"/>
                  </w:pPr>
                  <w:r w:rsidRPr="00045496">
                    <w:t>..</w:t>
                  </w:r>
                </w:p>
              </w:tc>
              <w:tc>
                <w:tcPr>
                  <w:tcW w:w="496" w:type="pct"/>
                  <w:gridSpan w:val="2"/>
                  <w:vAlign w:val="center"/>
                </w:tcPr>
                <w:p w:rsidR="00045496" w:rsidRPr="00045496" w:rsidRDefault="00045496" w:rsidP="00045496">
                  <w:pPr>
                    <w:pStyle w:val="TableBodyText"/>
                  </w:pPr>
                  <w:r w:rsidRPr="00045496">
                    <w:t>..</w:t>
                  </w:r>
                </w:p>
              </w:tc>
              <w:tc>
                <w:tcPr>
                  <w:tcW w:w="496" w:type="pct"/>
                  <w:gridSpan w:val="2"/>
                  <w:vAlign w:val="center"/>
                </w:tcPr>
                <w:p w:rsidR="00045496" w:rsidRPr="00045496" w:rsidRDefault="00080F6D" w:rsidP="00045496">
                  <w:pPr>
                    <w:pStyle w:val="TableBodyText"/>
                  </w:pPr>
                  <w:r>
                    <w:t xml:space="preserve"> </w:t>
                  </w:r>
                  <w:r w:rsidR="00045496" w:rsidRPr="00045496">
                    <w:t>89.5</w:t>
                  </w:r>
                </w:p>
              </w:tc>
            </w:tr>
            <w:tr w:rsidR="00045496" w:rsidTr="00917D1B">
              <w:tc>
                <w:tcPr>
                  <w:tcW w:w="571" w:type="pct"/>
                </w:tcPr>
                <w:p w:rsidR="00045496" w:rsidRDefault="00045496" w:rsidP="00917D1B">
                  <w:pPr>
                    <w:pStyle w:val="TableBodyText"/>
                    <w:ind w:left="227" w:right="0"/>
                    <w:jc w:val="left"/>
                  </w:pPr>
                  <w:r>
                    <w:t>CH</w:t>
                  </w:r>
                </w:p>
              </w:tc>
              <w:tc>
                <w:tcPr>
                  <w:tcW w:w="431" w:type="pct"/>
                  <w:vAlign w:val="center"/>
                </w:tcPr>
                <w:p w:rsidR="00045496" w:rsidRPr="00045496" w:rsidRDefault="00080F6D" w:rsidP="00045496">
                  <w:pPr>
                    <w:pStyle w:val="TableBodyText"/>
                  </w:pPr>
                  <w:r>
                    <w:t xml:space="preserve"> </w:t>
                  </w:r>
                  <w:r w:rsidR="00045496" w:rsidRPr="00045496">
                    <w:t>86.0</w:t>
                  </w:r>
                </w:p>
              </w:tc>
              <w:tc>
                <w:tcPr>
                  <w:tcW w:w="501" w:type="pct"/>
                  <w:gridSpan w:val="2"/>
                  <w:vAlign w:val="center"/>
                </w:tcPr>
                <w:p w:rsidR="00045496" w:rsidRPr="00045496" w:rsidRDefault="00080F6D" w:rsidP="00045496">
                  <w:pPr>
                    <w:pStyle w:val="TableBodyText"/>
                  </w:pPr>
                  <w:r>
                    <w:t xml:space="preserve"> </w:t>
                  </w:r>
                  <w:r w:rsidR="00045496" w:rsidRPr="00045496">
                    <w:t>89.1</w:t>
                  </w:r>
                </w:p>
              </w:tc>
              <w:tc>
                <w:tcPr>
                  <w:tcW w:w="501" w:type="pct"/>
                  <w:gridSpan w:val="2"/>
                  <w:vAlign w:val="center"/>
                </w:tcPr>
                <w:p w:rsidR="00045496" w:rsidRPr="00045496" w:rsidRDefault="00080F6D" w:rsidP="00045496">
                  <w:pPr>
                    <w:pStyle w:val="TableBodyText"/>
                  </w:pPr>
                  <w:r>
                    <w:t xml:space="preserve"> </w:t>
                  </w:r>
                  <w:r w:rsidR="00045496" w:rsidRPr="00045496">
                    <w:t>85.4</w:t>
                  </w:r>
                </w:p>
              </w:tc>
              <w:tc>
                <w:tcPr>
                  <w:tcW w:w="501" w:type="pct"/>
                  <w:gridSpan w:val="2"/>
                  <w:vAlign w:val="center"/>
                </w:tcPr>
                <w:p w:rsidR="00045496" w:rsidRPr="00045496" w:rsidRDefault="00080F6D" w:rsidP="00045496">
                  <w:pPr>
                    <w:pStyle w:val="TableBodyText"/>
                  </w:pPr>
                  <w:r>
                    <w:t xml:space="preserve"> </w:t>
                  </w:r>
                  <w:r w:rsidR="00045496" w:rsidRPr="00045496">
                    <w:t>88.8</w:t>
                  </w:r>
                </w:p>
              </w:tc>
              <w:tc>
                <w:tcPr>
                  <w:tcW w:w="501" w:type="pct"/>
                  <w:gridSpan w:val="2"/>
                  <w:vAlign w:val="center"/>
                </w:tcPr>
                <w:p w:rsidR="00045496" w:rsidRPr="00045496" w:rsidRDefault="00080F6D" w:rsidP="00045496">
                  <w:pPr>
                    <w:pStyle w:val="TableBodyText"/>
                  </w:pPr>
                  <w:r>
                    <w:t xml:space="preserve"> </w:t>
                  </w:r>
                  <w:r w:rsidR="00045496" w:rsidRPr="00045496">
                    <w:t>91.0</w:t>
                  </w:r>
                </w:p>
              </w:tc>
              <w:tc>
                <w:tcPr>
                  <w:tcW w:w="501" w:type="pct"/>
                  <w:gridSpan w:val="2"/>
                  <w:vAlign w:val="center"/>
                </w:tcPr>
                <w:p w:rsidR="00045496" w:rsidRPr="00045496" w:rsidRDefault="00080F6D" w:rsidP="00045496">
                  <w:pPr>
                    <w:pStyle w:val="TableBodyText"/>
                  </w:pPr>
                  <w:r>
                    <w:t xml:space="preserve"> </w:t>
                  </w:r>
                  <w:r w:rsidR="00045496" w:rsidRPr="00045496">
                    <w:t>88.3</w:t>
                  </w:r>
                </w:p>
              </w:tc>
              <w:tc>
                <w:tcPr>
                  <w:tcW w:w="501" w:type="pct"/>
                  <w:gridSpan w:val="2"/>
                  <w:vAlign w:val="center"/>
                </w:tcPr>
                <w:p w:rsidR="00045496" w:rsidRPr="00045496" w:rsidRDefault="00080F6D" w:rsidP="00045496">
                  <w:pPr>
                    <w:pStyle w:val="TableBodyText"/>
                  </w:pPr>
                  <w:r>
                    <w:t xml:space="preserve"> </w:t>
                  </w:r>
                  <w:r w:rsidR="00045496" w:rsidRPr="00045496">
                    <w:t>83.8</w:t>
                  </w:r>
                </w:p>
              </w:tc>
              <w:tc>
                <w:tcPr>
                  <w:tcW w:w="496" w:type="pct"/>
                  <w:gridSpan w:val="2"/>
                  <w:vAlign w:val="center"/>
                </w:tcPr>
                <w:p w:rsidR="00045496" w:rsidRPr="00045496" w:rsidRDefault="00045496" w:rsidP="00045496">
                  <w:pPr>
                    <w:pStyle w:val="TableBodyText"/>
                  </w:pPr>
                  <w:r w:rsidRPr="00045496">
                    <w:t>na</w:t>
                  </w:r>
                </w:p>
              </w:tc>
              <w:tc>
                <w:tcPr>
                  <w:tcW w:w="496" w:type="pct"/>
                  <w:gridSpan w:val="2"/>
                  <w:vAlign w:val="center"/>
                </w:tcPr>
                <w:p w:rsidR="00045496" w:rsidRPr="00045496" w:rsidRDefault="00080F6D" w:rsidP="00045496">
                  <w:pPr>
                    <w:pStyle w:val="TableBodyText"/>
                  </w:pPr>
                  <w:r>
                    <w:t xml:space="preserve"> </w:t>
                  </w:r>
                  <w:r w:rsidR="00045496" w:rsidRPr="00045496">
                    <w:t>87.1</w:t>
                  </w:r>
                </w:p>
              </w:tc>
            </w:tr>
            <w:tr w:rsidR="00514B47" w:rsidTr="000A4712">
              <w:tc>
                <w:tcPr>
                  <w:tcW w:w="5000" w:type="pct"/>
                  <w:gridSpan w:val="18"/>
                  <w:tcBorders>
                    <w:bottom w:val="single" w:sz="6" w:space="0" w:color="BFBFBF"/>
                  </w:tcBorders>
                </w:tcPr>
                <w:p w:rsidR="00514B47" w:rsidRDefault="00514B47" w:rsidP="00045496">
                  <w:pPr>
                    <w:pStyle w:val="Source"/>
                    <w:spacing w:before="0" w:after="80"/>
                    <w:ind w:left="113"/>
                  </w:pPr>
                  <w:r w:rsidRPr="00253B66">
                    <w:rPr>
                      <w:i/>
                    </w:rPr>
                    <w:t>Source</w:t>
                  </w:r>
                  <w:r w:rsidRPr="00080F6D">
                    <w:t>:</w:t>
                  </w:r>
                  <w:r w:rsidRPr="0046068B">
                    <w:rPr>
                      <w:i/>
                    </w:rPr>
                    <w:t xml:space="preserve"> </w:t>
                  </w:r>
                  <w:r>
                    <w:t xml:space="preserve">Attachment table </w:t>
                  </w:r>
                  <w:proofErr w:type="spellStart"/>
                  <w:r w:rsidR="00045496">
                    <w:t>17</w:t>
                  </w:r>
                  <w:r>
                    <w:t>A.</w:t>
                  </w:r>
                  <w:r w:rsidR="00045496">
                    <w:t>34</w:t>
                  </w:r>
                  <w:proofErr w:type="spellEnd"/>
                  <w:r w:rsidR="00045496">
                    <w:t>–39</w:t>
                  </w:r>
                  <w:r w:rsidR="00C9055F">
                    <w:t>.</w:t>
                  </w:r>
                </w:p>
              </w:tc>
            </w:tr>
          </w:tbl>
          <w:p w:rsidR="00514B47" w:rsidRDefault="00514B47" w:rsidP="00637E3E">
            <w:pPr>
              <w:pStyle w:val="Box"/>
            </w:pPr>
          </w:p>
        </w:tc>
      </w:tr>
      <w:tr w:rsidR="00514B47" w:rsidTr="00637E3E">
        <w:trPr>
          <w:cantSplit/>
        </w:trPr>
        <w:tc>
          <w:tcPr>
            <w:tcW w:w="8771" w:type="dxa"/>
            <w:tcBorders>
              <w:top w:val="nil"/>
              <w:left w:val="nil"/>
              <w:bottom w:val="nil"/>
              <w:right w:val="nil"/>
            </w:tcBorders>
            <w:shd w:val="clear" w:color="auto" w:fill="auto"/>
          </w:tcPr>
          <w:p w:rsidR="00514B47" w:rsidRPr="00C23135" w:rsidRDefault="00514B47" w:rsidP="000A4712">
            <w:pPr>
              <w:pStyle w:val="Continued"/>
            </w:pPr>
            <w:r>
              <w:t>(continued next page)</w:t>
            </w:r>
          </w:p>
        </w:tc>
      </w:tr>
      <w:tr w:rsidR="00514B47" w:rsidTr="00637E3E">
        <w:trPr>
          <w:cantSplit/>
        </w:trPr>
        <w:tc>
          <w:tcPr>
            <w:tcW w:w="8771" w:type="dxa"/>
            <w:tcBorders>
              <w:top w:val="nil"/>
              <w:left w:val="nil"/>
              <w:bottom w:val="single" w:sz="6" w:space="0" w:color="78A22F"/>
              <w:right w:val="nil"/>
            </w:tcBorders>
            <w:shd w:val="clear" w:color="auto" w:fill="auto"/>
          </w:tcPr>
          <w:p w:rsidR="00514B47" w:rsidRDefault="00514B47" w:rsidP="00637E3E">
            <w:pPr>
              <w:pStyle w:val="Box"/>
              <w:spacing w:before="0" w:line="120" w:lineRule="exact"/>
            </w:pPr>
          </w:p>
        </w:tc>
      </w:tr>
      <w:tr w:rsidR="00514B47" w:rsidRPr="000863A5" w:rsidTr="00637E3E">
        <w:tc>
          <w:tcPr>
            <w:tcW w:w="8771" w:type="dxa"/>
            <w:tcBorders>
              <w:top w:val="single" w:sz="6" w:space="0" w:color="78A22F"/>
              <w:left w:val="nil"/>
              <w:bottom w:val="nil"/>
              <w:right w:val="nil"/>
            </w:tcBorders>
          </w:tcPr>
          <w:p w:rsidR="00514B47" w:rsidRPr="00626D32" w:rsidRDefault="00514B47" w:rsidP="00637E3E">
            <w:pPr>
              <w:pStyle w:val="BoxSpaceBelow"/>
            </w:pPr>
          </w:p>
        </w:tc>
      </w:tr>
    </w:tbl>
    <w:p w:rsidR="00514B47" w:rsidRDefault="00514B47" w:rsidP="00EC66E1">
      <w:pPr>
        <w:pStyle w:val="BodyText"/>
      </w:pPr>
    </w:p>
    <w:p w:rsidR="00045496" w:rsidRDefault="00045496" w:rsidP="0004549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45496" w:rsidTr="00045496">
        <w:tc>
          <w:tcPr>
            <w:tcW w:w="8771" w:type="dxa"/>
            <w:tcBorders>
              <w:top w:val="single" w:sz="6" w:space="0" w:color="78A22F"/>
              <w:left w:val="nil"/>
              <w:bottom w:val="nil"/>
              <w:right w:val="nil"/>
            </w:tcBorders>
            <w:shd w:val="clear" w:color="auto" w:fill="auto"/>
          </w:tcPr>
          <w:p w:rsidR="00045496" w:rsidRPr="00784A05" w:rsidRDefault="00045496" w:rsidP="00045496">
            <w:pPr>
              <w:pStyle w:val="TableTitle"/>
            </w:pPr>
            <w:r>
              <w:rPr>
                <w:b w:val="0"/>
              </w:rPr>
              <w:t>Table G.2</w:t>
            </w:r>
            <w:r>
              <w:tab/>
            </w:r>
            <w:r w:rsidRPr="00FA6691">
              <w:rPr>
                <w:b w:val="0"/>
                <w:sz w:val="18"/>
                <w:szCs w:val="18"/>
              </w:rPr>
              <w:t>(continued)</w:t>
            </w:r>
          </w:p>
        </w:tc>
      </w:tr>
      <w:tr w:rsidR="00045496" w:rsidTr="0004549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967"/>
              <w:gridCol w:w="731"/>
              <w:gridCol w:w="161"/>
              <w:gridCol w:w="689"/>
              <w:gridCol w:w="141"/>
              <w:gridCol w:w="710"/>
              <w:gridCol w:w="121"/>
              <w:gridCol w:w="730"/>
              <w:gridCol w:w="100"/>
              <w:gridCol w:w="750"/>
              <w:gridCol w:w="80"/>
              <w:gridCol w:w="771"/>
              <w:gridCol w:w="59"/>
              <w:gridCol w:w="791"/>
              <w:gridCol w:w="41"/>
              <w:gridCol w:w="801"/>
              <w:gridCol w:w="22"/>
              <w:gridCol w:w="822"/>
            </w:tblGrid>
            <w:tr w:rsidR="00045496" w:rsidTr="00917D1B">
              <w:tc>
                <w:tcPr>
                  <w:tcW w:w="570" w:type="pct"/>
                  <w:tcBorders>
                    <w:top w:val="single" w:sz="6" w:space="0" w:color="BFBFBF"/>
                    <w:bottom w:val="single" w:sz="6" w:space="0" w:color="BFBFBF"/>
                  </w:tcBorders>
                  <w:shd w:val="clear" w:color="auto" w:fill="auto"/>
                  <w:tcMar>
                    <w:top w:w="28" w:type="dxa"/>
                  </w:tcMar>
                </w:tcPr>
                <w:p w:rsidR="00045496" w:rsidRDefault="00045496" w:rsidP="00045496">
                  <w:pPr>
                    <w:pStyle w:val="TableColumnHeading"/>
                    <w:jc w:val="left"/>
                  </w:pPr>
                </w:p>
              </w:tc>
              <w:tc>
                <w:tcPr>
                  <w:tcW w:w="526" w:type="pct"/>
                  <w:gridSpan w:val="2"/>
                  <w:tcBorders>
                    <w:top w:val="single" w:sz="6" w:space="0" w:color="BFBFBF"/>
                    <w:bottom w:val="single" w:sz="6" w:space="0" w:color="BFBFBF"/>
                  </w:tcBorders>
                </w:tcPr>
                <w:p w:rsidR="00045496" w:rsidRDefault="00045496" w:rsidP="00045496">
                  <w:pPr>
                    <w:pStyle w:val="TableColumnHeading"/>
                  </w:pPr>
                  <w:r>
                    <w:t>NSW</w:t>
                  </w:r>
                </w:p>
              </w:tc>
              <w:tc>
                <w:tcPr>
                  <w:tcW w:w="489" w:type="pct"/>
                  <w:gridSpan w:val="2"/>
                  <w:tcBorders>
                    <w:top w:val="single" w:sz="6" w:space="0" w:color="BFBFBF"/>
                    <w:bottom w:val="single" w:sz="6" w:space="0" w:color="BFBFBF"/>
                  </w:tcBorders>
                </w:tcPr>
                <w:p w:rsidR="00045496" w:rsidRDefault="00045496" w:rsidP="00045496">
                  <w:pPr>
                    <w:pStyle w:val="TableColumnHeading"/>
                  </w:pPr>
                  <w:r>
                    <w:t>Vic</w:t>
                  </w:r>
                </w:p>
              </w:tc>
              <w:tc>
                <w:tcPr>
                  <w:tcW w:w="489" w:type="pct"/>
                  <w:gridSpan w:val="2"/>
                  <w:tcBorders>
                    <w:top w:val="single" w:sz="6" w:space="0" w:color="BFBFBF"/>
                    <w:bottom w:val="single" w:sz="6" w:space="0" w:color="BFBFBF"/>
                  </w:tcBorders>
                </w:tcPr>
                <w:p w:rsidR="00045496" w:rsidRDefault="00045496" w:rsidP="00045496">
                  <w:pPr>
                    <w:pStyle w:val="TableColumnHeading"/>
                  </w:pPr>
                  <w:r>
                    <w:t>Qld</w:t>
                  </w:r>
                </w:p>
              </w:tc>
              <w:tc>
                <w:tcPr>
                  <w:tcW w:w="489" w:type="pct"/>
                  <w:gridSpan w:val="2"/>
                  <w:tcBorders>
                    <w:top w:val="single" w:sz="6" w:space="0" w:color="BFBFBF"/>
                    <w:bottom w:val="single" w:sz="6" w:space="0" w:color="BFBFBF"/>
                  </w:tcBorders>
                </w:tcPr>
                <w:p w:rsidR="00045496" w:rsidRDefault="00045496" w:rsidP="00045496">
                  <w:pPr>
                    <w:pStyle w:val="TableColumnHeading"/>
                  </w:pPr>
                  <w:r>
                    <w:t>WA</w:t>
                  </w:r>
                </w:p>
              </w:tc>
              <w:tc>
                <w:tcPr>
                  <w:tcW w:w="489" w:type="pct"/>
                  <w:gridSpan w:val="2"/>
                  <w:tcBorders>
                    <w:top w:val="single" w:sz="6" w:space="0" w:color="BFBFBF"/>
                    <w:bottom w:val="single" w:sz="6" w:space="0" w:color="BFBFBF"/>
                  </w:tcBorders>
                </w:tcPr>
                <w:p w:rsidR="00045496" w:rsidRDefault="00045496" w:rsidP="00045496">
                  <w:pPr>
                    <w:pStyle w:val="TableColumnHeading"/>
                  </w:pPr>
                  <w:r>
                    <w:t>SA</w:t>
                  </w:r>
                </w:p>
              </w:tc>
              <w:tc>
                <w:tcPr>
                  <w:tcW w:w="489" w:type="pct"/>
                  <w:gridSpan w:val="2"/>
                  <w:tcBorders>
                    <w:top w:val="single" w:sz="6" w:space="0" w:color="BFBFBF"/>
                    <w:bottom w:val="single" w:sz="6" w:space="0" w:color="BFBFBF"/>
                  </w:tcBorders>
                </w:tcPr>
                <w:p w:rsidR="00045496" w:rsidRDefault="00045496" w:rsidP="00045496">
                  <w:pPr>
                    <w:pStyle w:val="TableColumnHeading"/>
                  </w:pPr>
                  <w:r>
                    <w:t>Tas</w:t>
                  </w:r>
                </w:p>
              </w:tc>
              <w:tc>
                <w:tcPr>
                  <w:tcW w:w="490" w:type="pct"/>
                  <w:gridSpan w:val="2"/>
                  <w:tcBorders>
                    <w:top w:val="single" w:sz="6" w:space="0" w:color="BFBFBF"/>
                    <w:bottom w:val="single" w:sz="6" w:space="0" w:color="BFBFBF"/>
                  </w:tcBorders>
                  <w:shd w:val="clear" w:color="auto" w:fill="auto"/>
                  <w:tcMar>
                    <w:top w:w="28" w:type="dxa"/>
                  </w:tcMar>
                </w:tcPr>
                <w:p w:rsidR="00045496" w:rsidRDefault="00045496" w:rsidP="00045496">
                  <w:pPr>
                    <w:pStyle w:val="TableColumnHeading"/>
                  </w:pPr>
                  <w:r>
                    <w:t>ACT</w:t>
                  </w:r>
                </w:p>
              </w:tc>
              <w:tc>
                <w:tcPr>
                  <w:tcW w:w="485" w:type="pct"/>
                  <w:gridSpan w:val="2"/>
                  <w:tcBorders>
                    <w:top w:val="single" w:sz="6" w:space="0" w:color="BFBFBF"/>
                    <w:bottom w:val="single" w:sz="6" w:space="0" w:color="BFBFBF"/>
                  </w:tcBorders>
                </w:tcPr>
                <w:p w:rsidR="00045496" w:rsidRDefault="00045496" w:rsidP="00045496">
                  <w:pPr>
                    <w:pStyle w:val="TableColumnHeading"/>
                  </w:pPr>
                  <w:r>
                    <w:t>NT</w:t>
                  </w:r>
                </w:p>
              </w:tc>
              <w:tc>
                <w:tcPr>
                  <w:tcW w:w="484" w:type="pct"/>
                  <w:tcBorders>
                    <w:top w:val="single" w:sz="6" w:space="0" w:color="BFBFBF"/>
                    <w:bottom w:val="single" w:sz="6" w:space="0" w:color="BFBFBF"/>
                  </w:tcBorders>
                  <w:shd w:val="clear" w:color="auto" w:fill="auto"/>
                  <w:tcMar>
                    <w:top w:w="28" w:type="dxa"/>
                  </w:tcMar>
                </w:tcPr>
                <w:p w:rsidR="00045496" w:rsidRDefault="00045496" w:rsidP="00045496">
                  <w:pPr>
                    <w:pStyle w:val="TableColumnHeading"/>
                  </w:pPr>
                  <w:r>
                    <w:t>Aust</w:t>
                  </w:r>
                </w:p>
              </w:tc>
            </w:tr>
            <w:tr w:rsidR="00045496" w:rsidTr="00917D1B">
              <w:tc>
                <w:tcPr>
                  <w:tcW w:w="5000" w:type="pct"/>
                  <w:gridSpan w:val="18"/>
                  <w:shd w:val="clear" w:color="auto" w:fill="auto"/>
                </w:tcPr>
                <w:p w:rsidR="00045496" w:rsidRPr="00922F3B" w:rsidRDefault="00045496" w:rsidP="00045496">
                  <w:pPr>
                    <w:pStyle w:val="DQIRowHeadings"/>
                  </w:pPr>
                  <w:r>
                    <w:t>Affordability</w:t>
                  </w:r>
                </w:p>
              </w:tc>
            </w:tr>
            <w:tr w:rsidR="00045496" w:rsidTr="00917D1B">
              <w:tc>
                <w:tcPr>
                  <w:tcW w:w="5000" w:type="pct"/>
                  <w:gridSpan w:val="18"/>
                </w:tcPr>
                <w:p w:rsidR="00045496" w:rsidRDefault="00045496" w:rsidP="00045496">
                  <w:pPr>
                    <w:pStyle w:val="TableBodyText"/>
                    <w:ind w:left="113" w:right="28"/>
                    <w:jc w:val="left"/>
                  </w:pPr>
                  <w:r w:rsidRPr="00F772E2">
                    <w:t>Proportion of low income households spending more than 30 per cent of their gross income on rent</w:t>
                  </w:r>
                  <w:r>
                    <w:t>, 2014</w:t>
                  </w:r>
                  <w:r>
                    <w:noBreakHyphen/>
                    <w:t>15</w:t>
                  </w:r>
                  <w:r w:rsidRPr="00F772E2">
                    <w:t xml:space="preserve"> (%)</w:t>
                  </w:r>
                </w:p>
              </w:tc>
            </w:tr>
            <w:tr w:rsidR="00045496" w:rsidTr="00045496">
              <w:tc>
                <w:tcPr>
                  <w:tcW w:w="5000" w:type="pct"/>
                  <w:gridSpan w:val="18"/>
                  <w:shd w:val="clear" w:color="auto" w:fill="auto"/>
                </w:tcPr>
                <w:p w:rsidR="00045496" w:rsidRDefault="00045496"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045496" w:rsidTr="000701D5">
              <w:tc>
                <w:tcPr>
                  <w:tcW w:w="570" w:type="pct"/>
                </w:tcPr>
                <w:p w:rsidR="00045496" w:rsidRDefault="00045496" w:rsidP="00917D1B">
                  <w:pPr>
                    <w:pStyle w:val="TableBodyText"/>
                    <w:ind w:left="227" w:right="0"/>
                    <w:jc w:val="left"/>
                  </w:pPr>
                  <w:r>
                    <w:t>PH</w:t>
                  </w:r>
                </w:p>
              </w:tc>
              <w:tc>
                <w:tcPr>
                  <w:tcW w:w="431" w:type="pct"/>
                  <w:shd w:val="clear" w:color="auto" w:fill="auto"/>
                  <w:vAlign w:val="center"/>
                </w:tcPr>
                <w:p w:rsidR="00045496" w:rsidRPr="008F0148" w:rsidRDefault="00080F6D" w:rsidP="00045496">
                  <w:pPr>
                    <w:pStyle w:val="TableBodyText"/>
                  </w:pPr>
                  <w:r>
                    <w:t xml:space="preserve"> </w:t>
                  </w:r>
                  <w:r w:rsidR="00045496" w:rsidRPr="008F0148">
                    <w:t>1.5</w:t>
                  </w:r>
                </w:p>
              </w:tc>
              <w:tc>
                <w:tcPr>
                  <w:tcW w:w="501" w:type="pct"/>
                  <w:gridSpan w:val="2"/>
                  <w:shd w:val="clear" w:color="auto" w:fill="auto"/>
                  <w:vAlign w:val="center"/>
                </w:tcPr>
                <w:p w:rsidR="00045496" w:rsidRPr="008F0148" w:rsidRDefault="00080F6D" w:rsidP="00045496">
                  <w:pPr>
                    <w:pStyle w:val="TableBodyText"/>
                  </w:pPr>
                  <w:r>
                    <w:t xml:space="preserve"> </w:t>
                  </w:r>
                  <w:r w:rsidR="00045496" w:rsidRPr="008F0148">
                    <w:t>0.4</w:t>
                  </w:r>
                </w:p>
              </w:tc>
              <w:tc>
                <w:tcPr>
                  <w:tcW w:w="501" w:type="pct"/>
                  <w:gridSpan w:val="2"/>
                  <w:shd w:val="clear" w:color="auto" w:fill="auto"/>
                  <w:vAlign w:val="center"/>
                </w:tcPr>
                <w:p w:rsidR="00045496" w:rsidRPr="008F0148" w:rsidRDefault="00080F6D" w:rsidP="00045496">
                  <w:pPr>
                    <w:pStyle w:val="TableBodyText"/>
                  </w:pPr>
                  <w:r>
                    <w:t xml:space="preserve"> </w:t>
                  </w:r>
                  <w:r w:rsidR="007B738B" w:rsidRPr="008F0148">
                    <w:t>–</w:t>
                  </w:r>
                </w:p>
              </w:tc>
              <w:tc>
                <w:tcPr>
                  <w:tcW w:w="501" w:type="pct"/>
                  <w:gridSpan w:val="2"/>
                  <w:shd w:val="clear" w:color="auto" w:fill="auto"/>
                  <w:vAlign w:val="center"/>
                </w:tcPr>
                <w:p w:rsidR="00045496" w:rsidRPr="008F0148" w:rsidRDefault="00080F6D" w:rsidP="00045496">
                  <w:pPr>
                    <w:pStyle w:val="TableBodyText"/>
                  </w:pPr>
                  <w:r>
                    <w:t xml:space="preserve"> </w:t>
                  </w:r>
                  <w:r w:rsidR="00045496" w:rsidRPr="008F0148">
                    <w:t>1.5</w:t>
                  </w:r>
                </w:p>
              </w:tc>
              <w:tc>
                <w:tcPr>
                  <w:tcW w:w="501" w:type="pct"/>
                  <w:gridSpan w:val="2"/>
                  <w:shd w:val="clear" w:color="auto" w:fill="auto"/>
                  <w:vAlign w:val="center"/>
                </w:tcPr>
                <w:p w:rsidR="00045496" w:rsidRPr="008F0148" w:rsidRDefault="00045496" w:rsidP="00045496">
                  <w:pPr>
                    <w:pStyle w:val="TableBodyText"/>
                  </w:pPr>
                  <w:r w:rsidRPr="008F0148">
                    <w:t>–</w:t>
                  </w:r>
                </w:p>
              </w:tc>
              <w:tc>
                <w:tcPr>
                  <w:tcW w:w="501" w:type="pct"/>
                  <w:gridSpan w:val="2"/>
                  <w:shd w:val="clear" w:color="auto" w:fill="auto"/>
                  <w:vAlign w:val="center"/>
                </w:tcPr>
                <w:p w:rsidR="00045496" w:rsidRPr="008F0148" w:rsidRDefault="00080F6D" w:rsidP="00045496">
                  <w:pPr>
                    <w:pStyle w:val="TableBodyText"/>
                  </w:pPr>
                  <w:r>
                    <w:t xml:space="preserve"> </w:t>
                  </w:r>
                  <w:r w:rsidR="00045496" w:rsidRPr="008F0148">
                    <w:t>0.1</w:t>
                  </w:r>
                </w:p>
              </w:tc>
              <w:tc>
                <w:tcPr>
                  <w:tcW w:w="501" w:type="pct"/>
                  <w:gridSpan w:val="2"/>
                  <w:shd w:val="clear" w:color="auto" w:fill="auto"/>
                  <w:vAlign w:val="center"/>
                </w:tcPr>
                <w:p w:rsidR="00045496" w:rsidRPr="008F0148" w:rsidRDefault="00080F6D" w:rsidP="00045496">
                  <w:pPr>
                    <w:pStyle w:val="TableBodyText"/>
                  </w:pPr>
                  <w:r>
                    <w:t xml:space="preserve"> </w:t>
                  </w:r>
                  <w:r w:rsidR="00045496" w:rsidRPr="008F0148">
                    <w:t>0.1</w:t>
                  </w:r>
                </w:p>
              </w:tc>
              <w:tc>
                <w:tcPr>
                  <w:tcW w:w="496" w:type="pct"/>
                  <w:gridSpan w:val="2"/>
                  <w:shd w:val="clear" w:color="auto" w:fill="auto"/>
                  <w:vAlign w:val="center"/>
                </w:tcPr>
                <w:p w:rsidR="00045496" w:rsidRPr="008F0148" w:rsidRDefault="00080F6D" w:rsidP="00045496">
                  <w:pPr>
                    <w:pStyle w:val="TableBodyText"/>
                  </w:pPr>
                  <w:r>
                    <w:t xml:space="preserve"> </w:t>
                  </w:r>
                  <w:r w:rsidR="00045496" w:rsidRPr="008F0148">
                    <w:t>7.7</w:t>
                  </w:r>
                </w:p>
              </w:tc>
              <w:tc>
                <w:tcPr>
                  <w:tcW w:w="496" w:type="pct"/>
                  <w:gridSpan w:val="2"/>
                  <w:shd w:val="clear" w:color="auto" w:fill="auto"/>
                  <w:vAlign w:val="center"/>
                </w:tcPr>
                <w:p w:rsidR="00045496" w:rsidRPr="008F0148" w:rsidRDefault="00080F6D" w:rsidP="00045496">
                  <w:pPr>
                    <w:pStyle w:val="TableBodyText"/>
                  </w:pPr>
                  <w:r>
                    <w:t xml:space="preserve"> </w:t>
                  </w:r>
                  <w:r w:rsidR="00045496" w:rsidRPr="008F0148">
                    <w:t>0.9</w:t>
                  </w:r>
                </w:p>
              </w:tc>
            </w:tr>
            <w:tr w:rsidR="00045496" w:rsidTr="000701D5">
              <w:tc>
                <w:tcPr>
                  <w:tcW w:w="570" w:type="pct"/>
                </w:tcPr>
                <w:p w:rsidR="00045496" w:rsidRDefault="00045496" w:rsidP="00917D1B">
                  <w:pPr>
                    <w:pStyle w:val="TableBodyText"/>
                    <w:ind w:left="227" w:right="0"/>
                    <w:jc w:val="left"/>
                  </w:pPr>
                  <w:r>
                    <w:t>SOMIH</w:t>
                  </w:r>
                </w:p>
              </w:tc>
              <w:tc>
                <w:tcPr>
                  <w:tcW w:w="431" w:type="pct"/>
                  <w:shd w:val="clear" w:color="auto" w:fill="auto"/>
                  <w:vAlign w:val="center"/>
                </w:tcPr>
                <w:p w:rsidR="00045496" w:rsidRPr="008F0148" w:rsidRDefault="00080F6D" w:rsidP="00045496">
                  <w:pPr>
                    <w:pStyle w:val="TableBodyText"/>
                  </w:pPr>
                  <w:r>
                    <w:t xml:space="preserve"> </w:t>
                  </w:r>
                  <w:r w:rsidR="0024443A" w:rsidRPr="008F0148">
                    <w:t>0.8</w:t>
                  </w:r>
                </w:p>
              </w:tc>
              <w:tc>
                <w:tcPr>
                  <w:tcW w:w="501" w:type="pct"/>
                  <w:gridSpan w:val="2"/>
                  <w:shd w:val="clear" w:color="auto" w:fill="auto"/>
                  <w:vAlign w:val="center"/>
                </w:tcPr>
                <w:p w:rsidR="00045496" w:rsidRPr="008F0148" w:rsidRDefault="0024443A" w:rsidP="00045496">
                  <w:pPr>
                    <w:pStyle w:val="TableBodyText"/>
                  </w:pPr>
                  <w:r w:rsidRPr="008F0148">
                    <w:t>..</w:t>
                  </w:r>
                  <w:r w:rsidR="00080F6D">
                    <w:t xml:space="preserve"> </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w:t>
                  </w:r>
                </w:p>
              </w:tc>
              <w:tc>
                <w:tcPr>
                  <w:tcW w:w="501" w:type="pct"/>
                  <w:gridSpan w:val="2"/>
                  <w:shd w:val="clear" w:color="auto" w:fill="auto"/>
                  <w:vAlign w:val="center"/>
                </w:tcPr>
                <w:p w:rsidR="00045496" w:rsidRPr="008F0148" w:rsidRDefault="0024443A" w:rsidP="00045496">
                  <w:pPr>
                    <w:pStyle w:val="TableBodyText"/>
                  </w:pPr>
                  <w:r w:rsidRPr="008F0148">
                    <w:t>..</w:t>
                  </w:r>
                </w:p>
              </w:tc>
              <w:tc>
                <w:tcPr>
                  <w:tcW w:w="501" w:type="pct"/>
                  <w:gridSpan w:val="2"/>
                  <w:shd w:val="clear" w:color="auto" w:fill="auto"/>
                  <w:vAlign w:val="center"/>
                </w:tcPr>
                <w:p w:rsidR="00045496" w:rsidRPr="008F0148" w:rsidRDefault="00045496" w:rsidP="00045496">
                  <w:pPr>
                    <w:pStyle w:val="TableBodyText"/>
                  </w:pPr>
                  <w:r w:rsidRPr="008F0148">
                    <w:t>–</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w:t>
                  </w:r>
                </w:p>
              </w:tc>
              <w:tc>
                <w:tcPr>
                  <w:tcW w:w="496" w:type="pct"/>
                  <w:gridSpan w:val="2"/>
                  <w:shd w:val="clear" w:color="auto" w:fill="auto"/>
                  <w:vAlign w:val="center"/>
                </w:tcPr>
                <w:p w:rsidR="00045496" w:rsidRPr="008F0148" w:rsidRDefault="0024443A" w:rsidP="00045496">
                  <w:pPr>
                    <w:pStyle w:val="TableBodyText"/>
                  </w:pPr>
                  <w:r w:rsidRPr="008F0148">
                    <w:t>..</w:t>
                  </w:r>
                </w:p>
              </w:tc>
              <w:tc>
                <w:tcPr>
                  <w:tcW w:w="496" w:type="pct"/>
                  <w:gridSpan w:val="2"/>
                  <w:shd w:val="clear" w:color="auto" w:fill="auto"/>
                  <w:vAlign w:val="center"/>
                </w:tcPr>
                <w:p w:rsidR="00045496" w:rsidRPr="008F0148" w:rsidRDefault="00080F6D" w:rsidP="00045496">
                  <w:pPr>
                    <w:pStyle w:val="TableBodyText"/>
                  </w:pPr>
                  <w:r>
                    <w:t xml:space="preserve"> </w:t>
                  </w:r>
                  <w:r w:rsidR="0024443A" w:rsidRPr="008F0148">
                    <w:t>0.3</w:t>
                  </w:r>
                </w:p>
              </w:tc>
            </w:tr>
            <w:tr w:rsidR="00045496" w:rsidTr="000701D5">
              <w:tc>
                <w:tcPr>
                  <w:tcW w:w="570" w:type="pct"/>
                </w:tcPr>
                <w:p w:rsidR="00045496" w:rsidRDefault="00045496" w:rsidP="00917D1B">
                  <w:pPr>
                    <w:pStyle w:val="TableBodyText"/>
                    <w:ind w:left="227" w:right="0"/>
                    <w:jc w:val="left"/>
                  </w:pPr>
                  <w:r>
                    <w:t>CH</w:t>
                  </w:r>
                </w:p>
              </w:tc>
              <w:tc>
                <w:tcPr>
                  <w:tcW w:w="431" w:type="pct"/>
                  <w:shd w:val="clear" w:color="auto" w:fill="auto"/>
                  <w:vAlign w:val="center"/>
                </w:tcPr>
                <w:p w:rsidR="00045496" w:rsidRPr="008F0148" w:rsidRDefault="00080F6D" w:rsidP="00045496">
                  <w:pPr>
                    <w:pStyle w:val="TableBodyText"/>
                  </w:pPr>
                  <w:r>
                    <w:t xml:space="preserve"> </w:t>
                  </w:r>
                  <w:r w:rsidR="0024443A" w:rsidRPr="008F0148">
                    <w:t>7.6</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0.1</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na</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17.7</w:t>
                  </w:r>
                </w:p>
              </w:tc>
              <w:tc>
                <w:tcPr>
                  <w:tcW w:w="501" w:type="pct"/>
                  <w:gridSpan w:val="2"/>
                  <w:shd w:val="clear" w:color="auto" w:fill="auto"/>
                  <w:vAlign w:val="center"/>
                </w:tcPr>
                <w:p w:rsidR="00045496" w:rsidRPr="008F0148" w:rsidRDefault="0024443A" w:rsidP="00045496">
                  <w:pPr>
                    <w:pStyle w:val="TableBodyText"/>
                  </w:pPr>
                  <w:r w:rsidRPr="008F0148">
                    <w:t>9.0</w:t>
                  </w:r>
                </w:p>
              </w:tc>
              <w:tc>
                <w:tcPr>
                  <w:tcW w:w="501" w:type="pct"/>
                  <w:gridSpan w:val="2"/>
                  <w:shd w:val="clear" w:color="auto" w:fill="auto"/>
                  <w:vAlign w:val="center"/>
                </w:tcPr>
                <w:p w:rsidR="00045496" w:rsidRPr="008F0148" w:rsidRDefault="00080F6D" w:rsidP="00045496">
                  <w:pPr>
                    <w:pStyle w:val="TableBodyText"/>
                  </w:pPr>
                  <w:r>
                    <w:t xml:space="preserve"> </w:t>
                  </w:r>
                  <w:r w:rsidR="0024443A" w:rsidRPr="008F0148">
                    <w:t>27.8</w:t>
                  </w:r>
                </w:p>
              </w:tc>
              <w:tc>
                <w:tcPr>
                  <w:tcW w:w="501" w:type="pct"/>
                  <w:gridSpan w:val="2"/>
                  <w:shd w:val="clear" w:color="auto" w:fill="auto"/>
                  <w:vAlign w:val="center"/>
                </w:tcPr>
                <w:p w:rsidR="00045496" w:rsidRPr="008F0148" w:rsidRDefault="00080F6D" w:rsidP="00045496">
                  <w:pPr>
                    <w:pStyle w:val="TableBodyText"/>
                  </w:pPr>
                  <w:r>
                    <w:t xml:space="preserve"> </w:t>
                  </w:r>
                  <w:r w:rsidR="00045496" w:rsidRPr="008F0148">
                    <w:t>0.4</w:t>
                  </w:r>
                </w:p>
              </w:tc>
              <w:tc>
                <w:tcPr>
                  <w:tcW w:w="496" w:type="pct"/>
                  <w:gridSpan w:val="2"/>
                  <w:shd w:val="clear" w:color="auto" w:fill="auto"/>
                  <w:vAlign w:val="center"/>
                </w:tcPr>
                <w:p w:rsidR="00045496" w:rsidRPr="008F0148" w:rsidRDefault="00080F6D" w:rsidP="00045496">
                  <w:pPr>
                    <w:pStyle w:val="TableBodyText"/>
                  </w:pPr>
                  <w:r>
                    <w:t xml:space="preserve"> </w:t>
                  </w:r>
                  <w:r w:rsidR="0024443A" w:rsidRPr="008F0148">
                    <w:t>na</w:t>
                  </w:r>
                </w:p>
              </w:tc>
              <w:tc>
                <w:tcPr>
                  <w:tcW w:w="496" w:type="pct"/>
                  <w:gridSpan w:val="2"/>
                  <w:shd w:val="clear" w:color="auto" w:fill="auto"/>
                  <w:vAlign w:val="center"/>
                </w:tcPr>
                <w:p w:rsidR="0024443A" w:rsidRPr="008F0148" w:rsidRDefault="00080F6D" w:rsidP="00045496">
                  <w:pPr>
                    <w:pStyle w:val="TableBodyText"/>
                  </w:pPr>
                  <w:r>
                    <w:t xml:space="preserve"> </w:t>
                  </w:r>
                  <w:r w:rsidR="0024443A" w:rsidRPr="008F0148">
                    <w:t>8.7</w:t>
                  </w:r>
                </w:p>
              </w:tc>
            </w:tr>
            <w:tr w:rsidR="00045496" w:rsidTr="00045496">
              <w:tc>
                <w:tcPr>
                  <w:tcW w:w="5000" w:type="pct"/>
                  <w:gridSpan w:val="18"/>
                </w:tcPr>
                <w:p w:rsidR="00045496" w:rsidRDefault="00045496" w:rsidP="00045496">
                  <w:pPr>
                    <w:pStyle w:val="Source"/>
                    <w:spacing w:before="0" w:after="80"/>
                    <w:ind w:left="113"/>
                  </w:pPr>
                  <w:r w:rsidRPr="00253B66">
                    <w:rPr>
                      <w:i/>
                    </w:rPr>
                    <w:t>Source</w:t>
                  </w:r>
                  <w:r w:rsidRPr="00080F6D">
                    <w:t>:</w:t>
                  </w:r>
                  <w:r w:rsidRPr="0046068B">
                    <w:rPr>
                      <w:i/>
                    </w:rPr>
                    <w:t xml:space="preserve"> </w:t>
                  </w:r>
                  <w:r>
                    <w:t>Attachment table 17A.43</w:t>
                  </w:r>
                  <w:r w:rsidR="00C9055F">
                    <w:t>.</w:t>
                  </w:r>
                </w:p>
              </w:tc>
            </w:tr>
            <w:tr w:rsidR="00045496" w:rsidTr="00045496">
              <w:tc>
                <w:tcPr>
                  <w:tcW w:w="5000" w:type="pct"/>
                  <w:gridSpan w:val="18"/>
                  <w:shd w:val="clear" w:color="auto" w:fill="auto"/>
                </w:tcPr>
                <w:p w:rsidR="00045496" w:rsidRPr="00922F3B" w:rsidRDefault="006C0101" w:rsidP="00045496">
                  <w:pPr>
                    <w:pStyle w:val="DQIRowHeadings"/>
                  </w:pPr>
                  <w:r w:rsidRPr="006C0101">
                    <w:t>Match of dwelling to household size</w:t>
                  </w:r>
                </w:p>
              </w:tc>
            </w:tr>
            <w:tr w:rsidR="00045496" w:rsidTr="00917D1B">
              <w:tc>
                <w:tcPr>
                  <w:tcW w:w="5000" w:type="pct"/>
                  <w:gridSpan w:val="18"/>
                </w:tcPr>
                <w:p w:rsidR="00045496" w:rsidRDefault="006C0101" w:rsidP="006C0101">
                  <w:pPr>
                    <w:pStyle w:val="TableBodyText"/>
                    <w:ind w:left="113" w:right="28"/>
                    <w:jc w:val="left"/>
                  </w:pPr>
                  <w:r w:rsidRPr="00F772E2">
                    <w:t>Proportion of overcrowded households</w:t>
                  </w:r>
                  <w:r w:rsidR="00045496">
                    <w:t>, 2014</w:t>
                  </w:r>
                  <w:r w:rsidR="00080F6D">
                    <w:noBreakHyphen/>
                  </w:r>
                  <w:r w:rsidR="00045496">
                    <w:t>15</w:t>
                  </w:r>
                  <w:r w:rsidR="00080F6D">
                    <w:t xml:space="preserve"> </w:t>
                  </w:r>
                  <w:r w:rsidR="00045496">
                    <w:t>(</w:t>
                  </w:r>
                  <w:r>
                    <w:t>%</w:t>
                  </w:r>
                  <w:r w:rsidR="00045496">
                    <w:t>)</w:t>
                  </w:r>
                  <w:r w:rsidR="002E6124">
                    <w:t xml:space="preserve"> (</w:t>
                  </w:r>
                  <w:proofErr w:type="spellStart"/>
                  <w:r w:rsidR="002E6124">
                    <w:t>ICH</w:t>
                  </w:r>
                  <w:proofErr w:type="spellEnd"/>
                  <w:r w:rsidR="002E6124">
                    <w:t xml:space="preserve"> = 2013-14)</w:t>
                  </w:r>
                </w:p>
              </w:tc>
            </w:tr>
            <w:tr w:rsidR="00045496" w:rsidTr="00045496">
              <w:tc>
                <w:tcPr>
                  <w:tcW w:w="5000" w:type="pct"/>
                  <w:gridSpan w:val="18"/>
                  <w:shd w:val="clear" w:color="auto" w:fill="auto"/>
                </w:tcPr>
                <w:p w:rsidR="00045496" w:rsidRDefault="00045496"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6C0101" w:rsidTr="00917D1B">
              <w:tc>
                <w:tcPr>
                  <w:tcW w:w="570" w:type="pct"/>
                </w:tcPr>
                <w:p w:rsidR="006C0101" w:rsidRDefault="006C0101" w:rsidP="00917D1B">
                  <w:pPr>
                    <w:pStyle w:val="TableBodyText"/>
                    <w:ind w:left="227" w:right="0"/>
                    <w:jc w:val="left"/>
                  </w:pPr>
                  <w:r>
                    <w:t>PH</w:t>
                  </w:r>
                </w:p>
              </w:tc>
              <w:tc>
                <w:tcPr>
                  <w:tcW w:w="431" w:type="pct"/>
                  <w:vAlign w:val="center"/>
                </w:tcPr>
                <w:p w:rsidR="006C0101" w:rsidRPr="006C0101" w:rsidRDefault="00080F6D" w:rsidP="006C0101">
                  <w:pPr>
                    <w:pStyle w:val="TableBodyText"/>
                  </w:pPr>
                  <w:r>
                    <w:t xml:space="preserve"> </w:t>
                  </w:r>
                  <w:r w:rsidR="006C0101" w:rsidRPr="006C0101">
                    <w:t>4.6</w:t>
                  </w:r>
                </w:p>
              </w:tc>
              <w:tc>
                <w:tcPr>
                  <w:tcW w:w="501" w:type="pct"/>
                  <w:gridSpan w:val="2"/>
                  <w:vAlign w:val="center"/>
                </w:tcPr>
                <w:p w:rsidR="006C0101" w:rsidRPr="006C0101" w:rsidRDefault="00080F6D" w:rsidP="006C0101">
                  <w:pPr>
                    <w:pStyle w:val="TableBodyText"/>
                  </w:pPr>
                  <w:r>
                    <w:t xml:space="preserve"> </w:t>
                  </w:r>
                  <w:r w:rsidR="006C0101" w:rsidRPr="006C0101">
                    <w:t>4.5</w:t>
                  </w:r>
                </w:p>
              </w:tc>
              <w:tc>
                <w:tcPr>
                  <w:tcW w:w="501" w:type="pct"/>
                  <w:gridSpan w:val="2"/>
                  <w:vAlign w:val="center"/>
                </w:tcPr>
                <w:p w:rsidR="006C0101" w:rsidRPr="006C0101" w:rsidRDefault="00080F6D" w:rsidP="006C0101">
                  <w:pPr>
                    <w:pStyle w:val="TableBodyText"/>
                  </w:pPr>
                  <w:r>
                    <w:t xml:space="preserve"> </w:t>
                  </w:r>
                  <w:r w:rsidR="006C0101" w:rsidRPr="006C0101">
                    <w:t>4.5</w:t>
                  </w:r>
                </w:p>
              </w:tc>
              <w:tc>
                <w:tcPr>
                  <w:tcW w:w="501" w:type="pct"/>
                  <w:gridSpan w:val="2"/>
                  <w:vAlign w:val="center"/>
                </w:tcPr>
                <w:p w:rsidR="006C0101" w:rsidRPr="006C0101" w:rsidRDefault="00080F6D" w:rsidP="006C0101">
                  <w:pPr>
                    <w:pStyle w:val="TableBodyText"/>
                  </w:pPr>
                  <w:r>
                    <w:t xml:space="preserve"> </w:t>
                  </w:r>
                  <w:r w:rsidR="006C0101" w:rsidRPr="006C0101">
                    <w:t>6.3</w:t>
                  </w:r>
                </w:p>
              </w:tc>
              <w:tc>
                <w:tcPr>
                  <w:tcW w:w="501" w:type="pct"/>
                  <w:gridSpan w:val="2"/>
                  <w:vAlign w:val="center"/>
                </w:tcPr>
                <w:p w:rsidR="006C0101" w:rsidRPr="006C0101" w:rsidRDefault="00080F6D" w:rsidP="006C0101">
                  <w:pPr>
                    <w:pStyle w:val="TableBodyText"/>
                  </w:pPr>
                  <w:r>
                    <w:t xml:space="preserve"> </w:t>
                  </w:r>
                  <w:r w:rsidR="006C0101" w:rsidRPr="006C0101">
                    <w:t>1.9</w:t>
                  </w:r>
                </w:p>
              </w:tc>
              <w:tc>
                <w:tcPr>
                  <w:tcW w:w="501" w:type="pct"/>
                  <w:gridSpan w:val="2"/>
                  <w:vAlign w:val="center"/>
                </w:tcPr>
                <w:p w:rsidR="006C0101" w:rsidRPr="006C0101" w:rsidRDefault="00080F6D" w:rsidP="006C0101">
                  <w:pPr>
                    <w:pStyle w:val="TableBodyText"/>
                  </w:pPr>
                  <w:r>
                    <w:t xml:space="preserve"> </w:t>
                  </w:r>
                  <w:r w:rsidR="006C0101" w:rsidRPr="006C0101">
                    <w:t>3.7</w:t>
                  </w:r>
                </w:p>
              </w:tc>
              <w:tc>
                <w:tcPr>
                  <w:tcW w:w="501" w:type="pct"/>
                  <w:gridSpan w:val="2"/>
                  <w:vAlign w:val="center"/>
                </w:tcPr>
                <w:p w:rsidR="006C0101" w:rsidRPr="006C0101" w:rsidRDefault="00080F6D" w:rsidP="006C0101">
                  <w:pPr>
                    <w:pStyle w:val="TableBodyText"/>
                  </w:pPr>
                  <w:r>
                    <w:t xml:space="preserve"> </w:t>
                  </w:r>
                  <w:r w:rsidR="006C0101" w:rsidRPr="006C0101">
                    <w:t>5.0</w:t>
                  </w:r>
                </w:p>
              </w:tc>
              <w:tc>
                <w:tcPr>
                  <w:tcW w:w="496" w:type="pct"/>
                  <w:gridSpan w:val="2"/>
                  <w:vAlign w:val="center"/>
                </w:tcPr>
                <w:p w:rsidR="006C0101" w:rsidRPr="006C0101" w:rsidRDefault="00080F6D" w:rsidP="006C0101">
                  <w:pPr>
                    <w:pStyle w:val="TableBodyText"/>
                  </w:pPr>
                  <w:r>
                    <w:t xml:space="preserve"> </w:t>
                  </w:r>
                  <w:r w:rsidR="006C0101" w:rsidRPr="006C0101">
                    <w:t>7.3</w:t>
                  </w:r>
                </w:p>
              </w:tc>
              <w:tc>
                <w:tcPr>
                  <w:tcW w:w="496" w:type="pct"/>
                  <w:gridSpan w:val="2"/>
                  <w:vAlign w:val="center"/>
                </w:tcPr>
                <w:p w:rsidR="006C0101" w:rsidRPr="006C0101" w:rsidRDefault="00080F6D" w:rsidP="006C0101">
                  <w:pPr>
                    <w:pStyle w:val="TableBodyText"/>
                  </w:pPr>
                  <w:r>
                    <w:t xml:space="preserve"> </w:t>
                  </w:r>
                  <w:r w:rsidR="006C0101" w:rsidRPr="006C0101">
                    <w:t>4.4</w:t>
                  </w:r>
                </w:p>
              </w:tc>
            </w:tr>
            <w:tr w:rsidR="006C0101" w:rsidTr="00917D1B">
              <w:tc>
                <w:tcPr>
                  <w:tcW w:w="570" w:type="pct"/>
                </w:tcPr>
                <w:p w:rsidR="006C0101" w:rsidRDefault="006C0101" w:rsidP="00917D1B">
                  <w:pPr>
                    <w:pStyle w:val="TableBodyText"/>
                    <w:ind w:left="227" w:right="0"/>
                    <w:jc w:val="left"/>
                  </w:pPr>
                  <w:r>
                    <w:t>SOMIH</w:t>
                  </w:r>
                </w:p>
              </w:tc>
              <w:tc>
                <w:tcPr>
                  <w:tcW w:w="431" w:type="pct"/>
                  <w:vAlign w:val="center"/>
                </w:tcPr>
                <w:p w:rsidR="006C0101" w:rsidRPr="006C0101" w:rsidRDefault="00080F6D" w:rsidP="006C0101">
                  <w:pPr>
                    <w:pStyle w:val="TableBodyText"/>
                  </w:pPr>
                  <w:r>
                    <w:t xml:space="preserve"> </w:t>
                  </w:r>
                  <w:r w:rsidR="006C0101" w:rsidRPr="006C0101">
                    <w:t>8.4</w:t>
                  </w:r>
                </w:p>
              </w:tc>
              <w:tc>
                <w:tcPr>
                  <w:tcW w:w="501" w:type="pct"/>
                  <w:gridSpan w:val="2"/>
                  <w:vAlign w:val="center"/>
                </w:tcPr>
                <w:p w:rsidR="006C0101" w:rsidRPr="006C0101" w:rsidRDefault="006C0101" w:rsidP="006C0101">
                  <w:pPr>
                    <w:pStyle w:val="TableBodyText"/>
                  </w:pPr>
                  <w:r w:rsidRPr="006C0101">
                    <w:t>..</w:t>
                  </w:r>
                </w:p>
              </w:tc>
              <w:tc>
                <w:tcPr>
                  <w:tcW w:w="501" w:type="pct"/>
                  <w:gridSpan w:val="2"/>
                  <w:vAlign w:val="center"/>
                </w:tcPr>
                <w:p w:rsidR="006C0101" w:rsidRPr="006C0101" w:rsidRDefault="00080F6D" w:rsidP="006C0101">
                  <w:pPr>
                    <w:pStyle w:val="TableBodyText"/>
                  </w:pPr>
                  <w:r>
                    <w:t xml:space="preserve"> </w:t>
                  </w:r>
                  <w:r w:rsidR="006C0101" w:rsidRPr="006C0101">
                    <w:t>12.6</w:t>
                  </w:r>
                </w:p>
              </w:tc>
              <w:tc>
                <w:tcPr>
                  <w:tcW w:w="501" w:type="pct"/>
                  <w:gridSpan w:val="2"/>
                  <w:vAlign w:val="center"/>
                </w:tcPr>
                <w:p w:rsidR="006C0101" w:rsidRPr="006C0101" w:rsidRDefault="006C0101" w:rsidP="006C0101">
                  <w:pPr>
                    <w:pStyle w:val="TableBodyText"/>
                  </w:pPr>
                  <w:r w:rsidRPr="006C0101">
                    <w:t>..</w:t>
                  </w:r>
                </w:p>
              </w:tc>
              <w:tc>
                <w:tcPr>
                  <w:tcW w:w="501" w:type="pct"/>
                  <w:gridSpan w:val="2"/>
                  <w:vAlign w:val="center"/>
                </w:tcPr>
                <w:p w:rsidR="006C0101" w:rsidRPr="006C0101" w:rsidRDefault="00080F6D" w:rsidP="006C0101">
                  <w:pPr>
                    <w:pStyle w:val="TableBodyText"/>
                  </w:pPr>
                  <w:r>
                    <w:t xml:space="preserve"> </w:t>
                  </w:r>
                  <w:r w:rsidR="006C0101" w:rsidRPr="006C0101">
                    <w:t>7.7</w:t>
                  </w:r>
                </w:p>
              </w:tc>
              <w:tc>
                <w:tcPr>
                  <w:tcW w:w="501" w:type="pct"/>
                  <w:gridSpan w:val="2"/>
                  <w:vAlign w:val="center"/>
                </w:tcPr>
                <w:p w:rsidR="006C0101" w:rsidRPr="006C0101" w:rsidRDefault="00080F6D" w:rsidP="006C0101">
                  <w:pPr>
                    <w:pStyle w:val="TableBodyText"/>
                  </w:pPr>
                  <w:r>
                    <w:t xml:space="preserve"> </w:t>
                  </w:r>
                  <w:r w:rsidR="006C0101" w:rsidRPr="006C0101">
                    <w:t>4.8</w:t>
                  </w:r>
                </w:p>
              </w:tc>
              <w:tc>
                <w:tcPr>
                  <w:tcW w:w="501" w:type="pct"/>
                  <w:gridSpan w:val="2"/>
                  <w:vAlign w:val="center"/>
                </w:tcPr>
                <w:p w:rsidR="006C0101" w:rsidRPr="006C0101" w:rsidRDefault="006C0101" w:rsidP="006C0101">
                  <w:pPr>
                    <w:pStyle w:val="TableBodyText"/>
                  </w:pPr>
                  <w:r w:rsidRPr="006C0101">
                    <w:t>..</w:t>
                  </w:r>
                </w:p>
              </w:tc>
              <w:tc>
                <w:tcPr>
                  <w:tcW w:w="496" w:type="pct"/>
                  <w:gridSpan w:val="2"/>
                  <w:vAlign w:val="center"/>
                </w:tcPr>
                <w:p w:rsidR="006C0101" w:rsidRPr="006C0101" w:rsidRDefault="006C0101" w:rsidP="006C0101">
                  <w:pPr>
                    <w:pStyle w:val="TableBodyText"/>
                  </w:pPr>
                  <w:r w:rsidRPr="006C0101">
                    <w:t>..</w:t>
                  </w:r>
                </w:p>
              </w:tc>
              <w:tc>
                <w:tcPr>
                  <w:tcW w:w="496" w:type="pct"/>
                  <w:gridSpan w:val="2"/>
                  <w:vAlign w:val="center"/>
                </w:tcPr>
                <w:p w:rsidR="006C0101" w:rsidRPr="006C0101" w:rsidRDefault="00080F6D" w:rsidP="006C0101">
                  <w:pPr>
                    <w:pStyle w:val="TableBodyText"/>
                  </w:pPr>
                  <w:r>
                    <w:t xml:space="preserve"> </w:t>
                  </w:r>
                  <w:r w:rsidR="006C0101" w:rsidRPr="006C0101">
                    <w:t>9.7</w:t>
                  </w:r>
                </w:p>
              </w:tc>
            </w:tr>
            <w:tr w:rsidR="006C0101" w:rsidTr="00917D1B">
              <w:tc>
                <w:tcPr>
                  <w:tcW w:w="570" w:type="pct"/>
                </w:tcPr>
                <w:p w:rsidR="006C0101" w:rsidRDefault="006C0101" w:rsidP="00917D1B">
                  <w:pPr>
                    <w:pStyle w:val="TableBodyText"/>
                    <w:ind w:left="227" w:right="0"/>
                    <w:jc w:val="left"/>
                  </w:pPr>
                  <w:r>
                    <w:t>CH</w:t>
                  </w:r>
                </w:p>
              </w:tc>
              <w:tc>
                <w:tcPr>
                  <w:tcW w:w="431" w:type="pct"/>
                  <w:vAlign w:val="center"/>
                </w:tcPr>
                <w:p w:rsidR="006C0101" w:rsidRPr="006C0101" w:rsidRDefault="00080F6D" w:rsidP="006C0101">
                  <w:pPr>
                    <w:pStyle w:val="TableBodyText"/>
                  </w:pPr>
                  <w:r>
                    <w:t xml:space="preserve"> </w:t>
                  </w:r>
                  <w:r w:rsidR="006C0101" w:rsidRPr="006C0101">
                    <w:t>4.8</w:t>
                  </w:r>
                </w:p>
              </w:tc>
              <w:tc>
                <w:tcPr>
                  <w:tcW w:w="501" w:type="pct"/>
                  <w:gridSpan w:val="2"/>
                  <w:vAlign w:val="center"/>
                </w:tcPr>
                <w:p w:rsidR="006C0101" w:rsidRPr="006C0101" w:rsidRDefault="00080F6D" w:rsidP="006C0101">
                  <w:pPr>
                    <w:pStyle w:val="TableBodyText"/>
                  </w:pPr>
                  <w:r>
                    <w:t xml:space="preserve"> </w:t>
                  </w:r>
                  <w:r w:rsidR="006C0101" w:rsidRPr="006C0101">
                    <w:t>5.1</w:t>
                  </w:r>
                </w:p>
              </w:tc>
              <w:tc>
                <w:tcPr>
                  <w:tcW w:w="501" w:type="pct"/>
                  <w:gridSpan w:val="2"/>
                  <w:vAlign w:val="center"/>
                </w:tcPr>
                <w:p w:rsidR="006C0101" w:rsidRPr="006C0101" w:rsidRDefault="006C0101" w:rsidP="006C0101">
                  <w:pPr>
                    <w:pStyle w:val="TableBodyText"/>
                  </w:pPr>
                  <w:r w:rsidRPr="006C0101">
                    <w:t>na</w:t>
                  </w:r>
                </w:p>
              </w:tc>
              <w:tc>
                <w:tcPr>
                  <w:tcW w:w="501" w:type="pct"/>
                  <w:gridSpan w:val="2"/>
                  <w:vAlign w:val="center"/>
                </w:tcPr>
                <w:p w:rsidR="006C0101" w:rsidRPr="006C0101" w:rsidRDefault="00080F6D" w:rsidP="006C0101">
                  <w:pPr>
                    <w:pStyle w:val="TableBodyText"/>
                  </w:pPr>
                  <w:r>
                    <w:t xml:space="preserve"> </w:t>
                  </w:r>
                  <w:r w:rsidR="006C0101" w:rsidRPr="006C0101">
                    <w:t>1.8</w:t>
                  </w:r>
                </w:p>
              </w:tc>
              <w:tc>
                <w:tcPr>
                  <w:tcW w:w="501" w:type="pct"/>
                  <w:gridSpan w:val="2"/>
                  <w:vAlign w:val="center"/>
                </w:tcPr>
                <w:p w:rsidR="006C0101" w:rsidRPr="006C0101" w:rsidRDefault="00080F6D" w:rsidP="006C0101">
                  <w:pPr>
                    <w:pStyle w:val="TableBodyText"/>
                  </w:pPr>
                  <w:r>
                    <w:t xml:space="preserve"> </w:t>
                  </w:r>
                  <w:r w:rsidR="006C0101" w:rsidRPr="006C0101">
                    <w:t>2.1</w:t>
                  </w:r>
                </w:p>
              </w:tc>
              <w:tc>
                <w:tcPr>
                  <w:tcW w:w="501" w:type="pct"/>
                  <w:gridSpan w:val="2"/>
                  <w:vAlign w:val="center"/>
                </w:tcPr>
                <w:p w:rsidR="006C0101" w:rsidRPr="006C0101" w:rsidRDefault="00080F6D" w:rsidP="006C0101">
                  <w:pPr>
                    <w:pStyle w:val="TableBodyText"/>
                  </w:pPr>
                  <w:r>
                    <w:t xml:space="preserve"> </w:t>
                  </w:r>
                  <w:r w:rsidR="006C0101" w:rsidRPr="006C0101">
                    <w:t>1.8</w:t>
                  </w:r>
                </w:p>
              </w:tc>
              <w:tc>
                <w:tcPr>
                  <w:tcW w:w="501" w:type="pct"/>
                  <w:gridSpan w:val="2"/>
                  <w:vAlign w:val="center"/>
                </w:tcPr>
                <w:p w:rsidR="006C0101" w:rsidRPr="006C0101" w:rsidRDefault="00080F6D" w:rsidP="006C0101">
                  <w:pPr>
                    <w:pStyle w:val="TableBodyText"/>
                  </w:pPr>
                  <w:r>
                    <w:t xml:space="preserve"> </w:t>
                  </w:r>
                  <w:r w:rsidR="006C0101" w:rsidRPr="006C0101">
                    <w:t>0.3</w:t>
                  </w:r>
                </w:p>
              </w:tc>
              <w:tc>
                <w:tcPr>
                  <w:tcW w:w="496" w:type="pct"/>
                  <w:gridSpan w:val="2"/>
                  <w:vAlign w:val="center"/>
                </w:tcPr>
                <w:p w:rsidR="006C0101" w:rsidRPr="006C0101" w:rsidRDefault="006C0101" w:rsidP="006C0101">
                  <w:pPr>
                    <w:pStyle w:val="TableBodyText"/>
                  </w:pPr>
                  <w:r w:rsidRPr="006C0101">
                    <w:t>na</w:t>
                  </w:r>
                </w:p>
              </w:tc>
              <w:tc>
                <w:tcPr>
                  <w:tcW w:w="496" w:type="pct"/>
                  <w:gridSpan w:val="2"/>
                  <w:vAlign w:val="center"/>
                </w:tcPr>
                <w:p w:rsidR="006C0101" w:rsidRPr="006C0101" w:rsidRDefault="00080F6D" w:rsidP="006C0101">
                  <w:pPr>
                    <w:pStyle w:val="TableBodyText"/>
                  </w:pPr>
                  <w:r>
                    <w:t xml:space="preserve"> </w:t>
                  </w:r>
                  <w:r w:rsidR="006C0101" w:rsidRPr="006C0101">
                    <w:t>3.9</w:t>
                  </w:r>
                </w:p>
              </w:tc>
            </w:tr>
            <w:tr w:rsidR="006C0101" w:rsidTr="00917D1B">
              <w:tc>
                <w:tcPr>
                  <w:tcW w:w="570" w:type="pct"/>
                  <w:shd w:val="clear" w:color="auto" w:fill="auto"/>
                </w:tcPr>
                <w:p w:rsidR="006C0101" w:rsidRDefault="006C0101" w:rsidP="00917D1B">
                  <w:pPr>
                    <w:pStyle w:val="TableBodyText"/>
                    <w:ind w:left="227" w:right="0"/>
                    <w:jc w:val="left"/>
                  </w:pPr>
                  <w:proofErr w:type="spellStart"/>
                  <w:r>
                    <w:t>ICH</w:t>
                  </w:r>
                  <w:proofErr w:type="spellEnd"/>
                </w:p>
              </w:tc>
              <w:tc>
                <w:tcPr>
                  <w:tcW w:w="431" w:type="pct"/>
                  <w:vAlign w:val="center"/>
                </w:tcPr>
                <w:p w:rsidR="006C0101" w:rsidRPr="006C0101" w:rsidRDefault="006C0101" w:rsidP="006C0101">
                  <w:pPr>
                    <w:pStyle w:val="TableBodyText"/>
                  </w:pPr>
                  <w:r w:rsidRPr="006C0101">
                    <w:t>na</w:t>
                  </w:r>
                </w:p>
              </w:tc>
              <w:tc>
                <w:tcPr>
                  <w:tcW w:w="501" w:type="pct"/>
                  <w:gridSpan w:val="2"/>
                  <w:vAlign w:val="center"/>
                </w:tcPr>
                <w:p w:rsidR="006C0101" w:rsidRPr="006C0101" w:rsidRDefault="00080F6D" w:rsidP="006C0101">
                  <w:pPr>
                    <w:pStyle w:val="TableBodyText"/>
                  </w:pPr>
                  <w:r>
                    <w:t xml:space="preserve"> </w:t>
                  </w:r>
                  <w:r w:rsidR="006C0101" w:rsidRPr="006C0101">
                    <w:t>6.1</w:t>
                  </w:r>
                </w:p>
              </w:tc>
              <w:tc>
                <w:tcPr>
                  <w:tcW w:w="501" w:type="pct"/>
                  <w:gridSpan w:val="2"/>
                  <w:vAlign w:val="center"/>
                </w:tcPr>
                <w:p w:rsidR="006C0101" w:rsidRPr="006C0101" w:rsidRDefault="00080F6D" w:rsidP="006C0101">
                  <w:pPr>
                    <w:pStyle w:val="TableBodyText"/>
                  </w:pPr>
                  <w:r>
                    <w:t xml:space="preserve"> </w:t>
                  </w:r>
                  <w:r w:rsidR="006C0101" w:rsidRPr="006C0101">
                    <w:t>28.0</w:t>
                  </w:r>
                </w:p>
              </w:tc>
              <w:tc>
                <w:tcPr>
                  <w:tcW w:w="501" w:type="pct"/>
                  <w:gridSpan w:val="2"/>
                  <w:vAlign w:val="center"/>
                </w:tcPr>
                <w:p w:rsidR="006C0101" w:rsidRPr="006C0101" w:rsidRDefault="00080F6D" w:rsidP="006C0101">
                  <w:pPr>
                    <w:pStyle w:val="TableBodyText"/>
                  </w:pPr>
                  <w:r>
                    <w:t xml:space="preserve"> </w:t>
                  </w:r>
                  <w:r w:rsidR="006C0101" w:rsidRPr="006C0101">
                    <w:t>20.1</w:t>
                  </w:r>
                </w:p>
              </w:tc>
              <w:tc>
                <w:tcPr>
                  <w:tcW w:w="501" w:type="pct"/>
                  <w:gridSpan w:val="2"/>
                  <w:vAlign w:val="center"/>
                </w:tcPr>
                <w:p w:rsidR="006C0101" w:rsidRPr="006C0101" w:rsidRDefault="006C0101" w:rsidP="006C0101">
                  <w:pPr>
                    <w:pStyle w:val="TableBodyText"/>
                  </w:pPr>
                  <w:r w:rsidRPr="006C0101">
                    <w:t>na</w:t>
                  </w:r>
                </w:p>
              </w:tc>
              <w:tc>
                <w:tcPr>
                  <w:tcW w:w="501" w:type="pct"/>
                  <w:gridSpan w:val="2"/>
                  <w:vAlign w:val="center"/>
                </w:tcPr>
                <w:p w:rsidR="006C0101" w:rsidRPr="006C0101" w:rsidRDefault="006C0101" w:rsidP="006C0101">
                  <w:pPr>
                    <w:pStyle w:val="TableBodyText"/>
                  </w:pPr>
                  <w:r w:rsidRPr="006C0101">
                    <w:t>na</w:t>
                  </w:r>
                </w:p>
              </w:tc>
              <w:tc>
                <w:tcPr>
                  <w:tcW w:w="501" w:type="pct"/>
                  <w:gridSpan w:val="2"/>
                  <w:shd w:val="clear" w:color="auto" w:fill="auto"/>
                  <w:vAlign w:val="center"/>
                </w:tcPr>
                <w:p w:rsidR="006C0101" w:rsidRPr="006C0101" w:rsidRDefault="006C0101" w:rsidP="006C0101">
                  <w:pPr>
                    <w:pStyle w:val="TableBodyText"/>
                  </w:pPr>
                  <w:r w:rsidRPr="006C0101">
                    <w:t>..</w:t>
                  </w:r>
                </w:p>
              </w:tc>
              <w:tc>
                <w:tcPr>
                  <w:tcW w:w="496" w:type="pct"/>
                  <w:gridSpan w:val="2"/>
                  <w:vAlign w:val="center"/>
                </w:tcPr>
                <w:p w:rsidR="006C0101" w:rsidRPr="006C0101" w:rsidRDefault="006C0101" w:rsidP="006C0101">
                  <w:pPr>
                    <w:pStyle w:val="TableBodyText"/>
                  </w:pPr>
                  <w:r w:rsidRPr="006C0101">
                    <w:t>na</w:t>
                  </w:r>
                </w:p>
              </w:tc>
              <w:tc>
                <w:tcPr>
                  <w:tcW w:w="496" w:type="pct"/>
                  <w:gridSpan w:val="2"/>
                  <w:shd w:val="clear" w:color="auto" w:fill="auto"/>
                  <w:vAlign w:val="center"/>
                </w:tcPr>
                <w:p w:rsidR="006C0101" w:rsidRPr="006C0101" w:rsidRDefault="009D010A" w:rsidP="006C0101">
                  <w:pPr>
                    <w:pStyle w:val="TableBodyText"/>
                  </w:pPr>
                  <w:r>
                    <w:t>na</w:t>
                  </w:r>
                </w:p>
              </w:tc>
            </w:tr>
            <w:tr w:rsidR="00045496" w:rsidTr="00045496">
              <w:tc>
                <w:tcPr>
                  <w:tcW w:w="5000" w:type="pct"/>
                  <w:gridSpan w:val="18"/>
                </w:tcPr>
                <w:p w:rsidR="00045496" w:rsidRDefault="00045496" w:rsidP="006C0101">
                  <w:pPr>
                    <w:pStyle w:val="Source"/>
                    <w:spacing w:before="0" w:after="80"/>
                    <w:ind w:left="113"/>
                  </w:pPr>
                  <w:r w:rsidRPr="00253B66">
                    <w:rPr>
                      <w:i/>
                    </w:rPr>
                    <w:t>Source</w:t>
                  </w:r>
                  <w:r w:rsidRPr="00080F6D">
                    <w:t>:</w:t>
                  </w:r>
                  <w:r w:rsidRPr="0046068B">
                    <w:rPr>
                      <w:i/>
                    </w:rPr>
                    <w:t xml:space="preserve"> </w:t>
                  </w:r>
                  <w:r>
                    <w:t xml:space="preserve">Attachment table </w:t>
                  </w:r>
                  <w:proofErr w:type="spellStart"/>
                  <w:r>
                    <w:t>17A.</w:t>
                  </w:r>
                  <w:r w:rsidR="006C0101">
                    <w:t>4</w:t>
                  </w:r>
                  <w:r>
                    <w:t>8</w:t>
                  </w:r>
                  <w:proofErr w:type="spellEnd"/>
                  <w:r>
                    <w:t>–</w:t>
                  </w:r>
                  <w:r w:rsidR="006C0101">
                    <w:t>51</w:t>
                  </w:r>
                  <w:r w:rsidR="00C9055F">
                    <w:t>.</w:t>
                  </w:r>
                </w:p>
              </w:tc>
            </w:tr>
            <w:tr w:rsidR="00045496" w:rsidTr="00045496">
              <w:tc>
                <w:tcPr>
                  <w:tcW w:w="5000" w:type="pct"/>
                  <w:gridSpan w:val="18"/>
                  <w:shd w:val="clear" w:color="auto" w:fill="auto"/>
                </w:tcPr>
                <w:p w:rsidR="00045496" w:rsidRPr="00922F3B" w:rsidRDefault="006C0101" w:rsidP="00045496">
                  <w:pPr>
                    <w:pStyle w:val="DQIRowHeadings"/>
                  </w:pPr>
                  <w:r w:rsidRPr="006C0101">
                    <w:t>Customer satisfaction</w:t>
                  </w:r>
                </w:p>
              </w:tc>
            </w:tr>
            <w:tr w:rsidR="00045496" w:rsidTr="00917D1B">
              <w:tc>
                <w:tcPr>
                  <w:tcW w:w="5000" w:type="pct"/>
                  <w:gridSpan w:val="18"/>
                </w:tcPr>
                <w:p w:rsidR="00045496" w:rsidRDefault="006C0101" w:rsidP="006C0101">
                  <w:pPr>
                    <w:pStyle w:val="TableBodyText"/>
                    <w:ind w:left="113" w:right="28"/>
                    <w:jc w:val="left"/>
                  </w:pPr>
                  <w:r w:rsidRPr="00C77021">
                    <w:rPr>
                      <w:rFonts w:cs="Arial"/>
                    </w:rPr>
                    <w:t>Proportion of tenants who were satisfied or very satisfied with the services provided by their State or Territory housing authority or community housing organisation</w:t>
                  </w:r>
                  <w:r w:rsidR="00045496">
                    <w:t>, 2014 (%)</w:t>
                  </w:r>
                </w:p>
              </w:tc>
            </w:tr>
            <w:tr w:rsidR="00045496" w:rsidTr="00045496">
              <w:tc>
                <w:tcPr>
                  <w:tcW w:w="5000" w:type="pct"/>
                  <w:gridSpan w:val="18"/>
                  <w:shd w:val="clear" w:color="auto" w:fill="auto"/>
                </w:tcPr>
                <w:p w:rsidR="00045496" w:rsidRDefault="00045496" w:rsidP="00045496">
                  <w:pPr>
                    <w:pStyle w:val="TableBodyText"/>
                    <w:ind w:left="113" w:right="28"/>
                    <w:jc w:val="left"/>
                  </w:pPr>
                  <w:r w:rsidRPr="00C048B8">
                    <w:rPr>
                      <w:color w:val="000000" w:themeColor="text1"/>
                      <w:sz w:val="16"/>
                      <w:szCs w:val="16"/>
                    </w:rPr>
                    <w:t>Data comparability and completeness vary for this indicator</w:t>
                  </w:r>
                  <w:r>
                    <w:rPr>
                      <w:color w:val="000000" w:themeColor="text1"/>
                      <w:sz w:val="16"/>
                      <w:szCs w:val="16"/>
                    </w:rPr>
                    <w:t xml:space="preserve"> (chapter 17)</w:t>
                  </w:r>
                </w:p>
              </w:tc>
            </w:tr>
            <w:tr w:rsidR="006C0101" w:rsidTr="00917D1B">
              <w:tc>
                <w:tcPr>
                  <w:tcW w:w="570" w:type="pct"/>
                </w:tcPr>
                <w:p w:rsidR="006C0101" w:rsidRDefault="006C0101" w:rsidP="00917D1B">
                  <w:pPr>
                    <w:pStyle w:val="TableBodyText"/>
                    <w:ind w:left="227" w:right="0"/>
                    <w:jc w:val="left"/>
                  </w:pPr>
                  <w:r>
                    <w:t>PH</w:t>
                  </w:r>
                </w:p>
              </w:tc>
              <w:tc>
                <w:tcPr>
                  <w:tcW w:w="431" w:type="pct"/>
                  <w:vAlign w:val="center"/>
                </w:tcPr>
                <w:p w:rsidR="006C0101" w:rsidRPr="006C0101" w:rsidRDefault="00080F6D" w:rsidP="006C0101">
                  <w:pPr>
                    <w:pStyle w:val="TableBodyText"/>
                  </w:pPr>
                  <w:r>
                    <w:t xml:space="preserve"> </w:t>
                  </w:r>
                  <w:r w:rsidR="006C0101" w:rsidRPr="006C0101">
                    <w:t>64.8</w:t>
                  </w:r>
                </w:p>
              </w:tc>
              <w:tc>
                <w:tcPr>
                  <w:tcW w:w="501" w:type="pct"/>
                  <w:gridSpan w:val="2"/>
                  <w:vAlign w:val="center"/>
                </w:tcPr>
                <w:p w:rsidR="006C0101" w:rsidRPr="006C0101" w:rsidRDefault="00080F6D" w:rsidP="006C0101">
                  <w:pPr>
                    <w:pStyle w:val="TableBodyText"/>
                  </w:pPr>
                  <w:r>
                    <w:t xml:space="preserve"> </w:t>
                  </w:r>
                  <w:r w:rsidR="006C0101" w:rsidRPr="006C0101">
                    <w:t>75.5</w:t>
                  </w:r>
                </w:p>
              </w:tc>
              <w:tc>
                <w:tcPr>
                  <w:tcW w:w="501" w:type="pct"/>
                  <w:gridSpan w:val="2"/>
                  <w:vAlign w:val="center"/>
                </w:tcPr>
                <w:p w:rsidR="006C0101" w:rsidRPr="006C0101" w:rsidRDefault="00080F6D" w:rsidP="006C0101">
                  <w:pPr>
                    <w:pStyle w:val="TableBodyText"/>
                  </w:pPr>
                  <w:r>
                    <w:t xml:space="preserve"> </w:t>
                  </w:r>
                  <w:r w:rsidR="006C0101" w:rsidRPr="006C0101">
                    <w:t>83.8</w:t>
                  </w:r>
                </w:p>
              </w:tc>
              <w:tc>
                <w:tcPr>
                  <w:tcW w:w="501" w:type="pct"/>
                  <w:gridSpan w:val="2"/>
                  <w:vAlign w:val="center"/>
                </w:tcPr>
                <w:p w:rsidR="006C0101" w:rsidRPr="006C0101" w:rsidRDefault="00080F6D" w:rsidP="006C0101">
                  <w:pPr>
                    <w:pStyle w:val="TableBodyText"/>
                  </w:pPr>
                  <w:r>
                    <w:t xml:space="preserve"> </w:t>
                  </w:r>
                  <w:r w:rsidR="006C0101" w:rsidRPr="006C0101">
                    <w:t>73.0</w:t>
                  </w:r>
                </w:p>
              </w:tc>
              <w:tc>
                <w:tcPr>
                  <w:tcW w:w="501" w:type="pct"/>
                  <w:gridSpan w:val="2"/>
                  <w:vAlign w:val="center"/>
                </w:tcPr>
                <w:p w:rsidR="006C0101" w:rsidRPr="006C0101" w:rsidRDefault="00080F6D" w:rsidP="006C0101">
                  <w:pPr>
                    <w:pStyle w:val="TableBodyText"/>
                  </w:pPr>
                  <w:r>
                    <w:t xml:space="preserve"> </w:t>
                  </w:r>
                  <w:r w:rsidR="006C0101" w:rsidRPr="006C0101">
                    <w:t>75.7</w:t>
                  </w:r>
                </w:p>
              </w:tc>
              <w:tc>
                <w:tcPr>
                  <w:tcW w:w="501" w:type="pct"/>
                  <w:gridSpan w:val="2"/>
                  <w:vAlign w:val="center"/>
                </w:tcPr>
                <w:p w:rsidR="006C0101" w:rsidRPr="006C0101" w:rsidRDefault="00080F6D" w:rsidP="006C0101">
                  <w:pPr>
                    <w:pStyle w:val="TableBodyText"/>
                  </w:pPr>
                  <w:r>
                    <w:t xml:space="preserve"> </w:t>
                  </w:r>
                  <w:r w:rsidR="006C0101" w:rsidRPr="006C0101">
                    <w:t>73.2</w:t>
                  </w:r>
                </w:p>
              </w:tc>
              <w:tc>
                <w:tcPr>
                  <w:tcW w:w="501" w:type="pct"/>
                  <w:gridSpan w:val="2"/>
                  <w:vAlign w:val="center"/>
                </w:tcPr>
                <w:p w:rsidR="006C0101" w:rsidRPr="006C0101" w:rsidRDefault="00080F6D" w:rsidP="006C0101">
                  <w:pPr>
                    <w:pStyle w:val="TableBodyText"/>
                  </w:pPr>
                  <w:r>
                    <w:t xml:space="preserve"> </w:t>
                  </w:r>
                  <w:r w:rsidR="006C0101" w:rsidRPr="006C0101">
                    <w:t>75.7</w:t>
                  </w:r>
                </w:p>
              </w:tc>
              <w:tc>
                <w:tcPr>
                  <w:tcW w:w="496" w:type="pct"/>
                  <w:gridSpan w:val="2"/>
                  <w:vAlign w:val="center"/>
                </w:tcPr>
                <w:p w:rsidR="006C0101" w:rsidRPr="006C0101" w:rsidRDefault="00080F6D" w:rsidP="006C0101">
                  <w:pPr>
                    <w:pStyle w:val="TableBodyText"/>
                  </w:pPr>
                  <w:r>
                    <w:t xml:space="preserve"> </w:t>
                  </w:r>
                  <w:r w:rsidR="006C0101" w:rsidRPr="006C0101">
                    <w:t>71.6</w:t>
                  </w:r>
                </w:p>
              </w:tc>
              <w:tc>
                <w:tcPr>
                  <w:tcW w:w="496" w:type="pct"/>
                  <w:gridSpan w:val="2"/>
                  <w:vAlign w:val="center"/>
                </w:tcPr>
                <w:p w:rsidR="006C0101" w:rsidRPr="006C0101" w:rsidRDefault="00080F6D" w:rsidP="006C0101">
                  <w:pPr>
                    <w:pStyle w:val="TableBodyText"/>
                  </w:pPr>
                  <w:r>
                    <w:t xml:space="preserve"> </w:t>
                  </w:r>
                  <w:r w:rsidR="006C0101" w:rsidRPr="006C0101">
                    <w:t>72.7</w:t>
                  </w:r>
                </w:p>
              </w:tc>
            </w:tr>
            <w:tr w:rsidR="006C0101" w:rsidTr="00917D1B">
              <w:tc>
                <w:tcPr>
                  <w:tcW w:w="570" w:type="pct"/>
                  <w:shd w:val="clear" w:color="auto" w:fill="auto"/>
                </w:tcPr>
                <w:p w:rsidR="006C0101" w:rsidRDefault="00080F6D" w:rsidP="005A2BEB">
                  <w:pPr>
                    <w:pStyle w:val="TableBodyText"/>
                    <w:ind w:left="227" w:right="0"/>
                    <w:jc w:val="left"/>
                  </w:pPr>
                  <w:r>
                    <w:t xml:space="preserve"> </w:t>
                  </w:r>
                </w:p>
              </w:tc>
              <w:tc>
                <w:tcPr>
                  <w:tcW w:w="431" w:type="pct"/>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1.5</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3.6</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3.2</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3.4</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3.4</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3.9</w:t>
                  </w:r>
                </w:p>
              </w:tc>
              <w:tc>
                <w:tcPr>
                  <w:tcW w:w="501" w:type="pct"/>
                  <w:gridSpan w:val="2"/>
                  <w:shd w:val="clear" w:color="auto" w:fill="auto"/>
                  <w:vAlign w:val="center"/>
                </w:tcPr>
                <w:p w:rsidR="006C0101" w:rsidRPr="006C0101" w:rsidRDefault="006C0101" w:rsidP="005A2BEB">
                  <w:pPr>
                    <w:pStyle w:val="TableBodyText"/>
                  </w:pPr>
                  <w:r w:rsidRPr="006C0101">
                    <w:t xml:space="preserve"> </w:t>
                  </w:r>
                  <w:r w:rsidR="005A2BEB" w:rsidRPr="000312F6">
                    <w:t>±</w:t>
                  </w:r>
                  <w:r w:rsidR="005A2BEB">
                    <w:t xml:space="preserve"> </w:t>
                  </w:r>
                  <w:r w:rsidRPr="006C0101">
                    <w:t>3.8</w:t>
                  </w:r>
                </w:p>
              </w:tc>
              <w:tc>
                <w:tcPr>
                  <w:tcW w:w="496"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4.0</w:t>
                  </w:r>
                </w:p>
              </w:tc>
              <w:tc>
                <w:tcPr>
                  <w:tcW w:w="496" w:type="pct"/>
                  <w:gridSpan w:val="2"/>
                  <w:shd w:val="clear" w:color="auto" w:fill="auto"/>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1.2</w:t>
                  </w:r>
                </w:p>
              </w:tc>
            </w:tr>
            <w:tr w:rsidR="006C0101" w:rsidTr="00917D1B">
              <w:tc>
                <w:tcPr>
                  <w:tcW w:w="570" w:type="pct"/>
                </w:tcPr>
                <w:p w:rsidR="006C0101" w:rsidRDefault="006C0101" w:rsidP="00917D1B">
                  <w:pPr>
                    <w:pStyle w:val="TableBodyText"/>
                    <w:ind w:left="227" w:right="0"/>
                    <w:jc w:val="left"/>
                  </w:pPr>
                  <w:r>
                    <w:t>SOMIH</w:t>
                  </w:r>
                </w:p>
              </w:tc>
              <w:tc>
                <w:tcPr>
                  <w:tcW w:w="431" w:type="pct"/>
                  <w:vAlign w:val="center"/>
                </w:tcPr>
                <w:p w:rsidR="006C0101" w:rsidRPr="006C0101" w:rsidRDefault="00080F6D" w:rsidP="006C0101">
                  <w:pPr>
                    <w:pStyle w:val="TableBodyText"/>
                  </w:pPr>
                  <w:r>
                    <w:t xml:space="preserve"> </w:t>
                  </w:r>
                  <w:r w:rsidR="006C0101" w:rsidRPr="006C0101">
                    <w:t>49.1</w:t>
                  </w:r>
                </w:p>
              </w:tc>
              <w:tc>
                <w:tcPr>
                  <w:tcW w:w="501" w:type="pct"/>
                  <w:gridSpan w:val="2"/>
                  <w:vAlign w:val="center"/>
                </w:tcPr>
                <w:p w:rsidR="006C0101" w:rsidRPr="006C0101" w:rsidRDefault="006C0101" w:rsidP="006C0101">
                  <w:pPr>
                    <w:pStyle w:val="TableBodyText"/>
                  </w:pPr>
                  <w:r w:rsidRPr="006C0101">
                    <w:t>..</w:t>
                  </w:r>
                </w:p>
              </w:tc>
              <w:tc>
                <w:tcPr>
                  <w:tcW w:w="501" w:type="pct"/>
                  <w:gridSpan w:val="2"/>
                  <w:vAlign w:val="center"/>
                </w:tcPr>
                <w:p w:rsidR="006C0101" w:rsidRPr="006C0101" w:rsidRDefault="00080F6D" w:rsidP="006C0101">
                  <w:pPr>
                    <w:pStyle w:val="TableBodyText"/>
                  </w:pPr>
                  <w:r>
                    <w:t xml:space="preserve"> </w:t>
                  </w:r>
                  <w:r w:rsidR="006C0101" w:rsidRPr="006C0101">
                    <w:t>66.8</w:t>
                  </w:r>
                </w:p>
              </w:tc>
              <w:tc>
                <w:tcPr>
                  <w:tcW w:w="501" w:type="pct"/>
                  <w:gridSpan w:val="2"/>
                  <w:vAlign w:val="center"/>
                </w:tcPr>
                <w:p w:rsidR="006C0101" w:rsidRPr="006C0101" w:rsidRDefault="006C0101" w:rsidP="006C0101">
                  <w:pPr>
                    <w:pStyle w:val="TableBodyText"/>
                  </w:pPr>
                  <w:r w:rsidRPr="006C0101">
                    <w:t>..</w:t>
                  </w:r>
                </w:p>
              </w:tc>
              <w:tc>
                <w:tcPr>
                  <w:tcW w:w="501" w:type="pct"/>
                  <w:gridSpan w:val="2"/>
                  <w:vAlign w:val="center"/>
                </w:tcPr>
                <w:p w:rsidR="006C0101" w:rsidRPr="006C0101" w:rsidRDefault="00080F6D" w:rsidP="006C0101">
                  <w:pPr>
                    <w:pStyle w:val="TableBodyText"/>
                  </w:pPr>
                  <w:r>
                    <w:t xml:space="preserve"> </w:t>
                  </w:r>
                  <w:r w:rsidR="006C0101" w:rsidRPr="006C0101">
                    <w:t>66.2</w:t>
                  </w:r>
                </w:p>
              </w:tc>
              <w:tc>
                <w:tcPr>
                  <w:tcW w:w="501" w:type="pct"/>
                  <w:gridSpan w:val="2"/>
                  <w:vAlign w:val="center"/>
                </w:tcPr>
                <w:p w:rsidR="006C0101" w:rsidRPr="006C0101" w:rsidRDefault="00080F6D" w:rsidP="006C0101">
                  <w:pPr>
                    <w:pStyle w:val="TableBodyText"/>
                  </w:pPr>
                  <w:r>
                    <w:t xml:space="preserve"> </w:t>
                  </w:r>
                  <w:r w:rsidR="006C0101" w:rsidRPr="006C0101">
                    <w:t>62.2</w:t>
                  </w:r>
                </w:p>
              </w:tc>
              <w:tc>
                <w:tcPr>
                  <w:tcW w:w="501" w:type="pct"/>
                  <w:gridSpan w:val="2"/>
                  <w:vAlign w:val="center"/>
                </w:tcPr>
                <w:p w:rsidR="006C0101" w:rsidRPr="006C0101" w:rsidRDefault="006C0101" w:rsidP="006C0101">
                  <w:pPr>
                    <w:pStyle w:val="TableBodyText"/>
                  </w:pPr>
                  <w:r w:rsidRPr="006C0101">
                    <w:t>..</w:t>
                  </w:r>
                </w:p>
              </w:tc>
              <w:tc>
                <w:tcPr>
                  <w:tcW w:w="496" w:type="pct"/>
                  <w:gridSpan w:val="2"/>
                  <w:vAlign w:val="center"/>
                </w:tcPr>
                <w:p w:rsidR="006C0101" w:rsidRPr="006C0101" w:rsidRDefault="006C0101" w:rsidP="006C0101">
                  <w:pPr>
                    <w:pStyle w:val="TableBodyText"/>
                  </w:pPr>
                  <w:r w:rsidRPr="006C0101">
                    <w:t>..</w:t>
                  </w:r>
                </w:p>
              </w:tc>
              <w:tc>
                <w:tcPr>
                  <w:tcW w:w="496" w:type="pct"/>
                  <w:gridSpan w:val="2"/>
                  <w:vAlign w:val="center"/>
                </w:tcPr>
                <w:p w:rsidR="006C0101" w:rsidRPr="006C0101" w:rsidRDefault="00080F6D" w:rsidP="006C0101">
                  <w:pPr>
                    <w:pStyle w:val="TableBodyText"/>
                  </w:pPr>
                  <w:r>
                    <w:t xml:space="preserve"> </w:t>
                  </w:r>
                  <w:r w:rsidR="006C0101" w:rsidRPr="006C0101">
                    <w:t>58.3</w:t>
                  </w:r>
                </w:p>
              </w:tc>
            </w:tr>
            <w:tr w:rsidR="006C0101" w:rsidTr="00917D1B">
              <w:tc>
                <w:tcPr>
                  <w:tcW w:w="570" w:type="pct"/>
                  <w:shd w:val="clear" w:color="auto" w:fill="auto"/>
                </w:tcPr>
                <w:p w:rsidR="006C0101" w:rsidRDefault="00080F6D" w:rsidP="005A2BEB">
                  <w:pPr>
                    <w:pStyle w:val="TableBodyText"/>
                    <w:ind w:left="227" w:right="0"/>
                    <w:jc w:val="left"/>
                  </w:pPr>
                  <w:r>
                    <w:t xml:space="preserve"> </w:t>
                  </w:r>
                </w:p>
              </w:tc>
              <w:tc>
                <w:tcPr>
                  <w:tcW w:w="431" w:type="pct"/>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4.4</w:t>
                  </w:r>
                </w:p>
              </w:tc>
              <w:tc>
                <w:tcPr>
                  <w:tcW w:w="501" w:type="pct"/>
                  <w:gridSpan w:val="2"/>
                  <w:vAlign w:val="center"/>
                </w:tcPr>
                <w:p w:rsidR="006C0101" w:rsidRPr="006C0101" w:rsidRDefault="006C0101" w:rsidP="006C0101">
                  <w:pPr>
                    <w:pStyle w:val="TableBodyText"/>
                  </w:pP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4.1</w:t>
                  </w:r>
                </w:p>
              </w:tc>
              <w:tc>
                <w:tcPr>
                  <w:tcW w:w="501" w:type="pct"/>
                  <w:gridSpan w:val="2"/>
                  <w:vAlign w:val="center"/>
                </w:tcPr>
                <w:p w:rsidR="006C0101" w:rsidRPr="006C0101" w:rsidRDefault="006C0101" w:rsidP="006C0101">
                  <w:pPr>
                    <w:pStyle w:val="TableBodyText"/>
                  </w:pP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5.5</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10.5</w:t>
                  </w:r>
                </w:p>
              </w:tc>
              <w:tc>
                <w:tcPr>
                  <w:tcW w:w="501" w:type="pct"/>
                  <w:gridSpan w:val="2"/>
                  <w:shd w:val="clear" w:color="auto" w:fill="auto"/>
                  <w:vAlign w:val="center"/>
                </w:tcPr>
                <w:p w:rsidR="006C0101" w:rsidRPr="006C0101" w:rsidRDefault="006C0101" w:rsidP="006C0101">
                  <w:pPr>
                    <w:pStyle w:val="TableBodyText"/>
                  </w:pPr>
                </w:p>
              </w:tc>
              <w:tc>
                <w:tcPr>
                  <w:tcW w:w="496" w:type="pct"/>
                  <w:gridSpan w:val="2"/>
                  <w:vAlign w:val="center"/>
                </w:tcPr>
                <w:p w:rsidR="006C0101" w:rsidRPr="006C0101" w:rsidRDefault="006C0101" w:rsidP="006C0101">
                  <w:pPr>
                    <w:pStyle w:val="TableBodyText"/>
                  </w:pPr>
                </w:p>
              </w:tc>
              <w:tc>
                <w:tcPr>
                  <w:tcW w:w="496" w:type="pct"/>
                  <w:gridSpan w:val="2"/>
                  <w:shd w:val="clear" w:color="auto" w:fill="auto"/>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2.7</w:t>
                  </w:r>
                </w:p>
              </w:tc>
            </w:tr>
            <w:tr w:rsidR="006C0101" w:rsidTr="00917D1B">
              <w:tc>
                <w:tcPr>
                  <w:tcW w:w="570" w:type="pct"/>
                </w:tcPr>
                <w:p w:rsidR="006C0101" w:rsidRDefault="006C0101" w:rsidP="00917D1B">
                  <w:pPr>
                    <w:pStyle w:val="TableBodyText"/>
                    <w:ind w:left="227" w:right="0"/>
                    <w:jc w:val="left"/>
                  </w:pPr>
                  <w:r>
                    <w:t>CH</w:t>
                  </w:r>
                </w:p>
              </w:tc>
              <w:tc>
                <w:tcPr>
                  <w:tcW w:w="431" w:type="pct"/>
                  <w:vAlign w:val="center"/>
                </w:tcPr>
                <w:p w:rsidR="006C0101" w:rsidRPr="006C0101" w:rsidRDefault="00080F6D" w:rsidP="006C0101">
                  <w:pPr>
                    <w:pStyle w:val="TableBodyText"/>
                  </w:pPr>
                  <w:r>
                    <w:t xml:space="preserve"> </w:t>
                  </w:r>
                  <w:r w:rsidR="006C0101" w:rsidRPr="006C0101">
                    <w:t>78.5</w:t>
                  </w:r>
                </w:p>
              </w:tc>
              <w:tc>
                <w:tcPr>
                  <w:tcW w:w="501" w:type="pct"/>
                  <w:gridSpan w:val="2"/>
                  <w:vAlign w:val="center"/>
                </w:tcPr>
                <w:p w:rsidR="006C0101" w:rsidRPr="006C0101" w:rsidRDefault="00080F6D" w:rsidP="006C0101">
                  <w:pPr>
                    <w:pStyle w:val="TableBodyText"/>
                  </w:pPr>
                  <w:r>
                    <w:t xml:space="preserve"> </w:t>
                  </w:r>
                  <w:r w:rsidR="006C0101" w:rsidRPr="006C0101">
                    <w:t>76.6</w:t>
                  </w:r>
                </w:p>
              </w:tc>
              <w:tc>
                <w:tcPr>
                  <w:tcW w:w="501" w:type="pct"/>
                  <w:gridSpan w:val="2"/>
                  <w:vAlign w:val="center"/>
                </w:tcPr>
                <w:p w:rsidR="006C0101" w:rsidRPr="006C0101" w:rsidRDefault="00080F6D" w:rsidP="006C0101">
                  <w:pPr>
                    <w:pStyle w:val="TableBodyText"/>
                  </w:pPr>
                  <w:r>
                    <w:t xml:space="preserve"> </w:t>
                  </w:r>
                  <w:r w:rsidR="006C0101" w:rsidRPr="006C0101">
                    <w:t>83.2</w:t>
                  </w:r>
                </w:p>
              </w:tc>
              <w:tc>
                <w:tcPr>
                  <w:tcW w:w="501" w:type="pct"/>
                  <w:gridSpan w:val="2"/>
                  <w:vAlign w:val="center"/>
                </w:tcPr>
                <w:p w:rsidR="006C0101" w:rsidRPr="006C0101" w:rsidRDefault="00080F6D" w:rsidP="006C0101">
                  <w:pPr>
                    <w:pStyle w:val="TableBodyText"/>
                  </w:pPr>
                  <w:r>
                    <w:t xml:space="preserve"> </w:t>
                  </w:r>
                  <w:r w:rsidR="006C0101" w:rsidRPr="006C0101">
                    <w:t>83.0</w:t>
                  </w:r>
                </w:p>
              </w:tc>
              <w:tc>
                <w:tcPr>
                  <w:tcW w:w="501" w:type="pct"/>
                  <w:gridSpan w:val="2"/>
                  <w:vAlign w:val="center"/>
                </w:tcPr>
                <w:p w:rsidR="006C0101" w:rsidRPr="006C0101" w:rsidRDefault="00080F6D" w:rsidP="006C0101">
                  <w:pPr>
                    <w:pStyle w:val="TableBodyText"/>
                  </w:pPr>
                  <w:r>
                    <w:t xml:space="preserve"> </w:t>
                  </w:r>
                  <w:r w:rsidR="006C0101" w:rsidRPr="006C0101">
                    <w:t>82.6</w:t>
                  </w:r>
                </w:p>
              </w:tc>
              <w:tc>
                <w:tcPr>
                  <w:tcW w:w="501" w:type="pct"/>
                  <w:gridSpan w:val="2"/>
                  <w:vAlign w:val="center"/>
                </w:tcPr>
                <w:p w:rsidR="006C0101" w:rsidRPr="006C0101" w:rsidRDefault="00080F6D" w:rsidP="006C0101">
                  <w:pPr>
                    <w:pStyle w:val="TableBodyText"/>
                  </w:pPr>
                  <w:r>
                    <w:t xml:space="preserve"> </w:t>
                  </w:r>
                  <w:r w:rsidR="006C0101" w:rsidRPr="006C0101">
                    <w:t>75.7</w:t>
                  </w:r>
                </w:p>
              </w:tc>
              <w:tc>
                <w:tcPr>
                  <w:tcW w:w="501" w:type="pct"/>
                  <w:gridSpan w:val="2"/>
                  <w:vAlign w:val="center"/>
                </w:tcPr>
                <w:p w:rsidR="006C0101" w:rsidRPr="006C0101" w:rsidRDefault="00080F6D" w:rsidP="006C0101">
                  <w:pPr>
                    <w:pStyle w:val="TableBodyText"/>
                  </w:pPr>
                  <w:r>
                    <w:t xml:space="preserve"> </w:t>
                  </w:r>
                  <w:r w:rsidR="006C0101" w:rsidRPr="006C0101">
                    <w:t>69.4</w:t>
                  </w:r>
                </w:p>
              </w:tc>
              <w:tc>
                <w:tcPr>
                  <w:tcW w:w="496" w:type="pct"/>
                  <w:gridSpan w:val="2"/>
                  <w:vAlign w:val="center"/>
                </w:tcPr>
                <w:p w:rsidR="006C0101" w:rsidRPr="006C0101" w:rsidRDefault="006C0101" w:rsidP="006C0101">
                  <w:pPr>
                    <w:pStyle w:val="TableBodyText"/>
                  </w:pPr>
                  <w:r w:rsidRPr="006C0101">
                    <w:t>na</w:t>
                  </w:r>
                </w:p>
              </w:tc>
              <w:tc>
                <w:tcPr>
                  <w:tcW w:w="496" w:type="pct"/>
                  <w:gridSpan w:val="2"/>
                  <w:vAlign w:val="center"/>
                </w:tcPr>
                <w:p w:rsidR="006C0101" w:rsidRPr="006C0101" w:rsidRDefault="00080F6D" w:rsidP="006C0101">
                  <w:pPr>
                    <w:pStyle w:val="TableBodyText"/>
                  </w:pPr>
                  <w:r>
                    <w:t xml:space="preserve"> </w:t>
                  </w:r>
                  <w:r w:rsidR="006C0101" w:rsidRPr="006C0101">
                    <w:t>79.7</w:t>
                  </w:r>
                </w:p>
              </w:tc>
            </w:tr>
            <w:tr w:rsidR="006C0101" w:rsidTr="00917D1B">
              <w:tc>
                <w:tcPr>
                  <w:tcW w:w="570" w:type="pct"/>
                  <w:shd w:val="clear" w:color="auto" w:fill="auto"/>
                </w:tcPr>
                <w:p w:rsidR="006C0101" w:rsidRDefault="00080F6D" w:rsidP="00917D1B">
                  <w:pPr>
                    <w:pStyle w:val="TableBodyText"/>
                    <w:ind w:left="227" w:right="0"/>
                    <w:jc w:val="left"/>
                  </w:pPr>
                  <w:r>
                    <w:t xml:space="preserve"> </w:t>
                  </w:r>
                </w:p>
              </w:tc>
              <w:tc>
                <w:tcPr>
                  <w:tcW w:w="431" w:type="pct"/>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2.5</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4.4</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3.9</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3.9</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4.0</w:t>
                  </w:r>
                </w:p>
              </w:tc>
              <w:tc>
                <w:tcPr>
                  <w:tcW w:w="501" w:type="pct"/>
                  <w:gridSpan w:val="2"/>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5.0</w:t>
                  </w:r>
                </w:p>
              </w:tc>
              <w:tc>
                <w:tcPr>
                  <w:tcW w:w="501" w:type="pct"/>
                  <w:gridSpan w:val="2"/>
                  <w:shd w:val="clear" w:color="auto" w:fill="auto"/>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8.2</w:t>
                  </w:r>
                </w:p>
              </w:tc>
              <w:tc>
                <w:tcPr>
                  <w:tcW w:w="496" w:type="pct"/>
                  <w:gridSpan w:val="2"/>
                  <w:vAlign w:val="center"/>
                </w:tcPr>
                <w:p w:rsidR="006C0101" w:rsidRPr="006C0101" w:rsidRDefault="006C0101" w:rsidP="006C0101">
                  <w:pPr>
                    <w:pStyle w:val="TableBodyText"/>
                  </w:pPr>
                </w:p>
              </w:tc>
              <w:tc>
                <w:tcPr>
                  <w:tcW w:w="496" w:type="pct"/>
                  <w:gridSpan w:val="2"/>
                  <w:shd w:val="clear" w:color="auto" w:fill="auto"/>
                  <w:vAlign w:val="center"/>
                </w:tcPr>
                <w:p w:rsidR="006C0101" w:rsidRPr="006C0101" w:rsidRDefault="00080F6D" w:rsidP="006C0101">
                  <w:pPr>
                    <w:pStyle w:val="TableBodyText"/>
                  </w:pPr>
                  <w:r>
                    <w:t xml:space="preserve"> </w:t>
                  </w:r>
                  <w:r w:rsidR="005A2BEB" w:rsidRPr="000312F6">
                    <w:t>±</w:t>
                  </w:r>
                  <w:r w:rsidR="005A2BEB">
                    <w:t xml:space="preserve"> </w:t>
                  </w:r>
                  <w:r w:rsidR="006C0101" w:rsidRPr="006C0101">
                    <w:t>1.6</w:t>
                  </w:r>
                </w:p>
              </w:tc>
            </w:tr>
            <w:tr w:rsidR="00045496" w:rsidTr="00917D1B">
              <w:tc>
                <w:tcPr>
                  <w:tcW w:w="5000" w:type="pct"/>
                  <w:gridSpan w:val="18"/>
                  <w:tcBorders>
                    <w:bottom w:val="single" w:sz="6" w:space="0" w:color="BFBFBF"/>
                  </w:tcBorders>
                </w:tcPr>
                <w:p w:rsidR="00045496" w:rsidRDefault="00045496" w:rsidP="00CA5832">
                  <w:pPr>
                    <w:pStyle w:val="Source"/>
                    <w:spacing w:before="0" w:after="80"/>
                    <w:ind w:left="113"/>
                  </w:pPr>
                  <w:r w:rsidRPr="00253B66">
                    <w:rPr>
                      <w:i/>
                    </w:rPr>
                    <w:t>Source</w:t>
                  </w:r>
                  <w:r w:rsidRPr="00080F6D">
                    <w:t>:</w:t>
                  </w:r>
                  <w:r w:rsidRPr="0046068B">
                    <w:rPr>
                      <w:i/>
                    </w:rPr>
                    <w:t xml:space="preserve"> </w:t>
                  </w:r>
                  <w:r>
                    <w:t xml:space="preserve">Attachment table </w:t>
                  </w:r>
                  <w:proofErr w:type="spellStart"/>
                  <w:r>
                    <w:t>17A.</w:t>
                  </w:r>
                  <w:r w:rsidR="00CA5832">
                    <w:t>55</w:t>
                  </w:r>
                  <w:proofErr w:type="spellEnd"/>
                  <w:r>
                    <w:t>–</w:t>
                  </w:r>
                  <w:r w:rsidR="00CA5832">
                    <w:t>57</w:t>
                  </w:r>
                  <w:r w:rsidR="00C9055F">
                    <w:t>.</w:t>
                  </w:r>
                </w:p>
              </w:tc>
            </w:tr>
          </w:tbl>
          <w:p w:rsidR="00045496" w:rsidRDefault="00045496" w:rsidP="00045496">
            <w:pPr>
              <w:pStyle w:val="Box"/>
            </w:pPr>
          </w:p>
        </w:tc>
      </w:tr>
      <w:tr w:rsidR="00045496" w:rsidTr="00045496">
        <w:trPr>
          <w:cantSplit/>
        </w:trPr>
        <w:tc>
          <w:tcPr>
            <w:tcW w:w="8771" w:type="dxa"/>
            <w:tcBorders>
              <w:top w:val="nil"/>
              <w:left w:val="nil"/>
              <w:bottom w:val="nil"/>
              <w:right w:val="nil"/>
            </w:tcBorders>
            <w:shd w:val="clear" w:color="auto" w:fill="auto"/>
          </w:tcPr>
          <w:p w:rsidR="000701D5" w:rsidRDefault="000701D5" w:rsidP="000701D5">
            <w:pPr>
              <w:pStyle w:val="Note"/>
              <w:spacing w:before="120"/>
              <w:jc w:val="left"/>
            </w:pPr>
            <w:r>
              <w:rPr>
                <w:b/>
              </w:rPr>
              <w:t>PH =</w:t>
            </w:r>
            <w:r w:rsidRPr="006E5306">
              <w:t xml:space="preserve"> </w:t>
            </w:r>
            <w:r>
              <w:t xml:space="preserve">Public Housing. </w:t>
            </w:r>
            <w:r>
              <w:rPr>
                <w:b/>
              </w:rPr>
              <w:t>CH =</w:t>
            </w:r>
            <w:r w:rsidRPr="006E5306">
              <w:t xml:space="preserve"> </w:t>
            </w:r>
            <w:r>
              <w:t>Community Housing.</w:t>
            </w:r>
          </w:p>
          <w:p w:rsidR="00045496" w:rsidRPr="00C23135" w:rsidRDefault="00CA5832" w:rsidP="00A75572">
            <w:pPr>
              <w:pStyle w:val="Note"/>
              <w:spacing w:before="120"/>
            </w:pPr>
            <w:r>
              <w:rPr>
                <w:rStyle w:val="NoteLabel"/>
              </w:rPr>
              <w:t>a</w:t>
            </w:r>
            <w:r>
              <w:rPr>
                <w:rFonts w:cs="Arial"/>
              </w:rPr>
              <w:t> </w:t>
            </w:r>
            <w:r w:rsidRPr="006E5306">
              <w:t>Caveats for these data are available in Chapter 1</w:t>
            </w:r>
            <w:r>
              <w:t>7</w:t>
            </w:r>
            <w:r w:rsidRPr="006E5306">
              <w:t xml:space="preserve"> and At</w:t>
            </w:r>
            <w:r>
              <w:t xml:space="preserve">tachment </w:t>
            </w:r>
            <w:proofErr w:type="spellStart"/>
            <w:r>
              <w:t>17</w:t>
            </w:r>
            <w:r w:rsidRPr="006E5306">
              <w:t>A</w:t>
            </w:r>
            <w:proofErr w:type="spellEnd"/>
            <w:r w:rsidRPr="006E5306">
              <w:t>. Refer to the indicator interpretation boxes in chapter 1</w:t>
            </w:r>
            <w:r>
              <w:t>7</w:t>
            </w:r>
            <w:r w:rsidRPr="006E5306">
              <w:t xml:space="preserve"> for information to assist with</w:t>
            </w:r>
            <w:r>
              <w:t xml:space="preserve"> the</w:t>
            </w:r>
            <w:r w:rsidRPr="006E5306">
              <w:t xml:space="preserve"> interpret</w:t>
            </w:r>
            <w:r>
              <w:t>ation of</w:t>
            </w:r>
            <w:r w:rsidRPr="006E5306">
              <w:t xml:space="preserve"> data presented in this table. </w:t>
            </w:r>
            <w:r w:rsidRPr="006E5306">
              <w:rPr>
                <w:rStyle w:val="NoteLabel"/>
              </w:rPr>
              <w:t>b</w:t>
            </w:r>
            <w:r w:rsidRPr="006E5306">
              <w:t xml:space="preserve"> Some data are derived from detailed data in </w:t>
            </w:r>
            <w:r>
              <w:t xml:space="preserve">Chapter 17 and Attachment </w:t>
            </w:r>
            <w:proofErr w:type="spellStart"/>
            <w:r>
              <w:t>17A</w:t>
            </w:r>
            <w:proofErr w:type="spellEnd"/>
            <w:r>
              <w:t xml:space="preserve">. </w:t>
            </w:r>
            <w:r w:rsidRPr="004073FA">
              <w:rPr>
                <w:rStyle w:val="NoteLabel"/>
              </w:rPr>
              <w:t>c</w:t>
            </w:r>
            <w:r w:rsidRPr="004073FA">
              <w:t> </w:t>
            </w:r>
            <w:r w:rsidR="0096016A">
              <w:rPr>
                <w:szCs w:val="18"/>
              </w:rPr>
              <w:t xml:space="preserve">Some percentages reported in this table include 95 per cent confidence intervals. </w:t>
            </w:r>
            <w:r>
              <w:t xml:space="preserve"> </w:t>
            </w:r>
            <w:r>
              <w:br/>
            </w:r>
            <w:r w:rsidRPr="0092261C">
              <w:rPr>
                <w:b/>
              </w:rPr>
              <w:t>na</w:t>
            </w:r>
            <w:r w:rsidRPr="006E5306">
              <w:t xml:space="preserve"> Not available.</w:t>
            </w:r>
            <w:r>
              <w:t xml:space="preserve"> .. Not applicable. </w:t>
            </w:r>
            <w:r w:rsidRPr="006E5306">
              <w:t>– Nil or rounded to zero</w:t>
            </w:r>
            <w:r>
              <w:t>.</w:t>
            </w:r>
          </w:p>
        </w:tc>
      </w:tr>
      <w:tr w:rsidR="00CA5832" w:rsidTr="00045496">
        <w:trPr>
          <w:cantSplit/>
        </w:trPr>
        <w:tc>
          <w:tcPr>
            <w:tcW w:w="8771" w:type="dxa"/>
            <w:tcBorders>
              <w:top w:val="nil"/>
              <w:left w:val="nil"/>
              <w:bottom w:val="single" w:sz="6" w:space="0" w:color="78A22F"/>
              <w:right w:val="nil"/>
            </w:tcBorders>
            <w:shd w:val="clear" w:color="auto" w:fill="auto"/>
          </w:tcPr>
          <w:p w:rsidR="00CA5832" w:rsidRDefault="00CA5832" w:rsidP="00CA5832">
            <w:pPr>
              <w:pStyle w:val="Source"/>
              <w:tabs>
                <w:tab w:val="left" w:pos="1215"/>
              </w:tabs>
              <w:spacing w:before="120"/>
              <w:jc w:val="left"/>
            </w:pPr>
            <w:r>
              <w:rPr>
                <w:i/>
              </w:rPr>
              <w:t>Source</w:t>
            </w:r>
            <w:r>
              <w:t xml:space="preserve">: </w:t>
            </w:r>
            <w:r w:rsidRPr="006E5306">
              <w:t>Chapter 1</w:t>
            </w:r>
            <w:r>
              <w:t>7</w:t>
            </w:r>
            <w:r w:rsidRPr="006E5306">
              <w:t xml:space="preserve"> and Attachment </w:t>
            </w:r>
            <w:proofErr w:type="spellStart"/>
            <w:r w:rsidRPr="006E5306">
              <w:t>1</w:t>
            </w:r>
            <w:r>
              <w:t>7</w:t>
            </w:r>
            <w:r w:rsidRPr="006E5306">
              <w:t>A</w:t>
            </w:r>
            <w:proofErr w:type="spellEnd"/>
            <w:r>
              <w:t>.</w:t>
            </w:r>
          </w:p>
        </w:tc>
      </w:tr>
      <w:tr w:rsidR="00045496" w:rsidRPr="000863A5" w:rsidTr="00045496">
        <w:tc>
          <w:tcPr>
            <w:tcW w:w="8771" w:type="dxa"/>
            <w:tcBorders>
              <w:top w:val="single" w:sz="6" w:space="0" w:color="78A22F"/>
              <w:left w:val="nil"/>
              <w:bottom w:val="nil"/>
              <w:right w:val="nil"/>
            </w:tcBorders>
          </w:tcPr>
          <w:p w:rsidR="00045496" w:rsidRPr="00626D32" w:rsidRDefault="00045496" w:rsidP="00045496">
            <w:pPr>
              <w:pStyle w:val="BoxSpaceBelow"/>
            </w:pPr>
          </w:p>
        </w:tc>
      </w:tr>
    </w:tbl>
    <w:p w:rsidR="006E5306" w:rsidRPr="0027772C" w:rsidRDefault="006E5306" w:rsidP="0027772C">
      <w:pPr>
        <w:pStyle w:val="Heading4"/>
      </w:pPr>
      <w:r w:rsidRPr="0027772C">
        <w:t>Homelessness services</w:t>
      </w:r>
    </w:p>
    <w:p w:rsidR="00F923F9" w:rsidRDefault="006E5306" w:rsidP="00B71F30">
      <w:pPr>
        <w:pStyle w:val="BodyText"/>
      </w:pPr>
      <w:r w:rsidRPr="00DF1C21">
        <w:t xml:space="preserve">The performance indicator framework for government funded specialist homelessness services is presented in figure </w:t>
      </w:r>
      <w:r w:rsidR="00DA28F1">
        <w:t>G.8</w:t>
      </w:r>
      <w:r w:rsidRPr="00DF1C21">
        <w:t xml:space="preserve">. </w:t>
      </w:r>
      <w:r w:rsidR="00F923F9">
        <w:t>An overview of the homelessness service performance indicator results are presented in table G.3.</w:t>
      </w:r>
    </w:p>
    <w:p w:rsidR="000300E3" w:rsidRDefault="000300E3" w:rsidP="005624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00E3" w:rsidTr="005624FF">
        <w:tc>
          <w:tcPr>
            <w:tcW w:w="8771" w:type="dxa"/>
            <w:tcBorders>
              <w:top w:val="single" w:sz="6" w:space="0" w:color="78A22F"/>
              <w:left w:val="nil"/>
              <w:bottom w:val="nil"/>
              <w:right w:val="nil"/>
            </w:tcBorders>
            <w:shd w:val="clear" w:color="auto" w:fill="auto"/>
          </w:tcPr>
          <w:p w:rsidR="000300E3" w:rsidRPr="00176D3F" w:rsidRDefault="000300E3" w:rsidP="009E20E8">
            <w:pPr>
              <w:pStyle w:val="FigureTitle"/>
              <w:spacing w:after="0"/>
            </w:pPr>
            <w:r w:rsidRPr="00784A05">
              <w:rPr>
                <w:b w:val="0"/>
              </w:rPr>
              <w:t xml:space="preserve">Figure </w:t>
            </w:r>
            <w:r>
              <w:rPr>
                <w:b w:val="0"/>
              </w:rPr>
              <w:t>G.</w:t>
            </w:r>
            <w:r w:rsidR="00DA28F1">
              <w:rPr>
                <w:b w:val="0"/>
              </w:rPr>
              <w:t>8</w:t>
            </w:r>
            <w:r>
              <w:tab/>
            </w:r>
            <w:r w:rsidRPr="000300E3">
              <w:t>Government funded specialist homelessness services performance indicator framework</w:t>
            </w:r>
          </w:p>
        </w:tc>
      </w:tr>
      <w:tr w:rsidR="000300E3" w:rsidTr="005624F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300E3" w:rsidTr="005624FF">
              <w:tc>
                <w:tcPr>
                  <w:tcW w:w="5000" w:type="pct"/>
                  <w:tcBorders>
                    <w:top w:val="nil"/>
                    <w:bottom w:val="nil"/>
                  </w:tcBorders>
                </w:tcPr>
                <w:p w:rsidR="000300E3" w:rsidRPr="009D50D1" w:rsidRDefault="007D2FA5" w:rsidP="009D50D1">
                  <w:pPr>
                    <w:pStyle w:val="Figure"/>
                  </w:pPr>
                  <w:r>
                    <w:rPr>
                      <w:noProof/>
                    </w:rPr>
                    <w:drawing>
                      <wp:inline distT="0" distB="0" distL="0" distR="0" wp14:anchorId="541AC5FC" wp14:editId="222A4278">
                        <wp:extent cx="5390515" cy="4401820"/>
                        <wp:effectExtent l="0" t="0" r="635" b="0"/>
                        <wp:docPr id="3" name="Picture 3" descr="Figure G.8 Government funded specialist homelessness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4401820"/>
                                </a:xfrm>
                                <a:prstGeom prst="rect">
                                  <a:avLst/>
                                </a:prstGeom>
                                <a:noFill/>
                                <a:ln>
                                  <a:noFill/>
                                </a:ln>
                              </pic:spPr>
                            </pic:pic>
                          </a:graphicData>
                        </a:graphic>
                      </wp:inline>
                    </w:drawing>
                  </w:r>
                </w:p>
              </w:tc>
            </w:tr>
          </w:tbl>
          <w:p w:rsidR="000300E3" w:rsidRDefault="000300E3" w:rsidP="005624FF">
            <w:pPr>
              <w:pStyle w:val="Figure"/>
            </w:pPr>
          </w:p>
        </w:tc>
      </w:tr>
      <w:tr w:rsidR="000300E3" w:rsidTr="005624FF">
        <w:tc>
          <w:tcPr>
            <w:tcW w:w="8771" w:type="dxa"/>
            <w:tcBorders>
              <w:top w:val="nil"/>
              <w:left w:val="nil"/>
              <w:bottom w:val="single" w:sz="6" w:space="0" w:color="78A22F"/>
              <w:right w:val="nil"/>
            </w:tcBorders>
            <w:shd w:val="clear" w:color="auto" w:fill="auto"/>
          </w:tcPr>
          <w:p w:rsidR="000300E3" w:rsidRDefault="000300E3" w:rsidP="005624FF">
            <w:pPr>
              <w:pStyle w:val="Figurespace"/>
            </w:pPr>
          </w:p>
        </w:tc>
      </w:tr>
      <w:tr w:rsidR="000300E3" w:rsidRPr="000863A5" w:rsidTr="005624FF">
        <w:tc>
          <w:tcPr>
            <w:tcW w:w="8771" w:type="dxa"/>
            <w:tcBorders>
              <w:top w:val="single" w:sz="6" w:space="0" w:color="78A22F"/>
              <w:left w:val="nil"/>
              <w:bottom w:val="nil"/>
              <w:right w:val="nil"/>
            </w:tcBorders>
          </w:tcPr>
          <w:p w:rsidR="000300E3" w:rsidRPr="00626D32" w:rsidRDefault="000300E3" w:rsidP="005624FF">
            <w:pPr>
              <w:pStyle w:val="BoxSpaceBelow"/>
            </w:pPr>
          </w:p>
        </w:tc>
      </w:tr>
    </w:tbl>
    <w:p w:rsidR="00B647CE" w:rsidRDefault="00B647CE" w:rsidP="00B647CE">
      <w:pPr>
        <w:pStyle w:val="BodyText"/>
      </w:pPr>
      <w:r>
        <w:br w:type="page"/>
      </w:r>
    </w:p>
    <w:p w:rsidR="000A4712" w:rsidRDefault="000A4712" w:rsidP="000A47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A4712" w:rsidTr="000A4712">
        <w:tc>
          <w:tcPr>
            <w:tcW w:w="8771" w:type="dxa"/>
            <w:tcBorders>
              <w:top w:val="single" w:sz="6" w:space="0" w:color="78A22F"/>
              <w:left w:val="nil"/>
              <w:bottom w:val="nil"/>
              <w:right w:val="nil"/>
            </w:tcBorders>
            <w:shd w:val="clear" w:color="auto" w:fill="auto"/>
          </w:tcPr>
          <w:p w:rsidR="000A4712" w:rsidRPr="00784A05" w:rsidRDefault="000A4712" w:rsidP="000A4712">
            <w:pPr>
              <w:pStyle w:val="TableTitle"/>
            </w:pPr>
            <w:r>
              <w:rPr>
                <w:b w:val="0"/>
              </w:rPr>
              <w:t>Table G.3</w:t>
            </w:r>
            <w:r>
              <w:tab/>
              <w:t>Performance indicator results for homelessness services</w:t>
            </w:r>
            <w:r w:rsidRPr="00FC012D">
              <w:rPr>
                <w:rStyle w:val="NoteLabel"/>
                <w:b/>
              </w:rPr>
              <w:t>a, b</w:t>
            </w:r>
          </w:p>
        </w:tc>
      </w:tr>
      <w:tr w:rsidR="000A4712" w:rsidTr="000A47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51"/>
              <w:gridCol w:w="851"/>
              <w:gridCol w:w="850"/>
              <w:gridCol w:w="850"/>
              <w:gridCol w:w="850"/>
              <w:gridCol w:w="850"/>
              <w:gridCol w:w="850"/>
              <w:gridCol w:w="842"/>
              <w:gridCol w:w="842"/>
            </w:tblGrid>
            <w:tr w:rsidR="000A4712" w:rsidTr="000A4712">
              <w:tc>
                <w:tcPr>
                  <w:tcW w:w="501" w:type="pct"/>
                  <w:tcBorders>
                    <w:top w:val="single" w:sz="6" w:space="0" w:color="BFBFBF"/>
                    <w:bottom w:val="single" w:sz="6" w:space="0" w:color="BFBFBF"/>
                  </w:tcBorders>
                  <w:shd w:val="clear" w:color="auto" w:fill="auto"/>
                  <w:tcMar>
                    <w:top w:w="28" w:type="dxa"/>
                  </w:tcMar>
                </w:tcPr>
                <w:p w:rsidR="000A4712" w:rsidRDefault="000A4712" w:rsidP="000A4712">
                  <w:pPr>
                    <w:pStyle w:val="TableColumnHeading"/>
                    <w:jc w:val="left"/>
                  </w:pPr>
                </w:p>
              </w:tc>
              <w:tc>
                <w:tcPr>
                  <w:tcW w:w="501" w:type="pct"/>
                  <w:tcBorders>
                    <w:top w:val="single" w:sz="6" w:space="0" w:color="BFBFBF"/>
                    <w:bottom w:val="single" w:sz="6" w:space="0" w:color="BFBFBF"/>
                  </w:tcBorders>
                </w:tcPr>
                <w:p w:rsidR="000A4712" w:rsidRDefault="000A4712" w:rsidP="000A4712">
                  <w:pPr>
                    <w:pStyle w:val="TableColumnHeading"/>
                  </w:pPr>
                  <w:r>
                    <w:t>NSW</w:t>
                  </w:r>
                </w:p>
              </w:tc>
              <w:tc>
                <w:tcPr>
                  <w:tcW w:w="501" w:type="pct"/>
                  <w:tcBorders>
                    <w:top w:val="single" w:sz="6" w:space="0" w:color="BFBFBF"/>
                    <w:bottom w:val="single" w:sz="6" w:space="0" w:color="BFBFBF"/>
                  </w:tcBorders>
                </w:tcPr>
                <w:p w:rsidR="000A4712" w:rsidRDefault="000A4712" w:rsidP="000A4712">
                  <w:pPr>
                    <w:pStyle w:val="TableColumnHeading"/>
                  </w:pPr>
                  <w:r>
                    <w:t>Vic</w:t>
                  </w:r>
                </w:p>
              </w:tc>
              <w:tc>
                <w:tcPr>
                  <w:tcW w:w="501" w:type="pct"/>
                  <w:tcBorders>
                    <w:top w:val="single" w:sz="6" w:space="0" w:color="BFBFBF"/>
                    <w:bottom w:val="single" w:sz="6" w:space="0" w:color="BFBFBF"/>
                  </w:tcBorders>
                </w:tcPr>
                <w:p w:rsidR="000A4712" w:rsidRDefault="000A4712" w:rsidP="000A4712">
                  <w:pPr>
                    <w:pStyle w:val="TableColumnHeading"/>
                  </w:pPr>
                  <w:r>
                    <w:t>Qld</w:t>
                  </w:r>
                </w:p>
              </w:tc>
              <w:tc>
                <w:tcPr>
                  <w:tcW w:w="501" w:type="pct"/>
                  <w:tcBorders>
                    <w:top w:val="single" w:sz="6" w:space="0" w:color="BFBFBF"/>
                    <w:bottom w:val="single" w:sz="6" w:space="0" w:color="BFBFBF"/>
                  </w:tcBorders>
                </w:tcPr>
                <w:p w:rsidR="000A4712" w:rsidRDefault="000A4712" w:rsidP="000A4712">
                  <w:pPr>
                    <w:pStyle w:val="TableColumnHeading"/>
                  </w:pPr>
                  <w:r>
                    <w:t>WA</w:t>
                  </w:r>
                </w:p>
              </w:tc>
              <w:tc>
                <w:tcPr>
                  <w:tcW w:w="501" w:type="pct"/>
                  <w:tcBorders>
                    <w:top w:val="single" w:sz="6" w:space="0" w:color="BFBFBF"/>
                    <w:bottom w:val="single" w:sz="6" w:space="0" w:color="BFBFBF"/>
                  </w:tcBorders>
                </w:tcPr>
                <w:p w:rsidR="000A4712" w:rsidRDefault="000A4712" w:rsidP="000A4712">
                  <w:pPr>
                    <w:pStyle w:val="TableColumnHeading"/>
                  </w:pPr>
                  <w:r>
                    <w:t>SA</w:t>
                  </w:r>
                </w:p>
              </w:tc>
              <w:tc>
                <w:tcPr>
                  <w:tcW w:w="501" w:type="pct"/>
                  <w:tcBorders>
                    <w:top w:val="single" w:sz="6" w:space="0" w:color="BFBFBF"/>
                    <w:bottom w:val="single" w:sz="6" w:space="0" w:color="BFBFBF"/>
                  </w:tcBorders>
                </w:tcPr>
                <w:p w:rsidR="000A4712" w:rsidRDefault="000A4712" w:rsidP="000A4712">
                  <w:pPr>
                    <w:pStyle w:val="TableColumnHeading"/>
                  </w:pPr>
                  <w:r>
                    <w:t>Tas</w:t>
                  </w:r>
                </w:p>
              </w:tc>
              <w:tc>
                <w:tcPr>
                  <w:tcW w:w="501" w:type="pct"/>
                  <w:tcBorders>
                    <w:top w:val="single" w:sz="6" w:space="0" w:color="BFBFBF"/>
                    <w:bottom w:val="single" w:sz="6" w:space="0" w:color="BFBFBF"/>
                  </w:tcBorders>
                  <w:shd w:val="clear" w:color="auto" w:fill="auto"/>
                  <w:tcMar>
                    <w:top w:w="28" w:type="dxa"/>
                  </w:tcMar>
                </w:tcPr>
                <w:p w:rsidR="000A4712" w:rsidRDefault="000A4712" w:rsidP="000A4712">
                  <w:pPr>
                    <w:pStyle w:val="TableColumnHeading"/>
                  </w:pPr>
                  <w:r>
                    <w:t>ACT</w:t>
                  </w:r>
                </w:p>
              </w:tc>
              <w:tc>
                <w:tcPr>
                  <w:tcW w:w="496" w:type="pct"/>
                  <w:tcBorders>
                    <w:top w:val="single" w:sz="6" w:space="0" w:color="BFBFBF"/>
                    <w:bottom w:val="single" w:sz="6" w:space="0" w:color="BFBFBF"/>
                  </w:tcBorders>
                </w:tcPr>
                <w:p w:rsidR="000A4712" w:rsidRDefault="000A4712" w:rsidP="000A4712">
                  <w:pPr>
                    <w:pStyle w:val="TableColumnHeading"/>
                  </w:pPr>
                  <w:r>
                    <w:t>NT</w:t>
                  </w:r>
                </w:p>
              </w:tc>
              <w:tc>
                <w:tcPr>
                  <w:tcW w:w="496" w:type="pct"/>
                  <w:tcBorders>
                    <w:top w:val="single" w:sz="6" w:space="0" w:color="BFBFBF"/>
                    <w:bottom w:val="single" w:sz="6" w:space="0" w:color="BFBFBF"/>
                  </w:tcBorders>
                  <w:shd w:val="clear" w:color="auto" w:fill="auto"/>
                  <w:tcMar>
                    <w:top w:w="28" w:type="dxa"/>
                  </w:tcMar>
                </w:tcPr>
                <w:p w:rsidR="000A4712" w:rsidRDefault="000A4712" w:rsidP="000A4712">
                  <w:pPr>
                    <w:pStyle w:val="TableColumnHeading"/>
                  </w:pPr>
                  <w:r>
                    <w:t>Aust</w:t>
                  </w:r>
                </w:p>
              </w:tc>
            </w:tr>
            <w:tr w:rsidR="000A4712" w:rsidTr="000A4712">
              <w:tc>
                <w:tcPr>
                  <w:tcW w:w="5000" w:type="pct"/>
                  <w:gridSpan w:val="10"/>
                  <w:tcBorders>
                    <w:top w:val="single" w:sz="6" w:space="0" w:color="BFBFBF"/>
                  </w:tcBorders>
                </w:tcPr>
                <w:p w:rsidR="000A4712" w:rsidRDefault="000A4712" w:rsidP="000A4712">
                  <w:pPr>
                    <w:pStyle w:val="DQIMainRowHeadings"/>
                  </w:pPr>
                  <w:r>
                    <w:t>Equity — Access indicators</w:t>
                  </w:r>
                </w:p>
              </w:tc>
            </w:tr>
            <w:tr w:rsidR="000A4712" w:rsidTr="000A4712">
              <w:tc>
                <w:tcPr>
                  <w:tcW w:w="5000" w:type="pct"/>
                  <w:gridSpan w:val="10"/>
                </w:tcPr>
                <w:p w:rsidR="000A4712" w:rsidRPr="009F4AB7" w:rsidRDefault="009F4AB7" w:rsidP="00BA45DB">
                  <w:pPr>
                    <w:pStyle w:val="DQIRowHeadings"/>
                  </w:pPr>
                  <w:r w:rsidRPr="009F4AB7">
                    <w:t>Access of special needs groups</w:t>
                  </w:r>
                  <w:r w:rsidR="00BA45DB">
                    <w:t xml:space="preserve"> </w:t>
                  </w:r>
                  <w:r w:rsidR="008B5CC7">
                    <w:t xml:space="preserve">— </w:t>
                  </w:r>
                  <w:r w:rsidR="008B5CC7">
                    <w:rPr>
                      <w:color w:val="000000" w:themeColor="text1"/>
                    </w:rPr>
                    <w:t>Aboriginal and Torres Strait Islander people</w:t>
                  </w:r>
                </w:p>
              </w:tc>
            </w:tr>
            <w:tr w:rsidR="009F4AB7" w:rsidTr="008B5CC7">
              <w:tc>
                <w:tcPr>
                  <w:tcW w:w="5000" w:type="pct"/>
                  <w:gridSpan w:val="10"/>
                </w:tcPr>
                <w:p w:rsidR="009F4AB7" w:rsidRPr="00C47D6F" w:rsidRDefault="009F4AB7" w:rsidP="009F4AB7">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0A4712" w:rsidTr="000A4712">
              <w:tc>
                <w:tcPr>
                  <w:tcW w:w="5000" w:type="pct"/>
                  <w:gridSpan w:val="10"/>
                </w:tcPr>
                <w:p w:rsidR="000A4712" w:rsidRDefault="00BA45DB" w:rsidP="008B5CC7">
                  <w:pPr>
                    <w:pStyle w:val="TableBodyText"/>
                    <w:ind w:left="113" w:right="28"/>
                    <w:jc w:val="left"/>
                  </w:pPr>
                  <w:r>
                    <w:rPr>
                      <w:color w:val="000000" w:themeColor="text1"/>
                    </w:rPr>
                    <w:t>Representation among clients whose accommodation needs were met</w:t>
                  </w:r>
                  <w:r w:rsidR="000A4712">
                    <w:rPr>
                      <w:color w:val="000000" w:themeColor="text1"/>
                    </w:rPr>
                    <w:t>, 2014</w:t>
                  </w:r>
                  <w:r w:rsidR="00080F6D">
                    <w:rPr>
                      <w:color w:val="000000" w:themeColor="text1"/>
                    </w:rPr>
                    <w:noBreakHyphen/>
                  </w:r>
                  <w:r w:rsidR="000A4712">
                    <w:rPr>
                      <w:color w:val="000000" w:themeColor="text1"/>
                    </w:rPr>
                    <w:t>15</w:t>
                  </w:r>
                  <w:r w:rsidR="000A4712" w:rsidRPr="00C048B8">
                    <w:rPr>
                      <w:color w:val="000000" w:themeColor="text1"/>
                    </w:rPr>
                    <w:t> </w:t>
                  </w:r>
                </w:p>
              </w:tc>
            </w:tr>
            <w:tr w:rsidR="00BA45DB" w:rsidTr="00BA45DB">
              <w:tc>
                <w:tcPr>
                  <w:tcW w:w="501" w:type="pct"/>
                </w:tcPr>
                <w:p w:rsidR="00BA45DB" w:rsidRDefault="00BA45DB" w:rsidP="000A4712">
                  <w:pPr>
                    <w:pStyle w:val="TableBodyText"/>
                  </w:pPr>
                  <w:r>
                    <w:t>%</w:t>
                  </w:r>
                </w:p>
              </w:tc>
              <w:tc>
                <w:tcPr>
                  <w:tcW w:w="501" w:type="pct"/>
                  <w:vAlign w:val="center"/>
                </w:tcPr>
                <w:p w:rsidR="00BA45DB" w:rsidRPr="00BA45DB" w:rsidRDefault="00080F6D" w:rsidP="002D1999">
                  <w:pPr>
                    <w:pStyle w:val="TableBodyText"/>
                  </w:pPr>
                  <w:r>
                    <w:t xml:space="preserve"> </w:t>
                  </w:r>
                  <w:r w:rsidR="00BA45DB" w:rsidRPr="00BA45DB">
                    <w:t>26.6</w:t>
                  </w:r>
                </w:p>
              </w:tc>
              <w:tc>
                <w:tcPr>
                  <w:tcW w:w="501" w:type="pct"/>
                  <w:vAlign w:val="center"/>
                </w:tcPr>
                <w:p w:rsidR="00BA45DB" w:rsidRPr="002D1999" w:rsidRDefault="00080F6D" w:rsidP="002D1999">
                  <w:pPr>
                    <w:pStyle w:val="TableBodyText"/>
                  </w:pPr>
                  <w:r>
                    <w:t xml:space="preserve"> </w:t>
                  </w:r>
                  <w:r w:rsidR="00BA45DB" w:rsidRPr="002D1999">
                    <w:t>11.9</w:t>
                  </w:r>
                </w:p>
              </w:tc>
              <w:tc>
                <w:tcPr>
                  <w:tcW w:w="501" w:type="pct"/>
                  <w:vAlign w:val="center"/>
                </w:tcPr>
                <w:p w:rsidR="00BA45DB" w:rsidRPr="002D1999" w:rsidRDefault="00080F6D" w:rsidP="002D1999">
                  <w:pPr>
                    <w:pStyle w:val="TableBodyText"/>
                  </w:pPr>
                  <w:r>
                    <w:t xml:space="preserve"> </w:t>
                  </w:r>
                  <w:r w:rsidR="00BA45DB" w:rsidRPr="002D1999">
                    <w:t>34.1</w:t>
                  </w:r>
                </w:p>
              </w:tc>
              <w:tc>
                <w:tcPr>
                  <w:tcW w:w="501" w:type="pct"/>
                  <w:vAlign w:val="center"/>
                </w:tcPr>
                <w:p w:rsidR="00BA45DB" w:rsidRPr="002D1999" w:rsidRDefault="00080F6D" w:rsidP="002D1999">
                  <w:pPr>
                    <w:pStyle w:val="TableBodyText"/>
                  </w:pPr>
                  <w:r>
                    <w:t xml:space="preserve"> </w:t>
                  </w:r>
                  <w:r w:rsidR="00BA45DB" w:rsidRPr="002D1999">
                    <w:t>48.5</w:t>
                  </w:r>
                </w:p>
              </w:tc>
              <w:tc>
                <w:tcPr>
                  <w:tcW w:w="501" w:type="pct"/>
                  <w:vAlign w:val="center"/>
                </w:tcPr>
                <w:p w:rsidR="00BA45DB" w:rsidRPr="002D1999" w:rsidRDefault="00080F6D" w:rsidP="002D1999">
                  <w:pPr>
                    <w:pStyle w:val="TableBodyText"/>
                  </w:pPr>
                  <w:r>
                    <w:t xml:space="preserve"> </w:t>
                  </w:r>
                  <w:r w:rsidR="00BA45DB" w:rsidRPr="002D1999">
                    <w:t>31.3</w:t>
                  </w:r>
                </w:p>
              </w:tc>
              <w:tc>
                <w:tcPr>
                  <w:tcW w:w="501" w:type="pct"/>
                  <w:vAlign w:val="center"/>
                </w:tcPr>
                <w:p w:rsidR="00BA45DB" w:rsidRPr="002D1999" w:rsidRDefault="00080F6D" w:rsidP="002D1999">
                  <w:pPr>
                    <w:pStyle w:val="TableBodyText"/>
                  </w:pPr>
                  <w:r>
                    <w:t xml:space="preserve"> </w:t>
                  </w:r>
                  <w:r w:rsidR="00BA45DB" w:rsidRPr="002D1999">
                    <w:t>15.2</w:t>
                  </w:r>
                </w:p>
              </w:tc>
              <w:tc>
                <w:tcPr>
                  <w:tcW w:w="501" w:type="pct"/>
                  <w:vAlign w:val="center"/>
                </w:tcPr>
                <w:p w:rsidR="00BA45DB" w:rsidRPr="002D1999" w:rsidRDefault="00080F6D" w:rsidP="002D1999">
                  <w:pPr>
                    <w:pStyle w:val="TableBodyText"/>
                  </w:pPr>
                  <w:r>
                    <w:t xml:space="preserve"> </w:t>
                  </w:r>
                  <w:r w:rsidR="00BA45DB" w:rsidRPr="002D1999">
                    <w:t>21.0</w:t>
                  </w:r>
                </w:p>
              </w:tc>
              <w:tc>
                <w:tcPr>
                  <w:tcW w:w="496" w:type="pct"/>
                  <w:vAlign w:val="center"/>
                </w:tcPr>
                <w:p w:rsidR="00BA45DB" w:rsidRPr="002D1999" w:rsidRDefault="00080F6D" w:rsidP="002D1999">
                  <w:pPr>
                    <w:pStyle w:val="TableBodyText"/>
                  </w:pPr>
                  <w:r>
                    <w:t xml:space="preserve"> </w:t>
                  </w:r>
                  <w:r w:rsidR="00BA45DB" w:rsidRPr="002D1999">
                    <w:t>76.2</w:t>
                  </w:r>
                </w:p>
              </w:tc>
              <w:tc>
                <w:tcPr>
                  <w:tcW w:w="496" w:type="pct"/>
                  <w:vAlign w:val="center"/>
                </w:tcPr>
                <w:p w:rsidR="00BA45DB" w:rsidRPr="002D1999" w:rsidRDefault="00080F6D" w:rsidP="002D1999">
                  <w:pPr>
                    <w:pStyle w:val="TableBodyText"/>
                  </w:pPr>
                  <w:r>
                    <w:t xml:space="preserve"> </w:t>
                  </w:r>
                  <w:r w:rsidR="00BA45DB" w:rsidRPr="002D1999">
                    <w:t>28.1</w:t>
                  </w:r>
                </w:p>
              </w:tc>
            </w:tr>
            <w:tr w:rsidR="00BA45DB" w:rsidTr="00BA45DB">
              <w:tc>
                <w:tcPr>
                  <w:tcW w:w="5000" w:type="pct"/>
                  <w:gridSpan w:val="10"/>
                </w:tcPr>
                <w:p w:rsidR="00BA45DB" w:rsidRDefault="00BA45DB" w:rsidP="00BA45DB">
                  <w:pPr>
                    <w:pStyle w:val="TableBodyText"/>
                    <w:ind w:left="113" w:right="28"/>
                    <w:jc w:val="left"/>
                  </w:pPr>
                  <w:r>
                    <w:rPr>
                      <w:color w:val="000000" w:themeColor="text1"/>
                    </w:rPr>
                    <w:t>Representation among clients whose need for services other than accommodation were met, 2014</w:t>
                  </w:r>
                  <w:r w:rsidR="00080F6D">
                    <w:rPr>
                      <w:color w:val="000000" w:themeColor="text1"/>
                    </w:rPr>
                    <w:noBreakHyphen/>
                  </w:r>
                  <w:r>
                    <w:rPr>
                      <w:color w:val="000000" w:themeColor="text1"/>
                    </w:rPr>
                    <w:t>15</w:t>
                  </w:r>
                  <w:r w:rsidRPr="00C048B8">
                    <w:rPr>
                      <w:color w:val="000000" w:themeColor="text1"/>
                    </w:rPr>
                    <w:t> </w:t>
                  </w:r>
                </w:p>
              </w:tc>
            </w:tr>
            <w:tr w:rsidR="00BA45DB" w:rsidTr="00BA45DB">
              <w:tc>
                <w:tcPr>
                  <w:tcW w:w="501" w:type="pct"/>
                </w:tcPr>
                <w:p w:rsidR="00BA45DB" w:rsidRDefault="00BA45DB" w:rsidP="000A4712">
                  <w:pPr>
                    <w:pStyle w:val="TableBodyText"/>
                  </w:pPr>
                  <w:r>
                    <w:t>%</w:t>
                  </w:r>
                </w:p>
              </w:tc>
              <w:tc>
                <w:tcPr>
                  <w:tcW w:w="501" w:type="pct"/>
                  <w:vAlign w:val="center"/>
                </w:tcPr>
                <w:p w:rsidR="00BA45DB" w:rsidRPr="00BA45DB" w:rsidRDefault="00080F6D" w:rsidP="002D1999">
                  <w:pPr>
                    <w:pStyle w:val="TableBodyText"/>
                  </w:pPr>
                  <w:r>
                    <w:t xml:space="preserve"> </w:t>
                  </w:r>
                  <w:r w:rsidR="00BA45DB" w:rsidRPr="00BA45DB">
                    <w:t>22.2</w:t>
                  </w:r>
                </w:p>
              </w:tc>
              <w:tc>
                <w:tcPr>
                  <w:tcW w:w="501" w:type="pct"/>
                  <w:vAlign w:val="center"/>
                </w:tcPr>
                <w:p w:rsidR="00BA45DB" w:rsidRPr="002D1999" w:rsidRDefault="00080F6D" w:rsidP="002D1999">
                  <w:pPr>
                    <w:pStyle w:val="TableBodyText"/>
                  </w:pPr>
                  <w:r>
                    <w:t xml:space="preserve"> </w:t>
                  </w:r>
                  <w:r w:rsidR="00BA45DB" w:rsidRPr="002D1999">
                    <w:t>5.5</w:t>
                  </w:r>
                </w:p>
              </w:tc>
              <w:tc>
                <w:tcPr>
                  <w:tcW w:w="501" w:type="pct"/>
                  <w:vAlign w:val="center"/>
                </w:tcPr>
                <w:p w:rsidR="00BA45DB" w:rsidRPr="002D1999" w:rsidRDefault="00080F6D" w:rsidP="002D1999">
                  <w:pPr>
                    <w:pStyle w:val="TableBodyText"/>
                  </w:pPr>
                  <w:r>
                    <w:t xml:space="preserve"> </w:t>
                  </w:r>
                  <w:r w:rsidR="00BA45DB" w:rsidRPr="002D1999">
                    <w:t>28.3</w:t>
                  </w:r>
                </w:p>
              </w:tc>
              <w:tc>
                <w:tcPr>
                  <w:tcW w:w="501" w:type="pct"/>
                  <w:vAlign w:val="center"/>
                </w:tcPr>
                <w:p w:rsidR="00BA45DB" w:rsidRPr="002D1999" w:rsidRDefault="00080F6D" w:rsidP="002D1999">
                  <w:pPr>
                    <w:pStyle w:val="TableBodyText"/>
                  </w:pPr>
                  <w:r>
                    <w:t xml:space="preserve"> </w:t>
                  </w:r>
                  <w:r w:rsidR="00BA45DB" w:rsidRPr="002D1999">
                    <w:t>22.3</w:t>
                  </w:r>
                </w:p>
              </w:tc>
              <w:tc>
                <w:tcPr>
                  <w:tcW w:w="501" w:type="pct"/>
                  <w:vAlign w:val="center"/>
                </w:tcPr>
                <w:p w:rsidR="00BA45DB" w:rsidRPr="002D1999" w:rsidRDefault="00080F6D" w:rsidP="002D1999">
                  <w:pPr>
                    <w:pStyle w:val="TableBodyText"/>
                  </w:pPr>
                  <w:r>
                    <w:t xml:space="preserve"> </w:t>
                  </w:r>
                  <w:r w:rsidR="00BA45DB" w:rsidRPr="002D1999">
                    <w:t>19.8</w:t>
                  </w:r>
                </w:p>
              </w:tc>
              <w:tc>
                <w:tcPr>
                  <w:tcW w:w="501" w:type="pct"/>
                  <w:vAlign w:val="center"/>
                </w:tcPr>
                <w:p w:rsidR="00BA45DB" w:rsidRPr="002D1999" w:rsidRDefault="00080F6D" w:rsidP="002D1999">
                  <w:pPr>
                    <w:pStyle w:val="TableBodyText"/>
                  </w:pPr>
                  <w:r>
                    <w:t xml:space="preserve"> </w:t>
                  </w:r>
                  <w:r w:rsidR="00BA45DB" w:rsidRPr="002D1999">
                    <w:t>13.0</w:t>
                  </w:r>
                </w:p>
              </w:tc>
              <w:tc>
                <w:tcPr>
                  <w:tcW w:w="501" w:type="pct"/>
                  <w:vAlign w:val="center"/>
                </w:tcPr>
                <w:p w:rsidR="00BA45DB" w:rsidRPr="002D1999" w:rsidRDefault="00080F6D" w:rsidP="002D1999">
                  <w:pPr>
                    <w:pStyle w:val="TableBodyText"/>
                  </w:pPr>
                  <w:r>
                    <w:t xml:space="preserve"> </w:t>
                  </w:r>
                  <w:r w:rsidR="00BA45DB" w:rsidRPr="002D1999">
                    <w:t>11.5</w:t>
                  </w:r>
                </w:p>
              </w:tc>
              <w:tc>
                <w:tcPr>
                  <w:tcW w:w="496" w:type="pct"/>
                  <w:vAlign w:val="center"/>
                </w:tcPr>
                <w:p w:rsidR="00BA45DB" w:rsidRPr="002D1999" w:rsidRDefault="00080F6D" w:rsidP="002D1999">
                  <w:pPr>
                    <w:pStyle w:val="TableBodyText"/>
                  </w:pPr>
                  <w:r>
                    <w:t xml:space="preserve"> </w:t>
                  </w:r>
                  <w:r w:rsidR="00BA45DB" w:rsidRPr="002D1999">
                    <w:t>67.9</w:t>
                  </w:r>
                </w:p>
              </w:tc>
              <w:tc>
                <w:tcPr>
                  <w:tcW w:w="496" w:type="pct"/>
                  <w:vAlign w:val="center"/>
                </w:tcPr>
                <w:p w:rsidR="00BA45DB" w:rsidRPr="002D1999" w:rsidRDefault="00080F6D" w:rsidP="002D1999">
                  <w:pPr>
                    <w:pStyle w:val="TableBodyText"/>
                  </w:pPr>
                  <w:r>
                    <w:t xml:space="preserve"> </w:t>
                  </w:r>
                  <w:r w:rsidR="00BA45DB" w:rsidRPr="002D1999">
                    <w:t>15.4</w:t>
                  </w:r>
                </w:p>
              </w:tc>
            </w:tr>
            <w:tr w:rsidR="00BA45DB" w:rsidTr="00BA45DB">
              <w:tc>
                <w:tcPr>
                  <w:tcW w:w="5000" w:type="pct"/>
                  <w:gridSpan w:val="10"/>
                </w:tcPr>
                <w:p w:rsidR="00BA45DB" w:rsidRDefault="00BA45DB" w:rsidP="00BA45DB">
                  <w:pPr>
                    <w:pStyle w:val="TableBodyText"/>
                    <w:ind w:left="113" w:right="28"/>
                    <w:jc w:val="left"/>
                  </w:pPr>
                  <w:r>
                    <w:rPr>
                      <w:color w:val="000000" w:themeColor="text1"/>
                    </w:rPr>
                    <w:t>Representation in the population, June 2015</w:t>
                  </w:r>
                </w:p>
              </w:tc>
            </w:tr>
            <w:tr w:rsidR="00BA45DB" w:rsidTr="000A4712">
              <w:tc>
                <w:tcPr>
                  <w:tcW w:w="501" w:type="pct"/>
                </w:tcPr>
                <w:p w:rsidR="00BA45DB" w:rsidRDefault="00BA45DB" w:rsidP="000A4712">
                  <w:pPr>
                    <w:pStyle w:val="TableBodyText"/>
                  </w:pPr>
                  <w:r>
                    <w:t>%</w:t>
                  </w:r>
                </w:p>
              </w:tc>
              <w:tc>
                <w:tcPr>
                  <w:tcW w:w="501" w:type="pct"/>
                  <w:vAlign w:val="center"/>
                </w:tcPr>
                <w:p w:rsidR="00BA45DB" w:rsidRPr="002D1999" w:rsidRDefault="00BA45DB" w:rsidP="002D1999">
                  <w:pPr>
                    <w:pStyle w:val="TableBodyText"/>
                  </w:pPr>
                  <w:r w:rsidRPr="002D1999">
                    <w:t>2.9</w:t>
                  </w:r>
                </w:p>
              </w:tc>
              <w:tc>
                <w:tcPr>
                  <w:tcW w:w="501" w:type="pct"/>
                  <w:vAlign w:val="center"/>
                </w:tcPr>
                <w:p w:rsidR="00BA45DB" w:rsidRPr="002D1999" w:rsidRDefault="00BA45DB" w:rsidP="002D1999">
                  <w:pPr>
                    <w:pStyle w:val="TableBodyText"/>
                  </w:pPr>
                  <w:r w:rsidRPr="002D1999">
                    <w:t>0.9</w:t>
                  </w:r>
                </w:p>
              </w:tc>
              <w:tc>
                <w:tcPr>
                  <w:tcW w:w="501" w:type="pct"/>
                  <w:vAlign w:val="center"/>
                </w:tcPr>
                <w:p w:rsidR="00BA45DB" w:rsidRPr="002D1999" w:rsidRDefault="00BA45DB" w:rsidP="002D1999">
                  <w:pPr>
                    <w:pStyle w:val="TableBodyText"/>
                  </w:pPr>
                  <w:r w:rsidRPr="002D1999">
                    <w:t>4.3</w:t>
                  </w:r>
                </w:p>
              </w:tc>
              <w:tc>
                <w:tcPr>
                  <w:tcW w:w="501" w:type="pct"/>
                  <w:vAlign w:val="center"/>
                </w:tcPr>
                <w:p w:rsidR="00BA45DB" w:rsidRPr="002D1999" w:rsidRDefault="00BA45DB" w:rsidP="002D1999">
                  <w:pPr>
                    <w:pStyle w:val="TableBodyText"/>
                  </w:pPr>
                  <w:r w:rsidRPr="002D1999">
                    <w:t>3.6</w:t>
                  </w:r>
                </w:p>
              </w:tc>
              <w:tc>
                <w:tcPr>
                  <w:tcW w:w="501" w:type="pct"/>
                  <w:vAlign w:val="center"/>
                </w:tcPr>
                <w:p w:rsidR="00BA45DB" w:rsidRPr="002D1999" w:rsidRDefault="00BA45DB" w:rsidP="002D1999">
                  <w:pPr>
                    <w:pStyle w:val="TableBodyText"/>
                  </w:pPr>
                  <w:r w:rsidRPr="002D1999">
                    <w:t>2.4</w:t>
                  </w:r>
                </w:p>
              </w:tc>
              <w:tc>
                <w:tcPr>
                  <w:tcW w:w="501" w:type="pct"/>
                  <w:vAlign w:val="center"/>
                </w:tcPr>
                <w:p w:rsidR="00BA45DB" w:rsidRPr="002D1999" w:rsidRDefault="00BA45DB" w:rsidP="002D1999">
                  <w:pPr>
                    <w:pStyle w:val="TableBodyText"/>
                  </w:pPr>
                  <w:r w:rsidRPr="002D1999">
                    <w:t>5.0</w:t>
                  </w:r>
                </w:p>
              </w:tc>
              <w:tc>
                <w:tcPr>
                  <w:tcW w:w="501" w:type="pct"/>
                  <w:vAlign w:val="center"/>
                </w:tcPr>
                <w:p w:rsidR="00BA45DB" w:rsidRPr="002D1999" w:rsidRDefault="00BA45DB" w:rsidP="002D1999">
                  <w:pPr>
                    <w:pStyle w:val="TableBodyText"/>
                  </w:pPr>
                  <w:r w:rsidRPr="002D1999">
                    <w:t>1.7</w:t>
                  </w:r>
                </w:p>
              </w:tc>
              <w:tc>
                <w:tcPr>
                  <w:tcW w:w="496" w:type="pct"/>
                  <w:vAlign w:val="center"/>
                </w:tcPr>
                <w:p w:rsidR="00BA45DB" w:rsidRPr="002D1999" w:rsidRDefault="00BA45DB" w:rsidP="002D1999">
                  <w:pPr>
                    <w:pStyle w:val="TableBodyText"/>
                  </w:pPr>
                  <w:r w:rsidRPr="002D1999">
                    <w:t>29.5</w:t>
                  </w:r>
                </w:p>
              </w:tc>
              <w:tc>
                <w:tcPr>
                  <w:tcW w:w="496" w:type="pct"/>
                  <w:vAlign w:val="center"/>
                </w:tcPr>
                <w:p w:rsidR="00BA45DB" w:rsidRPr="002D1999" w:rsidRDefault="00BA45DB" w:rsidP="002D1999">
                  <w:pPr>
                    <w:pStyle w:val="TableBodyText"/>
                  </w:pPr>
                  <w:r w:rsidRPr="002D1999">
                    <w:t>3.0</w:t>
                  </w:r>
                </w:p>
              </w:tc>
            </w:tr>
            <w:tr w:rsidR="000A4712" w:rsidTr="000A4712">
              <w:tc>
                <w:tcPr>
                  <w:tcW w:w="5000" w:type="pct"/>
                  <w:gridSpan w:val="10"/>
                </w:tcPr>
                <w:p w:rsidR="000A4712" w:rsidRDefault="000A4712" w:rsidP="00BA45DB">
                  <w:pPr>
                    <w:pStyle w:val="Source"/>
                    <w:spacing w:before="0" w:after="80"/>
                    <w:ind w:left="113"/>
                  </w:pPr>
                  <w:r w:rsidRPr="00253B66">
                    <w:rPr>
                      <w:i/>
                    </w:rPr>
                    <w:t>Source</w:t>
                  </w:r>
                  <w:r w:rsidRPr="00080F6D">
                    <w:t>:</w:t>
                  </w:r>
                  <w:r>
                    <w:t xml:space="preserve"> Attachment table 1</w:t>
                  </w:r>
                  <w:r w:rsidR="00BA45DB">
                    <w:t>8</w:t>
                  </w:r>
                  <w:r>
                    <w:t>A.</w:t>
                  </w:r>
                  <w:r w:rsidR="00BA45DB">
                    <w:t>5 and table 18A.8</w:t>
                  </w:r>
                  <w:r w:rsidR="00C9055F">
                    <w:t>.</w:t>
                  </w:r>
                </w:p>
              </w:tc>
            </w:tr>
            <w:tr w:rsidR="002D1999" w:rsidTr="002D1999">
              <w:tc>
                <w:tcPr>
                  <w:tcW w:w="5000" w:type="pct"/>
                  <w:gridSpan w:val="10"/>
                </w:tcPr>
                <w:p w:rsidR="002D1999" w:rsidRPr="009F4AB7" w:rsidRDefault="002D1999" w:rsidP="002D1999">
                  <w:pPr>
                    <w:pStyle w:val="DQIRowHeadings"/>
                  </w:pPr>
                  <w:r w:rsidRPr="009F4AB7">
                    <w:t>Access of special needs groups</w:t>
                  </w:r>
                  <w:r>
                    <w:t xml:space="preserve"> — </w:t>
                  </w:r>
                  <w:r>
                    <w:rPr>
                      <w:color w:val="000000" w:themeColor="text1"/>
                    </w:rPr>
                    <w:t>people born in non</w:t>
                  </w:r>
                  <w:r>
                    <w:rPr>
                      <w:color w:val="000000" w:themeColor="text1"/>
                    </w:rPr>
                    <w:noBreakHyphen/>
                    <w:t>main English</w:t>
                  </w:r>
                  <w:r w:rsidR="00C9055F">
                    <w:rPr>
                      <w:color w:val="000000" w:themeColor="text1"/>
                    </w:rPr>
                    <w:noBreakHyphen/>
                  </w:r>
                  <w:r>
                    <w:rPr>
                      <w:color w:val="000000" w:themeColor="text1"/>
                    </w:rPr>
                    <w:t>speaking countries</w:t>
                  </w:r>
                </w:p>
              </w:tc>
            </w:tr>
            <w:tr w:rsidR="002D1999" w:rsidTr="002D1999">
              <w:tc>
                <w:tcPr>
                  <w:tcW w:w="5000" w:type="pct"/>
                  <w:gridSpan w:val="10"/>
                </w:tcPr>
                <w:p w:rsidR="002D1999" w:rsidRPr="00C47D6F" w:rsidRDefault="002D1999" w:rsidP="002D1999">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D1999" w:rsidTr="002D1999">
              <w:tc>
                <w:tcPr>
                  <w:tcW w:w="5000" w:type="pct"/>
                  <w:gridSpan w:val="10"/>
                </w:tcPr>
                <w:p w:rsidR="002D1999" w:rsidRDefault="002D1999" w:rsidP="002D1999">
                  <w:pPr>
                    <w:pStyle w:val="TableBodyText"/>
                    <w:ind w:left="113" w:right="28"/>
                    <w:jc w:val="left"/>
                  </w:pPr>
                  <w:r>
                    <w:rPr>
                      <w:color w:val="000000" w:themeColor="text1"/>
                    </w:rPr>
                    <w:t>Representation among clients whose accommodation needs were met, 2014</w:t>
                  </w:r>
                  <w:r w:rsidR="00080F6D">
                    <w:rPr>
                      <w:color w:val="000000" w:themeColor="text1"/>
                    </w:rPr>
                    <w:noBreakHyphen/>
                  </w:r>
                  <w:r>
                    <w:rPr>
                      <w:color w:val="000000" w:themeColor="text1"/>
                    </w:rPr>
                    <w:t>15</w:t>
                  </w:r>
                  <w:r w:rsidRPr="00C048B8">
                    <w:rPr>
                      <w:color w:val="000000" w:themeColor="text1"/>
                    </w:rPr>
                    <w:t> </w:t>
                  </w:r>
                </w:p>
              </w:tc>
            </w:tr>
            <w:tr w:rsidR="002D1999" w:rsidTr="002D1999">
              <w:tc>
                <w:tcPr>
                  <w:tcW w:w="501" w:type="pct"/>
                </w:tcPr>
                <w:p w:rsidR="002D1999" w:rsidRDefault="002D1999" w:rsidP="002D1999">
                  <w:pPr>
                    <w:pStyle w:val="TableBodyText"/>
                  </w:pPr>
                  <w:r>
                    <w:t>%</w:t>
                  </w:r>
                </w:p>
              </w:tc>
              <w:tc>
                <w:tcPr>
                  <w:tcW w:w="501" w:type="pct"/>
                  <w:vAlign w:val="center"/>
                </w:tcPr>
                <w:p w:rsidR="002D1999" w:rsidRDefault="00080F6D" w:rsidP="002D1999">
                  <w:pPr>
                    <w:pStyle w:val="TableBodyText"/>
                  </w:pPr>
                  <w:r>
                    <w:t xml:space="preserve"> </w:t>
                  </w:r>
                  <w:r w:rsidR="002D1999">
                    <w:t>10.5</w:t>
                  </w:r>
                </w:p>
              </w:tc>
              <w:tc>
                <w:tcPr>
                  <w:tcW w:w="501" w:type="pct"/>
                  <w:vAlign w:val="center"/>
                </w:tcPr>
                <w:p w:rsidR="002D1999" w:rsidRDefault="00080F6D" w:rsidP="002D1999">
                  <w:pPr>
                    <w:pStyle w:val="TableBodyText"/>
                  </w:pPr>
                  <w:r>
                    <w:t xml:space="preserve"> </w:t>
                  </w:r>
                  <w:r w:rsidR="002D1999">
                    <w:t>15.2</w:t>
                  </w:r>
                </w:p>
              </w:tc>
              <w:tc>
                <w:tcPr>
                  <w:tcW w:w="501" w:type="pct"/>
                  <w:vAlign w:val="center"/>
                </w:tcPr>
                <w:p w:rsidR="002D1999" w:rsidRDefault="00080F6D" w:rsidP="002D1999">
                  <w:pPr>
                    <w:pStyle w:val="TableBodyText"/>
                  </w:pPr>
                  <w:r>
                    <w:t xml:space="preserve"> </w:t>
                  </w:r>
                  <w:r w:rsidR="002D1999">
                    <w:t>7.6</w:t>
                  </w:r>
                </w:p>
              </w:tc>
              <w:tc>
                <w:tcPr>
                  <w:tcW w:w="501" w:type="pct"/>
                  <w:vAlign w:val="center"/>
                </w:tcPr>
                <w:p w:rsidR="002D1999" w:rsidRDefault="00080F6D" w:rsidP="002D1999">
                  <w:pPr>
                    <w:pStyle w:val="TableBodyText"/>
                  </w:pPr>
                  <w:r>
                    <w:t xml:space="preserve"> </w:t>
                  </w:r>
                  <w:r w:rsidR="002D1999">
                    <w:t>8.8</w:t>
                  </w:r>
                </w:p>
              </w:tc>
              <w:tc>
                <w:tcPr>
                  <w:tcW w:w="501" w:type="pct"/>
                  <w:vAlign w:val="center"/>
                </w:tcPr>
                <w:p w:rsidR="002D1999" w:rsidRDefault="00080F6D" w:rsidP="002D1999">
                  <w:pPr>
                    <w:pStyle w:val="TableBodyText"/>
                  </w:pPr>
                  <w:r>
                    <w:t xml:space="preserve"> </w:t>
                  </w:r>
                  <w:r w:rsidR="002D1999">
                    <w:t>5.9</w:t>
                  </w:r>
                </w:p>
              </w:tc>
              <w:tc>
                <w:tcPr>
                  <w:tcW w:w="501" w:type="pct"/>
                  <w:vAlign w:val="center"/>
                </w:tcPr>
                <w:p w:rsidR="002D1999" w:rsidRDefault="00080F6D" w:rsidP="002D1999">
                  <w:pPr>
                    <w:pStyle w:val="TableBodyText"/>
                  </w:pPr>
                  <w:r>
                    <w:t xml:space="preserve"> </w:t>
                  </w:r>
                  <w:r w:rsidR="002D1999">
                    <w:t>4.2</w:t>
                  </w:r>
                </w:p>
              </w:tc>
              <w:tc>
                <w:tcPr>
                  <w:tcW w:w="501" w:type="pct"/>
                  <w:vAlign w:val="center"/>
                </w:tcPr>
                <w:p w:rsidR="002D1999" w:rsidRDefault="00080F6D" w:rsidP="002D1999">
                  <w:pPr>
                    <w:pStyle w:val="TableBodyText"/>
                  </w:pPr>
                  <w:r>
                    <w:t xml:space="preserve"> </w:t>
                  </w:r>
                  <w:r w:rsidR="002D1999">
                    <w:t>17.2</w:t>
                  </w:r>
                </w:p>
              </w:tc>
              <w:tc>
                <w:tcPr>
                  <w:tcW w:w="496" w:type="pct"/>
                  <w:vAlign w:val="center"/>
                </w:tcPr>
                <w:p w:rsidR="002D1999" w:rsidRDefault="00080F6D" w:rsidP="002D1999">
                  <w:pPr>
                    <w:pStyle w:val="TableBodyText"/>
                  </w:pPr>
                  <w:r>
                    <w:t xml:space="preserve"> </w:t>
                  </w:r>
                  <w:r w:rsidR="002D1999">
                    <w:t>3.3</w:t>
                  </w:r>
                </w:p>
              </w:tc>
              <w:tc>
                <w:tcPr>
                  <w:tcW w:w="496" w:type="pct"/>
                  <w:vAlign w:val="center"/>
                </w:tcPr>
                <w:p w:rsidR="002D1999" w:rsidRDefault="00080F6D" w:rsidP="002D1999">
                  <w:pPr>
                    <w:pStyle w:val="TableBodyText"/>
                  </w:pPr>
                  <w:r>
                    <w:t xml:space="preserve"> </w:t>
                  </w:r>
                  <w:r w:rsidR="002D1999">
                    <w:t>10.5</w:t>
                  </w:r>
                </w:p>
              </w:tc>
            </w:tr>
            <w:tr w:rsidR="002D1999" w:rsidTr="002D1999">
              <w:tc>
                <w:tcPr>
                  <w:tcW w:w="5000" w:type="pct"/>
                  <w:gridSpan w:val="10"/>
                </w:tcPr>
                <w:p w:rsidR="002D1999" w:rsidRDefault="002D1999" w:rsidP="002D1999">
                  <w:pPr>
                    <w:pStyle w:val="TableBodyText"/>
                    <w:ind w:left="113" w:right="28"/>
                    <w:jc w:val="left"/>
                  </w:pPr>
                  <w:r>
                    <w:rPr>
                      <w:color w:val="000000" w:themeColor="text1"/>
                    </w:rPr>
                    <w:t>Representation among clients whose need for services other than accommodation were met, 2014</w:t>
                  </w:r>
                  <w:r w:rsidR="00080F6D">
                    <w:rPr>
                      <w:color w:val="000000" w:themeColor="text1"/>
                    </w:rPr>
                    <w:noBreakHyphen/>
                  </w:r>
                  <w:r>
                    <w:rPr>
                      <w:color w:val="000000" w:themeColor="text1"/>
                    </w:rPr>
                    <w:t>15</w:t>
                  </w:r>
                  <w:r w:rsidRPr="00C048B8">
                    <w:rPr>
                      <w:color w:val="000000" w:themeColor="text1"/>
                    </w:rPr>
                    <w:t> </w:t>
                  </w:r>
                </w:p>
              </w:tc>
            </w:tr>
            <w:tr w:rsidR="002D1999" w:rsidTr="002D1999">
              <w:tc>
                <w:tcPr>
                  <w:tcW w:w="501" w:type="pct"/>
                </w:tcPr>
                <w:p w:rsidR="002D1999" w:rsidRDefault="002D1999" w:rsidP="002D1999">
                  <w:pPr>
                    <w:pStyle w:val="TableBodyText"/>
                  </w:pPr>
                  <w:r>
                    <w:t>%</w:t>
                  </w:r>
                </w:p>
              </w:tc>
              <w:tc>
                <w:tcPr>
                  <w:tcW w:w="501" w:type="pct"/>
                  <w:vAlign w:val="center"/>
                </w:tcPr>
                <w:p w:rsidR="002D1999" w:rsidRDefault="00080F6D" w:rsidP="002D1999">
                  <w:pPr>
                    <w:pStyle w:val="TableBodyText"/>
                  </w:pPr>
                  <w:r>
                    <w:t xml:space="preserve"> </w:t>
                  </w:r>
                  <w:r w:rsidR="002D1999">
                    <w:t>7.3</w:t>
                  </w:r>
                </w:p>
              </w:tc>
              <w:tc>
                <w:tcPr>
                  <w:tcW w:w="501" w:type="pct"/>
                  <w:vAlign w:val="center"/>
                </w:tcPr>
                <w:p w:rsidR="002D1999" w:rsidRDefault="00080F6D" w:rsidP="002D1999">
                  <w:pPr>
                    <w:pStyle w:val="TableBodyText"/>
                  </w:pPr>
                  <w:r>
                    <w:t xml:space="preserve"> </w:t>
                  </w:r>
                  <w:r w:rsidR="002D1999">
                    <w:t>12.5</w:t>
                  </w:r>
                </w:p>
              </w:tc>
              <w:tc>
                <w:tcPr>
                  <w:tcW w:w="501" w:type="pct"/>
                  <w:vAlign w:val="center"/>
                </w:tcPr>
                <w:p w:rsidR="002D1999" w:rsidRDefault="00080F6D" w:rsidP="002D1999">
                  <w:pPr>
                    <w:pStyle w:val="TableBodyText"/>
                  </w:pPr>
                  <w:r>
                    <w:t xml:space="preserve"> </w:t>
                  </w:r>
                  <w:r w:rsidR="002D1999">
                    <w:t>6.7</w:t>
                  </w:r>
                </w:p>
              </w:tc>
              <w:tc>
                <w:tcPr>
                  <w:tcW w:w="501" w:type="pct"/>
                  <w:vAlign w:val="center"/>
                </w:tcPr>
                <w:p w:rsidR="002D1999" w:rsidRDefault="00080F6D" w:rsidP="002D1999">
                  <w:pPr>
                    <w:pStyle w:val="TableBodyText"/>
                  </w:pPr>
                  <w:r>
                    <w:t xml:space="preserve"> </w:t>
                  </w:r>
                  <w:r w:rsidR="002D1999">
                    <w:t>10.0</w:t>
                  </w:r>
                </w:p>
              </w:tc>
              <w:tc>
                <w:tcPr>
                  <w:tcW w:w="501" w:type="pct"/>
                  <w:vAlign w:val="center"/>
                </w:tcPr>
                <w:p w:rsidR="002D1999" w:rsidRDefault="00080F6D" w:rsidP="002D1999">
                  <w:pPr>
                    <w:pStyle w:val="TableBodyText"/>
                  </w:pPr>
                  <w:r>
                    <w:t xml:space="preserve"> </w:t>
                  </w:r>
                  <w:r w:rsidR="002D1999">
                    <w:t>5.7</w:t>
                  </w:r>
                </w:p>
              </w:tc>
              <w:tc>
                <w:tcPr>
                  <w:tcW w:w="501" w:type="pct"/>
                  <w:vAlign w:val="center"/>
                </w:tcPr>
                <w:p w:rsidR="002D1999" w:rsidRDefault="00080F6D" w:rsidP="002D1999">
                  <w:pPr>
                    <w:pStyle w:val="TableBodyText"/>
                  </w:pPr>
                  <w:r>
                    <w:t xml:space="preserve"> </w:t>
                  </w:r>
                  <w:r w:rsidR="002D1999">
                    <w:t>4.9</w:t>
                  </w:r>
                </w:p>
              </w:tc>
              <w:tc>
                <w:tcPr>
                  <w:tcW w:w="501" w:type="pct"/>
                  <w:vAlign w:val="center"/>
                </w:tcPr>
                <w:p w:rsidR="002D1999" w:rsidRDefault="00080F6D" w:rsidP="002D1999">
                  <w:pPr>
                    <w:pStyle w:val="TableBodyText"/>
                  </w:pPr>
                  <w:r>
                    <w:t xml:space="preserve"> </w:t>
                  </w:r>
                  <w:r w:rsidR="002D1999">
                    <w:t>17.5</w:t>
                  </w:r>
                </w:p>
              </w:tc>
              <w:tc>
                <w:tcPr>
                  <w:tcW w:w="496" w:type="pct"/>
                  <w:vAlign w:val="center"/>
                </w:tcPr>
                <w:p w:rsidR="002D1999" w:rsidRDefault="00080F6D" w:rsidP="002D1999">
                  <w:pPr>
                    <w:pStyle w:val="TableBodyText"/>
                  </w:pPr>
                  <w:r>
                    <w:t xml:space="preserve"> </w:t>
                  </w:r>
                  <w:r w:rsidR="002D1999">
                    <w:t>2.3</w:t>
                  </w:r>
                </w:p>
              </w:tc>
              <w:tc>
                <w:tcPr>
                  <w:tcW w:w="496" w:type="pct"/>
                  <w:vAlign w:val="center"/>
                </w:tcPr>
                <w:p w:rsidR="002D1999" w:rsidRDefault="00080F6D" w:rsidP="002D1999">
                  <w:pPr>
                    <w:pStyle w:val="TableBodyText"/>
                  </w:pPr>
                  <w:r>
                    <w:t xml:space="preserve"> </w:t>
                  </w:r>
                  <w:r w:rsidR="002D1999">
                    <w:t>9.8</w:t>
                  </w:r>
                </w:p>
              </w:tc>
            </w:tr>
            <w:tr w:rsidR="002D1999" w:rsidTr="002D1999">
              <w:tc>
                <w:tcPr>
                  <w:tcW w:w="5000" w:type="pct"/>
                  <w:gridSpan w:val="10"/>
                </w:tcPr>
                <w:p w:rsidR="002D1999" w:rsidRDefault="002D1999" w:rsidP="006A72F3">
                  <w:pPr>
                    <w:pStyle w:val="TableBodyText"/>
                    <w:ind w:left="113" w:right="28"/>
                    <w:jc w:val="left"/>
                  </w:pPr>
                  <w:r>
                    <w:rPr>
                      <w:color w:val="000000" w:themeColor="text1"/>
                    </w:rPr>
                    <w:t xml:space="preserve">Representation in the population, </w:t>
                  </w:r>
                  <w:r w:rsidR="006A72F3">
                    <w:rPr>
                      <w:color w:val="000000" w:themeColor="text1"/>
                    </w:rPr>
                    <w:t>2011</w:t>
                  </w:r>
                </w:p>
              </w:tc>
            </w:tr>
            <w:tr w:rsidR="002D1999" w:rsidTr="002D1999">
              <w:tc>
                <w:tcPr>
                  <w:tcW w:w="501" w:type="pct"/>
                </w:tcPr>
                <w:p w:rsidR="002D1999" w:rsidRDefault="002D1999" w:rsidP="002D1999">
                  <w:pPr>
                    <w:pStyle w:val="TableBodyText"/>
                  </w:pPr>
                  <w:r>
                    <w:t>%</w:t>
                  </w:r>
                </w:p>
              </w:tc>
              <w:tc>
                <w:tcPr>
                  <w:tcW w:w="501" w:type="pct"/>
                  <w:vAlign w:val="center"/>
                </w:tcPr>
                <w:p w:rsidR="002D1999" w:rsidRDefault="002D1999" w:rsidP="002D1999">
                  <w:pPr>
                    <w:pStyle w:val="TableBodyText"/>
                  </w:pPr>
                  <w:r>
                    <w:t>17.9</w:t>
                  </w:r>
                </w:p>
              </w:tc>
              <w:tc>
                <w:tcPr>
                  <w:tcW w:w="501" w:type="pct"/>
                  <w:vAlign w:val="center"/>
                </w:tcPr>
                <w:p w:rsidR="002D1999" w:rsidRDefault="002D1999" w:rsidP="002D1999">
                  <w:pPr>
                    <w:pStyle w:val="TableBodyText"/>
                  </w:pPr>
                  <w:r>
                    <w:t>18.9</w:t>
                  </w:r>
                </w:p>
              </w:tc>
              <w:tc>
                <w:tcPr>
                  <w:tcW w:w="501" w:type="pct"/>
                  <w:vAlign w:val="center"/>
                </w:tcPr>
                <w:p w:rsidR="002D1999" w:rsidRDefault="002D1999" w:rsidP="002D1999">
                  <w:pPr>
                    <w:pStyle w:val="TableBodyText"/>
                  </w:pPr>
                  <w:r>
                    <w:t>9.2</w:t>
                  </w:r>
                </w:p>
              </w:tc>
              <w:tc>
                <w:tcPr>
                  <w:tcW w:w="501" w:type="pct"/>
                  <w:vAlign w:val="center"/>
                </w:tcPr>
                <w:p w:rsidR="002D1999" w:rsidRDefault="002D1999" w:rsidP="002D1999">
                  <w:pPr>
                    <w:pStyle w:val="TableBodyText"/>
                  </w:pPr>
                  <w:r>
                    <w:t>13.7</w:t>
                  </w:r>
                </w:p>
              </w:tc>
              <w:tc>
                <w:tcPr>
                  <w:tcW w:w="501" w:type="pct"/>
                  <w:vAlign w:val="center"/>
                </w:tcPr>
                <w:p w:rsidR="002D1999" w:rsidRDefault="002D1999" w:rsidP="002D1999">
                  <w:pPr>
                    <w:pStyle w:val="TableBodyText"/>
                  </w:pPr>
                  <w:r>
                    <w:t>12.3</w:t>
                  </w:r>
                </w:p>
              </w:tc>
              <w:tc>
                <w:tcPr>
                  <w:tcW w:w="501" w:type="pct"/>
                  <w:vAlign w:val="center"/>
                </w:tcPr>
                <w:p w:rsidR="002D1999" w:rsidRDefault="002D1999" w:rsidP="002D1999">
                  <w:pPr>
                    <w:pStyle w:val="TableBodyText"/>
                  </w:pPr>
                  <w:r>
                    <w:t>4.9</w:t>
                  </w:r>
                </w:p>
              </w:tc>
              <w:tc>
                <w:tcPr>
                  <w:tcW w:w="501" w:type="pct"/>
                  <w:vAlign w:val="center"/>
                </w:tcPr>
                <w:p w:rsidR="002D1999" w:rsidRDefault="002D1999" w:rsidP="002D1999">
                  <w:pPr>
                    <w:pStyle w:val="TableBodyText"/>
                  </w:pPr>
                  <w:r>
                    <w:t>16.3</w:t>
                  </w:r>
                </w:p>
              </w:tc>
              <w:tc>
                <w:tcPr>
                  <w:tcW w:w="496" w:type="pct"/>
                  <w:vAlign w:val="center"/>
                </w:tcPr>
                <w:p w:rsidR="002D1999" w:rsidRDefault="002D1999" w:rsidP="002D1999">
                  <w:pPr>
                    <w:pStyle w:val="TableBodyText"/>
                  </w:pPr>
                  <w:r>
                    <w:t>9.5</w:t>
                  </w:r>
                </w:p>
              </w:tc>
              <w:tc>
                <w:tcPr>
                  <w:tcW w:w="496" w:type="pct"/>
                  <w:vAlign w:val="center"/>
                </w:tcPr>
                <w:p w:rsidR="002D1999" w:rsidRDefault="002D1999" w:rsidP="002D1999">
                  <w:pPr>
                    <w:pStyle w:val="TableBodyText"/>
                  </w:pPr>
                  <w:r>
                    <w:t>15.1</w:t>
                  </w:r>
                </w:p>
              </w:tc>
            </w:tr>
            <w:tr w:rsidR="002D1999" w:rsidTr="002D1999">
              <w:tc>
                <w:tcPr>
                  <w:tcW w:w="5000" w:type="pct"/>
                  <w:gridSpan w:val="10"/>
                </w:tcPr>
                <w:p w:rsidR="002D1999" w:rsidRDefault="002D1999" w:rsidP="002D1999">
                  <w:pPr>
                    <w:pStyle w:val="Source"/>
                    <w:spacing w:before="0" w:after="80"/>
                    <w:ind w:left="113"/>
                  </w:pPr>
                  <w:r w:rsidRPr="00253B66">
                    <w:rPr>
                      <w:i/>
                    </w:rPr>
                    <w:t>Source</w:t>
                  </w:r>
                  <w:r w:rsidRPr="00080F6D">
                    <w:t>:</w:t>
                  </w:r>
                  <w:r>
                    <w:t xml:space="preserve"> Attachment table 18A.6 and table 18A.8</w:t>
                  </w:r>
                  <w:r w:rsidR="00C9055F">
                    <w:t>.</w:t>
                  </w:r>
                </w:p>
              </w:tc>
            </w:tr>
            <w:tr w:rsidR="002D1999" w:rsidTr="002D1999">
              <w:tc>
                <w:tcPr>
                  <w:tcW w:w="5000" w:type="pct"/>
                  <w:gridSpan w:val="10"/>
                </w:tcPr>
                <w:p w:rsidR="002D1999" w:rsidRPr="009F4AB7" w:rsidRDefault="002D1999" w:rsidP="002D1999">
                  <w:pPr>
                    <w:pStyle w:val="DQIRowHeadings"/>
                  </w:pPr>
                  <w:r w:rsidRPr="009F4AB7">
                    <w:t>Access of special needs groups</w:t>
                  </w:r>
                  <w:r>
                    <w:t xml:space="preserve"> — </w:t>
                  </w:r>
                  <w:r>
                    <w:rPr>
                      <w:color w:val="000000" w:themeColor="text1"/>
                    </w:rPr>
                    <w:t>people with disability</w:t>
                  </w:r>
                </w:p>
              </w:tc>
            </w:tr>
            <w:tr w:rsidR="002D1999" w:rsidTr="002D1999">
              <w:tc>
                <w:tcPr>
                  <w:tcW w:w="5000" w:type="pct"/>
                  <w:gridSpan w:val="10"/>
                </w:tcPr>
                <w:p w:rsidR="002D1999" w:rsidRPr="00C47D6F" w:rsidRDefault="002D1999" w:rsidP="002D1999">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D1999" w:rsidTr="002D1999">
              <w:tc>
                <w:tcPr>
                  <w:tcW w:w="5000" w:type="pct"/>
                  <w:gridSpan w:val="10"/>
                </w:tcPr>
                <w:p w:rsidR="002D1999" w:rsidRDefault="002D1999" w:rsidP="002D1999">
                  <w:pPr>
                    <w:pStyle w:val="TableBodyText"/>
                    <w:ind w:left="113" w:right="28"/>
                    <w:jc w:val="left"/>
                  </w:pPr>
                  <w:r>
                    <w:rPr>
                      <w:color w:val="000000" w:themeColor="text1"/>
                    </w:rPr>
                    <w:t>Representation among clients whose accommodation needs were met, 2014</w:t>
                  </w:r>
                  <w:r w:rsidR="00080F6D">
                    <w:rPr>
                      <w:color w:val="000000" w:themeColor="text1"/>
                    </w:rPr>
                    <w:noBreakHyphen/>
                  </w:r>
                  <w:r>
                    <w:rPr>
                      <w:color w:val="000000" w:themeColor="text1"/>
                    </w:rPr>
                    <w:t>15</w:t>
                  </w:r>
                  <w:r w:rsidRPr="00C048B8">
                    <w:rPr>
                      <w:color w:val="000000" w:themeColor="text1"/>
                    </w:rPr>
                    <w:t> </w:t>
                  </w:r>
                </w:p>
              </w:tc>
            </w:tr>
            <w:tr w:rsidR="002D1999" w:rsidTr="002D1999">
              <w:tc>
                <w:tcPr>
                  <w:tcW w:w="501" w:type="pct"/>
                </w:tcPr>
                <w:p w:rsidR="002D1999" w:rsidRDefault="002D1999" w:rsidP="002D1999">
                  <w:pPr>
                    <w:pStyle w:val="TableBodyText"/>
                  </w:pPr>
                  <w:r>
                    <w:t>%</w:t>
                  </w:r>
                </w:p>
              </w:tc>
              <w:tc>
                <w:tcPr>
                  <w:tcW w:w="501" w:type="pct"/>
                  <w:vAlign w:val="center"/>
                </w:tcPr>
                <w:p w:rsidR="002D1999" w:rsidRDefault="00080F6D" w:rsidP="002D1999">
                  <w:pPr>
                    <w:pStyle w:val="TableBodyText"/>
                  </w:pPr>
                  <w:r>
                    <w:t xml:space="preserve"> </w:t>
                  </w:r>
                  <w:r w:rsidR="002D1999">
                    <w:t>4.1</w:t>
                  </w:r>
                </w:p>
              </w:tc>
              <w:tc>
                <w:tcPr>
                  <w:tcW w:w="501" w:type="pct"/>
                  <w:vAlign w:val="center"/>
                </w:tcPr>
                <w:p w:rsidR="002D1999" w:rsidRDefault="00080F6D" w:rsidP="002D1999">
                  <w:pPr>
                    <w:pStyle w:val="TableBodyText"/>
                  </w:pPr>
                  <w:r>
                    <w:t xml:space="preserve"> </w:t>
                  </w:r>
                  <w:r w:rsidR="002D1999">
                    <w:t>5.8</w:t>
                  </w:r>
                </w:p>
              </w:tc>
              <w:tc>
                <w:tcPr>
                  <w:tcW w:w="501" w:type="pct"/>
                  <w:vAlign w:val="center"/>
                </w:tcPr>
                <w:p w:rsidR="002D1999" w:rsidRDefault="00080F6D" w:rsidP="002D1999">
                  <w:pPr>
                    <w:pStyle w:val="TableBodyText"/>
                  </w:pPr>
                  <w:r>
                    <w:t xml:space="preserve"> </w:t>
                  </w:r>
                  <w:r w:rsidR="002D1999">
                    <w:t>3.0</w:t>
                  </w:r>
                </w:p>
              </w:tc>
              <w:tc>
                <w:tcPr>
                  <w:tcW w:w="501" w:type="pct"/>
                  <w:vAlign w:val="center"/>
                </w:tcPr>
                <w:p w:rsidR="002D1999" w:rsidRDefault="00080F6D" w:rsidP="002D1999">
                  <w:pPr>
                    <w:pStyle w:val="TableBodyText"/>
                  </w:pPr>
                  <w:r>
                    <w:t xml:space="preserve"> </w:t>
                  </w:r>
                  <w:r w:rsidR="002D1999">
                    <w:t>3.9</w:t>
                  </w:r>
                </w:p>
              </w:tc>
              <w:tc>
                <w:tcPr>
                  <w:tcW w:w="501" w:type="pct"/>
                  <w:vAlign w:val="center"/>
                </w:tcPr>
                <w:p w:rsidR="002D1999" w:rsidRDefault="00080F6D" w:rsidP="002D1999">
                  <w:pPr>
                    <w:pStyle w:val="TableBodyText"/>
                  </w:pPr>
                  <w:r>
                    <w:t xml:space="preserve"> </w:t>
                  </w:r>
                  <w:r w:rsidR="002D1999">
                    <w:t>2.7</w:t>
                  </w:r>
                </w:p>
              </w:tc>
              <w:tc>
                <w:tcPr>
                  <w:tcW w:w="501" w:type="pct"/>
                  <w:vAlign w:val="center"/>
                </w:tcPr>
                <w:p w:rsidR="002D1999" w:rsidRDefault="00080F6D" w:rsidP="002D1999">
                  <w:pPr>
                    <w:pStyle w:val="TableBodyText"/>
                  </w:pPr>
                  <w:r>
                    <w:t xml:space="preserve"> </w:t>
                  </w:r>
                  <w:r w:rsidR="002D1999">
                    <w:t>5.0</w:t>
                  </w:r>
                </w:p>
              </w:tc>
              <w:tc>
                <w:tcPr>
                  <w:tcW w:w="501" w:type="pct"/>
                  <w:vAlign w:val="center"/>
                </w:tcPr>
                <w:p w:rsidR="002D1999" w:rsidRDefault="00080F6D" w:rsidP="002D1999">
                  <w:pPr>
                    <w:pStyle w:val="TableBodyText"/>
                  </w:pPr>
                  <w:r>
                    <w:t xml:space="preserve"> </w:t>
                  </w:r>
                  <w:r w:rsidR="002D1999">
                    <w:t>4.0</w:t>
                  </w:r>
                </w:p>
              </w:tc>
              <w:tc>
                <w:tcPr>
                  <w:tcW w:w="496" w:type="pct"/>
                  <w:vAlign w:val="center"/>
                </w:tcPr>
                <w:p w:rsidR="002D1999" w:rsidRDefault="00080F6D" w:rsidP="002D1999">
                  <w:pPr>
                    <w:pStyle w:val="TableBodyText"/>
                  </w:pPr>
                  <w:r>
                    <w:t xml:space="preserve"> </w:t>
                  </w:r>
                  <w:r w:rsidR="002D1999">
                    <w:t>2.8</w:t>
                  </w:r>
                </w:p>
              </w:tc>
              <w:tc>
                <w:tcPr>
                  <w:tcW w:w="496" w:type="pct"/>
                  <w:vAlign w:val="center"/>
                </w:tcPr>
                <w:p w:rsidR="002D1999" w:rsidRDefault="00080F6D" w:rsidP="002D1999">
                  <w:pPr>
                    <w:pStyle w:val="TableBodyText"/>
                  </w:pPr>
                  <w:r>
                    <w:t xml:space="preserve"> </w:t>
                  </w:r>
                  <w:r w:rsidR="002D1999">
                    <w:t>4.1</w:t>
                  </w:r>
                </w:p>
              </w:tc>
            </w:tr>
            <w:tr w:rsidR="002D1999" w:rsidTr="002D1999">
              <w:tc>
                <w:tcPr>
                  <w:tcW w:w="5000" w:type="pct"/>
                  <w:gridSpan w:val="10"/>
                </w:tcPr>
                <w:p w:rsidR="002D1999" w:rsidRDefault="002D1999" w:rsidP="002D1999">
                  <w:pPr>
                    <w:pStyle w:val="TableBodyText"/>
                    <w:ind w:left="113" w:right="28"/>
                    <w:jc w:val="left"/>
                  </w:pPr>
                  <w:r>
                    <w:rPr>
                      <w:color w:val="000000" w:themeColor="text1"/>
                    </w:rPr>
                    <w:t>Representation among clients whose need for services other than accommodation were met, 2014</w:t>
                  </w:r>
                  <w:r w:rsidR="00080F6D">
                    <w:rPr>
                      <w:color w:val="000000" w:themeColor="text1"/>
                    </w:rPr>
                    <w:noBreakHyphen/>
                  </w:r>
                  <w:r>
                    <w:rPr>
                      <w:color w:val="000000" w:themeColor="text1"/>
                    </w:rPr>
                    <w:t>15</w:t>
                  </w:r>
                  <w:r w:rsidRPr="00C048B8">
                    <w:rPr>
                      <w:color w:val="000000" w:themeColor="text1"/>
                    </w:rPr>
                    <w:t> </w:t>
                  </w:r>
                </w:p>
              </w:tc>
            </w:tr>
            <w:tr w:rsidR="002D1999" w:rsidTr="002D1999">
              <w:tc>
                <w:tcPr>
                  <w:tcW w:w="501" w:type="pct"/>
                </w:tcPr>
                <w:p w:rsidR="002D1999" w:rsidRDefault="002D1999" w:rsidP="002D1999">
                  <w:pPr>
                    <w:pStyle w:val="TableBodyText"/>
                  </w:pPr>
                  <w:r>
                    <w:t>%</w:t>
                  </w:r>
                </w:p>
              </w:tc>
              <w:tc>
                <w:tcPr>
                  <w:tcW w:w="501" w:type="pct"/>
                  <w:vAlign w:val="center"/>
                </w:tcPr>
                <w:p w:rsidR="002D1999" w:rsidRDefault="00080F6D" w:rsidP="002D1999">
                  <w:pPr>
                    <w:pStyle w:val="TableBodyText"/>
                  </w:pPr>
                  <w:r>
                    <w:t xml:space="preserve"> </w:t>
                  </w:r>
                  <w:r w:rsidR="002D1999">
                    <w:t>2.9</w:t>
                  </w:r>
                </w:p>
              </w:tc>
              <w:tc>
                <w:tcPr>
                  <w:tcW w:w="501" w:type="pct"/>
                  <w:vAlign w:val="center"/>
                </w:tcPr>
                <w:p w:rsidR="002D1999" w:rsidRDefault="00080F6D" w:rsidP="002D1999">
                  <w:pPr>
                    <w:pStyle w:val="TableBodyText"/>
                  </w:pPr>
                  <w:r>
                    <w:t xml:space="preserve"> </w:t>
                  </w:r>
                  <w:r w:rsidR="002D1999">
                    <w:t>2.8</w:t>
                  </w:r>
                </w:p>
              </w:tc>
              <w:tc>
                <w:tcPr>
                  <w:tcW w:w="501" w:type="pct"/>
                  <w:vAlign w:val="center"/>
                </w:tcPr>
                <w:p w:rsidR="002D1999" w:rsidRDefault="00080F6D" w:rsidP="002D1999">
                  <w:pPr>
                    <w:pStyle w:val="TableBodyText"/>
                  </w:pPr>
                  <w:r>
                    <w:t xml:space="preserve"> </w:t>
                  </w:r>
                  <w:r w:rsidR="002D1999">
                    <w:t>2.9</w:t>
                  </w:r>
                </w:p>
              </w:tc>
              <w:tc>
                <w:tcPr>
                  <w:tcW w:w="501" w:type="pct"/>
                  <w:vAlign w:val="center"/>
                </w:tcPr>
                <w:p w:rsidR="002D1999" w:rsidRDefault="00080F6D" w:rsidP="002D1999">
                  <w:pPr>
                    <w:pStyle w:val="TableBodyText"/>
                  </w:pPr>
                  <w:r>
                    <w:t xml:space="preserve"> </w:t>
                  </w:r>
                  <w:r w:rsidR="002D1999">
                    <w:t>7.0</w:t>
                  </w:r>
                </w:p>
              </w:tc>
              <w:tc>
                <w:tcPr>
                  <w:tcW w:w="501" w:type="pct"/>
                  <w:vAlign w:val="center"/>
                </w:tcPr>
                <w:p w:rsidR="002D1999" w:rsidRDefault="00080F6D" w:rsidP="002D1999">
                  <w:pPr>
                    <w:pStyle w:val="TableBodyText"/>
                  </w:pPr>
                  <w:r>
                    <w:t xml:space="preserve"> </w:t>
                  </w:r>
                  <w:r w:rsidR="002D1999">
                    <w:t>1.8</w:t>
                  </w:r>
                </w:p>
              </w:tc>
              <w:tc>
                <w:tcPr>
                  <w:tcW w:w="501" w:type="pct"/>
                  <w:vAlign w:val="center"/>
                </w:tcPr>
                <w:p w:rsidR="002D1999" w:rsidRDefault="00080F6D" w:rsidP="002D1999">
                  <w:pPr>
                    <w:pStyle w:val="TableBodyText"/>
                  </w:pPr>
                  <w:r>
                    <w:t xml:space="preserve"> </w:t>
                  </w:r>
                  <w:r w:rsidR="002D1999">
                    <w:t>4.2</w:t>
                  </w:r>
                </w:p>
              </w:tc>
              <w:tc>
                <w:tcPr>
                  <w:tcW w:w="501" w:type="pct"/>
                  <w:vAlign w:val="center"/>
                </w:tcPr>
                <w:p w:rsidR="002D1999" w:rsidRDefault="00080F6D" w:rsidP="002D1999">
                  <w:pPr>
                    <w:pStyle w:val="TableBodyText"/>
                  </w:pPr>
                  <w:r>
                    <w:t xml:space="preserve"> </w:t>
                  </w:r>
                  <w:r w:rsidR="002D1999">
                    <w:t>2.7</w:t>
                  </w:r>
                </w:p>
              </w:tc>
              <w:tc>
                <w:tcPr>
                  <w:tcW w:w="496" w:type="pct"/>
                  <w:vAlign w:val="center"/>
                </w:tcPr>
                <w:p w:rsidR="002D1999" w:rsidRDefault="00080F6D" w:rsidP="002D1999">
                  <w:pPr>
                    <w:pStyle w:val="TableBodyText"/>
                  </w:pPr>
                  <w:r>
                    <w:t xml:space="preserve"> </w:t>
                  </w:r>
                  <w:r w:rsidR="002D1999">
                    <w:t>3.3</w:t>
                  </w:r>
                </w:p>
              </w:tc>
              <w:tc>
                <w:tcPr>
                  <w:tcW w:w="496" w:type="pct"/>
                  <w:vAlign w:val="center"/>
                </w:tcPr>
                <w:p w:rsidR="002D1999" w:rsidRDefault="00080F6D" w:rsidP="002D1999">
                  <w:pPr>
                    <w:pStyle w:val="TableBodyText"/>
                  </w:pPr>
                  <w:r>
                    <w:t xml:space="preserve"> </w:t>
                  </w:r>
                  <w:r w:rsidR="002D1999">
                    <w:t>3.0</w:t>
                  </w:r>
                </w:p>
              </w:tc>
            </w:tr>
            <w:tr w:rsidR="002D1999" w:rsidTr="002D1999">
              <w:tc>
                <w:tcPr>
                  <w:tcW w:w="5000" w:type="pct"/>
                  <w:gridSpan w:val="10"/>
                </w:tcPr>
                <w:p w:rsidR="002D1999" w:rsidRDefault="002D1999" w:rsidP="006A72F3">
                  <w:pPr>
                    <w:pStyle w:val="TableBodyText"/>
                    <w:ind w:left="113" w:right="28"/>
                    <w:jc w:val="left"/>
                  </w:pPr>
                  <w:r>
                    <w:rPr>
                      <w:color w:val="000000" w:themeColor="text1"/>
                    </w:rPr>
                    <w:t>Representation in the population, 201</w:t>
                  </w:r>
                  <w:r w:rsidR="006A72F3">
                    <w:rPr>
                      <w:color w:val="000000" w:themeColor="text1"/>
                    </w:rPr>
                    <w:t>3</w:t>
                  </w:r>
                </w:p>
              </w:tc>
            </w:tr>
            <w:tr w:rsidR="002D1999" w:rsidTr="002D1999">
              <w:tc>
                <w:tcPr>
                  <w:tcW w:w="501" w:type="pct"/>
                </w:tcPr>
                <w:p w:rsidR="002D1999" w:rsidRDefault="002D1999" w:rsidP="002D1999">
                  <w:pPr>
                    <w:pStyle w:val="TableBodyText"/>
                  </w:pPr>
                  <w:r>
                    <w:t>%</w:t>
                  </w:r>
                </w:p>
              </w:tc>
              <w:tc>
                <w:tcPr>
                  <w:tcW w:w="501" w:type="pct"/>
                  <w:vAlign w:val="center"/>
                </w:tcPr>
                <w:p w:rsidR="002D1999" w:rsidRDefault="002D1999" w:rsidP="002D1999">
                  <w:pPr>
                    <w:pStyle w:val="TableBodyText"/>
                  </w:pPr>
                  <w:r>
                    <w:t>6.4</w:t>
                  </w:r>
                </w:p>
              </w:tc>
              <w:tc>
                <w:tcPr>
                  <w:tcW w:w="501" w:type="pct"/>
                  <w:vAlign w:val="center"/>
                </w:tcPr>
                <w:p w:rsidR="002D1999" w:rsidRDefault="002D1999" w:rsidP="002D1999">
                  <w:pPr>
                    <w:pStyle w:val="TableBodyText"/>
                  </w:pPr>
                  <w:r>
                    <w:t>6.4</w:t>
                  </w:r>
                </w:p>
              </w:tc>
              <w:tc>
                <w:tcPr>
                  <w:tcW w:w="501" w:type="pct"/>
                  <w:vAlign w:val="center"/>
                </w:tcPr>
                <w:p w:rsidR="002D1999" w:rsidRDefault="002D1999" w:rsidP="002D1999">
                  <w:pPr>
                    <w:pStyle w:val="TableBodyText"/>
                  </w:pPr>
                  <w:r>
                    <w:t>5.5</w:t>
                  </w:r>
                </w:p>
              </w:tc>
              <w:tc>
                <w:tcPr>
                  <w:tcW w:w="501" w:type="pct"/>
                  <w:vAlign w:val="center"/>
                </w:tcPr>
                <w:p w:rsidR="002D1999" w:rsidRDefault="002D1999" w:rsidP="002D1999">
                  <w:pPr>
                    <w:pStyle w:val="TableBodyText"/>
                  </w:pPr>
                  <w:r>
                    <w:t>4.9</w:t>
                  </w:r>
                </w:p>
              </w:tc>
              <w:tc>
                <w:tcPr>
                  <w:tcW w:w="501" w:type="pct"/>
                  <w:vAlign w:val="center"/>
                </w:tcPr>
                <w:p w:rsidR="002D1999" w:rsidRDefault="002D1999" w:rsidP="002D1999">
                  <w:pPr>
                    <w:pStyle w:val="TableBodyText"/>
                  </w:pPr>
                  <w:r>
                    <w:t>6.9</w:t>
                  </w:r>
                </w:p>
              </w:tc>
              <w:tc>
                <w:tcPr>
                  <w:tcW w:w="501" w:type="pct"/>
                  <w:vAlign w:val="center"/>
                </w:tcPr>
                <w:p w:rsidR="002D1999" w:rsidRDefault="002D1999" w:rsidP="002D1999">
                  <w:pPr>
                    <w:pStyle w:val="TableBodyText"/>
                  </w:pPr>
                  <w:r>
                    <w:t>7.7</w:t>
                  </w:r>
                </w:p>
              </w:tc>
              <w:tc>
                <w:tcPr>
                  <w:tcW w:w="501" w:type="pct"/>
                  <w:vAlign w:val="center"/>
                </w:tcPr>
                <w:p w:rsidR="002D1999" w:rsidRDefault="002D1999" w:rsidP="002D1999">
                  <w:pPr>
                    <w:pStyle w:val="TableBodyText"/>
                  </w:pPr>
                  <w:r>
                    <w:t>5.2</w:t>
                  </w:r>
                </w:p>
              </w:tc>
              <w:tc>
                <w:tcPr>
                  <w:tcW w:w="496" w:type="pct"/>
                  <w:vAlign w:val="center"/>
                </w:tcPr>
                <w:p w:rsidR="002D1999" w:rsidRDefault="002D1999" w:rsidP="002D1999">
                  <w:pPr>
                    <w:pStyle w:val="TableBodyText"/>
                  </w:pPr>
                  <w:r>
                    <w:t>3.8</w:t>
                  </w:r>
                </w:p>
              </w:tc>
              <w:tc>
                <w:tcPr>
                  <w:tcW w:w="496" w:type="pct"/>
                  <w:vAlign w:val="center"/>
                </w:tcPr>
                <w:p w:rsidR="002D1999" w:rsidRDefault="002D1999" w:rsidP="002D1999">
                  <w:pPr>
                    <w:pStyle w:val="TableBodyText"/>
                  </w:pPr>
                  <w:r>
                    <w:t>6.1</w:t>
                  </w:r>
                </w:p>
              </w:tc>
            </w:tr>
            <w:tr w:rsidR="002D1999" w:rsidTr="002D1999">
              <w:tc>
                <w:tcPr>
                  <w:tcW w:w="5000" w:type="pct"/>
                  <w:gridSpan w:val="10"/>
                </w:tcPr>
                <w:p w:rsidR="002D1999" w:rsidRDefault="002D1999" w:rsidP="002D1999">
                  <w:pPr>
                    <w:pStyle w:val="Source"/>
                    <w:spacing w:before="0" w:after="80"/>
                    <w:ind w:left="113"/>
                  </w:pPr>
                  <w:r w:rsidRPr="00253B66">
                    <w:rPr>
                      <w:i/>
                    </w:rPr>
                    <w:t>Source</w:t>
                  </w:r>
                  <w:r w:rsidRPr="00080F6D">
                    <w:t>:</w:t>
                  </w:r>
                  <w:r>
                    <w:t xml:space="preserve"> Attachment table 18A.7 and table 18A.8</w:t>
                  </w:r>
                  <w:r w:rsidR="00C9055F">
                    <w:t>.</w:t>
                  </w:r>
                </w:p>
              </w:tc>
            </w:tr>
            <w:tr w:rsidR="002D1999" w:rsidTr="000A4712">
              <w:tc>
                <w:tcPr>
                  <w:tcW w:w="5000" w:type="pct"/>
                  <w:gridSpan w:val="10"/>
                </w:tcPr>
                <w:p w:rsidR="002D1999" w:rsidRDefault="002D1999" w:rsidP="002260AC">
                  <w:pPr>
                    <w:pStyle w:val="DQIMainRowHeadings"/>
                  </w:pPr>
                  <w:r>
                    <w:t xml:space="preserve">Effectiveness </w:t>
                  </w:r>
                  <w:r w:rsidR="004C5A73">
                    <w:t>— A</w:t>
                  </w:r>
                  <w:r w:rsidR="002260AC">
                    <w:t>cc</w:t>
                  </w:r>
                  <w:r w:rsidR="004C5A73">
                    <w:t xml:space="preserve">ess </w:t>
                  </w:r>
                  <w:r>
                    <w:t>indicators</w:t>
                  </w:r>
                </w:p>
              </w:tc>
            </w:tr>
            <w:tr w:rsidR="00B07C4D" w:rsidTr="00B07C4D">
              <w:tc>
                <w:tcPr>
                  <w:tcW w:w="5000" w:type="pct"/>
                  <w:gridSpan w:val="10"/>
                </w:tcPr>
                <w:p w:rsidR="00B07C4D" w:rsidRPr="009F4AB7" w:rsidRDefault="002260AC" w:rsidP="00B07C4D">
                  <w:pPr>
                    <w:pStyle w:val="DQIRowHeadings"/>
                  </w:pPr>
                  <w:r>
                    <w:t>Unmet demand for homelessness services</w:t>
                  </w:r>
                </w:p>
              </w:tc>
            </w:tr>
            <w:tr w:rsidR="00FC012D" w:rsidTr="00B07C4D">
              <w:tc>
                <w:tcPr>
                  <w:tcW w:w="5000" w:type="pct"/>
                  <w:gridSpan w:val="10"/>
                </w:tcPr>
                <w:p w:rsidR="00FC012D" w:rsidRPr="002D1999" w:rsidRDefault="00FC012D" w:rsidP="00E12E6A">
                  <w:pPr>
                    <w:pStyle w:val="TableBodyText"/>
                    <w:ind w:left="113" w:right="28"/>
                    <w:jc w:val="left"/>
                  </w:pPr>
                  <w:r w:rsidRPr="00C048B8">
                    <w:rPr>
                      <w:color w:val="000000" w:themeColor="text1"/>
                      <w:sz w:val="16"/>
                      <w:szCs w:val="16"/>
                    </w:rPr>
                    <w:t xml:space="preserve">Data </w:t>
                  </w:r>
                  <w:r>
                    <w:rPr>
                      <w:color w:val="000000" w:themeColor="text1"/>
                      <w:sz w:val="16"/>
                      <w:szCs w:val="16"/>
                    </w:rPr>
                    <w:t>for this indicator are not comparable but are complete (chapter 18)</w:t>
                  </w:r>
                </w:p>
              </w:tc>
            </w:tr>
            <w:tr w:rsidR="00B07C4D" w:rsidTr="00B07C4D">
              <w:tc>
                <w:tcPr>
                  <w:tcW w:w="5000" w:type="pct"/>
                  <w:gridSpan w:val="10"/>
                </w:tcPr>
                <w:p w:rsidR="00B07C4D" w:rsidRDefault="00B07C4D" w:rsidP="00E12E6A">
                  <w:pPr>
                    <w:pStyle w:val="TableBodyText"/>
                    <w:ind w:left="113" w:right="28"/>
                    <w:jc w:val="left"/>
                  </w:pPr>
                  <w:r w:rsidRPr="002D1999">
                    <w:t xml:space="preserve">Proportion of clients with </w:t>
                  </w:r>
                  <w:r w:rsidR="002260AC" w:rsidRPr="002260AC">
                    <w:t>unmet need for accommodation</w:t>
                  </w:r>
                  <w:r>
                    <w:rPr>
                      <w:color w:val="000000" w:themeColor="text1"/>
                    </w:rPr>
                    <w:t>, 2014</w:t>
                  </w:r>
                  <w:r w:rsidR="00080F6D">
                    <w:rPr>
                      <w:color w:val="000000" w:themeColor="text1"/>
                    </w:rPr>
                    <w:noBreakHyphen/>
                  </w:r>
                  <w:r>
                    <w:rPr>
                      <w:color w:val="000000" w:themeColor="text1"/>
                    </w:rPr>
                    <w:t>15</w:t>
                  </w:r>
                  <w:r w:rsidRPr="00C048B8">
                    <w:rPr>
                      <w:color w:val="000000" w:themeColor="text1"/>
                    </w:rPr>
                    <w:t> </w:t>
                  </w:r>
                </w:p>
              </w:tc>
            </w:tr>
            <w:tr w:rsidR="008227EB" w:rsidTr="00B07C4D">
              <w:tc>
                <w:tcPr>
                  <w:tcW w:w="501" w:type="pct"/>
                </w:tcPr>
                <w:p w:rsidR="008227EB" w:rsidRDefault="008227EB" w:rsidP="00B07C4D">
                  <w:pPr>
                    <w:pStyle w:val="TableBodyText"/>
                  </w:pPr>
                  <w:r>
                    <w:t>%</w:t>
                  </w:r>
                </w:p>
              </w:tc>
              <w:tc>
                <w:tcPr>
                  <w:tcW w:w="501" w:type="pct"/>
                  <w:vAlign w:val="center"/>
                </w:tcPr>
                <w:p w:rsidR="008227EB" w:rsidRPr="002C323C" w:rsidRDefault="008227EB" w:rsidP="002C323C">
                  <w:pPr>
                    <w:pStyle w:val="TableBodyText"/>
                  </w:pPr>
                  <w:r w:rsidRPr="002C323C">
                    <w:t xml:space="preserve">  22.9</w:t>
                  </w:r>
                </w:p>
              </w:tc>
              <w:tc>
                <w:tcPr>
                  <w:tcW w:w="501" w:type="pct"/>
                  <w:vAlign w:val="center"/>
                </w:tcPr>
                <w:p w:rsidR="008227EB" w:rsidRPr="002C323C" w:rsidRDefault="008227EB" w:rsidP="002C323C">
                  <w:pPr>
                    <w:pStyle w:val="TableBodyText"/>
                  </w:pPr>
                  <w:r w:rsidRPr="002C323C">
                    <w:t xml:space="preserve">  31.8</w:t>
                  </w:r>
                </w:p>
              </w:tc>
              <w:tc>
                <w:tcPr>
                  <w:tcW w:w="501" w:type="pct"/>
                  <w:vAlign w:val="center"/>
                </w:tcPr>
                <w:p w:rsidR="008227EB" w:rsidRPr="002C323C" w:rsidRDefault="008227EB" w:rsidP="002C323C">
                  <w:pPr>
                    <w:pStyle w:val="TableBodyText"/>
                  </w:pPr>
                  <w:r w:rsidRPr="002C323C">
                    <w:t xml:space="preserve">  27.4</w:t>
                  </w:r>
                </w:p>
              </w:tc>
              <w:tc>
                <w:tcPr>
                  <w:tcW w:w="501" w:type="pct"/>
                  <w:vAlign w:val="center"/>
                </w:tcPr>
                <w:p w:rsidR="008227EB" w:rsidRPr="002C323C" w:rsidRDefault="008227EB" w:rsidP="002C323C">
                  <w:pPr>
                    <w:pStyle w:val="TableBodyText"/>
                  </w:pPr>
                  <w:r w:rsidRPr="002C323C">
                    <w:t xml:space="preserve">  16.3</w:t>
                  </w:r>
                </w:p>
              </w:tc>
              <w:tc>
                <w:tcPr>
                  <w:tcW w:w="501" w:type="pct"/>
                  <w:vAlign w:val="center"/>
                </w:tcPr>
                <w:p w:rsidR="008227EB" w:rsidRPr="002C323C" w:rsidRDefault="008227EB" w:rsidP="002C323C">
                  <w:pPr>
                    <w:pStyle w:val="TableBodyText"/>
                  </w:pPr>
                  <w:r w:rsidRPr="002C323C">
                    <w:t xml:space="preserve">  19.1</w:t>
                  </w:r>
                </w:p>
              </w:tc>
              <w:tc>
                <w:tcPr>
                  <w:tcW w:w="501" w:type="pct"/>
                  <w:vAlign w:val="center"/>
                </w:tcPr>
                <w:p w:rsidR="008227EB" w:rsidRPr="002C323C" w:rsidRDefault="008227EB" w:rsidP="002C323C">
                  <w:pPr>
                    <w:pStyle w:val="TableBodyText"/>
                  </w:pPr>
                  <w:r w:rsidRPr="002C323C">
                    <w:t xml:space="preserve">  19.7</w:t>
                  </w:r>
                </w:p>
              </w:tc>
              <w:tc>
                <w:tcPr>
                  <w:tcW w:w="501" w:type="pct"/>
                  <w:vAlign w:val="center"/>
                </w:tcPr>
                <w:p w:rsidR="008227EB" w:rsidRPr="002C323C" w:rsidRDefault="008227EB" w:rsidP="002C323C">
                  <w:pPr>
                    <w:pStyle w:val="TableBodyText"/>
                  </w:pPr>
                  <w:r w:rsidRPr="002C323C">
                    <w:t xml:space="preserve">  33.9</w:t>
                  </w:r>
                </w:p>
              </w:tc>
              <w:tc>
                <w:tcPr>
                  <w:tcW w:w="496" w:type="pct"/>
                  <w:vAlign w:val="center"/>
                </w:tcPr>
                <w:p w:rsidR="008227EB" w:rsidRPr="002C323C" w:rsidRDefault="008227EB" w:rsidP="002C323C">
                  <w:pPr>
                    <w:pStyle w:val="TableBodyText"/>
                  </w:pPr>
                  <w:r w:rsidRPr="002C323C">
                    <w:t xml:space="preserve">  9.9</w:t>
                  </w:r>
                </w:p>
              </w:tc>
              <w:tc>
                <w:tcPr>
                  <w:tcW w:w="496" w:type="pct"/>
                  <w:vAlign w:val="center"/>
                </w:tcPr>
                <w:p w:rsidR="008227EB" w:rsidRPr="002C323C" w:rsidRDefault="008227EB" w:rsidP="002C323C">
                  <w:pPr>
                    <w:pStyle w:val="TableBodyText"/>
                  </w:pPr>
                  <w:r w:rsidRPr="002C323C">
                    <w:t xml:space="preserve">  25.9</w:t>
                  </w:r>
                </w:p>
              </w:tc>
            </w:tr>
            <w:tr w:rsidR="00B07C4D" w:rsidTr="00B07C4D">
              <w:tc>
                <w:tcPr>
                  <w:tcW w:w="5000" w:type="pct"/>
                  <w:gridSpan w:val="10"/>
                </w:tcPr>
                <w:p w:rsidR="00B07C4D" w:rsidRDefault="00B07C4D" w:rsidP="00360992">
                  <w:pPr>
                    <w:pStyle w:val="Source"/>
                    <w:spacing w:before="0" w:after="80"/>
                    <w:ind w:left="113"/>
                  </w:pPr>
                  <w:r w:rsidRPr="00253B66">
                    <w:rPr>
                      <w:i/>
                    </w:rPr>
                    <w:t>Source</w:t>
                  </w:r>
                  <w:r w:rsidRPr="00080F6D">
                    <w:t>:</w:t>
                  </w:r>
                  <w:r w:rsidR="00AC5A6E">
                    <w:t xml:space="preserve"> Attachment table 18A.10</w:t>
                  </w:r>
                  <w:r w:rsidR="00C9055F">
                    <w:t>.</w:t>
                  </w:r>
                </w:p>
              </w:tc>
            </w:tr>
            <w:tr w:rsidR="000A4712" w:rsidTr="000A4712">
              <w:tc>
                <w:tcPr>
                  <w:tcW w:w="5000" w:type="pct"/>
                  <w:gridSpan w:val="10"/>
                </w:tcPr>
                <w:p w:rsidR="000A4712" w:rsidRDefault="002D1999" w:rsidP="002260AC">
                  <w:pPr>
                    <w:pStyle w:val="TableBodyText"/>
                    <w:ind w:left="113" w:right="28"/>
                    <w:jc w:val="left"/>
                  </w:pPr>
                  <w:r w:rsidRPr="002D1999">
                    <w:t xml:space="preserve">Proportion of clients </w:t>
                  </w:r>
                  <w:r w:rsidR="004C5A73">
                    <w:t xml:space="preserve">with </w:t>
                  </w:r>
                  <w:r w:rsidR="002260AC" w:rsidRPr="002260AC">
                    <w:t>unmet need for services other than accommodation</w:t>
                  </w:r>
                  <w:r w:rsidR="000A4712">
                    <w:rPr>
                      <w:color w:val="000000" w:themeColor="text1"/>
                    </w:rPr>
                    <w:t>, 2014</w:t>
                  </w:r>
                  <w:r w:rsidR="00080F6D">
                    <w:rPr>
                      <w:color w:val="000000" w:themeColor="text1"/>
                    </w:rPr>
                    <w:noBreakHyphen/>
                  </w:r>
                  <w:r w:rsidR="000A4712">
                    <w:rPr>
                      <w:color w:val="000000" w:themeColor="text1"/>
                    </w:rPr>
                    <w:t>15</w:t>
                  </w:r>
                  <w:r w:rsidR="000A4712" w:rsidRPr="00C048B8">
                    <w:rPr>
                      <w:color w:val="000000" w:themeColor="text1"/>
                    </w:rPr>
                    <w:t> </w:t>
                  </w:r>
                </w:p>
              </w:tc>
            </w:tr>
            <w:tr w:rsidR="008227EB" w:rsidTr="008705C8">
              <w:tc>
                <w:tcPr>
                  <w:tcW w:w="501" w:type="pct"/>
                </w:tcPr>
                <w:p w:rsidR="008227EB" w:rsidRDefault="008227EB" w:rsidP="000A4712">
                  <w:pPr>
                    <w:pStyle w:val="TableBodyText"/>
                  </w:pPr>
                  <w:r>
                    <w:t>%</w:t>
                  </w:r>
                </w:p>
              </w:tc>
              <w:tc>
                <w:tcPr>
                  <w:tcW w:w="501" w:type="pct"/>
                  <w:vAlign w:val="center"/>
                </w:tcPr>
                <w:p w:rsidR="008227EB" w:rsidRPr="002C323C" w:rsidRDefault="008227EB" w:rsidP="002C323C">
                  <w:pPr>
                    <w:pStyle w:val="TableBodyText"/>
                  </w:pPr>
                  <w:r w:rsidRPr="002C323C">
                    <w:t xml:space="preserve">  1.6</w:t>
                  </w:r>
                </w:p>
              </w:tc>
              <w:tc>
                <w:tcPr>
                  <w:tcW w:w="501" w:type="pct"/>
                  <w:vAlign w:val="center"/>
                </w:tcPr>
                <w:p w:rsidR="008227EB" w:rsidRPr="002C323C" w:rsidRDefault="008227EB" w:rsidP="002C323C">
                  <w:pPr>
                    <w:pStyle w:val="TableBodyText"/>
                  </w:pPr>
                  <w:r w:rsidRPr="002C323C">
                    <w:t xml:space="preserve">  2.9</w:t>
                  </w:r>
                </w:p>
              </w:tc>
              <w:tc>
                <w:tcPr>
                  <w:tcW w:w="501" w:type="pct"/>
                  <w:vAlign w:val="center"/>
                </w:tcPr>
                <w:p w:rsidR="008227EB" w:rsidRPr="002C323C" w:rsidRDefault="008227EB" w:rsidP="002C323C">
                  <w:pPr>
                    <w:pStyle w:val="TableBodyText"/>
                  </w:pPr>
                  <w:r w:rsidRPr="002C323C">
                    <w:t xml:space="preserve">  0.9</w:t>
                  </w:r>
                </w:p>
              </w:tc>
              <w:tc>
                <w:tcPr>
                  <w:tcW w:w="501" w:type="pct"/>
                  <w:vAlign w:val="center"/>
                </w:tcPr>
                <w:p w:rsidR="008227EB" w:rsidRPr="002C323C" w:rsidRDefault="008227EB" w:rsidP="002C323C">
                  <w:pPr>
                    <w:pStyle w:val="TableBodyText"/>
                  </w:pPr>
                  <w:r w:rsidRPr="002C323C">
                    <w:t xml:space="preserve">  0.1</w:t>
                  </w:r>
                </w:p>
              </w:tc>
              <w:tc>
                <w:tcPr>
                  <w:tcW w:w="501" w:type="pct"/>
                  <w:vAlign w:val="center"/>
                </w:tcPr>
                <w:p w:rsidR="008227EB" w:rsidRPr="002C323C" w:rsidRDefault="008227EB" w:rsidP="002C323C">
                  <w:pPr>
                    <w:pStyle w:val="TableBodyText"/>
                  </w:pPr>
                  <w:r w:rsidRPr="002C323C">
                    <w:t>–</w:t>
                  </w:r>
                </w:p>
              </w:tc>
              <w:tc>
                <w:tcPr>
                  <w:tcW w:w="501" w:type="pct"/>
                  <w:vAlign w:val="center"/>
                </w:tcPr>
                <w:p w:rsidR="008227EB" w:rsidRPr="002C323C" w:rsidRDefault="008227EB" w:rsidP="002C323C">
                  <w:pPr>
                    <w:pStyle w:val="TableBodyText"/>
                  </w:pPr>
                  <w:r w:rsidRPr="002C323C">
                    <w:t xml:space="preserve">  1.7</w:t>
                  </w:r>
                </w:p>
              </w:tc>
              <w:tc>
                <w:tcPr>
                  <w:tcW w:w="501" w:type="pct"/>
                  <w:vAlign w:val="center"/>
                </w:tcPr>
                <w:p w:rsidR="008227EB" w:rsidRPr="002C323C" w:rsidRDefault="008227EB" w:rsidP="002C323C">
                  <w:pPr>
                    <w:pStyle w:val="TableBodyText"/>
                  </w:pPr>
                  <w:r w:rsidRPr="002C323C">
                    <w:t xml:space="preserve">  0.6</w:t>
                  </w:r>
                </w:p>
              </w:tc>
              <w:tc>
                <w:tcPr>
                  <w:tcW w:w="496" w:type="pct"/>
                  <w:vAlign w:val="center"/>
                </w:tcPr>
                <w:p w:rsidR="008227EB" w:rsidRPr="002C323C" w:rsidRDefault="008227EB" w:rsidP="002C323C">
                  <w:pPr>
                    <w:pStyle w:val="TableBodyText"/>
                  </w:pPr>
                  <w:r w:rsidRPr="002C323C">
                    <w:t xml:space="preserve">  0.8</w:t>
                  </w:r>
                </w:p>
              </w:tc>
              <w:tc>
                <w:tcPr>
                  <w:tcW w:w="496" w:type="pct"/>
                  <w:vAlign w:val="center"/>
                </w:tcPr>
                <w:p w:rsidR="008227EB" w:rsidRPr="002C323C" w:rsidRDefault="008227EB" w:rsidP="002C323C">
                  <w:pPr>
                    <w:pStyle w:val="TableBodyText"/>
                  </w:pPr>
                  <w:r w:rsidRPr="002C323C">
                    <w:t xml:space="preserve">  1.8</w:t>
                  </w:r>
                </w:p>
              </w:tc>
            </w:tr>
            <w:tr w:rsidR="000A4712" w:rsidTr="00D203E5">
              <w:tc>
                <w:tcPr>
                  <w:tcW w:w="5000" w:type="pct"/>
                  <w:gridSpan w:val="10"/>
                  <w:tcBorders>
                    <w:bottom w:val="single" w:sz="6" w:space="0" w:color="BFBFBF"/>
                  </w:tcBorders>
                </w:tcPr>
                <w:p w:rsidR="000A4712" w:rsidRDefault="000A4712" w:rsidP="00360992">
                  <w:pPr>
                    <w:pStyle w:val="Source"/>
                    <w:spacing w:before="0" w:after="80"/>
                    <w:ind w:left="113"/>
                  </w:pPr>
                  <w:r w:rsidRPr="00253B66">
                    <w:rPr>
                      <w:i/>
                    </w:rPr>
                    <w:t>Source</w:t>
                  </w:r>
                  <w:r w:rsidRPr="00080F6D">
                    <w:t>:</w:t>
                  </w:r>
                  <w:r>
                    <w:t xml:space="preserve"> Attachment </w:t>
                  </w:r>
                  <w:r w:rsidRPr="008D5B24">
                    <w:t>table 1</w:t>
                  </w:r>
                  <w:r w:rsidR="00B07C4D" w:rsidRPr="008D5B24">
                    <w:t>8</w:t>
                  </w:r>
                  <w:r w:rsidRPr="008D5B24">
                    <w:t>A.1</w:t>
                  </w:r>
                  <w:r w:rsidR="00360992">
                    <w:t>0</w:t>
                  </w:r>
                  <w:r w:rsidR="00C9055F">
                    <w:t>.</w:t>
                  </w:r>
                </w:p>
              </w:tc>
            </w:tr>
          </w:tbl>
          <w:p w:rsidR="000A4712" w:rsidRDefault="000A4712" w:rsidP="000A4712">
            <w:pPr>
              <w:pStyle w:val="Box"/>
            </w:pPr>
          </w:p>
        </w:tc>
      </w:tr>
      <w:tr w:rsidR="000A4712" w:rsidTr="000A4712">
        <w:trPr>
          <w:cantSplit/>
        </w:trPr>
        <w:tc>
          <w:tcPr>
            <w:tcW w:w="8771" w:type="dxa"/>
            <w:tcBorders>
              <w:top w:val="nil"/>
              <w:left w:val="nil"/>
              <w:bottom w:val="nil"/>
              <w:right w:val="nil"/>
            </w:tcBorders>
            <w:shd w:val="clear" w:color="auto" w:fill="auto"/>
          </w:tcPr>
          <w:p w:rsidR="000A4712" w:rsidRPr="00C23135" w:rsidRDefault="000A4712" w:rsidP="000A4712">
            <w:pPr>
              <w:pStyle w:val="Continued"/>
            </w:pPr>
            <w:r>
              <w:t>(continued next page)</w:t>
            </w:r>
          </w:p>
        </w:tc>
      </w:tr>
      <w:tr w:rsidR="000A4712" w:rsidTr="000A4712">
        <w:trPr>
          <w:cantSplit/>
        </w:trPr>
        <w:tc>
          <w:tcPr>
            <w:tcW w:w="8771" w:type="dxa"/>
            <w:tcBorders>
              <w:top w:val="nil"/>
              <w:left w:val="nil"/>
              <w:bottom w:val="single" w:sz="6" w:space="0" w:color="78A22F"/>
              <w:right w:val="nil"/>
            </w:tcBorders>
            <w:shd w:val="clear" w:color="auto" w:fill="auto"/>
          </w:tcPr>
          <w:p w:rsidR="000A4712" w:rsidRDefault="000A4712" w:rsidP="000A4712">
            <w:pPr>
              <w:pStyle w:val="Box"/>
              <w:spacing w:before="0" w:line="120" w:lineRule="exact"/>
            </w:pPr>
          </w:p>
        </w:tc>
      </w:tr>
      <w:tr w:rsidR="000A4712" w:rsidRPr="000863A5" w:rsidTr="000A4712">
        <w:tc>
          <w:tcPr>
            <w:tcW w:w="8771" w:type="dxa"/>
            <w:tcBorders>
              <w:top w:val="single" w:sz="6" w:space="0" w:color="78A22F"/>
              <w:left w:val="nil"/>
              <w:bottom w:val="nil"/>
              <w:right w:val="nil"/>
            </w:tcBorders>
          </w:tcPr>
          <w:p w:rsidR="000A4712" w:rsidRPr="00626D32" w:rsidRDefault="000A4712" w:rsidP="000A4712">
            <w:pPr>
              <w:pStyle w:val="BoxSpaceBelow"/>
            </w:pPr>
          </w:p>
        </w:tc>
      </w:tr>
    </w:tbl>
    <w:p w:rsidR="000A4712" w:rsidRDefault="000A4712" w:rsidP="000A47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A4712" w:rsidTr="000A4712">
        <w:tc>
          <w:tcPr>
            <w:tcW w:w="8771" w:type="dxa"/>
            <w:tcBorders>
              <w:top w:val="single" w:sz="6" w:space="0" w:color="78A22F"/>
              <w:left w:val="nil"/>
              <w:bottom w:val="nil"/>
              <w:right w:val="nil"/>
            </w:tcBorders>
            <w:shd w:val="clear" w:color="auto" w:fill="auto"/>
          </w:tcPr>
          <w:p w:rsidR="000A4712" w:rsidRPr="00784A05" w:rsidRDefault="000A4712" w:rsidP="006A72F3">
            <w:pPr>
              <w:pStyle w:val="TableTitle"/>
            </w:pPr>
            <w:r>
              <w:rPr>
                <w:b w:val="0"/>
              </w:rPr>
              <w:t>Table G.</w:t>
            </w:r>
            <w:r w:rsidR="006A72F3">
              <w:rPr>
                <w:b w:val="0"/>
              </w:rPr>
              <w:t>3</w:t>
            </w:r>
            <w:r>
              <w:tab/>
            </w:r>
            <w:r w:rsidRPr="00FA6691">
              <w:rPr>
                <w:b w:val="0"/>
                <w:sz w:val="18"/>
                <w:szCs w:val="18"/>
              </w:rPr>
              <w:t>(continued)</w:t>
            </w:r>
          </w:p>
        </w:tc>
      </w:tr>
      <w:tr w:rsidR="000A4712" w:rsidTr="000A47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180"/>
              <w:gridCol w:w="670"/>
              <w:gridCol w:w="160"/>
              <w:gridCol w:w="691"/>
              <w:gridCol w:w="139"/>
              <w:gridCol w:w="711"/>
              <w:gridCol w:w="119"/>
              <w:gridCol w:w="732"/>
              <w:gridCol w:w="98"/>
              <w:gridCol w:w="752"/>
              <w:gridCol w:w="78"/>
              <w:gridCol w:w="772"/>
              <w:gridCol w:w="58"/>
              <w:gridCol w:w="793"/>
              <w:gridCol w:w="39"/>
              <w:gridCol w:w="803"/>
              <w:gridCol w:w="20"/>
              <w:gridCol w:w="822"/>
            </w:tblGrid>
            <w:tr w:rsidR="000A4712" w:rsidTr="000A4712">
              <w:tc>
                <w:tcPr>
                  <w:tcW w:w="607" w:type="pct"/>
                  <w:gridSpan w:val="2"/>
                  <w:tcBorders>
                    <w:top w:val="single" w:sz="6" w:space="0" w:color="BFBFBF"/>
                    <w:bottom w:val="single" w:sz="6" w:space="0" w:color="BFBFBF"/>
                  </w:tcBorders>
                  <w:shd w:val="clear" w:color="auto" w:fill="auto"/>
                  <w:tcMar>
                    <w:top w:w="28" w:type="dxa"/>
                  </w:tcMar>
                </w:tcPr>
                <w:p w:rsidR="000A4712" w:rsidRDefault="000A4712" w:rsidP="000A4712">
                  <w:pPr>
                    <w:pStyle w:val="TableColumnHeading"/>
                    <w:jc w:val="left"/>
                  </w:pPr>
                </w:p>
              </w:tc>
              <w:tc>
                <w:tcPr>
                  <w:tcW w:w="489" w:type="pct"/>
                  <w:gridSpan w:val="2"/>
                  <w:tcBorders>
                    <w:top w:val="single" w:sz="6" w:space="0" w:color="BFBFBF"/>
                    <w:bottom w:val="single" w:sz="6" w:space="0" w:color="BFBFBF"/>
                  </w:tcBorders>
                </w:tcPr>
                <w:p w:rsidR="000A4712" w:rsidRDefault="000A4712" w:rsidP="000A4712">
                  <w:pPr>
                    <w:pStyle w:val="TableColumnHeading"/>
                  </w:pPr>
                  <w:r>
                    <w:t>NSW</w:t>
                  </w:r>
                </w:p>
              </w:tc>
              <w:tc>
                <w:tcPr>
                  <w:tcW w:w="489" w:type="pct"/>
                  <w:gridSpan w:val="2"/>
                  <w:tcBorders>
                    <w:top w:val="single" w:sz="6" w:space="0" w:color="BFBFBF"/>
                    <w:bottom w:val="single" w:sz="6" w:space="0" w:color="BFBFBF"/>
                  </w:tcBorders>
                </w:tcPr>
                <w:p w:rsidR="000A4712" w:rsidRDefault="000A4712" w:rsidP="000A4712">
                  <w:pPr>
                    <w:pStyle w:val="TableColumnHeading"/>
                  </w:pPr>
                  <w:r>
                    <w:t>Vic</w:t>
                  </w:r>
                </w:p>
              </w:tc>
              <w:tc>
                <w:tcPr>
                  <w:tcW w:w="489" w:type="pct"/>
                  <w:gridSpan w:val="2"/>
                  <w:tcBorders>
                    <w:top w:val="single" w:sz="6" w:space="0" w:color="BFBFBF"/>
                    <w:bottom w:val="single" w:sz="6" w:space="0" w:color="BFBFBF"/>
                  </w:tcBorders>
                </w:tcPr>
                <w:p w:rsidR="000A4712" w:rsidRDefault="000A4712" w:rsidP="000A4712">
                  <w:pPr>
                    <w:pStyle w:val="TableColumnHeading"/>
                  </w:pPr>
                  <w:r>
                    <w:t>Qld</w:t>
                  </w:r>
                </w:p>
              </w:tc>
              <w:tc>
                <w:tcPr>
                  <w:tcW w:w="489" w:type="pct"/>
                  <w:gridSpan w:val="2"/>
                  <w:tcBorders>
                    <w:top w:val="single" w:sz="6" w:space="0" w:color="BFBFBF"/>
                    <w:bottom w:val="single" w:sz="6" w:space="0" w:color="BFBFBF"/>
                  </w:tcBorders>
                </w:tcPr>
                <w:p w:rsidR="000A4712" w:rsidRDefault="000A4712" w:rsidP="000A4712">
                  <w:pPr>
                    <w:pStyle w:val="TableColumnHeading"/>
                  </w:pPr>
                  <w:r>
                    <w:t>WA</w:t>
                  </w:r>
                </w:p>
              </w:tc>
              <w:tc>
                <w:tcPr>
                  <w:tcW w:w="489" w:type="pct"/>
                  <w:gridSpan w:val="2"/>
                  <w:tcBorders>
                    <w:top w:val="single" w:sz="6" w:space="0" w:color="BFBFBF"/>
                    <w:bottom w:val="single" w:sz="6" w:space="0" w:color="BFBFBF"/>
                  </w:tcBorders>
                </w:tcPr>
                <w:p w:rsidR="000A4712" w:rsidRDefault="000A4712" w:rsidP="000A4712">
                  <w:pPr>
                    <w:pStyle w:val="TableColumnHeading"/>
                  </w:pPr>
                  <w:r>
                    <w:t>SA</w:t>
                  </w:r>
                </w:p>
              </w:tc>
              <w:tc>
                <w:tcPr>
                  <w:tcW w:w="489" w:type="pct"/>
                  <w:gridSpan w:val="2"/>
                  <w:tcBorders>
                    <w:top w:val="single" w:sz="6" w:space="0" w:color="BFBFBF"/>
                    <w:bottom w:val="single" w:sz="6" w:space="0" w:color="BFBFBF"/>
                  </w:tcBorders>
                </w:tcPr>
                <w:p w:rsidR="000A4712" w:rsidRDefault="000A4712" w:rsidP="000A4712">
                  <w:pPr>
                    <w:pStyle w:val="TableColumnHeading"/>
                  </w:pPr>
                  <w:r>
                    <w:t>Tas</w:t>
                  </w:r>
                </w:p>
              </w:tc>
              <w:tc>
                <w:tcPr>
                  <w:tcW w:w="490" w:type="pct"/>
                  <w:gridSpan w:val="2"/>
                  <w:tcBorders>
                    <w:top w:val="single" w:sz="6" w:space="0" w:color="BFBFBF"/>
                    <w:bottom w:val="single" w:sz="6" w:space="0" w:color="BFBFBF"/>
                  </w:tcBorders>
                  <w:shd w:val="clear" w:color="auto" w:fill="auto"/>
                  <w:tcMar>
                    <w:top w:w="28" w:type="dxa"/>
                  </w:tcMar>
                </w:tcPr>
                <w:p w:rsidR="000A4712" w:rsidRDefault="000A4712" w:rsidP="000A4712">
                  <w:pPr>
                    <w:pStyle w:val="TableColumnHeading"/>
                  </w:pPr>
                  <w:r>
                    <w:t>ACT</w:t>
                  </w:r>
                </w:p>
              </w:tc>
              <w:tc>
                <w:tcPr>
                  <w:tcW w:w="485" w:type="pct"/>
                  <w:gridSpan w:val="2"/>
                  <w:tcBorders>
                    <w:top w:val="single" w:sz="6" w:space="0" w:color="BFBFBF"/>
                    <w:bottom w:val="single" w:sz="6" w:space="0" w:color="BFBFBF"/>
                  </w:tcBorders>
                </w:tcPr>
                <w:p w:rsidR="000A4712" w:rsidRDefault="000A4712" w:rsidP="000A4712">
                  <w:pPr>
                    <w:pStyle w:val="TableColumnHeading"/>
                  </w:pPr>
                  <w:r>
                    <w:t>NT</w:t>
                  </w:r>
                </w:p>
              </w:tc>
              <w:tc>
                <w:tcPr>
                  <w:tcW w:w="484" w:type="pct"/>
                  <w:tcBorders>
                    <w:top w:val="single" w:sz="6" w:space="0" w:color="BFBFBF"/>
                    <w:bottom w:val="single" w:sz="6" w:space="0" w:color="BFBFBF"/>
                  </w:tcBorders>
                  <w:shd w:val="clear" w:color="auto" w:fill="auto"/>
                  <w:tcMar>
                    <w:top w:w="28" w:type="dxa"/>
                  </w:tcMar>
                </w:tcPr>
                <w:p w:rsidR="000A4712" w:rsidRDefault="000A4712" w:rsidP="000A4712">
                  <w:pPr>
                    <w:pStyle w:val="TableColumnHeading"/>
                  </w:pPr>
                  <w:r>
                    <w:t>Aust</w:t>
                  </w:r>
                </w:p>
              </w:tc>
            </w:tr>
            <w:tr w:rsidR="002260AC" w:rsidTr="002260AC">
              <w:tc>
                <w:tcPr>
                  <w:tcW w:w="5000" w:type="pct"/>
                  <w:gridSpan w:val="19"/>
                </w:tcPr>
                <w:p w:rsidR="002260AC" w:rsidRDefault="002260AC" w:rsidP="002260AC">
                  <w:pPr>
                    <w:pStyle w:val="DQIMainRowHeadings"/>
                  </w:pPr>
                  <w:r>
                    <w:t>Effectiveness — Appropriateness indicators</w:t>
                  </w:r>
                </w:p>
              </w:tc>
            </w:tr>
            <w:tr w:rsidR="002260AC" w:rsidRPr="009F4AB7" w:rsidTr="002260AC">
              <w:tc>
                <w:tcPr>
                  <w:tcW w:w="5000" w:type="pct"/>
                  <w:gridSpan w:val="19"/>
                </w:tcPr>
                <w:p w:rsidR="002260AC" w:rsidRPr="009F4AB7" w:rsidRDefault="002260AC" w:rsidP="002260AC">
                  <w:pPr>
                    <w:pStyle w:val="DQIRowHeadings"/>
                  </w:pPr>
                  <w:r>
                    <w:t>Development of case management plan</w:t>
                  </w:r>
                </w:p>
              </w:tc>
            </w:tr>
            <w:tr w:rsidR="002260AC" w:rsidTr="002260AC">
              <w:tc>
                <w:tcPr>
                  <w:tcW w:w="5000" w:type="pct"/>
                  <w:gridSpan w:val="19"/>
                </w:tcPr>
                <w:p w:rsidR="002260AC" w:rsidRDefault="002260AC" w:rsidP="002260AC">
                  <w:pPr>
                    <w:pStyle w:val="TableBodyText"/>
                    <w:ind w:left="113" w:right="28"/>
                    <w:jc w:val="left"/>
                  </w:pPr>
                  <w:r w:rsidRPr="002D1999">
                    <w:t>Proportion of clients with a case management plan (closed support periods)</w:t>
                  </w:r>
                  <w:r>
                    <w:rPr>
                      <w:color w:val="000000" w:themeColor="text1"/>
                    </w:rPr>
                    <w:t>, 2014</w:t>
                  </w:r>
                  <w:r>
                    <w:rPr>
                      <w:color w:val="000000" w:themeColor="text1"/>
                    </w:rPr>
                    <w:noBreakHyphen/>
                    <w:t>15</w:t>
                  </w:r>
                  <w:r w:rsidRPr="00C048B8">
                    <w:rPr>
                      <w:color w:val="000000" w:themeColor="text1"/>
                    </w:rPr>
                    <w:t> </w:t>
                  </w:r>
                </w:p>
              </w:tc>
            </w:tr>
            <w:tr w:rsidR="002260AC" w:rsidRPr="00C47D6F" w:rsidTr="002260AC">
              <w:tc>
                <w:tcPr>
                  <w:tcW w:w="5000" w:type="pct"/>
                  <w:gridSpan w:val="19"/>
                </w:tcPr>
                <w:p w:rsidR="002260AC" w:rsidRPr="00C47D6F" w:rsidRDefault="002260AC" w:rsidP="002260AC">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51.8</w:t>
                  </w:r>
                </w:p>
              </w:tc>
              <w:tc>
                <w:tcPr>
                  <w:tcW w:w="501" w:type="pct"/>
                  <w:gridSpan w:val="2"/>
                  <w:vAlign w:val="center"/>
                </w:tcPr>
                <w:p w:rsidR="002260AC" w:rsidRDefault="002260AC" w:rsidP="002260AC">
                  <w:pPr>
                    <w:pStyle w:val="TableBodyText"/>
                  </w:pPr>
                  <w:r>
                    <w:t xml:space="preserve"> 39.7</w:t>
                  </w:r>
                </w:p>
              </w:tc>
              <w:tc>
                <w:tcPr>
                  <w:tcW w:w="501" w:type="pct"/>
                  <w:gridSpan w:val="2"/>
                  <w:vAlign w:val="center"/>
                </w:tcPr>
                <w:p w:rsidR="002260AC" w:rsidRDefault="002260AC" w:rsidP="002260AC">
                  <w:pPr>
                    <w:pStyle w:val="TableBodyText"/>
                  </w:pPr>
                  <w:r>
                    <w:t xml:space="preserve"> 86.1</w:t>
                  </w:r>
                </w:p>
              </w:tc>
              <w:tc>
                <w:tcPr>
                  <w:tcW w:w="501" w:type="pct"/>
                  <w:gridSpan w:val="2"/>
                  <w:vAlign w:val="center"/>
                </w:tcPr>
                <w:p w:rsidR="002260AC" w:rsidRDefault="002260AC" w:rsidP="002260AC">
                  <w:pPr>
                    <w:pStyle w:val="TableBodyText"/>
                  </w:pPr>
                  <w:r>
                    <w:t xml:space="preserve"> 45.3</w:t>
                  </w:r>
                </w:p>
              </w:tc>
              <w:tc>
                <w:tcPr>
                  <w:tcW w:w="501" w:type="pct"/>
                  <w:gridSpan w:val="2"/>
                  <w:vAlign w:val="center"/>
                </w:tcPr>
                <w:p w:rsidR="002260AC" w:rsidRDefault="002260AC" w:rsidP="002260AC">
                  <w:pPr>
                    <w:pStyle w:val="TableBodyText"/>
                  </w:pPr>
                  <w:r>
                    <w:t xml:space="preserve"> 33.6</w:t>
                  </w:r>
                </w:p>
              </w:tc>
              <w:tc>
                <w:tcPr>
                  <w:tcW w:w="501" w:type="pct"/>
                  <w:gridSpan w:val="2"/>
                  <w:vAlign w:val="center"/>
                </w:tcPr>
                <w:p w:rsidR="002260AC" w:rsidRDefault="002260AC" w:rsidP="002260AC">
                  <w:pPr>
                    <w:pStyle w:val="TableBodyText"/>
                  </w:pPr>
                  <w:r>
                    <w:t xml:space="preserve"> 41.9</w:t>
                  </w:r>
                </w:p>
              </w:tc>
              <w:tc>
                <w:tcPr>
                  <w:tcW w:w="501" w:type="pct"/>
                  <w:gridSpan w:val="2"/>
                  <w:vAlign w:val="center"/>
                </w:tcPr>
                <w:p w:rsidR="002260AC" w:rsidRDefault="002260AC" w:rsidP="002260AC">
                  <w:pPr>
                    <w:pStyle w:val="TableBodyText"/>
                  </w:pPr>
                  <w:r>
                    <w:t xml:space="preserve"> 59.4</w:t>
                  </w:r>
                </w:p>
              </w:tc>
              <w:tc>
                <w:tcPr>
                  <w:tcW w:w="496" w:type="pct"/>
                  <w:gridSpan w:val="2"/>
                  <w:vAlign w:val="center"/>
                </w:tcPr>
                <w:p w:rsidR="002260AC" w:rsidRDefault="002260AC" w:rsidP="002260AC">
                  <w:pPr>
                    <w:pStyle w:val="TableBodyText"/>
                  </w:pPr>
                  <w:r>
                    <w:t xml:space="preserve"> 69.1</w:t>
                  </w:r>
                </w:p>
              </w:tc>
              <w:tc>
                <w:tcPr>
                  <w:tcW w:w="496" w:type="pct"/>
                  <w:gridSpan w:val="2"/>
                  <w:vAlign w:val="center"/>
                </w:tcPr>
                <w:p w:rsidR="002260AC" w:rsidRDefault="002260AC" w:rsidP="002260AC">
                  <w:pPr>
                    <w:pStyle w:val="TableBodyText"/>
                  </w:pPr>
                  <w:r>
                    <w:t xml:space="preserve"> 49.3</w:t>
                  </w:r>
                </w:p>
              </w:tc>
            </w:tr>
            <w:tr w:rsidR="002260AC" w:rsidTr="002260AC">
              <w:tc>
                <w:tcPr>
                  <w:tcW w:w="5000" w:type="pct"/>
                  <w:gridSpan w:val="19"/>
                </w:tcPr>
                <w:p w:rsidR="002260AC" w:rsidRDefault="002260AC" w:rsidP="002260AC">
                  <w:pPr>
                    <w:pStyle w:val="Source"/>
                    <w:spacing w:before="0" w:after="80"/>
                    <w:ind w:left="113"/>
                  </w:pPr>
                  <w:r w:rsidRPr="00253B66">
                    <w:rPr>
                      <w:i/>
                    </w:rPr>
                    <w:t>Source</w:t>
                  </w:r>
                  <w:r w:rsidRPr="00080F6D">
                    <w:t>:</w:t>
                  </w:r>
                  <w:r>
                    <w:t xml:space="preserve"> Attachment table 18A.11.</w:t>
                  </w:r>
                </w:p>
              </w:tc>
            </w:tr>
            <w:tr w:rsidR="002260AC" w:rsidRPr="009F4AB7" w:rsidTr="002260AC">
              <w:tc>
                <w:tcPr>
                  <w:tcW w:w="5000" w:type="pct"/>
                  <w:gridSpan w:val="19"/>
                </w:tcPr>
                <w:p w:rsidR="002260AC" w:rsidRPr="009F4AB7" w:rsidRDefault="002260AC" w:rsidP="002260AC">
                  <w:pPr>
                    <w:pStyle w:val="DQIRowHeadings"/>
                  </w:pPr>
                  <w:r>
                    <w:t>Match of client needs</w:t>
                  </w:r>
                </w:p>
              </w:tc>
            </w:tr>
            <w:tr w:rsidR="002260AC" w:rsidTr="002260AC">
              <w:tc>
                <w:tcPr>
                  <w:tcW w:w="5000" w:type="pct"/>
                  <w:gridSpan w:val="19"/>
                </w:tcPr>
                <w:p w:rsidR="002260AC" w:rsidRDefault="002260AC" w:rsidP="002260AC">
                  <w:pPr>
                    <w:pStyle w:val="TableBodyText"/>
                    <w:ind w:left="113" w:right="28"/>
                    <w:jc w:val="left"/>
                  </w:pPr>
                  <w:r w:rsidRPr="002D1999">
                    <w:t xml:space="preserve">Proportion of clients </w:t>
                  </w:r>
                  <w:r>
                    <w:t xml:space="preserve">with a need for accommodation and accommodation related assistance that were </w:t>
                  </w:r>
                  <w:r w:rsidRPr="00C67717">
                    <w:t>directly provided, or directly provided and referred, with a service</w:t>
                  </w:r>
                  <w:r>
                    <w:rPr>
                      <w:color w:val="000000" w:themeColor="text1"/>
                    </w:rPr>
                    <w:t>, 2014</w:t>
                  </w:r>
                  <w:r>
                    <w:rPr>
                      <w:color w:val="000000" w:themeColor="text1"/>
                    </w:rPr>
                    <w:noBreakHyphen/>
                    <w:t>15</w:t>
                  </w:r>
                  <w:r w:rsidRPr="00C048B8">
                    <w:rPr>
                      <w:color w:val="000000" w:themeColor="text1"/>
                    </w:rPr>
                    <w:t> </w:t>
                  </w:r>
                </w:p>
              </w:tc>
            </w:tr>
            <w:tr w:rsidR="002260AC" w:rsidRPr="00C47D6F" w:rsidTr="002260AC">
              <w:tc>
                <w:tcPr>
                  <w:tcW w:w="5000" w:type="pct"/>
                  <w:gridSpan w:val="19"/>
                </w:tcPr>
                <w:p w:rsidR="002260AC" w:rsidRPr="00C47D6F" w:rsidRDefault="002260AC" w:rsidP="002260AC">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260AC" w:rsidTr="002260AC">
              <w:tc>
                <w:tcPr>
                  <w:tcW w:w="501" w:type="pct"/>
                </w:tcPr>
                <w:p w:rsidR="002260AC" w:rsidRDefault="002260AC" w:rsidP="002260AC">
                  <w:pPr>
                    <w:pStyle w:val="TableBodyText"/>
                  </w:pPr>
                  <w:r>
                    <w:t>%</w:t>
                  </w:r>
                </w:p>
              </w:tc>
              <w:tc>
                <w:tcPr>
                  <w:tcW w:w="501" w:type="pct"/>
                  <w:gridSpan w:val="2"/>
                  <w:vAlign w:val="bottom"/>
                </w:tcPr>
                <w:p w:rsidR="002260AC" w:rsidRDefault="002260AC" w:rsidP="002260AC">
                  <w:pPr>
                    <w:pStyle w:val="TableBodyText"/>
                  </w:pPr>
                  <w:r>
                    <w:t xml:space="preserve"> 52.9</w:t>
                  </w:r>
                </w:p>
              </w:tc>
              <w:tc>
                <w:tcPr>
                  <w:tcW w:w="501" w:type="pct"/>
                  <w:gridSpan w:val="2"/>
                  <w:vAlign w:val="bottom"/>
                </w:tcPr>
                <w:p w:rsidR="002260AC" w:rsidRDefault="002260AC" w:rsidP="002260AC">
                  <w:pPr>
                    <w:pStyle w:val="TableBodyText"/>
                  </w:pPr>
                  <w:r>
                    <w:t xml:space="preserve"> 47.8</w:t>
                  </w:r>
                </w:p>
              </w:tc>
              <w:tc>
                <w:tcPr>
                  <w:tcW w:w="501" w:type="pct"/>
                  <w:gridSpan w:val="2"/>
                  <w:vAlign w:val="bottom"/>
                </w:tcPr>
                <w:p w:rsidR="002260AC" w:rsidRDefault="002260AC" w:rsidP="002260AC">
                  <w:pPr>
                    <w:pStyle w:val="TableBodyText"/>
                  </w:pPr>
                  <w:r>
                    <w:t xml:space="preserve"> 57.2</w:t>
                  </w:r>
                </w:p>
              </w:tc>
              <w:tc>
                <w:tcPr>
                  <w:tcW w:w="501" w:type="pct"/>
                  <w:gridSpan w:val="2"/>
                  <w:vAlign w:val="bottom"/>
                </w:tcPr>
                <w:p w:rsidR="002260AC" w:rsidRDefault="002260AC" w:rsidP="002260AC">
                  <w:pPr>
                    <w:pStyle w:val="TableBodyText"/>
                  </w:pPr>
                  <w:r>
                    <w:t xml:space="preserve"> 71.9</w:t>
                  </w:r>
                </w:p>
              </w:tc>
              <w:tc>
                <w:tcPr>
                  <w:tcW w:w="501" w:type="pct"/>
                  <w:gridSpan w:val="2"/>
                  <w:vAlign w:val="bottom"/>
                </w:tcPr>
                <w:p w:rsidR="002260AC" w:rsidRDefault="002260AC" w:rsidP="002260AC">
                  <w:pPr>
                    <w:pStyle w:val="TableBodyText"/>
                  </w:pPr>
                  <w:r>
                    <w:t xml:space="preserve"> 79.2</w:t>
                  </w:r>
                </w:p>
              </w:tc>
              <w:tc>
                <w:tcPr>
                  <w:tcW w:w="501" w:type="pct"/>
                  <w:gridSpan w:val="2"/>
                  <w:vAlign w:val="bottom"/>
                </w:tcPr>
                <w:p w:rsidR="002260AC" w:rsidRDefault="002260AC" w:rsidP="002260AC">
                  <w:pPr>
                    <w:pStyle w:val="TableBodyText"/>
                  </w:pPr>
                  <w:r>
                    <w:t xml:space="preserve"> 45.3</w:t>
                  </w:r>
                </w:p>
              </w:tc>
              <w:tc>
                <w:tcPr>
                  <w:tcW w:w="501" w:type="pct"/>
                  <w:gridSpan w:val="2"/>
                  <w:vAlign w:val="bottom"/>
                </w:tcPr>
                <w:p w:rsidR="002260AC" w:rsidRDefault="002260AC" w:rsidP="002260AC">
                  <w:pPr>
                    <w:pStyle w:val="TableBodyText"/>
                  </w:pPr>
                  <w:r>
                    <w:t xml:space="preserve"> 47.5</w:t>
                  </w:r>
                </w:p>
              </w:tc>
              <w:tc>
                <w:tcPr>
                  <w:tcW w:w="496" w:type="pct"/>
                  <w:gridSpan w:val="2"/>
                  <w:vAlign w:val="bottom"/>
                </w:tcPr>
                <w:p w:rsidR="002260AC" w:rsidRDefault="002260AC" w:rsidP="002260AC">
                  <w:pPr>
                    <w:pStyle w:val="TableBodyText"/>
                  </w:pPr>
                  <w:r>
                    <w:t xml:space="preserve"> 88.2</w:t>
                  </w:r>
                </w:p>
              </w:tc>
              <w:tc>
                <w:tcPr>
                  <w:tcW w:w="496" w:type="pct"/>
                  <w:gridSpan w:val="2"/>
                  <w:vAlign w:val="bottom"/>
                </w:tcPr>
                <w:p w:rsidR="002260AC" w:rsidRDefault="002260AC" w:rsidP="002260AC">
                  <w:pPr>
                    <w:pStyle w:val="TableBodyText"/>
                  </w:pPr>
                  <w:r>
                    <w:t xml:space="preserve"> 56.0</w:t>
                  </w:r>
                </w:p>
              </w:tc>
            </w:tr>
            <w:tr w:rsidR="002260AC" w:rsidTr="002260AC">
              <w:tc>
                <w:tcPr>
                  <w:tcW w:w="5000" w:type="pct"/>
                  <w:gridSpan w:val="19"/>
                </w:tcPr>
                <w:p w:rsidR="002260AC" w:rsidRDefault="002260AC" w:rsidP="002260AC">
                  <w:pPr>
                    <w:pStyle w:val="Source"/>
                    <w:spacing w:before="0" w:after="80"/>
                    <w:ind w:left="113"/>
                  </w:pPr>
                  <w:r w:rsidRPr="00253B66">
                    <w:rPr>
                      <w:i/>
                    </w:rPr>
                    <w:t>Source</w:t>
                  </w:r>
                  <w:r w:rsidRPr="00080F6D">
                    <w:t>:</w:t>
                  </w:r>
                  <w:r>
                    <w:t xml:space="preserve"> Attachment </w:t>
                  </w:r>
                  <w:r w:rsidRPr="008D5B24">
                    <w:t>table 18A.14</w:t>
                  </w:r>
                  <w:r>
                    <w:t>.</w:t>
                  </w:r>
                </w:p>
              </w:tc>
            </w:tr>
            <w:tr w:rsidR="002260AC" w:rsidRPr="00922F3B" w:rsidTr="002260AC">
              <w:tc>
                <w:tcPr>
                  <w:tcW w:w="5000" w:type="pct"/>
                  <w:gridSpan w:val="19"/>
                  <w:shd w:val="clear" w:color="auto" w:fill="auto"/>
                </w:tcPr>
                <w:p w:rsidR="002260AC" w:rsidRPr="002260AC" w:rsidRDefault="002260AC" w:rsidP="002260AC">
                  <w:pPr>
                    <w:pStyle w:val="DQIRowHeadings"/>
                    <w:rPr>
                      <w:u w:val="single"/>
                    </w:rPr>
                  </w:pPr>
                  <w:r w:rsidRPr="002260AC">
                    <w:rPr>
                      <w:u w:val="single"/>
                    </w:rPr>
                    <w:t>Efficiency indicators</w:t>
                  </w:r>
                </w:p>
              </w:tc>
            </w:tr>
            <w:tr w:rsidR="002260AC" w:rsidRPr="00922F3B" w:rsidTr="002260AC">
              <w:tc>
                <w:tcPr>
                  <w:tcW w:w="5000" w:type="pct"/>
                  <w:gridSpan w:val="19"/>
                  <w:shd w:val="clear" w:color="auto" w:fill="auto"/>
                </w:tcPr>
                <w:p w:rsidR="002260AC" w:rsidRPr="00922F3B" w:rsidRDefault="002260AC" w:rsidP="002260AC">
                  <w:pPr>
                    <w:pStyle w:val="DQIRowHeadings"/>
                  </w:pPr>
                  <w:r w:rsidRPr="006A72F3">
                    <w:t>Cost per completed support period</w:t>
                  </w:r>
                </w:p>
              </w:tc>
            </w:tr>
            <w:tr w:rsidR="002260AC" w:rsidTr="002260AC">
              <w:tc>
                <w:tcPr>
                  <w:tcW w:w="5000" w:type="pct"/>
                  <w:gridSpan w:val="19"/>
                </w:tcPr>
                <w:p w:rsidR="002260AC" w:rsidRDefault="002260AC" w:rsidP="002260AC">
                  <w:pPr>
                    <w:pStyle w:val="TableBodyText"/>
                    <w:ind w:left="113" w:right="28"/>
                    <w:jc w:val="left"/>
                  </w:pPr>
                  <w:r w:rsidRPr="006A72F3">
                    <w:t>Recurrent cost per completed support period</w:t>
                  </w:r>
                  <w:r>
                    <w:t>, 2014</w:t>
                  </w:r>
                  <w:r>
                    <w:noBreakHyphen/>
                    <w:t xml:space="preserve">15 </w:t>
                  </w:r>
                </w:p>
              </w:tc>
            </w:tr>
            <w:tr w:rsidR="002260AC" w:rsidTr="002260AC">
              <w:tc>
                <w:tcPr>
                  <w:tcW w:w="5000" w:type="pct"/>
                  <w:gridSpan w:val="19"/>
                  <w:shd w:val="clear" w:color="auto" w:fill="auto"/>
                </w:tcPr>
                <w:p w:rsidR="002260AC" w:rsidRDefault="002260AC" w:rsidP="002260AC">
                  <w:pPr>
                    <w:pStyle w:val="TableBodyText"/>
                    <w:ind w:left="113" w:right="28"/>
                    <w:jc w:val="left"/>
                  </w:pPr>
                  <w:r w:rsidRPr="00C048B8">
                    <w:rPr>
                      <w:color w:val="000000" w:themeColor="text1"/>
                      <w:sz w:val="16"/>
                      <w:szCs w:val="16"/>
                    </w:rPr>
                    <w:t xml:space="preserve">Data </w:t>
                  </w:r>
                  <w:r>
                    <w:rPr>
                      <w:color w:val="000000" w:themeColor="text1"/>
                      <w:sz w:val="16"/>
                      <w:szCs w:val="16"/>
                    </w:rPr>
                    <w:t xml:space="preserve">for this indicator not complete or not </w:t>
                  </w:r>
                  <w:r w:rsidRPr="00C048B8">
                    <w:rPr>
                      <w:color w:val="000000" w:themeColor="text1"/>
                      <w:sz w:val="16"/>
                      <w:szCs w:val="16"/>
                    </w:rPr>
                    <w:t>comparab</w:t>
                  </w:r>
                  <w:r>
                    <w:rPr>
                      <w:color w:val="000000" w:themeColor="text1"/>
                      <w:sz w:val="16"/>
                      <w:szCs w:val="16"/>
                    </w:rPr>
                    <w:t>le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3 068</w:t>
                  </w:r>
                </w:p>
              </w:tc>
              <w:tc>
                <w:tcPr>
                  <w:tcW w:w="501" w:type="pct"/>
                  <w:gridSpan w:val="2"/>
                  <w:vAlign w:val="center"/>
                </w:tcPr>
                <w:p w:rsidR="002260AC" w:rsidRDefault="002260AC" w:rsidP="002260AC">
                  <w:pPr>
                    <w:pStyle w:val="TableBodyText"/>
                  </w:pPr>
                  <w:r>
                    <w:t xml:space="preserve"> 1 184</w:t>
                  </w:r>
                </w:p>
              </w:tc>
              <w:tc>
                <w:tcPr>
                  <w:tcW w:w="501" w:type="pct"/>
                  <w:gridSpan w:val="2"/>
                  <w:vAlign w:val="center"/>
                </w:tcPr>
                <w:p w:rsidR="002260AC" w:rsidRDefault="002260AC" w:rsidP="002260AC">
                  <w:pPr>
                    <w:pStyle w:val="TableBodyText"/>
                  </w:pPr>
                  <w:r>
                    <w:t xml:space="preserve"> 2 326</w:t>
                  </w:r>
                </w:p>
              </w:tc>
              <w:tc>
                <w:tcPr>
                  <w:tcW w:w="501" w:type="pct"/>
                  <w:gridSpan w:val="2"/>
                  <w:vAlign w:val="center"/>
                </w:tcPr>
                <w:p w:rsidR="002260AC" w:rsidRDefault="002260AC" w:rsidP="002260AC">
                  <w:pPr>
                    <w:pStyle w:val="TableBodyText"/>
                  </w:pPr>
                  <w:r>
                    <w:t xml:space="preserve"> 2 362</w:t>
                  </w:r>
                </w:p>
              </w:tc>
              <w:tc>
                <w:tcPr>
                  <w:tcW w:w="501" w:type="pct"/>
                  <w:gridSpan w:val="2"/>
                  <w:vAlign w:val="center"/>
                </w:tcPr>
                <w:p w:rsidR="002260AC" w:rsidRDefault="002260AC" w:rsidP="002260AC">
                  <w:pPr>
                    <w:pStyle w:val="TableBodyText"/>
                  </w:pPr>
                  <w:r>
                    <w:t xml:space="preserve"> 1 771</w:t>
                  </w:r>
                </w:p>
              </w:tc>
              <w:tc>
                <w:tcPr>
                  <w:tcW w:w="501" w:type="pct"/>
                  <w:gridSpan w:val="2"/>
                  <w:vAlign w:val="center"/>
                </w:tcPr>
                <w:p w:rsidR="002260AC" w:rsidRDefault="002260AC" w:rsidP="002260AC">
                  <w:pPr>
                    <w:pStyle w:val="TableBodyText"/>
                  </w:pPr>
                  <w:r>
                    <w:t xml:space="preserve"> 2 534</w:t>
                  </w:r>
                </w:p>
              </w:tc>
              <w:tc>
                <w:tcPr>
                  <w:tcW w:w="501" w:type="pct"/>
                  <w:gridSpan w:val="2"/>
                  <w:vAlign w:val="center"/>
                </w:tcPr>
                <w:p w:rsidR="002260AC" w:rsidRDefault="002260AC" w:rsidP="002260AC">
                  <w:pPr>
                    <w:pStyle w:val="TableBodyText"/>
                  </w:pPr>
                  <w:r>
                    <w:t xml:space="preserve"> 3 844</w:t>
                  </w:r>
                </w:p>
              </w:tc>
              <w:tc>
                <w:tcPr>
                  <w:tcW w:w="496" w:type="pct"/>
                  <w:gridSpan w:val="2"/>
                  <w:vAlign w:val="center"/>
                </w:tcPr>
                <w:p w:rsidR="002260AC" w:rsidRDefault="002260AC" w:rsidP="002260AC">
                  <w:pPr>
                    <w:pStyle w:val="TableBodyText"/>
                  </w:pPr>
                  <w:r>
                    <w:t xml:space="preserve"> 1 289</w:t>
                  </w:r>
                </w:p>
              </w:tc>
              <w:tc>
                <w:tcPr>
                  <w:tcW w:w="496" w:type="pct"/>
                  <w:gridSpan w:val="2"/>
                  <w:shd w:val="clear" w:color="auto" w:fill="auto"/>
                  <w:vAlign w:val="center"/>
                </w:tcPr>
                <w:p w:rsidR="002260AC" w:rsidRDefault="002260AC" w:rsidP="002260AC">
                  <w:pPr>
                    <w:pStyle w:val="TableBodyText"/>
                  </w:pPr>
                  <w:r>
                    <w:t xml:space="preserve"> 1 864</w:t>
                  </w:r>
                </w:p>
              </w:tc>
            </w:tr>
            <w:tr w:rsidR="002260AC" w:rsidTr="002260AC">
              <w:tc>
                <w:tcPr>
                  <w:tcW w:w="5000" w:type="pct"/>
                  <w:gridSpan w:val="19"/>
                  <w:shd w:val="clear" w:color="auto" w:fill="auto"/>
                </w:tcPr>
                <w:p w:rsidR="002260AC" w:rsidRDefault="002260AC" w:rsidP="002260AC">
                  <w:pPr>
                    <w:pStyle w:val="Source"/>
                    <w:spacing w:before="0" w:after="80"/>
                    <w:ind w:left="113"/>
                  </w:pPr>
                  <w:r w:rsidRPr="00253B66">
                    <w:rPr>
                      <w:i/>
                    </w:rPr>
                    <w:t>Source</w:t>
                  </w:r>
                  <w:r w:rsidRPr="00080F6D">
                    <w:t>:</w:t>
                  </w:r>
                  <w:r w:rsidRPr="0046068B">
                    <w:rPr>
                      <w:i/>
                    </w:rPr>
                    <w:t xml:space="preserve"> </w:t>
                  </w:r>
                  <w:r>
                    <w:t>Attachment table 18A.18.</w:t>
                  </w:r>
                </w:p>
              </w:tc>
            </w:tr>
            <w:tr w:rsidR="002260AC" w:rsidRPr="00922F3B" w:rsidTr="002260AC">
              <w:tc>
                <w:tcPr>
                  <w:tcW w:w="5000" w:type="pct"/>
                  <w:gridSpan w:val="19"/>
                  <w:shd w:val="clear" w:color="auto" w:fill="auto"/>
                </w:tcPr>
                <w:p w:rsidR="002260AC" w:rsidRPr="00922F3B" w:rsidRDefault="002260AC" w:rsidP="002260AC">
                  <w:pPr>
                    <w:pStyle w:val="DQIRowHeadings"/>
                  </w:pPr>
                  <w:r w:rsidRPr="006A72F3">
                    <w:t xml:space="preserve">Cost per </w:t>
                  </w:r>
                  <w:r>
                    <w:t>client</w:t>
                  </w:r>
                </w:p>
              </w:tc>
            </w:tr>
            <w:tr w:rsidR="002260AC" w:rsidTr="002260AC">
              <w:tc>
                <w:tcPr>
                  <w:tcW w:w="5000" w:type="pct"/>
                  <w:gridSpan w:val="19"/>
                  <w:shd w:val="clear" w:color="auto" w:fill="auto"/>
                </w:tcPr>
                <w:p w:rsidR="002260AC" w:rsidRDefault="002260AC" w:rsidP="002260AC">
                  <w:pPr>
                    <w:pStyle w:val="TableBodyText"/>
                    <w:ind w:left="113" w:right="28"/>
                    <w:jc w:val="left"/>
                  </w:pPr>
                  <w:r w:rsidRPr="005D7CC6">
                    <w:t>Recurrent cost per client accessing homelessness services</w:t>
                  </w:r>
                  <w:r>
                    <w:t>, 2014</w:t>
                  </w:r>
                  <w:r>
                    <w:noBreakHyphen/>
                    <w:t xml:space="preserve">15 </w:t>
                  </w:r>
                </w:p>
              </w:tc>
            </w:tr>
            <w:tr w:rsidR="002260AC" w:rsidTr="002260AC">
              <w:tc>
                <w:tcPr>
                  <w:tcW w:w="5000" w:type="pct"/>
                  <w:gridSpan w:val="19"/>
                  <w:shd w:val="clear" w:color="auto" w:fill="auto"/>
                </w:tcPr>
                <w:p w:rsidR="002260AC" w:rsidRDefault="002260AC" w:rsidP="002260AC">
                  <w:pPr>
                    <w:pStyle w:val="TableBodyText"/>
                    <w:ind w:left="113" w:right="28"/>
                    <w:jc w:val="left"/>
                  </w:pPr>
                  <w:r w:rsidRPr="00C048B8">
                    <w:rPr>
                      <w:color w:val="000000" w:themeColor="text1"/>
                      <w:sz w:val="16"/>
                      <w:szCs w:val="16"/>
                    </w:rPr>
                    <w:t xml:space="preserve">Data </w:t>
                  </w:r>
                  <w:r>
                    <w:rPr>
                      <w:color w:val="000000" w:themeColor="text1"/>
                      <w:sz w:val="16"/>
                      <w:szCs w:val="16"/>
                    </w:rPr>
                    <w:t xml:space="preserve">for this indicator not complete or not </w:t>
                  </w:r>
                  <w:r w:rsidRPr="00C048B8">
                    <w:rPr>
                      <w:color w:val="000000" w:themeColor="text1"/>
                      <w:sz w:val="16"/>
                      <w:szCs w:val="16"/>
                    </w:rPr>
                    <w:t>comparab</w:t>
                  </w:r>
                  <w:r>
                    <w:rPr>
                      <w:color w:val="000000" w:themeColor="text1"/>
                      <w:sz w:val="16"/>
                      <w:szCs w:val="16"/>
                    </w:rPr>
                    <w:t>le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3 759</w:t>
                  </w:r>
                </w:p>
              </w:tc>
              <w:tc>
                <w:tcPr>
                  <w:tcW w:w="501" w:type="pct"/>
                  <w:gridSpan w:val="2"/>
                  <w:vAlign w:val="center"/>
                </w:tcPr>
                <w:p w:rsidR="002260AC" w:rsidRDefault="002260AC" w:rsidP="002260AC">
                  <w:pPr>
                    <w:pStyle w:val="TableBodyText"/>
                  </w:pPr>
                  <w:r>
                    <w:t xml:space="preserve"> 2 048</w:t>
                  </w:r>
                </w:p>
              </w:tc>
              <w:tc>
                <w:tcPr>
                  <w:tcW w:w="501" w:type="pct"/>
                  <w:gridSpan w:val="2"/>
                  <w:vAlign w:val="center"/>
                </w:tcPr>
                <w:p w:rsidR="002260AC" w:rsidRDefault="002260AC" w:rsidP="002260AC">
                  <w:pPr>
                    <w:pStyle w:val="TableBodyText"/>
                  </w:pPr>
                  <w:r>
                    <w:t xml:space="preserve"> 2 792</w:t>
                  </w:r>
                </w:p>
              </w:tc>
              <w:tc>
                <w:tcPr>
                  <w:tcW w:w="501" w:type="pct"/>
                  <w:gridSpan w:val="2"/>
                  <w:vAlign w:val="center"/>
                </w:tcPr>
                <w:p w:rsidR="002260AC" w:rsidRDefault="002260AC" w:rsidP="002260AC">
                  <w:pPr>
                    <w:pStyle w:val="TableBodyText"/>
                  </w:pPr>
                  <w:r>
                    <w:t xml:space="preserve"> 3 073</w:t>
                  </w:r>
                </w:p>
              </w:tc>
              <w:tc>
                <w:tcPr>
                  <w:tcW w:w="501" w:type="pct"/>
                  <w:gridSpan w:val="2"/>
                  <w:vAlign w:val="center"/>
                </w:tcPr>
                <w:p w:rsidR="002260AC" w:rsidRDefault="002260AC" w:rsidP="002260AC">
                  <w:pPr>
                    <w:pStyle w:val="TableBodyText"/>
                  </w:pPr>
                  <w:r>
                    <w:t xml:space="preserve"> 2 799</w:t>
                  </w:r>
                </w:p>
              </w:tc>
              <w:tc>
                <w:tcPr>
                  <w:tcW w:w="501" w:type="pct"/>
                  <w:gridSpan w:val="2"/>
                  <w:vAlign w:val="center"/>
                </w:tcPr>
                <w:p w:rsidR="002260AC" w:rsidRDefault="002260AC" w:rsidP="002260AC">
                  <w:pPr>
                    <w:pStyle w:val="TableBodyText"/>
                  </w:pPr>
                  <w:r>
                    <w:t xml:space="preserve"> 4 030</w:t>
                  </w:r>
                </w:p>
              </w:tc>
              <w:tc>
                <w:tcPr>
                  <w:tcW w:w="501" w:type="pct"/>
                  <w:gridSpan w:val="2"/>
                  <w:vAlign w:val="center"/>
                </w:tcPr>
                <w:p w:rsidR="002260AC" w:rsidRDefault="002260AC" w:rsidP="002260AC">
                  <w:pPr>
                    <w:pStyle w:val="TableBodyText"/>
                  </w:pPr>
                  <w:r>
                    <w:t xml:space="preserve"> 4 144</w:t>
                  </w:r>
                </w:p>
              </w:tc>
              <w:tc>
                <w:tcPr>
                  <w:tcW w:w="496" w:type="pct"/>
                  <w:gridSpan w:val="2"/>
                  <w:vAlign w:val="center"/>
                </w:tcPr>
                <w:p w:rsidR="002260AC" w:rsidRDefault="002260AC" w:rsidP="002260AC">
                  <w:pPr>
                    <w:pStyle w:val="TableBodyText"/>
                  </w:pPr>
                  <w:r>
                    <w:t xml:space="preserve"> 1 533</w:t>
                  </w:r>
                </w:p>
              </w:tc>
              <w:tc>
                <w:tcPr>
                  <w:tcW w:w="496" w:type="pct"/>
                  <w:gridSpan w:val="2"/>
                  <w:shd w:val="clear" w:color="auto" w:fill="auto"/>
                  <w:vAlign w:val="center"/>
                </w:tcPr>
                <w:p w:rsidR="002260AC" w:rsidRDefault="002260AC" w:rsidP="002260AC">
                  <w:pPr>
                    <w:pStyle w:val="TableBodyText"/>
                  </w:pPr>
                  <w:r>
                    <w:t xml:space="preserve"> 2 766</w:t>
                  </w:r>
                </w:p>
              </w:tc>
            </w:tr>
            <w:tr w:rsidR="002260AC" w:rsidTr="002260AC">
              <w:tc>
                <w:tcPr>
                  <w:tcW w:w="5000" w:type="pct"/>
                  <w:gridSpan w:val="19"/>
                  <w:shd w:val="clear" w:color="auto" w:fill="auto"/>
                </w:tcPr>
                <w:p w:rsidR="002260AC" w:rsidRDefault="002260AC" w:rsidP="002260AC">
                  <w:pPr>
                    <w:pStyle w:val="Source"/>
                    <w:spacing w:before="0" w:after="80"/>
                    <w:ind w:left="113"/>
                  </w:pPr>
                  <w:r w:rsidRPr="00253B66">
                    <w:rPr>
                      <w:i/>
                    </w:rPr>
                    <w:t>Source</w:t>
                  </w:r>
                  <w:r w:rsidRPr="00080F6D">
                    <w:t>:</w:t>
                  </w:r>
                  <w:r w:rsidRPr="0046068B">
                    <w:rPr>
                      <w:i/>
                    </w:rPr>
                    <w:t xml:space="preserve"> </w:t>
                  </w:r>
                  <w:r>
                    <w:t>Attachment table 18A.19.</w:t>
                  </w:r>
                </w:p>
              </w:tc>
            </w:tr>
            <w:tr w:rsidR="002260AC" w:rsidRPr="00922F3B" w:rsidTr="002260AC">
              <w:tc>
                <w:tcPr>
                  <w:tcW w:w="5000" w:type="pct"/>
                  <w:gridSpan w:val="19"/>
                  <w:shd w:val="clear" w:color="auto" w:fill="auto"/>
                </w:tcPr>
                <w:p w:rsidR="002260AC" w:rsidRPr="00922F3B" w:rsidRDefault="002260AC" w:rsidP="002260AC">
                  <w:pPr>
                    <w:pStyle w:val="DQIRowHeadings"/>
                  </w:pPr>
                  <w:r w:rsidRPr="006A72F3">
                    <w:t xml:space="preserve">Cost per </w:t>
                  </w:r>
                  <w:r>
                    <w:t>day of support</w:t>
                  </w:r>
                </w:p>
              </w:tc>
            </w:tr>
            <w:tr w:rsidR="002260AC" w:rsidTr="002260AC">
              <w:tc>
                <w:tcPr>
                  <w:tcW w:w="5000" w:type="pct"/>
                  <w:gridSpan w:val="19"/>
                  <w:shd w:val="clear" w:color="auto" w:fill="auto"/>
                </w:tcPr>
                <w:p w:rsidR="002260AC" w:rsidRDefault="002260AC" w:rsidP="002260AC">
                  <w:pPr>
                    <w:pStyle w:val="TableBodyText"/>
                    <w:ind w:left="113" w:right="28"/>
                    <w:jc w:val="left"/>
                  </w:pPr>
                  <w:r w:rsidRPr="005D7CC6">
                    <w:t>Recurrent cost per day of support for clients</w:t>
                  </w:r>
                  <w:r>
                    <w:t>, 2014</w:t>
                  </w:r>
                  <w:r>
                    <w:noBreakHyphen/>
                    <w:t xml:space="preserve">15 </w:t>
                  </w:r>
                </w:p>
              </w:tc>
            </w:tr>
            <w:tr w:rsidR="002260AC" w:rsidTr="002260AC">
              <w:tc>
                <w:tcPr>
                  <w:tcW w:w="5000" w:type="pct"/>
                  <w:gridSpan w:val="19"/>
                  <w:shd w:val="clear" w:color="auto" w:fill="auto"/>
                </w:tcPr>
                <w:p w:rsidR="002260AC" w:rsidRDefault="002260AC" w:rsidP="002260AC">
                  <w:pPr>
                    <w:pStyle w:val="TableBodyText"/>
                    <w:ind w:left="113" w:right="28"/>
                    <w:jc w:val="left"/>
                  </w:pPr>
                  <w:r w:rsidRPr="00C048B8">
                    <w:rPr>
                      <w:color w:val="000000" w:themeColor="text1"/>
                      <w:sz w:val="16"/>
                      <w:szCs w:val="16"/>
                    </w:rPr>
                    <w:t xml:space="preserve">Data </w:t>
                  </w:r>
                  <w:r>
                    <w:rPr>
                      <w:color w:val="000000" w:themeColor="text1"/>
                      <w:sz w:val="16"/>
                      <w:szCs w:val="16"/>
                    </w:rPr>
                    <w:t xml:space="preserve">for this indicator not complete or not </w:t>
                  </w:r>
                  <w:r w:rsidRPr="00C048B8">
                    <w:rPr>
                      <w:color w:val="000000" w:themeColor="text1"/>
                      <w:sz w:val="16"/>
                      <w:szCs w:val="16"/>
                    </w:rPr>
                    <w:t>comparab</w:t>
                  </w:r>
                  <w:r>
                    <w:rPr>
                      <w:color w:val="000000" w:themeColor="text1"/>
                      <w:sz w:val="16"/>
                      <w:szCs w:val="16"/>
                    </w:rPr>
                    <w:t>le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45.98</w:t>
                  </w:r>
                </w:p>
              </w:tc>
              <w:tc>
                <w:tcPr>
                  <w:tcW w:w="501" w:type="pct"/>
                  <w:gridSpan w:val="2"/>
                  <w:vAlign w:val="center"/>
                </w:tcPr>
                <w:p w:rsidR="002260AC" w:rsidRDefault="002260AC" w:rsidP="002260AC">
                  <w:pPr>
                    <w:pStyle w:val="TableBodyText"/>
                  </w:pPr>
                  <w:r>
                    <w:t xml:space="preserve"> 29.20</w:t>
                  </w:r>
                </w:p>
              </w:tc>
              <w:tc>
                <w:tcPr>
                  <w:tcW w:w="501" w:type="pct"/>
                  <w:gridSpan w:val="2"/>
                  <w:vAlign w:val="center"/>
                </w:tcPr>
                <w:p w:rsidR="002260AC" w:rsidRDefault="002260AC" w:rsidP="002260AC">
                  <w:pPr>
                    <w:pStyle w:val="TableBodyText"/>
                  </w:pPr>
                  <w:r>
                    <w:t xml:space="preserve"> 41.22</w:t>
                  </w:r>
                </w:p>
              </w:tc>
              <w:tc>
                <w:tcPr>
                  <w:tcW w:w="501" w:type="pct"/>
                  <w:gridSpan w:val="2"/>
                  <w:vAlign w:val="center"/>
                </w:tcPr>
                <w:p w:rsidR="002260AC" w:rsidRDefault="002260AC" w:rsidP="002260AC">
                  <w:pPr>
                    <w:pStyle w:val="TableBodyText"/>
                  </w:pPr>
                  <w:r>
                    <w:t xml:space="preserve"> 44.82</w:t>
                  </w:r>
                </w:p>
              </w:tc>
              <w:tc>
                <w:tcPr>
                  <w:tcW w:w="501" w:type="pct"/>
                  <w:gridSpan w:val="2"/>
                  <w:vAlign w:val="center"/>
                </w:tcPr>
                <w:p w:rsidR="002260AC" w:rsidRDefault="002260AC" w:rsidP="002260AC">
                  <w:pPr>
                    <w:pStyle w:val="TableBodyText"/>
                  </w:pPr>
                  <w:r>
                    <w:t xml:space="preserve"> 30.38</w:t>
                  </w:r>
                </w:p>
              </w:tc>
              <w:tc>
                <w:tcPr>
                  <w:tcW w:w="501" w:type="pct"/>
                  <w:gridSpan w:val="2"/>
                  <w:vAlign w:val="center"/>
                </w:tcPr>
                <w:p w:rsidR="002260AC" w:rsidRDefault="002260AC" w:rsidP="002260AC">
                  <w:pPr>
                    <w:pStyle w:val="TableBodyText"/>
                  </w:pPr>
                  <w:r>
                    <w:t xml:space="preserve"> 54.30</w:t>
                  </w:r>
                </w:p>
              </w:tc>
              <w:tc>
                <w:tcPr>
                  <w:tcW w:w="501" w:type="pct"/>
                  <w:gridSpan w:val="2"/>
                  <w:vAlign w:val="center"/>
                </w:tcPr>
                <w:p w:rsidR="002260AC" w:rsidRDefault="002260AC" w:rsidP="002260AC">
                  <w:pPr>
                    <w:pStyle w:val="TableBodyText"/>
                  </w:pPr>
                  <w:r>
                    <w:t xml:space="preserve"> 25.48</w:t>
                  </w:r>
                </w:p>
              </w:tc>
              <w:tc>
                <w:tcPr>
                  <w:tcW w:w="496" w:type="pct"/>
                  <w:gridSpan w:val="2"/>
                  <w:vAlign w:val="center"/>
                </w:tcPr>
                <w:p w:rsidR="002260AC" w:rsidRDefault="002260AC" w:rsidP="002260AC">
                  <w:pPr>
                    <w:pStyle w:val="TableBodyText"/>
                  </w:pPr>
                  <w:r>
                    <w:t xml:space="preserve"> 18.32</w:t>
                  </w:r>
                </w:p>
              </w:tc>
              <w:tc>
                <w:tcPr>
                  <w:tcW w:w="496" w:type="pct"/>
                  <w:gridSpan w:val="2"/>
                  <w:shd w:val="clear" w:color="auto" w:fill="auto"/>
                  <w:vAlign w:val="center"/>
                </w:tcPr>
                <w:p w:rsidR="002260AC" w:rsidRDefault="002260AC" w:rsidP="002260AC">
                  <w:pPr>
                    <w:pStyle w:val="TableBodyText"/>
                  </w:pPr>
                  <w:r>
                    <w:t xml:space="preserve"> 35.95</w:t>
                  </w:r>
                </w:p>
              </w:tc>
            </w:tr>
            <w:tr w:rsidR="002260AC" w:rsidTr="002260AC">
              <w:tc>
                <w:tcPr>
                  <w:tcW w:w="5000" w:type="pct"/>
                  <w:gridSpan w:val="19"/>
                </w:tcPr>
                <w:p w:rsidR="002260AC" w:rsidRDefault="002260AC" w:rsidP="002260AC">
                  <w:pPr>
                    <w:pStyle w:val="Source"/>
                    <w:spacing w:before="0" w:after="80"/>
                    <w:ind w:left="113"/>
                  </w:pPr>
                  <w:r w:rsidRPr="00253B66">
                    <w:rPr>
                      <w:i/>
                    </w:rPr>
                    <w:t>Source</w:t>
                  </w:r>
                  <w:r w:rsidRPr="00080F6D">
                    <w:t>:</w:t>
                  </w:r>
                  <w:r w:rsidRPr="0046068B">
                    <w:rPr>
                      <w:i/>
                    </w:rPr>
                    <w:t xml:space="preserve"> </w:t>
                  </w:r>
                  <w:r>
                    <w:t>Attachment table 18A.20.</w:t>
                  </w:r>
                </w:p>
              </w:tc>
            </w:tr>
            <w:tr w:rsidR="008227EB" w:rsidTr="008705C8">
              <w:tc>
                <w:tcPr>
                  <w:tcW w:w="5000" w:type="pct"/>
                  <w:gridSpan w:val="19"/>
                </w:tcPr>
                <w:p w:rsidR="008227EB" w:rsidRDefault="008227EB" w:rsidP="008705C8">
                  <w:pPr>
                    <w:pStyle w:val="DQIMainRowHeadings"/>
                  </w:pPr>
                  <w:r>
                    <w:t>Outcome indicators</w:t>
                  </w:r>
                </w:p>
              </w:tc>
            </w:tr>
            <w:tr w:rsidR="008227EB" w:rsidTr="008705C8">
              <w:tc>
                <w:tcPr>
                  <w:tcW w:w="5000" w:type="pct"/>
                  <w:gridSpan w:val="19"/>
                </w:tcPr>
                <w:p w:rsidR="008227EB" w:rsidRDefault="008227EB" w:rsidP="008705C8">
                  <w:pPr>
                    <w:pStyle w:val="DQIRowHeadings"/>
                  </w:pPr>
                  <w:r w:rsidRPr="00370C30">
                    <w:t>A</w:t>
                  </w:r>
                  <w:r>
                    <w:t>chievement of employment on exit</w:t>
                  </w:r>
                </w:p>
              </w:tc>
            </w:tr>
            <w:tr w:rsidR="008227EB" w:rsidTr="008705C8">
              <w:tc>
                <w:tcPr>
                  <w:tcW w:w="5000" w:type="pct"/>
                  <w:gridSpan w:val="19"/>
                </w:tcPr>
                <w:p w:rsidR="008227EB" w:rsidRDefault="008227EB" w:rsidP="008705C8">
                  <w:pPr>
                    <w:pStyle w:val="TableBodyText"/>
                    <w:ind w:left="113" w:right="28"/>
                    <w:jc w:val="left"/>
                  </w:pPr>
                  <w:r w:rsidRPr="001C76F3">
                    <w:t>Proportion of clients who needed employment and/or training assistance who were employed after support</w:t>
                  </w:r>
                  <w:r w:rsidRPr="002D1999">
                    <w:t xml:space="preserve"> (closed support periods)</w:t>
                  </w:r>
                  <w:r>
                    <w:rPr>
                      <w:color w:val="000000" w:themeColor="text1"/>
                    </w:rPr>
                    <w:t>, 2014</w:t>
                  </w:r>
                  <w:r>
                    <w:rPr>
                      <w:color w:val="000000" w:themeColor="text1"/>
                    </w:rPr>
                    <w:noBreakHyphen/>
                    <w:t>15</w:t>
                  </w:r>
                  <w:r w:rsidRPr="00C048B8">
                    <w:rPr>
                      <w:color w:val="000000" w:themeColor="text1"/>
                    </w:rPr>
                    <w:t> </w:t>
                  </w:r>
                </w:p>
              </w:tc>
            </w:tr>
            <w:tr w:rsidR="008227EB" w:rsidRPr="00C47D6F" w:rsidTr="008705C8">
              <w:tc>
                <w:tcPr>
                  <w:tcW w:w="5000" w:type="pct"/>
                  <w:gridSpan w:val="19"/>
                </w:tcPr>
                <w:p w:rsidR="008227EB" w:rsidRPr="00C47D6F" w:rsidRDefault="008227EB" w:rsidP="008705C8">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8227EB" w:rsidTr="008705C8">
              <w:tc>
                <w:tcPr>
                  <w:tcW w:w="501" w:type="pct"/>
                </w:tcPr>
                <w:p w:rsidR="008227EB" w:rsidRDefault="008227EB" w:rsidP="008705C8">
                  <w:pPr>
                    <w:pStyle w:val="TableBodyText"/>
                  </w:pPr>
                  <w:r>
                    <w:t>%</w:t>
                  </w:r>
                </w:p>
              </w:tc>
              <w:tc>
                <w:tcPr>
                  <w:tcW w:w="501" w:type="pct"/>
                  <w:gridSpan w:val="2"/>
                  <w:vAlign w:val="center"/>
                </w:tcPr>
                <w:p w:rsidR="008227EB" w:rsidRDefault="008227EB" w:rsidP="008705C8">
                  <w:pPr>
                    <w:pStyle w:val="TableBodyText"/>
                  </w:pPr>
                  <w:r>
                    <w:t xml:space="preserve"> 20.6</w:t>
                  </w:r>
                </w:p>
              </w:tc>
              <w:tc>
                <w:tcPr>
                  <w:tcW w:w="501" w:type="pct"/>
                  <w:gridSpan w:val="2"/>
                  <w:vAlign w:val="center"/>
                </w:tcPr>
                <w:p w:rsidR="008227EB" w:rsidRDefault="008227EB" w:rsidP="008705C8">
                  <w:pPr>
                    <w:pStyle w:val="TableBodyText"/>
                  </w:pPr>
                  <w:r>
                    <w:t xml:space="preserve"> 16.9</w:t>
                  </w:r>
                </w:p>
              </w:tc>
              <w:tc>
                <w:tcPr>
                  <w:tcW w:w="501" w:type="pct"/>
                  <w:gridSpan w:val="2"/>
                  <w:vAlign w:val="center"/>
                </w:tcPr>
                <w:p w:rsidR="008227EB" w:rsidRDefault="008227EB" w:rsidP="008705C8">
                  <w:pPr>
                    <w:pStyle w:val="TableBodyText"/>
                  </w:pPr>
                  <w:r>
                    <w:t xml:space="preserve"> 17.2</w:t>
                  </w:r>
                </w:p>
              </w:tc>
              <w:tc>
                <w:tcPr>
                  <w:tcW w:w="501" w:type="pct"/>
                  <w:gridSpan w:val="2"/>
                  <w:vAlign w:val="center"/>
                </w:tcPr>
                <w:p w:rsidR="008227EB" w:rsidRDefault="008227EB" w:rsidP="008705C8">
                  <w:pPr>
                    <w:pStyle w:val="TableBodyText"/>
                  </w:pPr>
                  <w:r>
                    <w:t xml:space="preserve"> 19.8</w:t>
                  </w:r>
                </w:p>
              </w:tc>
              <w:tc>
                <w:tcPr>
                  <w:tcW w:w="501" w:type="pct"/>
                  <w:gridSpan w:val="2"/>
                  <w:vAlign w:val="center"/>
                </w:tcPr>
                <w:p w:rsidR="008227EB" w:rsidRDefault="008227EB" w:rsidP="008705C8">
                  <w:pPr>
                    <w:pStyle w:val="TableBodyText"/>
                  </w:pPr>
                  <w:r>
                    <w:t xml:space="preserve"> 22.7</w:t>
                  </w:r>
                </w:p>
              </w:tc>
              <w:tc>
                <w:tcPr>
                  <w:tcW w:w="501" w:type="pct"/>
                  <w:gridSpan w:val="2"/>
                  <w:vAlign w:val="center"/>
                </w:tcPr>
                <w:p w:rsidR="008227EB" w:rsidRDefault="008227EB" w:rsidP="008705C8">
                  <w:pPr>
                    <w:pStyle w:val="TableBodyText"/>
                  </w:pPr>
                  <w:r>
                    <w:t xml:space="preserve"> 16.5</w:t>
                  </w:r>
                </w:p>
              </w:tc>
              <w:tc>
                <w:tcPr>
                  <w:tcW w:w="501" w:type="pct"/>
                  <w:gridSpan w:val="2"/>
                  <w:vAlign w:val="center"/>
                </w:tcPr>
                <w:p w:rsidR="008227EB" w:rsidRDefault="008227EB" w:rsidP="008705C8">
                  <w:pPr>
                    <w:pStyle w:val="TableBodyText"/>
                  </w:pPr>
                  <w:r>
                    <w:t xml:space="preserve"> 23.7</w:t>
                  </w:r>
                </w:p>
              </w:tc>
              <w:tc>
                <w:tcPr>
                  <w:tcW w:w="496" w:type="pct"/>
                  <w:gridSpan w:val="2"/>
                  <w:vAlign w:val="center"/>
                </w:tcPr>
                <w:p w:rsidR="008227EB" w:rsidRDefault="008227EB" w:rsidP="008705C8">
                  <w:pPr>
                    <w:pStyle w:val="TableBodyText"/>
                  </w:pPr>
                  <w:r>
                    <w:t xml:space="preserve"> 17.0</w:t>
                  </w:r>
                </w:p>
              </w:tc>
              <w:tc>
                <w:tcPr>
                  <w:tcW w:w="496" w:type="pct"/>
                  <w:gridSpan w:val="2"/>
                  <w:vAlign w:val="center"/>
                </w:tcPr>
                <w:p w:rsidR="008227EB" w:rsidRDefault="008227EB" w:rsidP="008705C8">
                  <w:pPr>
                    <w:pStyle w:val="TableBodyText"/>
                  </w:pPr>
                  <w:r>
                    <w:t xml:space="preserve"> 19.1</w:t>
                  </w:r>
                </w:p>
              </w:tc>
            </w:tr>
            <w:tr w:rsidR="008227EB" w:rsidTr="008705C8">
              <w:tc>
                <w:tcPr>
                  <w:tcW w:w="5000" w:type="pct"/>
                  <w:gridSpan w:val="19"/>
                </w:tcPr>
                <w:p w:rsidR="008227EB" w:rsidRDefault="008227EB" w:rsidP="008705C8">
                  <w:pPr>
                    <w:pStyle w:val="Source"/>
                    <w:spacing w:before="0" w:after="80"/>
                    <w:ind w:left="113"/>
                  </w:pPr>
                  <w:r w:rsidRPr="00253B66">
                    <w:rPr>
                      <w:i/>
                    </w:rPr>
                    <w:t>Source</w:t>
                  </w:r>
                  <w:r w:rsidRPr="00080F6D">
                    <w:t>:</w:t>
                  </w:r>
                  <w:r>
                    <w:t xml:space="preserve"> Attachment table 18A.21.</w:t>
                  </w:r>
                </w:p>
              </w:tc>
            </w:tr>
          </w:tbl>
          <w:p w:rsidR="000A4712" w:rsidRDefault="000A4712" w:rsidP="000A4712">
            <w:pPr>
              <w:pStyle w:val="Box"/>
            </w:pPr>
          </w:p>
        </w:tc>
      </w:tr>
      <w:tr w:rsidR="000A4712" w:rsidTr="000A4712">
        <w:trPr>
          <w:cantSplit/>
        </w:trPr>
        <w:tc>
          <w:tcPr>
            <w:tcW w:w="8771" w:type="dxa"/>
            <w:tcBorders>
              <w:top w:val="nil"/>
              <w:left w:val="nil"/>
              <w:bottom w:val="nil"/>
              <w:right w:val="nil"/>
            </w:tcBorders>
            <w:shd w:val="clear" w:color="auto" w:fill="auto"/>
          </w:tcPr>
          <w:p w:rsidR="000A4712" w:rsidRPr="00C23135" w:rsidRDefault="000A4712" w:rsidP="000A4712">
            <w:pPr>
              <w:pStyle w:val="Continued"/>
            </w:pPr>
            <w:r>
              <w:t>(continued next page)</w:t>
            </w:r>
          </w:p>
        </w:tc>
      </w:tr>
      <w:tr w:rsidR="000A4712" w:rsidTr="000A4712">
        <w:trPr>
          <w:cantSplit/>
        </w:trPr>
        <w:tc>
          <w:tcPr>
            <w:tcW w:w="8771" w:type="dxa"/>
            <w:tcBorders>
              <w:top w:val="nil"/>
              <w:left w:val="nil"/>
              <w:bottom w:val="single" w:sz="6" w:space="0" w:color="78A22F"/>
              <w:right w:val="nil"/>
            </w:tcBorders>
            <w:shd w:val="clear" w:color="auto" w:fill="auto"/>
          </w:tcPr>
          <w:p w:rsidR="000A4712" w:rsidRDefault="000A4712" w:rsidP="00E86F55">
            <w:pPr>
              <w:pStyle w:val="Box"/>
              <w:keepNext w:val="0"/>
              <w:spacing w:before="0" w:line="120" w:lineRule="exact"/>
            </w:pPr>
          </w:p>
        </w:tc>
      </w:tr>
    </w:tbl>
    <w:p w:rsidR="000A4712" w:rsidRDefault="000A4712" w:rsidP="00E86F55">
      <w:pPr>
        <w:pStyle w:val="BoxSpaceBelow"/>
      </w:pPr>
    </w:p>
    <w:p w:rsidR="000A4712" w:rsidRDefault="000A4712" w:rsidP="000A47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A4712" w:rsidTr="000A4712">
        <w:tc>
          <w:tcPr>
            <w:tcW w:w="8771" w:type="dxa"/>
            <w:tcBorders>
              <w:top w:val="single" w:sz="6" w:space="0" w:color="78A22F"/>
              <w:left w:val="nil"/>
              <w:bottom w:val="nil"/>
              <w:right w:val="nil"/>
            </w:tcBorders>
            <w:shd w:val="clear" w:color="auto" w:fill="auto"/>
          </w:tcPr>
          <w:p w:rsidR="000A4712" w:rsidRPr="00784A05" w:rsidRDefault="000A4712" w:rsidP="00EC0C6A">
            <w:pPr>
              <w:pStyle w:val="TableTitle"/>
            </w:pPr>
            <w:r>
              <w:rPr>
                <w:b w:val="0"/>
              </w:rPr>
              <w:t>Table G.</w:t>
            </w:r>
            <w:r w:rsidR="00EC0C6A">
              <w:rPr>
                <w:b w:val="0"/>
              </w:rPr>
              <w:t>3</w:t>
            </w:r>
            <w:r>
              <w:tab/>
            </w:r>
            <w:r w:rsidRPr="00FA6691">
              <w:rPr>
                <w:b w:val="0"/>
                <w:sz w:val="18"/>
                <w:szCs w:val="18"/>
              </w:rPr>
              <w:t>(continued)</w:t>
            </w:r>
          </w:p>
        </w:tc>
      </w:tr>
      <w:tr w:rsidR="000A4712" w:rsidTr="000A47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180"/>
              <w:gridCol w:w="670"/>
              <w:gridCol w:w="160"/>
              <w:gridCol w:w="691"/>
              <w:gridCol w:w="139"/>
              <w:gridCol w:w="711"/>
              <w:gridCol w:w="119"/>
              <w:gridCol w:w="732"/>
              <w:gridCol w:w="98"/>
              <w:gridCol w:w="752"/>
              <w:gridCol w:w="78"/>
              <w:gridCol w:w="772"/>
              <w:gridCol w:w="58"/>
              <w:gridCol w:w="793"/>
              <w:gridCol w:w="39"/>
              <w:gridCol w:w="803"/>
              <w:gridCol w:w="20"/>
              <w:gridCol w:w="822"/>
            </w:tblGrid>
            <w:tr w:rsidR="000A4712" w:rsidTr="000A4712">
              <w:tc>
                <w:tcPr>
                  <w:tcW w:w="607" w:type="pct"/>
                  <w:gridSpan w:val="2"/>
                  <w:tcBorders>
                    <w:top w:val="single" w:sz="6" w:space="0" w:color="BFBFBF"/>
                    <w:bottom w:val="single" w:sz="6" w:space="0" w:color="BFBFBF"/>
                  </w:tcBorders>
                  <w:shd w:val="clear" w:color="auto" w:fill="auto"/>
                  <w:tcMar>
                    <w:top w:w="28" w:type="dxa"/>
                  </w:tcMar>
                </w:tcPr>
                <w:p w:rsidR="000A4712" w:rsidRDefault="000A4712" w:rsidP="000A4712">
                  <w:pPr>
                    <w:pStyle w:val="TableColumnHeading"/>
                    <w:jc w:val="left"/>
                  </w:pPr>
                </w:p>
              </w:tc>
              <w:tc>
                <w:tcPr>
                  <w:tcW w:w="489" w:type="pct"/>
                  <w:gridSpan w:val="2"/>
                  <w:tcBorders>
                    <w:top w:val="single" w:sz="6" w:space="0" w:color="BFBFBF"/>
                    <w:bottom w:val="single" w:sz="6" w:space="0" w:color="BFBFBF"/>
                  </w:tcBorders>
                </w:tcPr>
                <w:p w:rsidR="000A4712" w:rsidRDefault="000A4712" w:rsidP="000A4712">
                  <w:pPr>
                    <w:pStyle w:val="TableColumnHeading"/>
                  </w:pPr>
                  <w:r>
                    <w:t>NSW</w:t>
                  </w:r>
                </w:p>
              </w:tc>
              <w:tc>
                <w:tcPr>
                  <w:tcW w:w="489" w:type="pct"/>
                  <w:gridSpan w:val="2"/>
                  <w:tcBorders>
                    <w:top w:val="single" w:sz="6" w:space="0" w:color="BFBFBF"/>
                    <w:bottom w:val="single" w:sz="6" w:space="0" w:color="BFBFBF"/>
                  </w:tcBorders>
                </w:tcPr>
                <w:p w:rsidR="000A4712" w:rsidRDefault="000A4712" w:rsidP="000A4712">
                  <w:pPr>
                    <w:pStyle w:val="TableColumnHeading"/>
                  </w:pPr>
                  <w:r>
                    <w:t>Vic</w:t>
                  </w:r>
                </w:p>
              </w:tc>
              <w:tc>
                <w:tcPr>
                  <w:tcW w:w="489" w:type="pct"/>
                  <w:gridSpan w:val="2"/>
                  <w:tcBorders>
                    <w:top w:val="single" w:sz="6" w:space="0" w:color="BFBFBF"/>
                    <w:bottom w:val="single" w:sz="6" w:space="0" w:color="BFBFBF"/>
                  </w:tcBorders>
                </w:tcPr>
                <w:p w:rsidR="000A4712" w:rsidRDefault="000A4712" w:rsidP="000A4712">
                  <w:pPr>
                    <w:pStyle w:val="TableColumnHeading"/>
                  </w:pPr>
                  <w:r>
                    <w:t>Qld</w:t>
                  </w:r>
                </w:p>
              </w:tc>
              <w:tc>
                <w:tcPr>
                  <w:tcW w:w="489" w:type="pct"/>
                  <w:gridSpan w:val="2"/>
                  <w:tcBorders>
                    <w:top w:val="single" w:sz="6" w:space="0" w:color="BFBFBF"/>
                    <w:bottom w:val="single" w:sz="6" w:space="0" w:color="BFBFBF"/>
                  </w:tcBorders>
                </w:tcPr>
                <w:p w:rsidR="000A4712" w:rsidRDefault="000A4712" w:rsidP="000A4712">
                  <w:pPr>
                    <w:pStyle w:val="TableColumnHeading"/>
                  </w:pPr>
                  <w:r>
                    <w:t>WA</w:t>
                  </w:r>
                </w:p>
              </w:tc>
              <w:tc>
                <w:tcPr>
                  <w:tcW w:w="489" w:type="pct"/>
                  <w:gridSpan w:val="2"/>
                  <w:tcBorders>
                    <w:top w:val="single" w:sz="6" w:space="0" w:color="BFBFBF"/>
                    <w:bottom w:val="single" w:sz="6" w:space="0" w:color="BFBFBF"/>
                  </w:tcBorders>
                </w:tcPr>
                <w:p w:rsidR="000A4712" w:rsidRDefault="000A4712" w:rsidP="000A4712">
                  <w:pPr>
                    <w:pStyle w:val="TableColumnHeading"/>
                  </w:pPr>
                  <w:r>
                    <w:t>SA</w:t>
                  </w:r>
                </w:p>
              </w:tc>
              <w:tc>
                <w:tcPr>
                  <w:tcW w:w="489" w:type="pct"/>
                  <w:gridSpan w:val="2"/>
                  <w:tcBorders>
                    <w:top w:val="single" w:sz="6" w:space="0" w:color="BFBFBF"/>
                    <w:bottom w:val="single" w:sz="6" w:space="0" w:color="BFBFBF"/>
                  </w:tcBorders>
                </w:tcPr>
                <w:p w:rsidR="000A4712" w:rsidRDefault="000A4712" w:rsidP="000A4712">
                  <w:pPr>
                    <w:pStyle w:val="TableColumnHeading"/>
                  </w:pPr>
                  <w:r>
                    <w:t>Tas</w:t>
                  </w:r>
                </w:p>
              </w:tc>
              <w:tc>
                <w:tcPr>
                  <w:tcW w:w="490" w:type="pct"/>
                  <w:gridSpan w:val="2"/>
                  <w:tcBorders>
                    <w:top w:val="single" w:sz="6" w:space="0" w:color="BFBFBF"/>
                    <w:bottom w:val="single" w:sz="6" w:space="0" w:color="BFBFBF"/>
                  </w:tcBorders>
                  <w:shd w:val="clear" w:color="auto" w:fill="auto"/>
                  <w:tcMar>
                    <w:top w:w="28" w:type="dxa"/>
                  </w:tcMar>
                </w:tcPr>
                <w:p w:rsidR="000A4712" w:rsidRDefault="000A4712" w:rsidP="000A4712">
                  <w:pPr>
                    <w:pStyle w:val="TableColumnHeading"/>
                  </w:pPr>
                  <w:r>
                    <w:t>ACT</w:t>
                  </w:r>
                </w:p>
              </w:tc>
              <w:tc>
                <w:tcPr>
                  <w:tcW w:w="485" w:type="pct"/>
                  <w:gridSpan w:val="2"/>
                  <w:tcBorders>
                    <w:top w:val="single" w:sz="6" w:space="0" w:color="BFBFBF"/>
                    <w:bottom w:val="single" w:sz="6" w:space="0" w:color="BFBFBF"/>
                  </w:tcBorders>
                </w:tcPr>
                <w:p w:rsidR="000A4712" w:rsidRDefault="000A4712" w:rsidP="000A4712">
                  <w:pPr>
                    <w:pStyle w:val="TableColumnHeading"/>
                  </w:pPr>
                  <w:r>
                    <w:t>NT</w:t>
                  </w:r>
                </w:p>
              </w:tc>
              <w:tc>
                <w:tcPr>
                  <w:tcW w:w="484" w:type="pct"/>
                  <w:tcBorders>
                    <w:top w:val="single" w:sz="6" w:space="0" w:color="BFBFBF"/>
                    <w:bottom w:val="single" w:sz="6" w:space="0" w:color="BFBFBF"/>
                  </w:tcBorders>
                  <w:shd w:val="clear" w:color="auto" w:fill="auto"/>
                  <w:tcMar>
                    <w:top w:w="28" w:type="dxa"/>
                  </w:tcMar>
                </w:tcPr>
                <w:p w:rsidR="000A4712" w:rsidRDefault="000A4712" w:rsidP="000A4712">
                  <w:pPr>
                    <w:pStyle w:val="TableColumnHeading"/>
                  </w:pPr>
                  <w:r>
                    <w:t>Aust</w:t>
                  </w:r>
                </w:p>
              </w:tc>
            </w:tr>
            <w:tr w:rsidR="002260AC" w:rsidTr="002260AC">
              <w:tc>
                <w:tcPr>
                  <w:tcW w:w="5000" w:type="pct"/>
                  <w:gridSpan w:val="19"/>
                </w:tcPr>
                <w:p w:rsidR="002260AC" w:rsidRDefault="002260AC" w:rsidP="002260AC">
                  <w:pPr>
                    <w:pStyle w:val="DQIRowHeadings"/>
                  </w:pPr>
                  <w:r w:rsidRPr="00370C30">
                    <w:t>A</w:t>
                  </w:r>
                  <w:r>
                    <w:t>chievement of income on exit</w:t>
                  </w:r>
                </w:p>
              </w:tc>
            </w:tr>
            <w:tr w:rsidR="002260AC" w:rsidTr="002260AC">
              <w:tc>
                <w:tcPr>
                  <w:tcW w:w="5000" w:type="pct"/>
                  <w:gridSpan w:val="19"/>
                </w:tcPr>
                <w:p w:rsidR="002260AC" w:rsidRDefault="002260AC" w:rsidP="002260AC">
                  <w:pPr>
                    <w:pStyle w:val="TableBodyText"/>
                    <w:ind w:left="113" w:right="28"/>
                    <w:jc w:val="left"/>
                  </w:pPr>
                  <w:r w:rsidRPr="00065F48">
                    <w:t>Proportion of clients who needed income assistance who had an income source after support</w:t>
                  </w:r>
                  <w:r w:rsidRPr="002D1999">
                    <w:t xml:space="preserve"> (closed support periods)</w:t>
                  </w:r>
                  <w:r>
                    <w:rPr>
                      <w:color w:val="000000" w:themeColor="text1"/>
                    </w:rPr>
                    <w:t>, 2014</w:t>
                  </w:r>
                  <w:r>
                    <w:rPr>
                      <w:color w:val="000000" w:themeColor="text1"/>
                    </w:rPr>
                    <w:noBreakHyphen/>
                    <w:t>15</w:t>
                  </w:r>
                  <w:r w:rsidRPr="00C048B8">
                    <w:rPr>
                      <w:color w:val="000000" w:themeColor="text1"/>
                    </w:rPr>
                    <w:t> </w:t>
                  </w:r>
                </w:p>
              </w:tc>
            </w:tr>
            <w:tr w:rsidR="002260AC" w:rsidRPr="00C47D6F" w:rsidTr="002260AC">
              <w:tc>
                <w:tcPr>
                  <w:tcW w:w="5000" w:type="pct"/>
                  <w:gridSpan w:val="19"/>
                </w:tcPr>
                <w:p w:rsidR="002260AC" w:rsidRPr="00C47D6F" w:rsidRDefault="002260AC" w:rsidP="002260AC">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92.8</w:t>
                  </w:r>
                </w:p>
              </w:tc>
              <w:tc>
                <w:tcPr>
                  <w:tcW w:w="501" w:type="pct"/>
                  <w:gridSpan w:val="2"/>
                  <w:vAlign w:val="center"/>
                </w:tcPr>
                <w:p w:rsidR="002260AC" w:rsidRDefault="002260AC" w:rsidP="002260AC">
                  <w:pPr>
                    <w:pStyle w:val="TableBodyText"/>
                  </w:pPr>
                  <w:r>
                    <w:t xml:space="preserve"> 93.5</w:t>
                  </w:r>
                </w:p>
              </w:tc>
              <w:tc>
                <w:tcPr>
                  <w:tcW w:w="501" w:type="pct"/>
                  <w:gridSpan w:val="2"/>
                  <w:vAlign w:val="center"/>
                </w:tcPr>
                <w:p w:rsidR="002260AC" w:rsidRDefault="002260AC" w:rsidP="002260AC">
                  <w:pPr>
                    <w:pStyle w:val="TableBodyText"/>
                  </w:pPr>
                  <w:r>
                    <w:t xml:space="preserve"> 93.1</w:t>
                  </w:r>
                </w:p>
              </w:tc>
              <w:tc>
                <w:tcPr>
                  <w:tcW w:w="501" w:type="pct"/>
                  <w:gridSpan w:val="2"/>
                  <w:vAlign w:val="center"/>
                </w:tcPr>
                <w:p w:rsidR="002260AC" w:rsidRDefault="002260AC" w:rsidP="002260AC">
                  <w:pPr>
                    <w:pStyle w:val="TableBodyText"/>
                  </w:pPr>
                  <w:r>
                    <w:t xml:space="preserve"> 94.4</w:t>
                  </w:r>
                </w:p>
              </w:tc>
              <w:tc>
                <w:tcPr>
                  <w:tcW w:w="501" w:type="pct"/>
                  <w:gridSpan w:val="2"/>
                  <w:vAlign w:val="center"/>
                </w:tcPr>
                <w:p w:rsidR="002260AC" w:rsidRDefault="002260AC" w:rsidP="002260AC">
                  <w:pPr>
                    <w:pStyle w:val="TableBodyText"/>
                  </w:pPr>
                  <w:r>
                    <w:t xml:space="preserve"> 88.3</w:t>
                  </w:r>
                </w:p>
              </w:tc>
              <w:tc>
                <w:tcPr>
                  <w:tcW w:w="501" w:type="pct"/>
                  <w:gridSpan w:val="2"/>
                  <w:vAlign w:val="center"/>
                </w:tcPr>
                <w:p w:rsidR="002260AC" w:rsidRDefault="002260AC" w:rsidP="002260AC">
                  <w:pPr>
                    <w:pStyle w:val="TableBodyText"/>
                  </w:pPr>
                  <w:r>
                    <w:t xml:space="preserve"> 91.5</w:t>
                  </w:r>
                </w:p>
              </w:tc>
              <w:tc>
                <w:tcPr>
                  <w:tcW w:w="501" w:type="pct"/>
                  <w:gridSpan w:val="2"/>
                  <w:vAlign w:val="center"/>
                </w:tcPr>
                <w:p w:rsidR="002260AC" w:rsidRDefault="002260AC" w:rsidP="002260AC">
                  <w:pPr>
                    <w:pStyle w:val="TableBodyText"/>
                  </w:pPr>
                  <w:r>
                    <w:t xml:space="preserve"> 94.9</w:t>
                  </w:r>
                </w:p>
              </w:tc>
              <w:tc>
                <w:tcPr>
                  <w:tcW w:w="496" w:type="pct"/>
                  <w:gridSpan w:val="2"/>
                  <w:vAlign w:val="center"/>
                </w:tcPr>
                <w:p w:rsidR="002260AC" w:rsidRDefault="002260AC" w:rsidP="002260AC">
                  <w:pPr>
                    <w:pStyle w:val="TableBodyText"/>
                  </w:pPr>
                  <w:r>
                    <w:t xml:space="preserve"> 93.6</w:t>
                  </w:r>
                </w:p>
              </w:tc>
              <w:tc>
                <w:tcPr>
                  <w:tcW w:w="496" w:type="pct"/>
                  <w:gridSpan w:val="2"/>
                  <w:vAlign w:val="center"/>
                </w:tcPr>
                <w:p w:rsidR="002260AC" w:rsidRDefault="002260AC" w:rsidP="002260AC">
                  <w:pPr>
                    <w:pStyle w:val="TableBodyText"/>
                  </w:pPr>
                  <w:r>
                    <w:t xml:space="preserve"> 92.9</w:t>
                  </w:r>
                </w:p>
              </w:tc>
            </w:tr>
            <w:tr w:rsidR="002260AC" w:rsidTr="002260AC">
              <w:tc>
                <w:tcPr>
                  <w:tcW w:w="5000" w:type="pct"/>
                  <w:gridSpan w:val="19"/>
                </w:tcPr>
                <w:p w:rsidR="002260AC" w:rsidRDefault="002260AC" w:rsidP="002260AC">
                  <w:pPr>
                    <w:pStyle w:val="Source"/>
                    <w:spacing w:before="0" w:after="80"/>
                    <w:ind w:left="113"/>
                  </w:pPr>
                  <w:r w:rsidRPr="00253B66">
                    <w:rPr>
                      <w:i/>
                    </w:rPr>
                    <w:t>Source</w:t>
                  </w:r>
                  <w:r w:rsidRPr="00080F6D">
                    <w:t>:</w:t>
                  </w:r>
                  <w:r>
                    <w:t xml:space="preserve"> Attachment table 18A.24.</w:t>
                  </w:r>
                </w:p>
              </w:tc>
            </w:tr>
            <w:tr w:rsidR="002260AC" w:rsidTr="002260AC">
              <w:tc>
                <w:tcPr>
                  <w:tcW w:w="5000" w:type="pct"/>
                  <w:gridSpan w:val="19"/>
                </w:tcPr>
                <w:p w:rsidR="002260AC" w:rsidRDefault="002260AC" w:rsidP="002260AC">
                  <w:pPr>
                    <w:pStyle w:val="DQIRowHeadings"/>
                  </w:pPr>
                  <w:r w:rsidRPr="00370C30">
                    <w:t>A</w:t>
                  </w:r>
                  <w:r>
                    <w:t xml:space="preserve">chievement of </w:t>
                  </w:r>
                  <w:r w:rsidRPr="00065F48">
                    <w:t>independent housing on exit</w:t>
                  </w:r>
                </w:p>
              </w:tc>
            </w:tr>
            <w:tr w:rsidR="002260AC" w:rsidTr="002260AC">
              <w:tc>
                <w:tcPr>
                  <w:tcW w:w="5000" w:type="pct"/>
                  <w:gridSpan w:val="19"/>
                </w:tcPr>
                <w:p w:rsidR="002260AC" w:rsidRDefault="002260AC" w:rsidP="002260AC">
                  <w:pPr>
                    <w:pStyle w:val="TableBodyText"/>
                    <w:ind w:left="113" w:right="28"/>
                    <w:jc w:val="left"/>
                  </w:pPr>
                  <w:r w:rsidRPr="00065F48">
                    <w:t>Proportion of clients who needed assistance to obtain or maintain independent housing who obtained or maintained independent housing after support</w:t>
                  </w:r>
                  <w:r w:rsidRPr="002D1999">
                    <w:t xml:space="preserve"> (closed support periods)</w:t>
                  </w:r>
                  <w:r>
                    <w:rPr>
                      <w:color w:val="000000" w:themeColor="text1"/>
                    </w:rPr>
                    <w:t>, 2014</w:t>
                  </w:r>
                  <w:r>
                    <w:rPr>
                      <w:color w:val="000000" w:themeColor="text1"/>
                    </w:rPr>
                    <w:noBreakHyphen/>
                    <w:t>15</w:t>
                  </w:r>
                  <w:r w:rsidRPr="00C048B8">
                    <w:rPr>
                      <w:color w:val="000000" w:themeColor="text1"/>
                    </w:rPr>
                    <w:t> </w:t>
                  </w:r>
                </w:p>
              </w:tc>
            </w:tr>
            <w:tr w:rsidR="002260AC" w:rsidRPr="00C47D6F" w:rsidTr="002260AC">
              <w:tc>
                <w:tcPr>
                  <w:tcW w:w="5000" w:type="pct"/>
                  <w:gridSpan w:val="19"/>
                </w:tcPr>
                <w:p w:rsidR="002260AC" w:rsidRPr="00C47D6F" w:rsidRDefault="002260AC" w:rsidP="002260AC">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63.0</w:t>
                  </w:r>
                </w:p>
              </w:tc>
              <w:tc>
                <w:tcPr>
                  <w:tcW w:w="501" w:type="pct"/>
                  <w:gridSpan w:val="2"/>
                  <w:vAlign w:val="center"/>
                </w:tcPr>
                <w:p w:rsidR="002260AC" w:rsidRDefault="002260AC" w:rsidP="002260AC">
                  <w:pPr>
                    <w:pStyle w:val="TableBodyText"/>
                  </w:pPr>
                  <w:r>
                    <w:t xml:space="preserve"> 62.0</w:t>
                  </w:r>
                </w:p>
              </w:tc>
              <w:tc>
                <w:tcPr>
                  <w:tcW w:w="501" w:type="pct"/>
                  <w:gridSpan w:val="2"/>
                  <w:vAlign w:val="center"/>
                </w:tcPr>
                <w:p w:rsidR="002260AC" w:rsidRDefault="002260AC" w:rsidP="002260AC">
                  <w:pPr>
                    <w:pStyle w:val="TableBodyText"/>
                  </w:pPr>
                  <w:r>
                    <w:t xml:space="preserve"> 65.1</w:t>
                  </w:r>
                </w:p>
              </w:tc>
              <w:tc>
                <w:tcPr>
                  <w:tcW w:w="501" w:type="pct"/>
                  <w:gridSpan w:val="2"/>
                  <w:vAlign w:val="center"/>
                </w:tcPr>
                <w:p w:rsidR="002260AC" w:rsidRDefault="002260AC" w:rsidP="002260AC">
                  <w:pPr>
                    <w:pStyle w:val="TableBodyText"/>
                  </w:pPr>
                  <w:r>
                    <w:t xml:space="preserve"> 56.5</w:t>
                  </w:r>
                </w:p>
              </w:tc>
              <w:tc>
                <w:tcPr>
                  <w:tcW w:w="501" w:type="pct"/>
                  <w:gridSpan w:val="2"/>
                  <w:vAlign w:val="center"/>
                </w:tcPr>
                <w:p w:rsidR="002260AC" w:rsidRDefault="002260AC" w:rsidP="002260AC">
                  <w:pPr>
                    <w:pStyle w:val="TableBodyText"/>
                  </w:pPr>
                  <w:r>
                    <w:t xml:space="preserve"> 63.5</w:t>
                  </w:r>
                </w:p>
              </w:tc>
              <w:tc>
                <w:tcPr>
                  <w:tcW w:w="501" w:type="pct"/>
                  <w:gridSpan w:val="2"/>
                  <w:vAlign w:val="center"/>
                </w:tcPr>
                <w:p w:rsidR="002260AC" w:rsidRDefault="002260AC" w:rsidP="002260AC">
                  <w:pPr>
                    <w:pStyle w:val="TableBodyText"/>
                  </w:pPr>
                  <w:r>
                    <w:t xml:space="preserve"> 68.9</w:t>
                  </w:r>
                </w:p>
              </w:tc>
              <w:tc>
                <w:tcPr>
                  <w:tcW w:w="501" w:type="pct"/>
                  <w:gridSpan w:val="2"/>
                  <w:vAlign w:val="center"/>
                </w:tcPr>
                <w:p w:rsidR="002260AC" w:rsidRDefault="002260AC" w:rsidP="002260AC">
                  <w:pPr>
                    <w:pStyle w:val="TableBodyText"/>
                  </w:pPr>
                  <w:r>
                    <w:t xml:space="preserve"> 65.7</w:t>
                  </w:r>
                </w:p>
              </w:tc>
              <w:tc>
                <w:tcPr>
                  <w:tcW w:w="496" w:type="pct"/>
                  <w:gridSpan w:val="2"/>
                  <w:vAlign w:val="center"/>
                </w:tcPr>
                <w:p w:rsidR="002260AC" w:rsidRDefault="002260AC" w:rsidP="002260AC">
                  <w:pPr>
                    <w:pStyle w:val="TableBodyText"/>
                  </w:pPr>
                  <w:r>
                    <w:t xml:space="preserve"> 66.4</w:t>
                  </w:r>
                </w:p>
              </w:tc>
              <w:tc>
                <w:tcPr>
                  <w:tcW w:w="496" w:type="pct"/>
                  <w:gridSpan w:val="2"/>
                  <w:vAlign w:val="center"/>
                </w:tcPr>
                <w:p w:rsidR="002260AC" w:rsidRDefault="002260AC" w:rsidP="002260AC">
                  <w:pPr>
                    <w:pStyle w:val="TableBodyText"/>
                  </w:pPr>
                  <w:r>
                    <w:t xml:space="preserve"> 63.5</w:t>
                  </w:r>
                </w:p>
              </w:tc>
            </w:tr>
            <w:tr w:rsidR="002260AC" w:rsidTr="002260AC">
              <w:tc>
                <w:tcPr>
                  <w:tcW w:w="5000" w:type="pct"/>
                  <w:gridSpan w:val="19"/>
                </w:tcPr>
                <w:p w:rsidR="002260AC" w:rsidRDefault="002260AC" w:rsidP="002260AC">
                  <w:pPr>
                    <w:pStyle w:val="Source"/>
                    <w:spacing w:before="0" w:after="80"/>
                    <w:ind w:left="113"/>
                  </w:pPr>
                  <w:r w:rsidRPr="00253B66">
                    <w:rPr>
                      <w:i/>
                    </w:rPr>
                    <w:t>Source</w:t>
                  </w:r>
                  <w:r w:rsidRPr="00080F6D">
                    <w:t>:</w:t>
                  </w:r>
                  <w:r>
                    <w:t xml:space="preserve"> Attachment table 18A.26.</w:t>
                  </w:r>
                </w:p>
              </w:tc>
            </w:tr>
            <w:tr w:rsidR="002260AC" w:rsidRPr="00922F3B" w:rsidTr="002260AC">
              <w:tc>
                <w:tcPr>
                  <w:tcW w:w="5000" w:type="pct"/>
                  <w:gridSpan w:val="19"/>
                  <w:shd w:val="clear" w:color="auto" w:fill="auto"/>
                </w:tcPr>
                <w:p w:rsidR="002260AC" w:rsidRPr="00922F3B" w:rsidRDefault="002260AC" w:rsidP="002260AC">
                  <w:pPr>
                    <w:pStyle w:val="DQIRowHeadings"/>
                  </w:pPr>
                  <w:r w:rsidRPr="00EA7056">
                    <w:t>Proportion of people experiencing repeat periods of homelessness</w:t>
                  </w:r>
                </w:p>
              </w:tc>
            </w:tr>
            <w:tr w:rsidR="002260AC" w:rsidTr="002260AC">
              <w:tc>
                <w:tcPr>
                  <w:tcW w:w="5000" w:type="pct"/>
                  <w:gridSpan w:val="19"/>
                </w:tcPr>
                <w:p w:rsidR="002260AC" w:rsidRDefault="002260AC" w:rsidP="002260AC">
                  <w:pPr>
                    <w:pStyle w:val="TableBodyText"/>
                    <w:ind w:left="113" w:right="28"/>
                    <w:jc w:val="left"/>
                  </w:pPr>
                  <w:r w:rsidRPr="00EA7056">
                    <w:t>Proportion of clients experiencing homelessness who had repeat periods of homelessness</w:t>
                  </w:r>
                  <w:r>
                    <w:t>, 2014</w:t>
                  </w:r>
                  <w:r>
                    <w:noBreakHyphen/>
                    <w:t>15</w:t>
                  </w:r>
                  <w:r w:rsidRPr="00F772E2">
                    <w:t xml:space="preserve"> (%)</w:t>
                  </w:r>
                </w:p>
              </w:tc>
            </w:tr>
            <w:tr w:rsidR="002260AC" w:rsidRPr="00C47D6F" w:rsidTr="002260AC">
              <w:tc>
                <w:tcPr>
                  <w:tcW w:w="5000" w:type="pct"/>
                  <w:gridSpan w:val="19"/>
                </w:tcPr>
                <w:p w:rsidR="002260AC" w:rsidRPr="00C47D6F" w:rsidRDefault="002260AC" w:rsidP="002260AC">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2260AC" w:rsidTr="002260AC">
              <w:tc>
                <w:tcPr>
                  <w:tcW w:w="501" w:type="pct"/>
                </w:tcPr>
                <w:p w:rsidR="002260AC" w:rsidRDefault="002260AC" w:rsidP="002260AC">
                  <w:pPr>
                    <w:pStyle w:val="TableBodyText"/>
                  </w:pPr>
                  <w:r>
                    <w:t>%</w:t>
                  </w:r>
                </w:p>
              </w:tc>
              <w:tc>
                <w:tcPr>
                  <w:tcW w:w="501" w:type="pct"/>
                  <w:gridSpan w:val="2"/>
                  <w:vAlign w:val="center"/>
                </w:tcPr>
                <w:p w:rsidR="002260AC" w:rsidRDefault="002260AC" w:rsidP="002260AC">
                  <w:pPr>
                    <w:pStyle w:val="TableBodyText"/>
                  </w:pPr>
                  <w:r>
                    <w:t xml:space="preserve"> 6.9</w:t>
                  </w:r>
                </w:p>
              </w:tc>
              <w:tc>
                <w:tcPr>
                  <w:tcW w:w="501" w:type="pct"/>
                  <w:gridSpan w:val="2"/>
                  <w:vAlign w:val="center"/>
                </w:tcPr>
                <w:p w:rsidR="002260AC" w:rsidRDefault="002260AC" w:rsidP="002260AC">
                  <w:pPr>
                    <w:pStyle w:val="TableBodyText"/>
                  </w:pPr>
                  <w:r>
                    <w:t xml:space="preserve"> 6.0</w:t>
                  </w:r>
                </w:p>
              </w:tc>
              <w:tc>
                <w:tcPr>
                  <w:tcW w:w="501" w:type="pct"/>
                  <w:gridSpan w:val="2"/>
                  <w:vAlign w:val="center"/>
                </w:tcPr>
                <w:p w:rsidR="002260AC" w:rsidRDefault="002260AC" w:rsidP="002260AC">
                  <w:pPr>
                    <w:pStyle w:val="TableBodyText"/>
                  </w:pPr>
                  <w:r>
                    <w:t xml:space="preserve"> 5.5</w:t>
                  </w:r>
                </w:p>
              </w:tc>
              <w:tc>
                <w:tcPr>
                  <w:tcW w:w="501" w:type="pct"/>
                  <w:gridSpan w:val="2"/>
                  <w:vAlign w:val="center"/>
                </w:tcPr>
                <w:p w:rsidR="002260AC" w:rsidRDefault="002260AC" w:rsidP="002260AC">
                  <w:pPr>
                    <w:pStyle w:val="TableBodyText"/>
                  </w:pPr>
                  <w:r>
                    <w:t xml:space="preserve"> 6.2</w:t>
                  </w:r>
                </w:p>
              </w:tc>
              <w:tc>
                <w:tcPr>
                  <w:tcW w:w="501" w:type="pct"/>
                  <w:gridSpan w:val="2"/>
                  <w:vAlign w:val="center"/>
                </w:tcPr>
                <w:p w:rsidR="002260AC" w:rsidRDefault="002260AC" w:rsidP="002260AC">
                  <w:pPr>
                    <w:pStyle w:val="TableBodyText"/>
                  </w:pPr>
                  <w:r>
                    <w:t xml:space="preserve"> 5.5</w:t>
                  </w:r>
                </w:p>
              </w:tc>
              <w:tc>
                <w:tcPr>
                  <w:tcW w:w="501" w:type="pct"/>
                  <w:gridSpan w:val="2"/>
                  <w:vAlign w:val="center"/>
                </w:tcPr>
                <w:p w:rsidR="002260AC" w:rsidRDefault="002260AC" w:rsidP="002260AC">
                  <w:pPr>
                    <w:pStyle w:val="TableBodyText"/>
                  </w:pPr>
                  <w:r>
                    <w:t xml:space="preserve"> 6.7</w:t>
                  </w:r>
                </w:p>
              </w:tc>
              <w:tc>
                <w:tcPr>
                  <w:tcW w:w="501" w:type="pct"/>
                  <w:gridSpan w:val="2"/>
                  <w:vAlign w:val="center"/>
                </w:tcPr>
                <w:p w:rsidR="002260AC" w:rsidRDefault="002260AC" w:rsidP="002260AC">
                  <w:pPr>
                    <w:pStyle w:val="TableBodyText"/>
                  </w:pPr>
                  <w:r>
                    <w:t xml:space="preserve"> 7.3</w:t>
                  </w:r>
                </w:p>
              </w:tc>
              <w:tc>
                <w:tcPr>
                  <w:tcW w:w="496" w:type="pct"/>
                  <w:gridSpan w:val="2"/>
                  <w:vAlign w:val="center"/>
                </w:tcPr>
                <w:p w:rsidR="002260AC" w:rsidRDefault="002260AC" w:rsidP="002260AC">
                  <w:pPr>
                    <w:pStyle w:val="TableBodyText"/>
                  </w:pPr>
                  <w:r>
                    <w:t xml:space="preserve"> 5.4</w:t>
                  </w:r>
                </w:p>
              </w:tc>
              <w:tc>
                <w:tcPr>
                  <w:tcW w:w="496" w:type="pct"/>
                  <w:gridSpan w:val="2"/>
                  <w:vAlign w:val="center"/>
                </w:tcPr>
                <w:p w:rsidR="002260AC" w:rsidRDefault="002260AC" w:rsidP="002260AC">
                  <w:pPr>
                    <w:pStyle w:val="TableBodyText"/>
                  </w:pPr>
                  <w:r>
                    <w:t xml:space="preserve"> 5.7</w:t>
                  </w:r>
                </w:p>
              </w:tc>
            </w:tr>
            <w:tr w:rsidR="002260AC" w:rsidTr="002260AC">
              <w:tc>
                <w:tcPr>
                  <w:tcW w:w="5000" w:type="pct"/>
                  <w:gridSpan w:val="19"/>
                </w:tcPr>
                <w:p w:rsidR="002260AC" w:rsidRDefault="002260AC" w:rsidP="002260AC">
                  <w:pPr>
                    <w:pStyle w:val="Source"/>
                    <w:spacing w:before="0" w:after="80"/>
                    <w:ind w:left="113"/>
                  </w:pPr>
                  <w:r w:rsidRPr="00F11F60">
                    <w:rPr>
                      <w:i/>
                    </w:rPr>
                    <w:t>Source</w:t>
                  </w:r>
                  <w:r w:rsidRPr="00080F6D">
                    <w:t>:</w:t>
                  </w:r>
                  <w:r w:rsidRPr="00F11F60">
                    <w:rPr>
                      <w:i/>
                    </w:rPr>
                    <w:t xml:space="preserve"> </w:t>
                  </w:r>
                  <w:r w:rsidRPr="00F11F60">
                    <w:t>Attachment table 18A.31</w:t>
                  </w:r>
                  <w:r>
                    <w:t>.</w:t>
                  </w:r>
                </w:p>
              </w:tc>
            </w:tr>
            <w:tr w:rsidR="000A4712" w:rsidTr="00D203E5">
              <w:tc>
                <w:tcPr>
                  <w:tcW w:w="5000" w:type="pct"/>
                  <w:gridSpan w:val="19"/>
                  <w:shd w:val="clear" w:color="auto" w:fill="auto"/>
                </w:tcPr>
                <w:p w:rsidR="000A4712" w:rsidRPr="00922F3B" w:rsidRDefault="008555B2" w:rsidP="002260AC">
                  <w:pPr>
                    <w:pStyle w:val="DQIRowHeadings"/>
                  </w:pPr>
                  <w:r>
                    <w:t>Goals achieved on exit f</w:t>
                  </w:r>
                  <w:r w:rsidR="002260AC">
                    <w:t>ro</w:t>
                  </w:r>
                  <w:r>
                    <w:t>m service</w:t>
                  </w:r>
                </w:p>
              </w:tc>
            </w:tr>
            <w:tr w:rsidR="000A4712" w:rsidTr="00D203E5">
              <w:tc>
                <w:tcPr>
                  <w:tcW w:w="5000" w:type="pct"/>
                  <w:gridSpan w:val="19"/>
                </w:tcPr>
                <w:p w:rsidR="000A4712" w:rsidRDefault="00EA7056" w:rsidP="000A4712">
                  <w:pPr>
                    <w:pStyle w:val="TableBodyText"/>
                    <w:ind w:left="113" w:right="28"/>
                    <w:jc w:val="left"/>
                  </w:pPr>
                  <w:r w:rsidRPr="00EA7056">
                    <w:t>Proportion of closed support periods with individual case management plan where half or more or all case management goals were achieved</w:t>
                  </w:r>
                  <w:r w:rsidR="000A4712">
                    <w:t>, 2014</w:t>
                  </w:r>
                  <w:r w:rsidR="00080F6D">
                    <w:noBreakHyphen/>
                  </w:r>
                  <w:r w:rsidR="000A4712">
                    <w:t>15</w:t>
                  </w:r>
                  <w:r w:rsidR="00080F6D">
                    <w:t xml:space="preserve"> </w:t>
                  </w:r>
                  <w:r w:rsidR="000A4712">
                    <w:t>(%)</w:t>
                  </w:r>
                </w:p>
              </w:tc>
            </w:tr>
            <w:tr w:rsidR="008555B2" w:rsidTr="000A4712">
              <w:tc>
                <w:tcPr>
                  <w:tcW w:w="5000" w:type="pct"/>
                  <w:gridSpan w:val="19"/>
                  <w:shd w:val="clear" w:color="auto" w:fill="auto"/>
                </w:tcPr>
                <w:p w:rsidR="008555B2" w:rsidRPr="00C47D6F" w:rsidRDefault="008555B2" w:rsidP="008555B2">
                  <w:pPr>
                    <w:pStyle w:val="TableBodyText"/>
                    <w:ind w:left="113" w:right="28"/>
                    <w:jc w:val="left"/>
                    <w:rPr>
                      <w:sz w:val="16"/>
                      <w:szCs w:val="16"/>
                    </w:rPr>
                  </w:pPr>
                  <w:r w:rsidRPr="00C048B8">
                    <w:rPr>
                      <w:color w:val="000000" w:themeColor="text1"/>
                      <w:sz w:val="16"/>
                      <w:szCs w:val="16"/>
                    </w:rPr>
                    <w:t xml:space="preserve">Data </w:t>
                  </w:r>
                  <w:r>
                    <w:rPr>
                      <w:color w:val="000000" w:themeColor="text1"/>
                      <w:sz w:val="16"/>
                      <w:szCs w:val="16"/>
                    </w:rPr>
                    <w:t>for this indicator are comparable subject to caveats (chapter 18)</w:t>
                  </w:r>
                </w:p>
              </w:tc>
            </w:tr>
            <w:tr w:rsidR="008555B2" w:rsidTr="008555B2">
              <w:tc>
                <w:tcPr>
                  <w:tcW w:w="501" w:type="pct"/>
                </w:tcPr>
                <w:p w:rsidR="008555B2" w:rsidRDefault="008555B2" w:rsidP="000A4712">
                  <w:pPr>
                    <w:pStyle w:val="TableBodyText"/>
                  </w:pPr>
                  <w:r>
                    <w:t>%</w:t>
                  </w:r>
                </w:p>
              </w:tc>
              <w:tc>
                <w:tcPr>
                  <w:tcW w:w="501" w:type="pct"/>
                  <w:gridSpan w:val="2"/>
                  <w:vAlign w:val="bottom"/>
                </w:tcPr>
                <w:p w:rsidR="008555B2" w:rsidRDefault="008555B2" w:rsidP="008555B2">
                  <w:pPr>
                    <w:pStyle w:val="TableBodyText"/>
                  </w:pPr>
                  <w:r>
                    <w:t>59.2</w:t>
                  </w:r>
                </w:p>
              </w:tc>
              <w:tc>
                <w:tcPr>
                  <w:tcW w:w="501" w:type="pct"/>
                  <w:gridSpan w:val="2"/>
                  <w:vAlign w:val="bottom"/>
                </w:tcPr>
                <w:p w:rsidR="008555B2" w:rsidRDefault="008555B2" w:rsidP="008555B2">
                  <w:pPr>
                    <w:pStyle w:val="TableBodyText"/>
                  </w:pPr>
                  <w:r>
                    <w:t>72</w:t>
                  </w:r>
                </w:p>
              </w:tc>
              <w:tc>
                <w:tcPr>
                  <w:tcW w:w="501" w:type="pct"/>
                  <w:gridSpan w:val="2"/>
                  <w:vAlign w:val="bottom"/>
                </w:tcPr>
                <w:p w:rsidR="008555B2" w:rsidRDefault="008555B2" w:rsidP="008555B2">
                  <w:pPr>
                    <w:pStyle w:val="TableBodyText"/>
                  </w:pPr>
                  <w:r>
                    <w:t>80.7</w:t>
                  </w:r>
                </w:p>
              </w:tc>
              <w:tc>
                <w:tcPr>
                  <w:tcW w:w="501" w:type="pct"/>
                  <w:gridSpan w:val="2"/>
                  <w:vAlign w:val="bottom"/>
                </w:tcPr>
                <w:p w:rsidR="008555B2" w:rsidRDefault="008555B2" w:rsidP="008555B2">
                  <w:pPr>
                    <w:pStyle w:val="TableBodyText"/>
                  </w:pPr>
                  <w:r>
                    <w:t>54.6</w:t>
                  </w:r>
                </w:p>
              </w:tc>
              <w:tc>
                <w:tcPr>
                  <w:tcW w:w="501" w:type="pct"/>
                  <w:gridSpan w:val="2"/>
                  <w:vAlign w:val="bottom"/>
                </w:tcPr>
                <w:p w:rsidR="008555B2" w:rsidRDefault="008555B2" w:rsidP="008555B2">
                  <w:pPr>
                    <w:pStyle w:val="TableBodyText"/>
                  </w:pPr>
                  <w:r>
                    <w:t>81</w:t>
                  </w:r>
                  <w:r w:rsidR="00A75572">
                    <w:t>.0</w:t>
                  </w:r>
                </w:p>
              </w:tc>
              <w:tc>
                <w:tcPr>
                  <w:tcW w:w="501" w:type="pct"/>
                  <w:gridSpan w:val="2"/>
                  <w:vAlign w:val="bottom"/>
                </w:tcPr>
                <w:p w:rsidR="008555B2" w:rsidRDefault="008555B2" w:rsidP="008555B2">
                  <w:pPr>
                    <w:pStyle w:val="TableBodyText"/>
                  </w:pPr>
                  <w:r>
                    <w:t>56</w:t>
                  </w:r>
                  <w:r w:rsidR="00A75572">
                    <w:t>.0</w:t>
                  </w:r>
                </w:p>
              </w:tc>
              <w:tc>
                <w:tcPr>
                  <w:tcW w:w="501" w:type="pct"/>
                  <w:gridSpan w:val="2"/>
                  <w:vAlign w:val="bottom"/>
                </w:tcPr>
                <w:p w:rsidR="008555B2" w:rsidRDefault="008555B2" w:rsidP="008555B2">
                  <w:pPr>
                    <w:pStyle w:val="TableBodyText"/>
                  </w:pPr>
                  <w:r>
                    <w:t>68.4</w:t>
                  </w:r>
                </w:p>
              </w:tc>
              <w:tc>
                <w:tcPr>
                  <w:tcW w:w="496" w:type="pct"/>
                  <w:gridSpan w:val="2"/>
                  <w:vAlign w:val="bottom"/>
                </w:tcPr>
                <w:p w:rsidR="008555B2" w:rsidRDefault="008555B2" w:rsidP="008555B2">
                  <w:pPr>
                    <w:pStyle w:val="TableBodyText"/>
                  </w:pPr>
                  <w:r>
                    <w:t>63.9</w:t>
                  </w:r>
                </w:p>
              </w:tc>
              <w:tc>
                <w:tcPr>
                  <w:tcW w:w="496" w:type="pct"/>
                  <w:gridSpan w:val="2"/>
                  <w:vAlign w:val="bottom"/>
                </w:tcPr>
                <w:p w:rsidR="008555B2" w:rsidRDefault="008555B2" w:rsidP="008555B2">
                  <w:pPr>
                    <w:pStyle w:val="TableBodyText"/>
                  </w:pPr>
                  <w:r>
                    <w:t>70.7</w:t>
                  </w:r>
                </w:p>
              </w:tc>
            </w:tr>
            <w:tr w:rsidR="008555B2" w:rsidTr="00D203E5">
              <w:tc>
                <w:tcPr>
                  <w:tcW w:w="5000" w:type="pct"/>
                  <w:gridSpan w:val="19"/>
                  <w:tcBorders>
                    <w:bottom w:val="single" w:sz="6" w:space="0" w:color="BFBFBF"/>
                  </w:tcBorders>
                </w:tcPr>
                <w:p w:rsidR="008555B2" w:rsidRDefault="008555B2" w:rsidP="008555B2">
                  <w:pPr>
                    <w:pStyle w:val="Source"/>
                    <w:spacing w:before="0" w:after="80"/>
                    <w:ind w:left="113"/>
                  </w:pPr>
                  <w:r w:rsidRPr="00253B66">
                    <w:rPr>
                      <w:i/>
                    </w:rPr>
                    <w:t>Source</w:t>
                  </w:r>
                  <w:r w:rsidRPr="00C9055F">
                    <w:t>:</w:t>
                  </w:r>
                  <w:r w:rsidRPr="0046068B">
                    <w:rPr>
                      <w:i/>
                    </w:rPr>
                    <w:t xml:space="preserve"> </w:t>
                  </w:r>
                  <w:r>
                    <w:t>Attachment table 18A.33</w:t>
                  </w:r>
                  <w:r w:rsidR="00C9055F">
                    <w:t>.</w:t>
                  </w:r>
                </w:p>
              </w:tc>
            </w:tr>
          </w:tbl>
          <w:p w:rsidR="000A4712" w:rsidRDefault="000A4712" w:rsidP="000A4712">
            <w:pPr>
              <w:pStyle w:val="Box"/>
            </w:pPr>
          </w:p>
        </w:tc>
      </w:tr>
      <w:tr w:rsidR="000A4712" w:rsidTr="000A4712">
        <w:trPr>
          <w:cantSplit/>
        </w:trPr>
        <w:tc>
          <w:tcPr>
            <w:tcW w:w="8771" w:type="dxa"/>
            <w:tcBorders>
              <w:top w:val="nil"/>
              <w:left w:val="nil"/>
              <w:bottom w:val="nil"/>
              <w:right w:val="nil"/>
            </w:tcBorders>
            <w:shd w:val="clear" w:color="auto" w:fill="auto"/>
          </w:tcPr>
          <w:p w:rsidR="000A4712" w:rsidRPr="00C23135" w:rsidRDefault="000A4712" w:rsidP="00A75572">
            <w:pPr>
              <w:pStyle w:val="Note"/>
              <w:spacing w:before="120"/>
            </w:pPr>
            <w:r>
              <w:rPr>
                <w:rStyle w:val="NoteLabel"/>
              </w:rPr>
              <w:t>a</w:t>
            </w:r>
            <w:r>
              <w:rPr>
                <w:rFonts w:cs="Arial"/>
              </w:rPr>
              <w:t> </w:t>
            </w:r>
            <w:r w:rsidRPr="006E5306">
              <w:t>Caveats for these data are available in Chapter 1</w:t>
            </w:r>
            <w:r w:rsidR="00EC0C6A">
              <w:t>8</w:t>
            </w:r>
            <w:r w:rsidRPr="006E5306">
              <w:t xml:space="preserve"> and At</w:t>
            </w:r>
            <w:r>
              <w:t>tachment 1</w:t>
            </w:r>
            <w:r w:rsidR="00EC0C6A">
              <w:t>8</w:t>
            </w:r>
            <w:r w:rsidRPr="006E5306">
              <w:t>A. Refer to the indicator interpretation boxes in chapter 1</w:t>
            </w:r>
            <w:r w:rsidR="00EC0C6A">
              <w:t>8</w:t>
            </w:r>
            <w:r w:rsidRPr="006E5306">
              <w:t xml:space="preserve"> for information to assist with</w:t>
            </w:r>
            <w:r>
              <w:t xml:space="preserve"> the</w:t>
            </w:r>
            <w:r w:rsidRPr="006E5306">
              <w:t xml:space="preserve"> interpret</w:t>
            </w:r>
            <w:r>
              <w:t>ation of</w:t>
            </w:r>
            <w:r w:rsidRPr="006E5306">
              <w:t xml:space="preserve"> data presented in this table. </w:t>
            </w:r>
            <w:r w:rsidRPr="006E5306">
              <w:rPr>
                <w:rStyle w:val="NoteLabel"/>
              </w:rPr>
              <w:t>b</w:t>
            </w:r>
            <w:r w:rsidRPr="006E5306">
              <w:t xml:space="preserve"> Some data are derived from detailed data in </w:t>
            </w:r>
            <w:r>
              <w:t>Chapter 1</w:t>
            </w:r>
            <w:r w:rsidR="00EC0C6A">
              <w:t>8</w:t>
            </w:r>
            <w:r>
              <w:t xml:space="preserve"> and Attachment 1</w:t>
            </w:r>
            <w:r w:rsidR="00EC0C6A">
              <w:t>8</w:t>
            </w:r>
            <w:r w:rsidR="00A75572">
              <w:t xml:space="preserve">A. </w:t>
            </w:r>
          </w:p>
        </w:tc>
      </w:tr>
      <w:tr w:rsidR="000A4712" w:rsidTr="000A4712">
        <w:trPr>
          <w:cantSplit/>
        </w:trPr>
        <w:tc>
          <w:tcPr>
            <w:tcW w:w="8771" w:type="dxa"/>
            <w:tcBorders>
              <w:top w:val="nil"/>
              <w:left w:val="nil"/>
              <w:bottom w:val="single" w:sz="6" w:space="0" w:color="78A22F"/>
              <w:right w:val="nil"/>
            </w:tcBorders>
            <w:shd w:val="clear" w:color="auto" w:fill="auto"/>
          </w:tcPr>
          <w:p w:rsidR="000A4712" w:rsidRDefault="000A4712" w:rsidP="00EC0C6A">
            <w:pPr>
              <w:pStyle w:val="Source"/>
              <w:tabs>
                <w:tab w:val="left" w:pos="1215"/>
              </w:tabs>
              <w:spacing w:before="120"/>
              <w:jc w:val="left"/>
            </w:pPr>
            <w:r>
              <w:rPr>
                <w:i/>
              </w:rPr>
              <w:t>Source</w:t>
            </w:r>
            <w:r>
              <w:t xml:space="preserve">: </w:t>
            </w:r>
            <w:r w:rsidRPr="006E5306">
              <w:t>Chapter 1</w:t>
            </w:r>
            <w:r w:rsidR="00EC0C6A">
              <w:t>8</w:t>
            </w:r>
            <w:r w:rsidRPr="006E5306">
              <w:t xml:space="preserve"> and Attachment 1</w:t>
            </w:r>
            <w:r w:rsidR="00EC0C6A">
              <w:t>8</w:t>
            </w:r>
            <w:r w:rsidRPr="006E5306">
              <w:t>A</w:t>
            </w:r>
            <w:r>
              <w:t>.</w:t>
            </w:r>
          </w:p>
        </w:tc>
      </w:tr>
      <w:tr w:rsidR="000A4712" w:rsidRPr="000863A5" w:rsidTr="000A4712">
        <w:tc>
          <w:tcPr>
            <w:tcW w:w="8771" w:type="dxa"/>
            <w:tcBorders>
              <w:top w:val="single" w:sz="6" w:space="0" w:color="78A22F"/>
              <w:left w:val="nil"/>
              <w:bottom w:val="nil"/>
              <w:right w:val="nil"/>
            </w:tcBorders>
          </w:tcPr>
          <w:p w:rsidR="000A4712" w:rsidRPr="00626D32" w:rsidRDefault="000A4712" w:rsidP="000A4712">
            <w:pPr>
              <w:pStyle w:val="BoxSpaceBelow"/>
            </w:pPr>
          </w:p>
        </w:tc>
      </w:tr>
    </w:tbl>
    <w:p w:rsidR="0000097E" w:rsidRDefault="00C066DD" w:rsidP="00E86F55">
      <w:pPr>
        <w:pStyle w:val="Heading2"/>
      </w:pPr>
      <w:bookmarkStart w:id="12" w:name="_Toc306106367"/>
      <w:bookmarkStart w:id="13" w:name="_Toc401736869"/>
      <w:bookmarkStart w:id="14" w:name="_Toc439927312"/>
      <w:r>
        <w:t>G.</w:t>
      </w:r>
      <w:r w:rsidR="00561A56">
        <w:rPr>
          <w:noProof/>
        </w:rPr>
        <w:t>3</w:t>
      </w:r>
      <w:r>
        <w:tab/>
      </w:r>
      <w:r w:rsidR="0000097E">
        <w:t>Cross</w:t>
      </w:r>
      <w:r w:rsidR="005D7553">
        <w:noBreakHyphen/>
      </w:r>
      <w:r w:rsidR="0000097E">
        <w:t xml:space="preserve">cutting and </w:t>
      </w:r>
      <w:r w:rsidR="0000097E" w:rsidRPr="00E86F55">
        <w:t>interface</w:t>
      </w:r>
      <w:r w:rsidR="0000097E">
        <w:t xml:space="preserve"> issues</w:t>
      </w:r>
      <w:bookmarkEnd w:id="12"/>
      <w:bookmarkEnd w:id="13"/>
      <w:bookmarkEnd w:id="14"/>
    </w:p>
    <w:p w:rsidR="003B41CD" w:rsidRDefault="0000097E" w:rsidP="0000097E">
      <w:pPr>
        <w:pStyle w:val="BodyText"/>
      </w:pPr>
      <w:r>
        <w:t>Australian an</w:t>
      </w:r>
      <w:r w:rsidR="005D681A">
        <w:t>d</w:t>
      </w:r>
      <w:r>
        <w:t xml:space="preserve"> international research </w:t>
      </w:r>
      <w:r w:rsidR="003B41CD">
        <w:t>identifies</w:t>
      </w:r>
      <w:r>
        <w:t xml:space="preserve"> a strong association between housing, health st</w:t>
      </w:r>
      <w:r w:rsidR="00D42D71">
        <w:t>atus, living standards and well</w:t>
      </w:r>
      <w:r w:rsidR="00E32CA2">
        <w:t>being (</w:t>
      </w:r>
      <w:r w:rsidR="00EC1C9D">
        <w:t xml:space="preserve">Thompson and </w:t>
      </w:r>
      <w:proofErr w:type="spellStart"/>
      <w:r w:rsidR="00EC1C9D">
        <w:t>Phibbs</w:t>
      </w:r>
      <w:proofErr w:type="spellEnd"/>
      <w:r w:rsidR="00EC1C9D">
        <w:t xml:space="preserve"> 2011; Morris 2010</w:t>
      </w:r>
      <w:r w:rsidR="00E32CA2">
        <w:t>)</w:t>
      </w:r>
      <w:r>
        <w:t xml:space="preserve">. A lack of adequate and affordable housing </w:t>
      </w:r>
      <w:r w:rsidR="003B41CD">
        <w:t xml:space="preserve">contributes to </w:t>
      </w:r>
      <w:r>
        <w:t>housing stress and homelessness, and is detrimental to people’s physical and mental health</w:t>
      </w:r>
      <w:r w:rsidR="00E622E6">
        <w:t>.</w:t>
      </w:r>
      <w:r w:rsidR="0063555C">
        <w:t xml:space="preserve"> Homelessness affects life expectancy</w:t>
      </w:r>
      <w:r w:rsidR="003B41CD">
        <w:t xml:space="preserve">, with </w:t>
      </w:r>
      <w:r w:rsidR="0063555C">
        <w:t>homeless people estimated to live 15–20 years less than the mainstream</w:t>
      </w:r>
      <w:r w:rsidR="00084271">
        <w:t xml:space="preserve"> population (Quine</w:t>
      </w:r>
      <w:r w:rsidR="00136B21">
        <w:t> </w:t>
      </w:r>
      <w:r w:rsidR="00084271">
        <w:t>et</w:t>
      </w:r>
      <w:r w:rsidR="00136B21">
        <w:t> </w:t>
      </w:r>
      <w:r w:rsidR="00084271">
        <w:t>al 2004).</w:t>
      </w:r>
      <w:r w:rsidR="00DF3BF7">
        <w:t xml:space="preserve"> </w:t>
      </w:r>
    </w:p>
    <w:p w:rsidR="0000097E" w:rsidRDefault="0000097E" w:rsidP="0000097E">
      <w:pPr>
        <w:pStyle w:val="BodyText"/>
      </w:pPr>
      <w:r>
        <w:t>The provision of housing assistance and homelessness services can improve people’s education, health and employment outcomes</w:t>
      </w:r>
      <w:r w:rsidR="001808BE">
        <w:t>, community cohesion and reduce</w:t>
      </w:r>
      <w:r>
        <w:t xml:space="preserve"> crime (King</w:t>
      </w:r>
      <w:r w:rsidR="00F131F7">
        <w:t> </w:t>
      </w:r>
      <w:r>
        <w:t xml:space="preserve">2002; Bridge et al 2003; </w:t>
      </w:r>
      <w:proofErr w:type="spellStart"/>
      <w:r>
        <w:t>AHURI</w:t>
      </w:r>
      <w:proofErr w:type="spellEnd"/>
      <w:r>
        <w:t xml:space="preserve"> 2008</w:t>
      </w:r>
      <w:r w:rsidR="003B41CD">
        <w:t>; Morris 2010</w:t>
      </w:r>
      <w:r>
        <w:t>). There is evidence to suggest</w:t>
      </w:r>
      <w:r w:rsidR="00C82649">
        <w:t xml:space="preserve"> that</w:t>
      </w:r>
      <w:r>
        <w:t xml:space="preserve"> effective housing assistance programs reduce the burden on health and justice services, </w:t>
      </w:r>
      <w:r>
        <w:lastRenderedPageBreak/>
        <w:t>leading to reduced expenditure for hospital, ambulance, police and court services (</w:t>
      </w:r>
      <w:proofErr w:type="spellStart"/>
      <w:r>
        <w:t>AHURI</w:t>
      </w:r>
      <w:proofErr w:type="spellEnd"/>
      <w:r w:rsidR="001F3DD6">
        <w:t> </w:t>
      </w:r>
      <w:r>
        <w:t>2008).</w:t>
      </w:r>
    </w:p>
    <w:p w:rsidR="00511C08" w:rsidRDefault="00511C08" w:rsidP="00511C08">
      <w:pPr>
        <w:pStyle w:val="BodyText"/>
      </w:pPr>
      <w:r>
        <w:t>Pathways through the homelessness, child protection and youth justice sectors have been explored in an analysis of linked client data across the three sectors. The analysis suggests that children and young people who are involved with one of the three areas have an increased risk of being involved in the other two areas. This type of analysis assists government and non</w:t>
      </w:r>
      <w:r w:rsidR="00C9055F">
        <w:noBreakHyphen/>
      </w:r>
      <w:r>
        <w:t>government agencies to provide more targeted prevention and support services (AIHW 2012).</w:t>
      </w:r>
      <w:r w:rsidR="00AD609A">
        <w:t xml:space="preserve"> </w:t>
      </w:r>
      <w:r w:rsidR="00AD609A" w:rsidRPr="00463099">
        <w:t xml:space="preserve">An update </w:t>
      </w:r>
      <w:r w:rsidR="00DD7864" w:rsidRPr="00463099">
        <w:t xml:space="preserve">to </w:t>
      </w:r>
      <w:r w:rsidR="00AD609A" w:rsidRPr="00463099">
        <w:t>this research using 2011</w:t>
      </w:r>
      <w:r w:rsidR="00080F6D">
        <w:noBreakHyphen/>
      </w:r>
      <w:r w:rsidR="00AD609A" w:rsidRPr="00463099">
        <w:t xml:space="preserve">12 </w:t>
      </w:r>
      <w:r w:rsidR="006948D3" w:rsidRPr="00463099">
        <w:t>to</w:t>
      </w:r>
      <w:r w:rsidR="00AD609A" w:rsidRPr="00463099">
        <w:t xml:space="preserve"> 2013</w:t>
      </w:r>
      <w:r w:rsidR="00080F6D">
        <w:noBreakHyphen/>
      </w:r>
      <w:r w:rsidR="00AD609A" w:rsidRPr="00463099">
        <w:t>14</w:t>
      </w:r>
      <w:r w:rsidR="00EB4A39">
        <w:t xml:space="preserve"> Specialist homelessness services collection </w:t>
      </w:r>
      <w:r w:rsidR="00AD609A" w:rsidRPr="00463099">
        <w:t xml:space="preserve">data, juvenile justice data, and state child protection data will be released in 2016 by the AIHW. </w:t>
      </w:r>
      <w:r w:rsidR="00A22757" w:rsidRPr="00463099">
        <w:t xml:space="preserve">An </w:t>
      </w:r>
      <w:r w:rsidR="00AD609A" w:rsidRPr="00463099">
        <w:t xml:space="preserve">AIHW data linkage project, </w:t>
      </w:r>
      <w:r w:rsidR="00C406A3" w:rsidRPr="00463099">
        <w:t xml:space="preserve">matching cohorts in the </w:t>
      </w:r>
      <w:r w:rsidR="00AD609A" w:rsidRPr="00463099">
        <w:t xml:space="preserve">Alcohol and Other Drug Treatment Services National Minimum Data set and </w:t>
      </w:r>
      <w:r w:rsidR="00C406A3" w:rsidRPr="00463099">
        <w:t xml:space="preserve">the </w:t>
      </w:r>
      <w:r w:rsidR="00EB4A39">
        <w:t>Specialist homelessness services collection</w:t>
      </w:r>
      <w:r w:rsidR="009E1E33" w:rsidRPr="00463099">
        <w:t>,</w:t>
      </w:r>
      <w:r w:rsidR="00AD609A" w:rsidRPr="00463099">
        <w:t xml:space="preserve"> will investigate transitions between these two sectors, focusing on comorbidities among the 40</w:t>
      </w:r>
      <w:r w:rsidR="00080F6D">
        <w:t> </w:t>
      </w:r>
      <w:r w:rsidR="00AD609A" w:rsidRPr="00463099">
        <w:t>000 clients of both services linked in the two data sets.</w:t>
      </w:r>
      <w:r w:rsidR="00AD609A">
        <w:t xml:space="preserve"> </w:t>
      </w:r>
      <w:r>
        <w:t>Coordinating this intervention across a range of human services is important for achieving positive outcomes and in recent decades, governments have increasingly relied on integrated or ‘joined up’ approaches to service provision to address homelessness (Phillips, Head and Jones 2012).</w:t>
      </w:r>
    </w:p>
    <w:p w:rsidR="00511C08" w:rsidRDefault="00511C08" w:rsidP="0000097E">
      <w:pPr>
        <w:pStyle w:val="BodyText"/>
      </w:pPr>
      <w:r>
        <w:t xml:space="preserve">Effective integration initiatives have been explored in an analysis of three case studies to identify the most effective approaches to collaboration and service integration between homelessness and other services. The analysis suggests that the most effective integration initiative will necessarily require a strategy that fits its purpose, goals, available resources and </w:t>
      </w:r>
      <w:r w:rsidR="009A31AE">
        <w:t xml:space="preserve">the </w:t>
      </w:r>
      <w:r>
        <w:t>geographical settings of the individual client. The research also suggests that integration strategies including a mix of policy and service delivery responses are more successful than those that operate solely on one of those levels (Phillips 2013).</w:t>
      </w:r>
    </w:p>
    <w:p w:rsidR="0000097E" w:rsidRDefault="0000097E" w:rsidP="00946583">
      <w:pPr>
        <w:pStyle w:val="Heading3"/>
      </w:pPr>
      <w:r>
        <w:t>National research developments</w:t>
      </w:r>
    </w:p>
    <w:p w:rsidR="001F3DD6" w:rsidRDefault="00EF5CF2" w:rsidP="001401DC">
      <w:pPr>
        <w:pStyle w:val="BodyText"/>
      </w:pPr>
      <w:r w:rsidRPr="001401DC">
        <w:t>The Australian Departme</w:t>
      </w:r>
      <w:r w:rsidR="00A603B4">
        <w:t>nt of Social Services manage</w:t>
      </w:r>
      <w:r w:rsidR="00F9645E">
        <w:t>d the</w:t>
      </w:r>
      <w:r w:rsidR="00EE4585">
        <w:t xml:space="preserve"> </w:t>
      </w:r>
      <w:r w:rsidRPr="001401DC">
        <w:t>survey project: Journeys Home: Longitudinal Study of Factors Affecting Hou</w:t>
      </w:r>
      <w:r w:rsidR="00A603B4">
        <w:t>sing Stability. The project aimed</w:t>
      </w:r>
      <w:r w:rsidRPr="001401DC">
        <w:t xml:space="preserve"> to improve </w:t>
      </w:r>
      <w:r w:rsidR="004B1BAF" w:rsidRPr="001401DC">
        <w:t xml:space="preserve">the </w:t>
      </w:r>
      <w:r w:rsidRPr="001401DC">
        <w:t>understanding of, and policy response to, the diverse social, economic and personal factors relating to homelessness and the risk of becoming homeless. The survey</w:t>
      </w:r>
      <w:r w:rsidR="004B1BAF" w:rsidRPr="001401DC">
        <w:t xml:space="preserve"> </w:t>
      </w:r>
      <w:r w:rsidR="00A603B4">
        <w:t>was</w:t>
      </w:r>
      <w:r w:rsidR="00AA1397">
        <w:t xml:space="preserve"> </w:t>
      </w:r>
      <w:r w:rsidR="0046776C">
        <w:t xml:space="preserve">of </w:t>
      </w:r>
      <w:r w:rsidR="00AA1397">
        <w:t>around 1600</w:t>
      </w:r>
      <w:r w:rsidRPr="001401DC">
        <w:t xml:space="preserve"> income support recipi</w:t>
      </w:r>
      <w:r w:rsidR="00AA1397">
        <w:t>ents across Australia, in</w:t>
      </w:r>
      <w:r w:rsidRPr="001401DC">
        <w:t xml:space="preserve"> six waves, conducted six months apart, between September 2011 and</w:t>
      </w:r>
      <w:r w:rsidR="00AA1397">
        <w:t xml:space="preserve"> concluding in</w:t>
      </w:r>
      <w:r w:rsidRPr="001401DC">
        <w:t xml:space="preserve"> Ma</w:t>
      </w:r>
      <w:r w:rsidR="0046776C">
        <w:t>y 2015</w:t>
      </w:r>
      <w:r w:rsidRPr="001401DC">
        <w:t xml:space="preserve">. </w:t>
      </w:r>
    </w:p>
    <w:p w:rsidR="001F3DD6" w:rsidRDefault="00EF5CF2" w:rsidP="009E1E33">
      <w:pPr>
        <w:pStyle w:val="BodyText"/>
      </w:pPr>
      <w:r w:rsidRPr="001401DC">
        <w:t xml:space="preserve">The </w:t>
      </w:r>
      <w:r w:rsidR="0046776C">
        <w:t xml:space="preserve">final </w:t>
      </w:r>
      <w:r w:rsidRPr="001401DC">
        <w:t>Jou</w:t>
      </w:r>
      <w:r w:rsidR="0046776C">
        <w:t xml:space="preserve">rneys Home Research Report </w:t>
      </w:r>
      <w:r w:rsidR="00AA1397">
        <w:t>(</w:t>
      </w:r>
      <w:r w:rsidR="0046776C">
        <w:t>No. 6</w:t>
      </w:r>
      <w:r w:rsidR="00AA1397">
        <w:t>)</w:t>
      </w:r>
      <w:r w:rsidR="0046776C">
        <w:t xml:space="preserve"> </w:t>
      </w:r>
      <w:r w:rsidR="00AA1397">
        <w:t>in</w:t>
      </w:r>
      <w:r w:rsidRPr="001401DC">
        <w:t xml:space="preserve"> addition to presen</w:t>
      </w:r>
      <w:r w:rsidR="0046776C">
        <w:t>ting findings for the six</w:t>
      </w:r>
      <w:r w:rsidRPr="001401DC">
        <w:t xml:space="preserve"> waves of the study</w:t>
      </w:r>
      <w:r w:rsidR="0046776C">
        <w:t xml:space="preserve">, </w:t>
      </w:r>
      <w:r w:rsidRPr="001401DC">
        <w:t xml:space="preserve">examined </w:t>
      </w:r>
      <w:r w:rsidR="00AA1397">
        <w:t>children’s outcomes, including school attendance, and respondents</w:t>
      </w:r>
      <w:r w:rsidR="00EE4585">
        <w:t>’</w:t>
      </w:r>
      <w:r w:rsidR="00AA1397">
        <w:t xml:space="preserve"> mobile phone and </w:t>
      </w:r>
      <w:proofErr w:type="spellStart"/>
      <w:r w:rsidR="00AA1397">
        <w:t>internet</w:t>
      </w:r>
      <w:proofErr w:type="spellEnd"/>
      <w:r w:rsidR="00AA1397">
        <w:t xml:space="preserve"> use </w:t>
      </w:r>
      <w:r w:rsidRPr="001401DC">
        <w:t>(</w:t>
      </w:r>
      <w:proofErr w:type="spellStart"/>
      <w:r w:rsidR="0046776C">
        <w:t>Bevitt</w:t>
      </w:r>
      <w:proofErr w:type="spellEnd"/>
      <w:r w:rsidR="00EE73F5" w:rsidRPr="001401DC">
        <w:t xml:space="preserve"> </w:t>
      </w:r>
      <w:r w:rsidR="0046776C">
        <w:t>et al 2015</w:t>
      </w:r>
      <w:r w:rsidRPr="001401DC">
        <w:t>).</w:t>
      </w:r>
      <w:r w:rsidR="006E5948">
        <w:t xml:space="preserve"> </w:t>
      </w:r>
      <w:r w:rsidR="001F3DD6" w:rsidRPr="00463099">
        <w:t>The report identifies risk and protective factors associated with homelessness.</w:t>
      </w:r>
      <w:r w:rsidR="001F3DD6">
        <w:t xml:space="preserve"> </w:t>
      </w:r>
    </w:p>
    <w:p w:rsidR="001F3DD6" w:rsidRDefault="001F3DD6" w:rsidP="009E1E33">
      <w:pPr>
        <w:pStyle w:val="ListBullet"/>
      </w:pPr>
      <w:r w:rsidRPr="00463099">
        <w:t xml:space="preserve">The current circumstances of people which appear to be a significant factor in homelessness include: recent family breakdowns; health problems; general health and psychological distress; job loss and reliance on welfare payments; risky drinkers; and </w:t>
      </w:r>
      <w:r w:rsidRPr="00463099">
        <w:lastRenderedPageBreak/>
        <w:t>illicit substance abusers. Homelessness and recent experiences of physical and sexual violence are also closely related.</w:t>
      </w:r>
      <w:r>
        <w:t xml:space="preserve"> </w:t>
      </w:r>
    </w:p>
    <w:p w:rsidR="001F3DD6" w:rsidRDefault="001F3DD6" w:rsidP="009E1E33">
      <w:pPr>
        <w:pStyle w:val="ListBullet"/>
      </w:pPr>
      <w:r w:rsidRPr="00463099">
        <w:t xml:space="preserve">Some of the other significant groups being more likely to be homeless are: males; </w:t>
      </w:r>
      <w:r w:rsidR="00A22757" w:rsidRPr="00463099">
        <w:t xml:space="preserve">older </w:t>
      </w:r>
      <w:r w:rsidRPr="00463099">
        <w:t xml:space="preserve">people (those over 45 years of age); Aboriginal </w:t>
      </w:r>
      <w:r w:rsidR="009E1E33" w:rsidRPr="00463099">
        <w:t>and</w:t>
      </w:r>
      <w:r w:rsidRPr="00463099">
        <w:t xml:space="preserve"> Torres Strait Islander</w:t>
      </w:r>
      <w:r w:rsidR="009E1E33" w:rsidRPr="00463099">
        <w:t xml:space="preserve"> people</w:t>
      </w:r>
      <w:r w:rsidRPr="00463099">
        <w:t xml:space="preserve">; </w:t>
      </w:r>
      <w:r w:rsidR="00A22757" w:rsidRPr="00463099">
        <w:t xml:space="preserve">single </w:t>
      </w:r>
      <w:r w:rsidRPr="00463099">
        <w:t xml:space="preserve">people; and </w:t>
      </w:r>
      <w:r w:rsidR="00A22757" w:rsidRPr="00463099">
        <w:t xml:space="preserve">people </w:t>
      </w:r>
      <w:r w:rsidRPr="00463099">
        <w:t xml:space="preserve">who have been incarcerated, whether in juvenile detention, adult prison, or </w:t>
      </w:r>
      <w:r w:rsidR="00604115" w:rsidRPr="00463099">
        <w:t xml:space="preserve">on </w:t>
      </w:r>
      <w:r w:rsidRPr="00463099">
        <w:t>remand.</w:t>
      </w:r>
    </w:p>
    <w:p w:rsidR="0000097E" w:rsidRDefault="00C066DD" w:rsidP="00E86F55">
      <w:pPr>
        <w:pStyle w:val="Heading2"/>
      </w:pPr>
      <w:bookmarkStart w:id="15" w:name="_Toc306106368"/>
      <w:bookmarkStart w:id="16" w:name="_Toc401736870"/>
      <w:bookmarkStart w:id="17" w:name="_Toc439927313"/>
      <w:r>
        <w:t>G.</w:t>
      </w:r>
      <w:r w:rsidR="00561A56">
        <w:rPr>
          <w:noProof/>
        </w:rPr>
        <w:t>4</w:t>
      </w:r>
      <w:r>
        <w:tab/>
      </w:r>
      <w:r w:rsidR="0000097E" w:rsidRPr="00E86F55">
        <w:t>Future</w:t>
      </w:r>
      <w:r w:rsidR="0000097E">
        <w:t xml:space="preserve"> directions in performance reporting</w:t>
      </w:r>
      <w:bookmarkEnd w:id="15"/>
      <w:bookmarkEnd w:id="16"/>
      <w:bookmarkEnd w:id="17"/>
    </w:p>
    <w:p w:rsidR="000479D0" w:rsidRDefault="0000097E" w:rsidP="00D203E5">
      <w:pPr>
        <w:pStyle w:val="BodyText"/>
        <w:rPr>
          <w:rFonts w:ascii="Arial" w:hAnsi="Arial"/>
          <w:b/>
          <w:color w:val="000000" w:themeColor="text1"/>
          <w:sz w:val="32"/>
        </w:rPr>
      </w:pPr>
      <w:r>
        <w:t xml:space="preserve">This housing and homelessness </w:t>
      </w:r>
      <w:r w:rsidR="00BB2E89">
        <w:t>sector overview</w:t>
      </w:r>
      <w:r>
        <w:t xml:space="preserve"> will continue to </w:t>
      </w:r>
      <w:r w:rsidR="00E221B1">
        <w:t xml:space="preserve">be developed in future </w:t>
      </w:r>
      <w:r w:rsidR="00D460F0">
        <w:t>r</w:t>
      </w:r>
      <w:r w:rsidR="00E221B1">
        <w:t>eports</w:t>
      </w:r>
      <w:r w:rsidR="006F1AA5">
        <w:t xml:space="preserve">, with the </w:t>
      </w:r>
      <w:r>
        <w:t>Housing and Homelessness services</w:t>
      </w:r>
      <w:r w:rsidR="00D460F0">
        <w:t xml:space="preserve"> chapters</w:t>
      </w:r>
      <w:r>
        <w:t xml:space="preserve"> </w:t>
      </w:r>
      <w:r w:rsidR="006F1AA5">
        <w:t xml:space="preserve">both </w:t>
      </w:r>
      <w:r>
        <w:t>contain</w:t>
      </w:r>
      <w:r w:rsidR="006F1AA5">
        <w:t>ing</w:t>
      </w:r>
      <w:r>
        <w:t xml:space="preserve"> </w:t>
      </w:r>
      <w:r w:rsidR="006F1AA5">
        <w:t xml:space="preserve">separate </w:t>
      </w:r>
      <w:r>
        <w:t>section</w:t>
      </w:r>
      <w:r w:rsidR="006F1AA5">
        <w:t>s</w:t>
      </w:r>
      <w:r>
        <w:t xml:space="preserve"> on future direc</w:t>
      </w:r>
      <w:r w:rsidR="00383179">
        <w:t>tions in performance reporting.</w:t>
      </w:r>
      <w:bookmarkStart w:id="18" w:name="_Toc306106369"/>
      <w:bookmarkStart w:id="19" w:name="_Toc401736871"/>
    </w:p>
    <w:p w:rsidR="00946583" w:rsidRPr="00023ACE" w:rsidRDefault="00C066DD" w:rsidP="00E86F55">
      <w:pPr>
        <w:pStyle w:val="Heading2"/>
      </w:pPr>
      <w:bookmarkStart w:id="20" w:name="_Toc439927314"/>
      <w:r w:rsidRPr="00023ACE">
        <w:t>G.</w:t>
      </w:r>
      <w:r w:rsidR="00561A56" w:rsidRPr="00023ACE">
        <w:t>5</w:t>
      </w:r>
      <w:r w:rsidRPr="00023ACE">
        <w:tab/>
      </w:r>
      <w:r w:rsidR="00946583" w:rsidRPr="00023ACE">
        <w:t xml:space="preserve">List </w:t>
      </w:r>
      <w:r w:rsidR="00946583" w:rsidRPr="00E86F55">
        <w:t>of</w:t>
      </w:r>
      <w:r w:rsidR="00946583" w:rsidRPr="00023ACE">
        <w:t xml:space="preserve"> attachment tables</w:t>
      </w:r>
      <w:bookmarkEnd w:id="18"/>
      <w:bookmarkEnd w:id="19"/>
      <w:bookmarkEnd w:id="20"/>
    </w:p>
    <w:p w:rsidR="002D019F" w:rsidRDefault="00946583" w:rsidP="00562FA1">
      <w:pPr>
        <w:pStyle w:val="BodyText"/>
        <w:spacing w:after="240"/>
        <w:rPr>
          <w:color w:val="000000" w:themeColor="text1"/>
        </w:rPr>
      </w:pPr>
      <w:r w:rsidRPr="00A0511B">
        <w:rPr>
          <w:color w:val="000000" w:themeColor="text1"/>
        </w:rPr>
        <w:t xml:space="preserve">Attachment tables are identified in references throughout this service </w:t>
      </w:r>
      <w:r w:rsidR="00BB2E89" w:rsidRPr="00A0511B">
        <w:rPr>
          <w:color w:val="000000" w:themeColor="text1"/>
        </w:rPr>
        <w:t>sector overview</w:t>
      </w:r>
      <w:r w:rsidRPr="00A0511B">
        <w:rPr>
          <w:color w:val="000000" w:themeColor="text1"/>
        </w:rPr>
        <w:t xml:space="preserve"> by a ‘GA’ </w:t>
      </w:r>
      <w:r w:rsidR="00962FCC" w:rsidRPr="00A0511B">
        <w:rPr>
          <w:color w:val="000000" w:themeColor="text1"/>
        </w:rPr>
        <w:t>pref</w:t>
      </w:r>
      <w:r w:rsidRPr="00A0511B">
        <w:rPr>
          <w:color w:val="000000" w:themeColor="text1"/>
        </w:rPr>
        <w:t>ix (for example, table GA.</w:t>
      </w:r>
      <w:r w:rsidR="0051012A" w:rsidRPr="00A0511B">
        <w:rPr>
          <w:color w:val="000000" w:themeColor="text1"/>
        </w:rPr>
        <w:t>1</w:t>
      </w:r>
      <w:r w:rsidRPr="00A0511B">
        <w:rPr>
          <w:color w:val="000000" w:themeColor="text1"/>
        </w:rPr>
        <w:t>). Attachment t</w:t>
      </w:r>
      <w:r w:rsidR="00F74736">
        <w:rPr>
          <w:color w:val="000000" w:themeColor="text1"/>
        </w:rPr>
        <w:t xml:space="preserve">ables are </w:t>
      </w:r>
      <w:r w:rsidR="000479D0">
        <w:rPr>
          <w:color w:val="000000" w:themeColor="text1"/>
        </w:rPr>
        <w:t xml:space="preserve">available </w:t>
      </w:r>
      <w:r w:rsidR="00F74736">
        <w:rPr>
          <w:color w:val="000000" w:themeColor="text1"/>
        </w:rPr>
        <w:t>on the</w:t>
      </w:r>
      <w:r w:rsidRPr="00A0511B">
        <w:rPr>
          <w:color w:val="000000" w:themeColor="text1"/>
        </w:rPr>
        <w:t xml:space="preserve"> website (www.pc.gov.au/</w:t>
      </w:r>
      <w:proofErr w:type="spellStart"/>
      <w:r w:rsidR="000479D0">
        <w:rPr>
          <w:color w:val="000000" w:themeColor="text1"/>
        </w:rPr>
        <w:t>rogs</w:t>
      </w:r>
      <w:proofErr w:type="spellEnd"/>
      <w:r w:rsidR="000479D0">
        <w:rPr>
          <w:color w:val="000000" w:themeColor="text1"/>
        </w:rPr>
        <w:t>/2016</w:t>
      </w:r>
      <w:r w:rsidRPr="00A0511B">
        <w:rPr>
          <w:color w:val="000000" w:themeColor="text1"/>
        </w:rPr>
        <w:t xml:space="preserve">). </w:t>
      </w:r>
    </w:p>
    <w:tbl>
      <w:tblPr>
        <w:tblW w:w="8789" w:type="dxa"/>
        <w:tblInd w:w="108" w:type="dxa"/>
        <w:tblLook w:val="04A0" w:firstRow="1" w:lastRow="0" w:firstColumn="1" w:lastColumn="0" w:noHBand="0" w:noVBand="1"/>
      </w:tblPr>
      <w:tblGrid>
        <w:gridCol w:w="1456"/>
        <w:gridCol w:w="7333"/>
      </w:tblGrid>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bookmarkStart w:id="21" w:name="_Toc314211352"/>
            <w:r w:rsidRPr="00F35460">
              <w:rPr>
                <w:b/>
              </w:rPr>
              <w:t>Table GA.1</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Australian Government nominal expenditure relating to the National Affordable Housing Agreement (NAHA) ($million)</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GA.2</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Housing and homelessness services sector, descriptive statistics, Australia, 2014</w:t>
            </w:r>
            <w:r w:rsidR="00080F6D">
              <w:noBreakHyphen/>
            </w:r>
            <w:r>
              <w:t>15</w:t>
            </w:r>
          </w:p>
        </w:tc>
      </w:tr>
      <w:tr w:rsidR="00F35460" w:rsidRPr="004D01B2" w:rsidTr="00DF1FEF">
        <w:trPr>
          <w:cantSplit/>
          <w:trHeight w:val="357"/>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GA.3</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 xml:space="preserve">Social housing descriptive statistics </w:t>
            </w:r>
          </w:p>
        </w:tc>
      </w:tr>
      <w:tr w:rsidR="00F35460" w:rsidRPr="004D01B2" w:rsidTr="00DF1FEF">
        <w:trPr>
          <w:cantSplit/>
          <w:trHeight w:val="357"/>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GA.4</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Homelessness services descriptive statistics, 2014</w:t>
            </w:r>
            <w:r w:rsidR="00080F6D">
              <w:noBreakHyphen/>
            </w:r>
            <w:r>
              <w:t xml:space="preserve">15 </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GA.5</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Proportion of low income households in rental stress, by State and Territory, by location</w:t>
            </w:r>
            <w:r w:rsidR="00080F6D">
              <w:t xml:space="preserve"> </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GA.6</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 xml:space="preserve">Aboriginal and Torres Strait Islander households living in overcrowded conditions, by housing program </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GA.7</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Proportion of Aboriginal and Torres Strait Islander households living in dwellings of an acceptable standard, 2014</w:t>
            </w:r>
            <w:r w:rsidR="00080F6D">
              <w:t xml:space="preserve"> </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GA.8</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Proportion of Aboriginal and Torres Strait Islander households living in dwellings of an acceptable standard, Indigenous community housing, 2012</w:t>
            </w:r>
            <w:r w:rsidR="00080F6D">
              <w:noBreakHyphen/>
            </w:r>
            <w:r>
              <w:t>13 (per cent)</w:t>
            </w:r>
            <w:r w:rsidR="00080F6D">
              <w:t xml:space="preserve"> </w:t>
            </w:r>
          </w:p>
        </w:tc>
      </w:tr>
      <w:tr w:rsidR="00F35460" w:rsidRPr="004D01B2" w:rsidTr="00DF1FEF">
        <w:trPr>
          <w:cantSplit/>
          <w:trHeight w:val="357"/>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GA.9</w:t>
            </w:r>
          </w:p>
        </w:tc>
        <w:tc>
          <w:tcPr>
            <w:tcW w:w="7333" w:type="dxa"/>
            <w:tcBorders>
              <w:top w:val="nil"/>
              <w:left w:val="nil"/>
              <w:bottom w:val="nil"/>
              <w:right w:val="nil"/>
            </w:tcBorders>
            <w:shd w:val="clear" w:color="auto" w:fill="auto"/>
          </w:tcPr>
          <w:p w:rsidR="00F35460" w:rsidRDefault="00F35460" w:rsidP="00080F6D">
            <w:pPr>
              <w:pStyle w:val="Box"/>
              <w:keepNext w:val="0"/>
              <w:spacing w:before="60" w:after="60" w:line="240" w:lineRule="auto"/>
            </w:pPr>
            <w:r>
              <w:t>Rate of homeless persons per 10</w:t>
            </w:r>
            <w:r w:rsidR="00080F6D">
              <w:t> </w:t>
            </w:r>
            <w:r>
              <w:t xml:space="preserve">000 of the population, 2011 </w:t>
            </w:r>
          </w:p>
        </w:tc>
      </w:tr>
      <w:tr w:rsidR="00F35460" w:rsidRPr="004D01B2" w:rsidTr="00DF1FEF">
        <w:trPr>
          <w:cantSplit/>
          <w:trHeight w:val="357"/>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GA.10</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Supplementary contextual data</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GA.11</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Moving annual vacancy rates in the private housing market, by capital city, June (per cent)</w:t>
            </w:r>
            <w:r w:rsidR="00080F6D">
              <w:t xml:space="preserve"> </w:t>
            </w:r>
          </w:p>
        </w:tc>
      </w:tr>
      <w:tr w:rsidR="00F35460" w:rsidRPr="004D01B2" w:rsidTr="00DF1FEF">
        <w:trPr>
          <w:cantSplit/>
          <w:trHeight w:val="612"/>
        </w:trPr>
        <w:tc>
          <w:tcPr>
            <w:tcW w:w="1456" w:type="dxa"/>
            <w:tcBorders>
              <w:top w:val="nil"/>
              <w:left w:val="nil"/>
              <w:bottom w:val="nil"/>
              <w:right w:val="nil"/>
            </w:tcBorders>
            <w:shd w:val="clear" w:color="auto" w:fill="auto"/>
            <w:noWrap/>
          </w:tcPr>
          <w:p w:rsidR="00F35460" w:rsidRPr="00F35460" w:rsidRDefault="00F35460" w:rsidP="00DF1FEF">
            <w:pPr>
              <w:pStyle w:val="Box"/>
              <w:keepNext w:val="0"/>
              <w:spacing w:before="60" w:after="60" w:line="240" w:lineRule="auto"/>
              <w:rPr>
                <w:b/>
              </w:rPr>
            </w:pPr>
            <w:r w:rsidRPr="00F35460">
              <w:rPr>
                <w:b/>
              </w:rPr>
              <w:t>Table GA.12</w:t>
            </w:r>
          </w:p>
        </w:tc>
        <w:tc>
          <w:tcPr>
            <w:tcW w:w="7333" w:type="dxa"/>
            <w:tcBorders>
              <w:top w:val="nil"/>
              <w:left w:val="nil"/>
              <w:bottom w:val="nil"/>
              <w:right w:val="nil"/>
            </w:tcBorders>
            <w:shd w:val="clear" w:color="auto" w:fill="auto"/>
          </w:tcPr>
          <w:p w:rsidR="00F35460" w:rsidRDefault="00F35460" w:rsidP="00DF1FEF">
            <w:pPr>
              <w:pStyle w:val="Box"/>
              <w:keepNext w:val="0"/>
              <w:spacing w:before="60" w:after="60" w:line="240" w:lineRule="auto"/>
            </w:pPr>
            <w:r>
              <w:t>Median market rents in the private housing market, by capital city, June quarter (dollars/week)</w:t>
            </w:r>
          </w:p>
        </w:tc>
      </w:tr>
      <w:tr w:rsidR="00DF1FEF" w:rsidRPr="004D01B2" w:rsidTr="00DF1FEF">
        <w:trPr>
          <w:cantSplit/>
          <w:trHeight w:val="612"/>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GA.13</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Australian Government expenditure for Commonwealth Rent Assistance, 2010</w:t>
            </w:r>
            <w:r w:rsidR="00080F6D">
              <w:noBreakHyphen/>
            </w:r>
            <w:r w:rsidRPr="00DF1FEF">
              <w:t>11 to 2014</w:t>
            </w:r>
            <w:r w:rsidR="00080F6D">
              <w:noBreakHyphen/>
            </w:r>
            <w:r w:rsidRPr="00DF1FEF">
              <w:t>15 ($ million)</w:t>
            </w:r>
            <w:r w:rsidR="00080F6D">
              <w:t xml:space="preserve"> </w:t>
            </w:r>
          </w:p>
        </w:tc>
      </w:tr>
      <w:tr w:rsidR="00DF1FEF" w:rsidRPr="004D01B2" w:rsidTr="00DF1FEF">
        <w:trPr>
          <w:cantSplit/>
          <w:trHeight w:val="612"/>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lastRenderedPageBreak/>
              <w:t>Table GA.14</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Australian Government real expenditure for CRA, per person, 2010</w:t>
            </w:r>
            <w:r w:rsidR="00080F6D">
              <w:noBreakHyphen/>
            </w:r>
            <w:r w:rsidRPr="00DF1FEF">
              <w:t>11 to 2014</w:t>
            </w:r>
            <w:r w:rsidR="00080F6D">
              <w:noBreakHyphen/>
            </w:r>
            <w:r w:rsidRPr="00DF1FEF">
              <w:t>15 (2014</w:t>
            </w:r>
            <w:r w:rsidR="00080F6D">
              <w:noBreakHyphen/>
            </w:r>
            <w:r w:rsidRPr="00DF1FEF">
              <w:t>15 dollars)</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GA.15</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Eligibility and payment scales for CRA, 2015 ($ per fortnight)</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GA.16</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Income units receiving CRA,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GA.17</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Number of income units receiving CRA, by age,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GA.18</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Number of income units with dependent children receiving CRA,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GA.19</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Aboriginal and Torres Strait Islander income units receiving CRA,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GA.20</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CRA income units, by payment type,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GA.21</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Aboriginal and Torres Strait Islander CRA recipients, by payment type,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GA.22</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CRA income units, by remoteness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GA.23</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CRA income units, by payment type, by remoteness, Australia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GA.24</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Geographic location of income units receiving CRA,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GA.25</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Income units receiving CRA, by special needs and geographic location, 2015</w:t>
            </w:r>
            <w:r w:rsidR="00080F6D">
              <w:t xml:space="preserve"> </w:t>
            </w:r>
          </w:p>
        </w:tc>
      </w:tr>
      <w:tr w:rsidR="00DF1FEF" w:rsidRPr="004D01B2" w:rsidTr="00DF1FEF">
        <w:trPr>
          <w:cantSplit/>
          <w:trHeight w:val="357"/>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GA.26</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Median CRA entitlement, by location, 2015</w:t>
            </w:r>
            <w:r w:rsidR="00080F6D">
              <w:t xml:space="preserve"> </w:t>
            </w:r>
          </w:p>
        </w:tc>
      </w:tr>
      <w:tr w:rsidR="00DF1FEF" w:rsidRPr="004D01B2" w:rsidTr="00DF1FEF">
        <w:trPr>
          <w:cantSplit/>
          <w:trHeight w:val="612"/>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GA.27</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Income units receiving CRA paying enough rent to be eligible for maximum assistance, by jurisdiction, 2010 to 2015 (per cent)</w:t>
            </w:r>
            <w:r w:rsidR="00080F6D">
              <w:t xml:space="preserve"> </w:t>
            </w:r>
          </w:p>
        </w:tc>
      </w:tr>
      <w:tr w:rsidR="00DF1FEF" w:rsidRPr="004D01B2" w:rsidTr="00DF1FEF">
        <w:trPr>
          <w:cantSplit/>
          <w:trHeight w:val="612"/>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GA.28</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Proportion of income units receiving CRA, paying more than 30 per cent of income on rent, with and without CRA, by special needs (per cent)</w:t>
            </w:r>
            <w:r w:rsidR="00080F6D">
              <w:t xml:space="preserve"> </w:t>
            </w:r>
          </w:p>
        </w:tc>
      </w:tr>
      <w:tr w:rsidR="00DF1FEF" w:rsidRPr="004D01B2" w:rsidTr="00DF1FEF">
        <w:trPr>
          <w:cantSplit/>
          <w:trHeight w:val="612"/>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GA.29</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Number and proportion of income units receiving CRA paying more than 30 per cent of income on rent, with and without CRA, by geographic location (per cent)</w:t>
            </w:r>
            <w:r w:rsidR="00080F6D">
              <w:t xml:space="preserve"> </w:t>
            </w:r>
          </w:p>
        </w:tc>
      </w:tr>
      <w:tr w:rsidR="00DF1FEF" w:rsidRPr="004D01B2" w:rsidTr="00DF1FEF">
        <w:trPr>
          <w:cantSplit/>
          <w:trHeight w:val="839"/>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GA.30</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Proportion of Aboriginal and Torres Strait Islander income units receiving CRA, paying more than 30 per cent of income on rent, with and without CRA, by geographic location (per cent)</w:t>
            </w:r>
            <w:r w:rsidR="00080F6D">
              <w:t xml:space="preserve"> </w:t>
            </w:r>
          </w:p>
        </w:tc>
      </w:tr>
      <w:tr w:rsidR="00DF1FEF" w:rsidRPr="004D01B2" w:rsidTr="00DF1FEF">
        <w:trPr>
          <w:cantSplit/>
          <w:trHeight w:val="839"/>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GA.31</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Proportion of income units receiving Disability Support Pension and CRA paying more than 30 per cent of income on rent, with and without CRA, by geographic location (per cent)</w:t>
            </w:r>
            <w:r w:rsidR="00080F6D">
              <w:t xml:space="preserve"> </w:t>
            </w:r>
          </w:p>
        </w:tc>
      </w:tr>
      <w:tr w:rsidR="00DF1FEF" w:rsidRPr="004D01B2" w:rsidTr="00DF1FEF">
        <w:trPr>
          <w:cantSplit/>
          <w:trHeight w:val="839"/>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GA.32</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Proportion of income units receiving CRA aged 24 years or under paying more than 30 per cent of income on rent, with and without CRA, by geographic location (per cent)</w:t>
            </w:r>
            <w:r w:rsidR="00080F6D">
              <w:t xml:space="preserve"> </w:t>
            </w:r>
          </w:p>
        </w:tc>
      </w:tr>
      <w:tr w:rsidR="00DF1FEF" w:rsidRPr="004D01B2" w:rsidTr="00DF1FEF">
        <w:trPr>
          <w:cantSplit/>
          <w:trHeight w:val="839"/>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GA.33</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Proportion of income units receiving CRA aged 75 years or over paying more than 30 per cent of income on rent, with and without CRA, by geographic location (per cent)</w:t>
            </w:r>
            <w:r w:rsidR="00080F6D">
              <w:t xml:space="preserve"> </w:t>
            </w:r>
          </w:p>
        </w:tc>
      </w:tr>
      <w:tr w:rsidR="00DF1FEF" w:rsidRPr="004D01B2" w:rsidTr="00DF1FEF">
        <w:trPr>
          <w:cantSplit/>
          <w:trHeight w:val="839"/>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GA.34</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Number and proportion of income units receiving CRA with more than 50 per cent of income spent on rent, with and without CRA, by special needs and geographic location, 2015 (per cent)</w:t>
            </w:r>
            <w:r w:rsidR="00080F6D">
              <w:t xml:space="preserve"> </w:t>
            </w:r>
          </w:p>
        </w:tc>
      </w:tr>
      <w:tr w:rsidR="00DF1FEF" w:rsidRPr="004D01B2" w:rsidTr="00DF1FEF">
        <w:trPr>
          <w:cantSplit/>
          <w:trHeight w:val="612"/>
        </w:trPr>
        <w:tc>
          <w:tcPr>
            <w:tcW w:w="1456" w:type="dxa"/>
            <w:tcBorders>
              <w:top w:val="nil"/>
              <w:left w:val="nil"/>
              <w:bottom w:val="nil"/>
              <w:right w:val="nil"/>
            </w:tcBorders>
            <w:shd w:val="clear" w:color="auto" w:fill="auto"/>
            <w:noWrap/>
          </w:tcPr>
          <w:p w:rsidR="00DF1FEF" w:rsidRPr="00DF1FEF" w:rsidRDefault="00DF1FEF" w:rsidP="00DF1FEF">
            <w:pPr>
              <w:pStyle w:val="Box"/>
              <w:keepNext w:val="0"/>
              <w:spacing w:before="60" w:after="60" w:line="240" w:lineRule="auto"/>
              <w:rPr>
                <w:b/>
              </w:rPr>
            </w:pPr>
            <w:r w:rsidRPr="00DF1FEF">
              <w:rPr>
                <w:b/>
              </w:rPr>
              <w:t>Table GA.35</w:t>
            </w:r>
          </w:p>
        </w:tc>
        <w:tc>
          <w:tcPr>
            <w:tcW w:w="7333" w:type="dxa"/>
            <w:tcBorders>
              <w:top w:val="nil"/>
              <w:left w:val="nil"/>
              <w:bottom w:val="nil"/>
              <w:right w:val="nil"/>
            </w:tcBorders>
            <w:shd w:val="clear" w:color="auto" w:fill="auto"/>
          </w:tcPr>
          <w:p w:rsidR="00DF1FEF" w:rsidRPr="00DF1FEF" w:rsidRDefault="00DF1FEF" w:rsidP="00DF1FEF">
            <w:pPr>
              <w:pStyle w:val="Box"/>
              <w:keepNext w:val="0"/>
              <w:spacing w:before="60" w:after="60" w:line="240" w:lineRule="auto"/>
            </w:pPr>
            <w:r w:rsidRPr="00DF1FEF">
              <w:t>General Government Final Consumption Expenditure, Chain price Index (GGFCE)</w:t>
            </w:r>
            <w:r w:rsidR="00080F6D">
              <w:t xml:space="preserve"> </w:t>
            </w:r>
          </w:p>
        </w:tc>
      </w:tr>
    </w:tbl>
    <w:p w:rsidR="00A23D81" w:rsidRPr="00875FB4" w:rsidRDefault="00A23D81" w:rsidP="00E86F55">
      <w:pPr>
        <w:pStyle w:val="Heading2"/>
      </w:pPr>
      <w:bookmarkStart w:id="22" w:name="_Toc401736872"/>
      <w:bookmarkStart w:id="23" w:name="_Toc439927315"/>
      <w:r w:rsidRPr="00875FB4">
        <w:lastRenderedPageBreak/>
        <w:t xml:space="preserve">G.6 </w:t>
      </w:r>
      <w:r w:rsidRPr="00875FB4">
        <w:tab/>
      </w:r>
      <w:r w:rsidRPr="00E86F55">
        <w:t>Definitions</w:t>
      </w:r>
      <w:r w:rsidRPr="00875FB4">
        <w:t xml:space="preserve"> of key terms</w:t>
      </w:r>
      <w:bookmarkEnd w:id="21"/>
      <w:bookmarkEnd w:id="22"/>
      <w:bookmarkEnd w:id="23"/>
    </w:p>
    <w:tbl>
      <w:tblPr>
        <w:tblW w:w="0" w:type="auto"/>
        <w:tblInd w:w="-5" w:type="dxa"/>
        <w:tblLayout w:type="fixed"/>
        <w:tblCellMar>
          <w:left w:w="0" w:type="dxa"/>
          <w:right w:w="0" w:type="dxa"/>
        </w:tblCellMar>
        <w:tblLook w:val="00A0" w:firstRow="1" w:lastRow="0" w:firstColumn="1" w:lastColumn="0" w:noHBand="0" w:noVBand="0"/>
      </w:tblPr>
      <w:tblGrid>
        <w:gridCol w:w="1848"/>
        <w:gridCol w:w="6941"/>
      </w:tblGrid>
      <w:tr w:rsidR="00BD38C6" w:rsidRPr="00A23D81" w:rsidTr="00E70B6A">
        <w:tc>
          <w:tcPr>
            <w:tcW w:w="1848" w:type="dxa"/>
          </w:tcPr>
          <w:p w:rsidR="00BD38C6" w:rsidRDefault="00BD38C6" w:rsidP="00186FBB">
            <w:pPr>
              <w:keepNext/>
              <w:keepLines/>
              <w:spacing w:before="120" w:after="120" w:line="220" w:lineRule="atLeast"/>
              <w:ind w:left="6" w:right="113"/>
              <w:rPr>
                <w:rFonts w:ascii="Arial" w:hAnsi="Arial"/>
                <w:b/>
                <w:color w:val="000000"/>
                <w:sz w:val="20"/>
                <w:szCs w:val="20"/>
              </w:rPr>
            </w:pPr>
            <w:r>
              <w:rPr>
                <w:rFonts w:ascii="Arial" w:hAnsi="Arial"/>
                <w:b/>
                <w:color w:val="000000"/>
                <w:sz w:val="20"/>
                <w:szCs w:val="20"/>
              </w:rPr>
              <w:t>Aboriginal and Torres Strait Islander household</w:t>
            </w:r>
          </w:p>
        </w:tc>
        <w:tc>
          <w:tcPr>
            <w:tcW w:w="6941" w:type="dxa"/>
          </w:tcPr>
          <w:p w:rsidR="00BD38C6" w:rsidRPr="00466F3B" w:rsidRDefault="00BD38C6" w:rsidP="00186FBB">
            <w:pPr>
              <w:keepNext/>
              <w:keepLines/>
              <w:spacing w:before="120" w:after="120" w:line="220" w:lineRule="atLeast"/>
              <w:ind w:left="6" w:right="113"/>
              <w:jc w:val="both"/>
              <w:rPr>
                <w:rFonts w:ascii="Arial" w:hAnsi="Arial"/>
                <w:color w:val="000000"/>
                <w:sz w:val="20"/>
                <w:szCs w:val="20"/>
              </w:rPr>
            </w:pPr>
            <w:r w:rsidRPr="00BD38C6">
              <w:rPr>
                <w:rFonts w:ascii="Arial" w:hAnsi="Arial"/>
                <w:color w:val="000000"/>
                <w:sz w:val="20"/>
                <w:szCs w:val="20"/>
              </w:rPr>
              <w:t>A household with at least one resident who has been identified as being of Aboriginal or Torres Strait Islander origin. Other residents of the household may have been identified as being of Aboriginal or Torres Strait Islander o</w:t>
            </w:r>
            <w:r w:rsidR="00AD7FDB">
              <w:rPr>
                <w:rFonts w:ascii="Arial" w:hAnsi="Arial"/>
                <w:color w:val="000000"/>
                <w:sz w:val="20"/>
                <w:szCs w:val="20"/>
              </w:rPr>
              <w:t>rigin, non</w:t>
            </w:r>
            <w:r w:rsidR="00C9055F">
              <w:rPr>
                <w:rFonts w:ascii="Arial" w:hAnsi="Arial"/>
                <w:color w:val="000000"/>
                <w:sz w:val="20"/>
                <w:szCs w:val="20"/>
              </w:rPr>
              <w:noBreakHyphen/>
            </w:r>
            <w:r w:rsidR="00AD7FDB">
              <w:rPr>
                <w:rFonts w:ascii="Arial" w:hAnsi="Arial"/>
                <w:color w:val="000000"/>
                <w:sz w:val="20"/>
                <w:szCs w:val="20"/>
              </w:rPr>
              <w:t xml:space="preserve">Indigenous, or have Aboriginal or Torres Strait Islander </w:t>
            </w:r>
            <w:r w:rsidRPr="00BD38C6">
              <w:rPr>
                <w:rFonts w:ascii="Arial" w:hAnsi="Arial"/>
                <w:color w:val="000000"/>
                <w:sz w:val="20"/>
                <w:szCs w:val="20"/>
              </w:rPr>
              <w:t>status unknown</w:t>
            </w:r>
            <w:r w:rsidR="004B5244">
              <w:rPr>
                <w:rFonts w:ascii="Arial" w:hAnsi="Arial"/>
                <w:color w:val="000000"/>
                <w:sz w:val="20"/>
                <w:szCs w:val="20"/>
              </w:rPr>
              <w:t>.</w:t>
            </w:r>
          </w:p>
        </w:tc>
      </w:tr>
      <w:tr w:rsidR="00466F3B" w:rsidRPr="00A23D81" w:rsidTr="00E70B6A">
        <w:tc>
          <w:tcPr>
            <w:tcW w:w="1848" w:type="dxa"/>
          </w:tcPr>
          <w:p w:rsidR="00466F3B" w:rsidRPr="00554F31" w:rsidRDefault="00466F3B" w:rsidP="00186FBB">
            <w:pPr>
              <w:keepNext/>
              <w:keepLines/>
              <w:spacing w:before="120" w:after="120" w:line="220" w:lineRule="atLeast"/>
              <w:ind w:left="6" w:right="113"/>
              <w:rPr>
                <w:rFonts w:ascii="Arial" w:hAnsi="Arial"/>
                <w:color w:val="000000"/>
                <w:sz w:val="20"/>
                <w:szCs w:val="20"/>
              </w:rPr>
            </w:pPr>
            <w:r>
              <w:rPr>
                <w:rFonts w:ascii="Arial" w:hAnsi="Arial"/>
                <w:b/>
                <w:color w:val="000000"/>
                <w:sz w:val="20"/>
                <w:szCs w:val="20"/>
              </w:rPr>
              <w:t>Affordability</w:t>
            </w:r>
          </w:p>
        </w:tc>
        <w:tc>
          <w:tcPr>
            <w:tcW w:w="6941" w:type="dxa"/>
          </w:tcPr>
          <w:p w:rsidR="00466F3B" w:rsidRPr="00554F31" w:rsidRDefault="00466F3B" w:rsidP="00186FBB">
            <w:pPr>
              <w:keepNext/>
              <w:keepLines/>
              <w:spacing w:before="120" w:after="120" w:line="220" w:lineRule="atLeast"/>
              <w:ind w:left="6" w:right="113"/>
              <w:jc w:val="both"/>
              <w:rPr>
                <w:rFonts w:ascii="Arial" w:hAnsi="Arial"/>
                <w:color w:val="000000"/>
                <w:sz w:val="20"/>
                <w:szCs w:val="20"/>
              </w:rPr>
            </w:pPr>
            <w:r w:rsidRPr="00466F3B">
              <w:rPr>
                <w:rFonts w:ascii="Arial" w:hAnsi="Arial"/>
                <w:color w:val="000000"/>
                <w:sz w:val="20"/>
                <w:szCs w:val="20"/>
              </w:rPr>
              <w:t>Affordability (without CRA) is calculated for all income units receiving CRA by dividing Rent by Total Income from all sources. The CRA entitlement for the reference fortnight in June is included in Total</w:t>
            </w:r>
            <w:r w:rsidR="00994AC4">
              <w:rPr>
                <w:rFonts w:ascii="Arial" w:hAnsi="Arial"/>
                <w:color w:val="000000"/>
                <w:sz w:val="20"/>
                <w:szCs w:val="20"/>
              </w:rPr>
              <w:t xml:space="preserve"> </w:t>
            </w:r>
            <w:r w:rsidRPr="00466F3B">
              <w:rPr>
                <w:rFonts w:ascii="Arial" w:hAnsi="Arial"/>
                <w:color w:val="000000"/>
                <w:sz w:val="20"/>
                <w:szCs w:val="20"/>
              </w:rPr>
              <w:t>Income from all sources for the calculation of aff</w:t>
            </w:r>
            <w:r>
              <w:rPr>
                <w:rFonts w:ascii="Arial" w:hAnsi="Arial"/>
                <w:color w:val="000000"/>
                <w:sz w:val="20"/>
                <w:szCs w:val="20"/>
              </w:rPr>
              <w:t>ordability with CRA.</w:t>
            </w:r>
          </w:p>
        </w:tc>
      </w:tr>
      <w:tr w:rsidR="00A3655E" w:rsidRPr="00A23D81" w:rsidTr="00E70B6A">
        <w:trPr>
          <w:trHeight w:val="810"/>
        </w:trPr>
        <w:tc>
          <w:tcPr>
            <w:tcW w:w="1848" w:type="dxa"/>
          </w:tcPr>
          <w:p w:rsidR="00A3655E" w:rsidRPr="00554F31" w:rsidRDefault="00A3655E" w:rsidP="00186FBB">
            <w:pPr>
              <w:keepNext/>
              <w:keepLines/>
              <w:spacing w:before="120" w:after="120" w:line="220" w:lineRule="atLeast"/>
              <w:ind w:left="6" w:right="113"/>
              <w:rPr>
                <w:rFonts w:ascii="Arial" w:hAnsi="Arial"/>
                <w:b/>
                <w:color w:val="000000"/>
                <w:sz w:val="20"/>
                <w:szCs w:val="20"/>
              </w:rPr>
            </w:pPr>
            <w:r>
              <w:rPr>
                <w:rFonts w:ascii="Arial" w:hAnsi="Arial"/>
                <w:b/>
                <w:color w:val="000000"/>
                <w:sz w:val="20"/>
                <w:szCs w:val="20"/>
              </w:rPr>
              <w:t>Commonwealth Rent Assistance (CRA)</w:t>
            </w:r>
          </w:p>
        </w:tc>
        <w:tc>
          <w:tcPr>
            <w:tcW w:w="6941" w:type="dxa"/>
          </w:tcPr>
          <w:p w:rsidR="00A3655E" w:rsidRPr="00082B71" w:rsidRDefault="00A3655E" w:rsidP="004B7099">
            <w:pPr>
              <w:keepNext/>
              <w:keepLines/>
              <w:spacing w:before="120" w:after="120" w:line="220" w:lineRule="atLeast"/>
              <w:ind w:left="6" w:right="113"/>
              <w:jc w:val="both"/>
              <w:rPr>
                <w:rFonts w:ascii="Arial" w:hAnsi="Arial"/>
                <w:color w:val="000000" w:themeColor="text1"/>
                <w:sz w:val="20"/>
                <w:szCs w:val="20"/>
              </w:rPr>
            </w:pPr>
            <w:r>
              <w:rPr>
                <w:rFonts w:ascii="Arial" w:hAnsi="Arial"/>
                <w:color w:val="000000" w:themeColor="text1"/>
                <w:sz w:val="20"/>
                <w:szCs w:val="20"/>
              </w:rPr>
              <w:t>A</w:t>
            </w:r>
            <w:r w:rsidRPr="002E567C">
              <w:rPr>
                <w:rFonts w:ascii="Arial" w:hAnsi="Arial"/>
                <w:color w:val="000000" w:themeColor="text1"/>
                <w:sz w:val="20"/>
                <w:szCs w:val="20"/>
              </w:rPr>
              <w:t xml:space="preserve"> fortnightly supplement paid to two types of renter in private and community</w:t>
            </w:r>
            <w:r>
              <w:rPr>
                <w:rFonts w:ascii="Arial" w:hAnsi="Arial"/>
                <w:color w:val="000000" w:themeColor="text1"/>
                <w:sz w:val="20"/>
                <w:szCs w:val="20"/>
              </w:rPr>
              <w:t xml:space="preserve"> </w:t>
            </w:r>
            <w:r w:rsidRPr="002E567C">
              <w:rPr>
                <w:rFonts w:ascii="Arial" w:hAnsi="Arial"/>
                <w:color w:val="000000" w:themeColor="text1"/>
                <w:sz w:val="20"/>
                <w:szCs w:val="20"/>
              </w:rPr>
              <w:t>housing: income support recipients (for example, people receiving the Disability Support</w:t>
            </w:r>
            <w:r>
              <w:rPr>
                <w:rFonts w:ascii="Arial" w:hAnsi="Arial"/>
                <w:color w:val="000000" w:themeColor="text1"/>
                <w:sz w:val="20"/>
                <w:szCs w:val="20"/>
              </w:rPr>
              <w:t xml:space="preserve"> </w:t>
            </w:r>
            <w:r w:rsidRPr="002E567C">
              <w:rPr>
                <w:rFonts w:ascii="Arial" w:hAnsi="Arial"/>
                <w:color w:val="000000" w:themeColor="text1"/>
                <w:sz w:val="20"/>
                <w:szCs w:val="20"/>
              </w:rPr>
              <w:t>Pension), and low</w:t>
            </w:r>
            <w:r>
              <w:rPr>
                <w:rFonts w:ascii="Arial" w:hAnsi="Arial"/>
                <w:color w:val="000000" w:themeColor="text1"/>
                <w:sz w:val="20"/>
                <w:szCs w:val="20"/>
              </w:rPr>
              <w:t>–</w:t>
            </w:r>
            <w:r w:rsidRPr="002E567C">
              <w:rPr>
                <w:rFonts w:ascii="Arial" w:hAnsi="Arial"/>
                <w:color w:val="000000" w:themeColor="text1"/>
                <w:sz w:val="20"/>
                <w:szCs w:val="20"/>
              </w:rPr>
              <w:t xml:space="preserve"> and moderate</w:t>
            </w:r>
            <w:r>
              <w:rPr>
                <w:rFonts w:ascii="Arial" w:hAnsi="Arial"/>
                <w:color w:val="000000" w:themeColor="text1"/>
                <w:sz w:val="20"/>
                <w:szCs w:val="20"/>
              </w:rPr>
              <w:t>–</w:t>
            </w:r>
            <w:r w:rsidRPr="002E567C">
              <w:rPr>
                <w:rFonts w:ascii="Arial" w:hAnsi="Arial"/>
                <w:color w:val="000000" w:themeColor="text1"/>
                <w:sz w:val="20"/>
                <w:szCs w:val="20"/>
              </w:rPr>
              <w:t>income families with children</w:t>
            </w:r>
            <w:r w:rsidR="004B7099">
              <w:rPr>
                <w:rFonts w:ascii="Arial" w:hAnsi="Arial"/>
                <w:color w:val="000000" w:themeColor="text1"/>
                <w:sz w:val="20"/>
                <w:szCs w:val="20"/>
              </w:rPr>
              <w:t xml:space="preserve"> receiving more than the base rate of Family Tax Benefit Part A</w:t>
            </w:r>
            <w:r w:rsidRPr="002E567C">
              <w:rPr>
                <w:rFonts w:ascii="Arial" w:hAnsi="Arial"/>
                <w:color w:val="000000" w:themeColor="text1"/>
                <w:sz w:val="20"/>
                <w:szCs w:val="20"/>
              </w:rPr>
              <w:t>. Payment of CRA continues</w:t>
            </w:r>
            <w:r>
              <w:rPr>
                <w:rFonts w:ascii="Arial" w:hAnsi="Arial"/>
                <w:color w:val="000000" w:themeColor="text1"/>
                <w:sz w:val="20"/>
                <w:szCs w:val="20"/>
              </w:rPr>
              <w:t xml:space="preserve"> </w:t>
            </w:r>
            <w:r w:rsidRPr="002E567C">
              <w:rPr>
                <w:rFonts w:ascii="Arial" w:hAnsi="Arial"/>
                <w:color w:val="000000" w:themeColor="text1"/>
                <w:sz w:val="20"/>
                <w:szCs w:val="20"/>
              </w:rPr>
              <w:t xml:space="preserve">as long as recipients </w:t>
            </w:r>
            <w:r w:rsidR="004B7099">
              <w:rPr>
                <w:rFonts w:ascii="Arial" w:hAnsi="Arial"/>
                <w:color w:val="000000" w:themeColor="text1"/>
                <w:sz w:val="20"/>
                <w:szCs w:val="20"/>
              </w:rPr>
              <w:t>are eligible for their primary payment and continue to pay rent above the applicable threshold.</w:t>
            </w:r>
          </w:p>
        </w:tc>
      </w:tr>
      <w:tr w:rsidR="00A3655E" w:rsidRPr="00A23D81" w:rsidTr="00E70B6A">
        <w:trPr>
          <w:trHeight w:val="810"/>
        </w:trPr>
        <w:tc>
          <w:tcPr>
            <w:tcW w:w="1848" w:type="dxa"/>
          </w:tcPr>
          <w:p w:rsidR="00A3655E" w:rsidRDefault="00A3655E" w:rsidP="000701D5">
            <w:pPr>
              <w:keepNext/>
              <w:keepLines/>
              <w:spacing w:before="120" w:after="120" w:line="220" w:lineRule="atLeast"/>
              <w:ind w:left="6" w:right="113"/>
              <w:rPr>
                <w:rFonts w:ascii="Arial" w:hAnsi="Arial"/>
                <w:b/>
                <w:color w:val="000000"/>
                <w:sz w:val="20"/>
                <w:szCs w:val="20"/>
              </w:rPr>
            </w:pPr>
            <w:r w:rsidRPr="00E04929">
              <w:rPr>
                <w:rFonts w:ascii="Arial" w:hAnsi="Arial"/>
                <w:b/>
                <w:sz w:val="20"/>
                <w:szCs w:val="20"/>
              </w:rPr>
              <w:t>Canadian National Occupancy Standard</w:t>
            </w:r>
            <w:r w:rsidR="00E04929" w:rsidRPr="00E04929">
              <w:rPr>
                <w:rFonts w:ascii="Arial" w:hAnsi="Arial"/>
                <w:b/>
                <w:sz w:val="20"/>
                <w:szCs w:val="20"/>
              </w:rPr>
              <w:t xml:space="preserve"> </w:t>
            </w:r>
          </w:p>
        </w:tc>
        <w:tc>
          <w:tcPr>
            <w:tcW w:w="6941" w:type="dxa"/>
          </w:tcPr>
          <w:p w:rsidR="00E04929" w:rsidRPr="00E04929" w:rsidRDefault="00E04929" w:rsidP="00E04929">
            <w:pPr>
              <w:pStyle w:val="TableBodyText"/>
              <w:spacing w:before="120" w:after="120"/>
              <w:jc w:val="both"/>
              <w:rPr>
                <w:rFonts w:cs="Arial"/>
                <w:sz w:val="20"/>
              </w:rPr>
            </w:pPr>
            <w:r w:rsidRPr="00E04929">
              <w:rPr>
                <w:rFonts w:cs="Arial"/>
                <w:sz w:val="20"/>
              </w:rPr>
              <w:t>A standardised measure of housing utilisation and overcrowding</w:t>
            </w:r>
            <w:r w:rsidR="000479D0">
              <w:rPr>
                <w:rFonts w:cs="Arial"/>
                <w:sz w:val="20"/>
              </w:rPr>
              <w:t xml:space="preserve"> that </w:t>
            </w:r>
            <w:r w:rsidRPr="00E04929">
              <w:rPr>
                <w:rFonts w:cs="Arial"/>
                <w:sz w:val="20"/>
              </w:rPr>
              <w:t>assesses a household</w:t>
            </w:r>
            <w:r w:rsidR="00C9055F">
              <w:rPr>
                <w:rFonts w:cs="Arial"/>
                <w:sz w:val="20"/>
              </w:rPr>
              <w:t>’</w:t>
            </w:r>
            <w:r w:rsidRPr="00E04929">
              <w:rPr>
                <w:rFonts w:cs="Arial"/>
                <w:sz w:val="20"/>
              </w:rPr>
              <w:t>s bedroom requirements by specifying that:</w:t>
            </w:r>
          </w:p>
          <w:p w:rsidR="00E04929" w:rsidRPr="00E04929" w:rsidRDefault="00E04929" w:rsidP="00E04929">
            <w:pPr>
              <w:pStyle w:val="TableBullet"/>
              <w:spacing w:before="120" w:after="120"/>
              <w:rPr>
                <w:rFonts w:cs="Arial"/>
                <w:sz w:val="20"/>
              </w:rPr>
            </w:pPr>
            <w:r w:rsidRPr="00E04929">
              <w:rPr>
                <w:rFonts w:cs="Arial"/>
                <w:sz w:val="20"/>
              </w:rPr>
              <w:t>there should be no more than two people per bedroom</w:t>
            </w:r>
          </w:p>
          <w:p w:rsidR="00E04929" w:rsidRPr="00E04929" w:rsidRDefault="00E04929" w:rsidP="00E04929">
            <w:pPr>
              <w:pStyle w:val="TableBullet"/>
              <w:spacing w:before="120" w:after="120"/>
              <w:rPr>
                <w:rFonts w:cs="Arial"/>
                <w:sz w:val="20"/>
              </w:rPr>
            </w:pPr>
            <w:r w:rsidRPr="00E04929">
              <w:rPr>
                <w:rFonts w:cs="Arial"/>
                <w:sz w:val="20"/>
              </w:rPr>
              <w:t>a household of one unattached individual may reasonably occupy a bed–sit (i.e. have no bedroom)</w:t>
            </w:r>
          </w:p>
          <w:p w:rsidR="00E04929" w:rsidRPr="00E04929" w:rsidRDefault="00E04929" w:rsidP="00E04929">
            <w:pPr>
              <w:pStyle w:val="TableBullet"/>
              <w:spacing w:before="120" w:after="120"/>
              <w:rPr>
                <w:rFonts w:cs="Arial"/>
                <w:sz w:val="20"/>
              </w:rPr>
            </w:pPr>
            <w:r w:rsidRPr="00E04929">
              <w:rPr>
                <w:rFonts w:cs="Arial"/>
                <w:sz w:val="20"/>
              </w:rPr>
              <w:t>couples and parents should have a separate bedroom</w:t>
            </w:r>
          </w:p>
          <w:p w:rsidR="00E04929" w:rsidRPr="00E04929" w:rsidRDefault="00E04929" w:rsidP="00E04929">
            <w:pPr>
              <w:pStyle w:val="TableBullet"/>
              <w:spacing w:before="120" w:after="120"/>
              <w:rPr>
                <w:rFonts w:cs="Arial"/>
                <w:sz w:val="20"/>
              </w:rPr>
            </w:pPr>
            <w:r w:rsidRPr="00E04929">
              <w:rPr>
                <w:rFonts w:cs="Arial"/>
                <w:sz w:val="20"/>
              </w:rPr>
              <w:t xml:space="preserve">children less than </w:t>
            </w:r>
            <w:r w:rsidR="00496092">
              <w:rPr>
                <w:rFonts w:cs="Arial"/>
                <w:sz w:val="20"/>
              </w:rPr>
              <w:t>5</w:t>
            </w:r>
            <w:r w:rsidRPr="00E04929">
              <w:rPr>
                <w:rFonts w:cs="Arial"/>
                <w:sz w:val="20"/>
              </w:rPr>
              <w:t xml:space="preserve"> years of age of different sexes may reasonably share a bedroom</w:t>
            </w:r>
          </w:p>
          <w:p w:rsidR="00E04929" w:rsidRPr="00E04929" w:rsidRDefault="00E04929" w:rsidP="00E04929">
            <w:pPr>
              <w:pStyle w:val="TableBullet"/>
              <w:spacing w:before="120" w:after="120"/>
              <w:rPr>
                <w:rFonts w:cs="Arial"/>
                <w:sz w:val="20"/>
              </w:rPr>
            </w:pPr>
            <w:r w:rsidRPr="00E04929">
              <w:rPr>
                <w:rFonts w:cs="Arial"/>
                <w:sz w:val="20"/>
              </w:rPr>
              <w:t xml:space="preserve">children </w:t>
            </w:r>
            <w:r w:rsidR="00496092">
              <w:rPr>
                <w:rFonts w:cs="Arial"/>
                <w:sz w:val="20"/>
              </w:rPr>
              <w:t>5</w:t>
            </w:r>
            <w:r w:rsidRPr="00E04929">
              <w:rPr>
                <w:rFonts w:cs="Arial"/>
                <w:sz w:val="20"/>
              </w:rPr>
              <w:t xml:space="preserve"> years or over of </w:t>
            </w:r>
            <w:r w:rsidR="00496092">
              <w:rPr>
                <w:rFonts w:cs="Arial"/>
                <w:sz w:val="20"/>
              </w:rPr>
              <w:t>different</w:t>
            </w:r>
            <w:r w:rsidRPr="00E04929">
              <w:rPr>
                <w:rFonts w:cs="Arial"/>
                <w:sz w:val="20"/>
              </w:rPr>
              <w:t xml:space="preserve"> sex</w:t>
            </w:r>
            <w:r w:rsidR="00496092">
              <w:rPr>
                <w:rFonts w:cs="Arial"/>
                <w:sz w:val="20"/>
              </w:rPr>
              <w:t>es</w:t>
            </w:r>
            <w:r w:rsidRPr="00E04929">
              <w:rPr>
                <w:rFonts w:cs="Arial"/>
                <w:sz w:val="20"/>
              </w:rPr>
              <w:t xml:space="preserve"> should not share a </w:t>
            </w:r>
            <w:r w:rsidR="00496092">
              <w:rPr>
                <w:rFonts w:cs="Arial"/>
                <w:sz w:val="20"/>
              </w:rPr>
              <w:t>b</w:t>
            </w:r>
            <w:r w:rsidRPr="00E04929">
              <w:rPr>
                <w:rFonts w:cs="Arial"/>
                <w:sz w:val="20"/>
              </w:rPr>
              <w:t>edroom</w:t>
            </w:r>
          </w:p>
          <w:p w:rsidR="000479D0" w:rsidRPr="00E04929" w:rsidRDefault="00E04929" w:rsidP="00E04929">
            <w:pPr>
              <w:pStyle w:val="TableBullet"/>
              <w:spacing w:before="120" w:after="120"/>
              <w:rPr>
                <w:rFonts w:cs="Arial"/>
                <w:sz w:val="20"/>
              </w:rPr>
            </w:pPr>
            <w:r w:rsidRPr="00E04929">
              <w:rPr>
                <w:rFonts w:cs="Arial"/>
                <w:sz w:val="20"/>
              </w:rPr>
              <w:t>children less than 18 years of age and of the same sex may reasonably share a bedroom</w:t>
            </w:r>
          </w:p>
          <w:p w:rsidR="00A3655E" w:rsidRPr="00B71F30" w:rsidRDefault="00E04929" w:rsidP="00B71F30">
            <w:pPr>
              <w:pStyle w:val="TableBullet"/>
              <w:spacing w:before="120" w:after="120"/>
              <w:rPr>
                <w:color w:val="000000" w:themeColor="text1"/>
                <w:sz w:val="20"/>
              </w:rPr>
            </w:pPr>
            <w:r w:rsidRPr="00B71F30">
              <w:rPr>
                <w:rFonts w:cs="Arial"/>
                <w:sz w:val="20"/>
              </w:rPr>
              <w:t>single household members aged 18 years or over should have a separate bedroom.</w:t>
            </w:r>
          </w:p>
        </w:tc>
      </w:tr>
      <w:tr w:rsidR="00D569A9" w:rsidRPr="00A23D81" w:rsidTr="00E70B6A">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Dependent child</w:t>
            </w:r>
            <w:r w:rsidR="0015398E">
              <w:rPr>
                <w:rFonts w:ascii="Arial" w:hAnsi="Arial"/>
                <w:b/>
                <w:color w:val="000000"/>
                <w:sz w:val="20"/>
                <w:szCs w:val="20"/>
              </w:rPr>
              <w:t xml:space="preserve"> for CRA</w:t>
            </w:r>
          </w:p>
        </w:tc>
        <w:tc>
          <w:tcPr>
            <w:tcW w:w="6941" w:type="dxa"/>
          </w:tcPr>
          <w:p w:rsidR="00A23D81" w:rsidRPr="00082B71" w:rsidRDefault="00785831" w:rsidP="00C9055F">
            <w:pPr>
              <w:keepNext/>
              <w:keepLines/>
              <w:spacing w:before="120" w:after="120" w:line="220" w:lineRule="atLeast"/>
              <w:ind w:left="6" w:right="113"/>
              <w:jc w:val="both"/>
              <w:rPr>
                <w:rFonts w:ascii="Arial" w:hAnsi="Arial"/>
                <w:color w:val="000000" w:themeColor="text1"/>
                <w:sz w:val="20"/>
                <w:szCs w:val="20"/>
              </w:rPr>
            </w:pPr>
            <w:r w:rsidRPr="00082B71">
              <w:rPr>
                <w:rFonts w:ascii="Arial" w:hAnsi="Arial"/>
                <w:color w:val="000000" w:themeColor="text1"/>
                <w:sz w:val="20"/>
                <w:szCs w:val="20"/>
              </w:rPr>
              <w:t xml:space="preserve">Dependent child has a wider meaning under Social Security and Family Assistance law than is used in this chapter in relation to CRA. In this chapter, a dependent child is one in respect of whom an adult member of the income unit receives Family Tax Benefit </w:t>
            </w:r>
            <w:r w:rsidR="0015398E">
              <w:rPr>
                <w:rFonts w:ascii="Arial" w:hAnsi="Arial"/>
                <w:color w:val="000000" w:themeColor="text1"/>
                <w:sz w:val="20"/>
                <w:szCs w:val="20"/>
              </w:rPr>
              <w:t xml:space="preserve">(FTB) Part A </w:t>
            </w:r>
            <w:r w:rsidRPr="00082B71">
              <w:rPr>
                <w:rFonts w:ascii="Arial" w:hAnsi="Arial"/>
                <w:color w:val="000000" w:themeColor="text1"/>
                <w:sz w:val="20"/>
                <w:szCs w:val="20"/>
              </w:rPr>
              <w:t xml:space="preserve">at more than </w:t>
            </w:r>
            <w:r w:rsidR="00B93F17" w:rsidRPr="00082B71">
              <w:rPr>
                <w:rFonts w:ascii="Arial" w:hAnsi="Arial"/>
                <w:color w:val="000000" w:themeColor="text1"/>
                <w:sz w:val="20"/>
                <w:szCs w:val="20"/>
              </w:rPr>
              <w:t xml:space="preserve">the </w:t>
            </w:r>
            <w:r w:rsidRPr="00082B71">
              <w:rPr>
                <w:rFonts w:ascii="Arial" w:hAnsi="Arial"/>
                <w:color w:val="000000" w:themeColor="text1"/>
                <w:sz w:val="20"/>
                <w:szCs w:val="20"/>
              </w:rPr>
              <w:t>base rate. Prior to 1 January 2012, children aged 16 or older att</w:t>
            </w:r>
            <w:r w:rsidR="00B93F17" w:rsidRPr="00082B71">
              <w:rPr>
                <w:rFonts w:ascii="Arial" w:hAnsi="Arial"/>
                <w:color w:val="000000" w:themeColor="text1"/>
                <w:sz w:val="20"/>
                <w:szCs w:val="20"/>
              </w:rPr>
              <w:t xml:space="preserve">racted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so are not included in the count of dependent children. From January 2012 children aged 16 to 19 years attending secondary school may now</w:t>
            </w:r>
            <w:r w:rsidR="00994AC4">
              <w:rPr>
                <w:rFonts w:ascii="Arial" w:hAnsi="Arial"/>
                <w:color w:val="000000" w:themeColor="text1"/>
                <w:sz w:val="20"/>
                <w:szCs w:val="20"/>
              </w:rPr>
              <w:t xml:space="preserve"> </w:t>
            </w:r>
            <w:r w:rsidRPr="00082B71">
              <w:rPr>
                <w:rFonts w:ascii="Arial" w:hAnsi="Arial"/>
                <w:color w:val="000000" w:themeColor="text1"/>
                <w:sz w:val="20"/>
                <w:szCs w:val="20"/>
              </w:rPr>
              <w:t xml:space="preserve">receive more than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Figures f</w:t>
            </w:r>
            <w:r w:rsidR="0015398E">
              <w:rPr>
                <w:rFonts w:ascii="Arial" w:hAnsi="Arial"/>
                <w:color w:val="000000" w:themeColor="text1"/>
                <w:sz w:val="20"/>
                <w:szCs w:val="20"/>
              </w:rPr>
              <w:t>rom June 2013</w:t>
            </w:r>
            <w:r w:rsidRPr="00082B71">
              <w:rPr>
                <w:rFonts w:ascii="Arial" w:hAnsi="Arial"/>
                <w:color w:val="000000" w:themeColor="text1"/>
                <w:sz w:val="20"/>
                <w:szCs w:val="20"/>
              </w:rPr>
              <w:t xml:space="preserve"> include 16 to 19 years old who receive more than the base rate of FTB </w:t>
            </w:r>
            <w:r w:rsidR="005C1D56">
              <w:rPr>
                <w:rFonts w:ascii="Arial" w:hAnsi="Arial"/>
                <w:color w:val="000000" w:themeColor="text1"/>
                <w:sz w:val="20"/>
                <w:szCs w:val="20"/>
              </w:rPr>
              <w:t xml:space="preserve">Part A. </w:t>
            </w:r>
            <w:r w:rsidRPr="00082B71">
              <w:rPr>
                <w:rFonts w:ascii="Arial" w:hAnsi="Arial"/>
                <w:color w:val="000000" w:themeColor="text1"/>
                <w:sz w:val="20"/>
                <w:szCs w:val="20"/>
              </w:rPr>
              <w:t xml:space="preserve">Some children </w:t>
            </w:r>
            <w:r w:rsidR="0015398E">
              <w:rPr>
                <w:rFonts w:ascii="Arial" w:hAnsi="Arial"/>
                <w:color w:val="000000" w:themeColor="text1"/>
                <w:sz w:val="20"/>
                <w:szCs w:val="20"/>
              </w:rPr>
              <w:t xml:space="preserve">under 20 </w:t>
            </w:r>
            <w:r w:rsidRPr="00082B71">
              <w:rPr>
                <w:rFonts w:ascii="Arial" w:hAnsi="Arial"/>
                <w:color w:val="000000" w:themeColor="text1"/>
                <w:sz w:val="20"/>
                <w:szCs w:val="20"/>
              </w:rPr>
              <w:t xml:space="preserve">years </w:t>
            </w:r>
            <w:r w:rsidR="0015398E">
              <w:rPr>
                <w:rFonts w:ascii="Arial" w:hAnsi="Arial"/>
                <w:color w:val="000000" w:themeColor="text1"/>
                <w:sz w:val="20"/>
                <w:szCs w:val="20"/>
              </w:rPr>
              <w:t xml:space="preserve">of age attract </w:t>
            </w:r>
            <w:r w:rsidRPr="00082B71">
              <w:rPr>
                <w:rFonts w:ascii="Arial" w:hAnsi="Arial"/>
                <w:color w:val="000000" w:themeColor="text1"/>
                <w:sz w:val="20"/>
                <w:szCs w:val="20"/>
              </w:rPr>
              <w:t xml:space="preserve">the base rate of FTB </w:t>
            </w:r>
            <w:r w:rsidR="0015398E">
              <w:rPr>
                <w:rFonts w:ascii="Arial" w:hAnsi="Arial"/>
                <w:color w:val="000000" w:themeColor="text1"/>
                <w:sz w:val="20"/>
                <w:szCs w:val="20"/>
              </w:rPr>
              <w:t>Part A only and may not be eligible to be counted for CRA entitlement.</w:t>
            </w:r>
          </w:p>
        </w:tc>
      </w:tr>
      <w:tr w:rsidR="00D569A9" w:rsidRPr="00A23D81" w:rsidTr="00E70B6A">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Income support recipient</w:t>
            </w:r>
          </w:p>
        </w:tc>
        <w:tc>
          <w:tcPr>
            <w:tcW w:w="6941" w:type="dxa"/>
          </w:tcPr>
          <w:p w:rsidR="00BD212A"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Recipients in receipt of a payment made under social security law. </w:t>
            </w:r>
            <w:r w:rsidR="0015398E" w:rsidRPr="0015398E">
              <w:rPr>
                <w:rFonts w:ascii="Arial" w:hAnsi="Arial"/>
                <w:color w:val="000000"/>
                <w:sz w:val="20"/>
                <w:szCs w:val="20"/>
              </w:rPr>
              <w:t>Under the Machinery of Government changes announced on the 18 September 2013 Income Support Payments administered under social security law are now the responsibility of the Department of Social Services</w:t>
            </w:r>
            <w:r w:rsidR="0015398E">
              <w:rPr>
                <w:rFonts w:ascii="Arial" w:hAnsi="Arial"/>
                <w:color w:val="000000"/>
                <w:sz w:val="20"/>
                <w:szCs w:val="20"/>
              </w:rPr>
              <w:t xml:space="preserve">. </w:t>
            </w:r>
            <w:r w:rsidRPr="00554F31">
              <w:rPr>
                <w:rFonts w:ascii="Arial" w:hAnsi="Arial"/>
                <w:color w:val="000000"/>
                <w:sz w:val="20"/>
                <w:szCs w:val="20"/>
              </w:rPr>
              <w:t>Family Tax Benefit is paid under family assistance law and is not an income support payment.</w:t>
            </w:r>
          </w:p>
        </w:tc>
      </w:tr>
      <w:tr w:rsidR="00D569A9" w:rsidRPr="00A23D81" w:rsidTr="00E70B6A">
        <w:trPr>
          <w:cantSplit/>
        </w:trPr>
        <w:tc>
          <w:tcPr>
            <w:tcW w:w="1848" w:type="dxa"/>
          </w:tcPr>
          <w:p w:rsidR="00A23D81" w:rsidRPr="00554F31" w:rsidRDefault="00A23D81" w:rsidP="00186FBB">
            <w:pPr>
              <w:keepNext/>
              <w:keepLines/>
              <w:spacing w:before="120" w:after="120" w:line="220" w:lineRule="atLeast"/>
              <w:ind w:left="6" w:right="113"/>
              <w:rPr>
                <w:color w:val="000000"/>
                <w:sz w:val="20"/>
                <w:szCs w:val="20"/>
              </w:rPr>
            </w:pPr>
            <w:r w:rsidRPr="00554F31">
              <w:rPr>
                <w:color w:val="000000"/>
                <w:sz w:val="20"/>
                <w:szCs w:val="20"/>
              </w:rPr>
              <w:lastRenderedPageBreak/>
              <w:br w:type="page"/>
            </w:r>
            <w:r w:rsidRPr="00554F31">
              <w:rPr>
                <w:rFonts w:ascii="Arial" w:hAnsi="Arial"/>
                <w:b/>
                <w:color w:val="000000"/>
                <w:sz w:val="20"/>
                <w:szCs w:val="20"/>
              </w:rPr>
              <w:t>Income unit</w:t>
            </w:r>
          </w:p>
        </w:tc>
        <w:tc>
          <w:tcPr>
            <w:tcW w:w="6941"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An income unit may consist of:</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single person with no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sole parent with one or more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w:t>
            </w:r>
            <w:r w:rsidR="00086944">
              <w:rPr>
                <w:rFonts w:ascii="Arial" w:hAnsi="Arial"/>
                <w:color w:val="000000"/>
                <w:sz w:val="20"/>
                <w:szCs w:val="20"/>
              </w:rPr>
              <w:t xml:space="preserve"> </w:t>
            </w:r>
            <w:r w:rsidRPr="00554F31">
              <w:rPr>
                <w:rFonts w:ascii="Arial" w:hAnsi="Arial"/>
                <w:color w:val="000000"/>
                <w:sz w:val="20"/>
                <w:szCs w:val="20"/>
              </w:rPr>
              <w:t>facto) with no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w:t>
            </w:r>
            <w:r w:rsidR="00086944">
              <w:rPr>
                <w:rFonts w:ascii="Arial" w:hAnsi="Arial"/>
                <w:color w:val="000000"/>
                <w:sz w:val="20"/>
                <w:szCs w:val="20"/>
              </w:rPr>
              <w:t xml:space="preserve"> </w:t>
            </w:r>
            <w:r w:rsidRPr="00554F31">
              <w:rPr>
                <w:rFonts w:ascii="Arial" w:hAnsi="Arial"/>
                <w:color w:val="000000"/>
                <w:sz w:val="20"/>
                <w:szCs w:val="20"/>
              </w:rPr>
              <w:t>facto) with one or more dependent children.</w:t>
            </w:r>
          </w:p>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 non</w:t>
            </w:r>
            <w:r w:rsidR="00380731">
              <w:rPr>
                <w:rFonts w:ascii="Arial" w:hAnsi="Arial"/>
                <w:color w:val="000000"/>
                <w:sz w:val="20"/>
                <w:szCs w:val="20"/>
              </w:rPr>
              <w:t>–</w:t>
            </w:r>
            <w:r w:rsidRPr="00554F31">
              <w:rPr>
                <w:rFonts w:ascii="Arial" w:hAnsi="Arial"/>
                <w:color w:val="000000"/>
                <w:sz w:val="20"/>
                <w:szCs w:val="20"/>
              </w:rPr>
              <w:t>dependent child living at home, including one who is receiving an income support payment in their own right, is regarded as a separate income unit. Similarly, a group of non</w:t>
            </w:r>
            <w:r w:rsidR="00380731">
              <w:rPr>
                <w:rFonts w:ascii="Arial" w:hAnsi="Arial"/>
                <w:color w:val="000000"/>
                <w:sz w:val="20"/>
                <w:szCs w:val="20"/>
              </w:rPr>
              <w:t>–</w:t>
            </w:r>
            <w:r w:rsidRPr="00554F31">
              <w:rPr>
                <w:rFonts w:ascii="Arial" w:hAnsi="Arial"/>
                <w:color w:val="000000"/>
                <w:sz w:val="20"/>
                <w:szCs w:val="20"/>
              </w:rPr>
              <w:t>related adults sharing accommodation are counted as separate income units.</w:t>
            </w:r>
          </w:p>
        </w:tc>
      </w:tr>
      <w:tr w:rsidR="00D569A9" w:rsidRPr="00A23D81" w:rsidTr="00E70B6A">
        <w:tc>
          <w:tcPr>
            <w:tcW w:w="1848" w:type="dxa"/>
          </w:tcPr>
          <w:p w:rsidR="00A23D81" w:rsidRPr="00554F31" w:rsidRDefault="00A23D81" w:rsidP="00186FBB">
            <w:pPr>
              <w:keepNext/>
              <w:keepLines/>
              <w:spacing w:before="120" w:after="120" w:line="220" w:lineRule="atLeast"/>
              <w:ind w:left="6" w:right="113"/>
              <w:rPr>
                <w:rFonts w:ascii="Arial" w:hAnsi="Arial"/>
                <w:b/>
                <w:color w:val="000000"/>
                <w:sz w:val="20"/>
                <w:szCs w:val="20"/>
              </w:rPr>
            </w:pPr>
            <w:r w:rsidRPr="00554F31">
              <w:rPr>
                <w:rFonts w:ascii="Arial" w:hAnsi="Arial"/>
                <w:b/>
                <w:color w:val="000000"/>
                <w:sz w:val="20"/>
                <w:szCs w:val="20"/>
              </w:rPr>
              <w:t>Low and moderate incomes</w:t>
            </w:r>
          </w:p>
        </w:tc>
        <w:tc>
          <w:tcPr>
            <w:tcW w:w="6941"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Individuals and families receive CRA with either an income support payment or FTB Part A. While income support recipients are generally thought of as low income, those receiving FTB </w:t>
            </w:r>
            <w:r w:rsidR="003060D2">
              <w:rPr>
                <w:rFonts w:ascii="Arial" w:hAnsi="Arial"/>
                <w:color w:val="000000"/>
                <w:sz w:val="20"/>
                <w:szCs w:val="20"/>
              </w:rPr>
              <w:t>Part A</w:t>
            </w:r>
            <w:r w:rsidRPr="00554F31">
              <w:rPr>
                <w:rFonts w:ascii="Arial" w:hAnsi="Arial"/>
                <w:color w:val="000000"/>
                <w:sz w:val="20"/>
                <w:szCs w:val="20"/>
              </w:rPr>
              <w:t xml:space="preserve"> can have higher incomes and still be eligible for</w:t>
            </w:r>
            <w:r w:rsidR="0015398E">
              <w:rPr>
                <w:rFonts w:ascii="Arial" w:hAnsi="Arial"/>
                <w:color w:val="000000"/>
                <w:sz w:val="20"/>
                <w:szCs w:val="20"/>
              </w:rPr>
              <w:t xml:space="preserve"> a part rate of Rent Assistance. </w:t>
            </w:r>
            <w:r w:rsidRPr="00554F31">
              <w:rPr>
                <w:rFonts w:ascii="Arial" w:hAnsi="Arial"/>
                <w:color w:val="000000"/>
                <w:sz w:val="20"/>
                <w:szCs w:val="20"/>
              </w:rPr>
              <w:t>For this reason, CRA recipients are not defined as those on low incomes.</w:t>
            </w:r>
          </w:p>
        </w:tc>
      </w:tr>
      <w:tr w:rsidR="00D569A9" w:rsidRPr="00A23D81" w:rsidTr="00E70B6A">
        <w:trPr>
          <w:cantSplit/>
        </w:trPr>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Primary payment type</w:t>
            </w:r>
          </w:p>
        </w:tc>
        <w:tc>
          <w:tcPr>
            <w:tcW w:w="6941"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Each income unit receiving CRA is assigned a primary payment type, based on the payment(s) received by each member. The primary payment is determined using a hierarchy of payment types, with precedence given to pensions, then other social security payments and then the Family Tax Benefit part A. No extra weight is given to the payment type with which CRA is paid. Specifically, the hierarchy for the main payments is: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Disability Support Pension</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Carer Payment</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Age Pension</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Parenting Payment (Single)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proofErr w:type="spellStart"/>
            <w:r w:rsidRPr="00554F31">
              <w:rPr>
                <w:rFonts w:ascii="Arial" w:hAnsi="Arial"/>
                <w:color w:val="000000"/>
                <w:sz w:val="20"/>
                <w:szCs w:val="20"/>
              </w:rPr>
              <w:t>Newstart</w:t>
            </w:r>
            <w:proofErr w:type="spellEnd"/>
            <w:r w:rsidRPr="00554F31">
              <w:rPr>
                <w:rFonts w:ascii="Arial" w:hAnsi="Arial"/>
                <w:color w:val="000000"/>
                <w:sz w:val="20"/>
                <w:szCs w:val="20"/>
              </w:rPr>
              <w:t xml:space="preserve"> Allowance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 xml:space="preserve">Youth Allowance </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proofErr w:type="spellStart"/>
            <w:r w:rsidRPr="00554F31">
              <w:rPr>
                <w:rFonts w:ascii="Arial" w:hAnsi="Arial"/>
                <w:color w:val="000000"/>
                <w:sz w:val="20"/>
                <w:szCs w:val="20"/>
              </w:rPr>
              <w:t>Austudy</w:t>
            </w:r>
            <w:proofErr w:type="spellEnd"/>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Parenting Payment (Partnered)</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Fa</w:t>
            </w:r>
            <w:r w:rsidR="005C1D56">
              <w:rPr>
                <w:rFonts w:ascii="Arial" w:hAnsi="Arial"/>
                <w:color w:val="000000"/>
                <w:sz w:val="20"/>
                <w:szCs w:val="20"/>
              </w:rPr>
              <w:t>mily Tax Benefit P</w:t>
            </w:r>
            <w:r w:rsidRPr="00554F31">
              <w:rPr>
                <w:rFonts w:ascii="Arial" w:hAnsi="Arial"/>
                <w:color w:val="000000"/>
                <w:sz w:val="20"/>
                <w:szCs w:val="20"/>
              </w:rPr>
              <w:t>art A.</w:t>
            </w:r>
          </w:p>
        </w:tc>
      </w:tr>
      <w:tr w:rsidR="00D569A9" w:rsidRPr="00A23D81" w:rsidTr="00E70B6A">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Rent</w:t>
            </w:r>
          </w:p>
        </w:tc>
        <w:tc>
          <w:tcPr>
            <w:tcW w:w="6941"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D569A9" w:rsidRPr="00A23D81" w:rsidTr="00E70B6A">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Sharer</w:t>
            </w:r>
          </w:p>
        </w:tc>
        <w:tc>
          <w:tcPr>
            <w:tcW w:w="6941" w:type="dxa"/>
          </w:tcPr>
          <w:p w:rsidR="00BD212A" w:rsidRPr="00554F31" w:rsidRDefault="00A23D81" w:rsidP="00E70B6A">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Some single people are subject to a lower maximum (sharer) rate of CRA. The lower rate may apply to a single person (with no dependent children) who shares a major area of accommodation. The lower rate does not apply to those receiving Disability Support Pension or Carer Payment, those in nursing homes or boarding house accommodation, or those paying for both board and lodgings.</w:t>
            </w:r>
          </w:p>
        </w:tc>
      </w:tr>
      <w:tr w:rsidR="00D569A9" w:rsidRPr="00A23D81" w:rsidTr="00E70B6A">
        <w:trPr>
          <w:cantSplit/>
        </w:trPr>
        <w:tc>
          <w:tcPr>
            <w:tcW w:w="1848" w:type="dxa"/>
          </w:tcPr>
          <w:p w:rsidR="00A23D81" w:rsidRPr="00554F31" w:rsidRDefault="00A23D81" w:rsidP="00C9055F">
            <w:pPr>
              <w:keepLines/>
              <w:spacing w:before="120" w:after="120" w:line="220" w:lineRule="atLeast"/>
              <w:ind w:left="6" w:right="113"/>
              <w:rPr>
                <w:rFonts w:ascii="Arial" w:hAnsi="Arial"/>
                <w:color w:val="000000"/>
                <w:szCs w:val="20"/>
              </w:rPr>
            </w:pPr>
            <w:r w:rsidRPr="00554F31">
              <w:rPr>
                <w:rFonts w:ascii="Arial" w:hAnsi="Arial"/>
                <w:b/>
                <w:color w:val="000000"/>
                <w:sz w:val="20"/>
                <w:szCs w:val="20"/>
              </w:rPr>
              <w:lastRenderedPageBreak/>
              <w:t>Total income from all sources</w:t>
            </w:r>
            <w:r w:rsidRPr="00554F31">
              <w:rPr>
                <w:rFonts w:ascii="Arial" w:hAnsi="Arial"/>
                <w:color w:val="000000"/>
                <w:szCs w:val="20"/>
              </w:rPr>
              <w:t xml:space="preserve"> </w:t>
            </w:r>
          </w:p>
        </w:tc>
        <w:tc>
          <w:tcPr>
            <w:tcW w:w="6941" w:type="dxa"/>
          </w:tcPr>
          <w:p w:rsidR="00496092"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Income received by the recipients or partner, excluding income received by a dependent. It includes regular social security payments and any maintenance and other private income taken into account for income testing purposes. </w:t>
            </w:r>
          </w:p>
          <w:p w:rsidR="00A23D81" w:rsidRPr="00554F31" w:rsidRDefault="00A23D81" w:rsidP="00022965">
            <w:pPr>
              <w:keepNext/>
              <w:keepLines/>
              <w:spacing w:before="120" w:after="120" w:line="220" w:lineRule="atLeast"/>
              <w:ind w:left="6" w:right="113"/>
              <w:jc w:val="both"/>
              <w:rPr>
                <w:rFonts w:ascii="Arial" w:hAnsi="Arial"/>
                <w:i/>
                <w:color w:val="000000"/>
                <w:sz w:val="20"/>
                <w:szCs w:val="20"/>
              </w:rPr>
            </w:pPr>
            <w:r w:rsidRPr="00554F31">
              <w:rPr>
                <w:rFonts w:ascii="Arial" w:hAnsi="Arial"/>
                <w:color w:val="000000"/>
                <w:sz w:val="20"/>
                <w:szCs w:val="20"/>
              </w:rPr>
              <w:t>It does not include:</w:t>
            </w:r>
            <w:r w:rsidR="00496092">
              <w:rPr>
                <w:rFonts w:ascii="Arial" w:hAnsi="Arial"/>
                <w:color w:val="000000"/>
                <w:sz w:val="20"/>
                <w:szCs w:val="20"/>
              </w:rPr>
              <w:t xml:space="preserve"> </w:t>
            </w:r>
            <w:r w:rsidRPr="00554F31">
              <w:rPr>
                <w:rFonts w:ascii="Arial" w:hAnsi="Arial"/>
                <w:color w:val="000000"/>
                <w:sz w:val="20"/>
                <w:szCs w:val="20"/>
              </w:rPr>
              <w:t>one</w:t>
            </w:r>
            <w:r w:rsidR="00380731">
              <w:rPr>
                <w:rFonts w:ascii="Arial" w:hAnsi="Arial"/>
                <w:color w:val="000000"/>
                <w:sz w:val="20"/>
                <w:szCs w:val="20"/>
              </w:rPr>
              <w:t>–</w:t>
            </w:r>
            <w:r w:rsidRPr="00554F31">
              <w:rPr>
                <w:rFonts w:ascii="Arial" w:hAnsi="Arial"/>
                <w:color w:val="000000"/>
                <w:sz w:val="20"/>
                <w:szCs w:val="20"/>
              </w:rPr>
              <w:t>time payments</w:t>
            </w:r>
            <w:r w:rsidR="00496092">
              <w:rPr>
                <w:rFonts w:ascii="Arial" w:hAnsi="Arial"/>
                <w:color w:val="000000"/>
                <w:sz w:val="20"/>
                <w:szCs w:val="20"/>
              </w:rPr>
              <w:t xml:space="preserve">; </w:t>
            </w:r>
            <w:r w:rsidRPr="00554F31">
              <w:rPr>
                <w:rFonts w:ascii="Arial" w:hAnsi="Arial"/>
                <w:color w:val="000000"/>
                <w:sz w:val="20"/>
                <w:szCs w:val="20"/>
              </w:rPr>
              <w:t>arrears payments</w:t>
            </w:r>
            <w:r w:rsidR="00496092">
              <w:rPr>
                <w:rFonts w:ascii="Arial" w:hAnsi="Arial"/>
                <w:color w:val="000000"/>
                <w:sz w:val="20"/>
                <w:szCs w:val="20"/>
              </w:rPr>
              <w:t xml:space="preserve">; </w:t>
            </w:r>
            <w:r w:rsidRPr="00554F31">
              <w:rPr>
                <w:rFonts w:ascii="Arial" w:hAnsi="Arial"/>
                <w:color w:val="000000"/>
                <w:sz w:val="20"/>
                <w:szCs w:val="20"/>
              </w:rPr>
              <w:t>advances</w:t>
            </w:r>
            <w:r w:rsidR="00496092">
              <w:rPr>
                <w:rFonts w:ascii="Arial" w:hAnsi="Arial"/>
                <w:color w:val="000000"/>
                <w:sz w:val="20"/>
                <w:szCs w:val="20"/>
              </w:rPr>
              <w:t xml:space="preserve">; </w:t>
            </w:r>
            <w:r w:rsidRPr="00554F31">
              <w:rPr>
                <w:rFonts w:ascii="Arial" w:hAnsi="Arial"/>
                <w:color w:val="000000"/>
                <w:sz w:val="20"/>
                <w:szCs w:val="20"/>
              </w:rPr>
              <w:t>Employment or Education Entry Payments</w:t>
            </w:r>
            <w:r w:rsidR="00496092">
              <w:rPr>
                <w:rFonts w:ascii="Arial" w:hAnsi="Arial"/>
                <w:color w:val="000000"/>
                <w:sz w:val="20"/>
                <w:szCs w:val="20"/>
              </w:rPr>
              <w:t xml:space="preserve">; </w:t>
            </w:r>
            <w:r w:rsidRPr="00554F31">
              <w:rPr>
                <w:rFonts w:ascii="Arial" w:hAnsi="Arial"/>
                <w:color w:val="000000"/>
                <w:sz w:val="20"/>
                <w:szCs w:val="20"/>
              </w:rPr>
              <w:t>Mobility Allowance</w:t>
            </w:r>
            <w:r w:rsidR="00496092">
              <w:rPr>
                <w:rFonts w:ascii="Arial" w:hAnsi="Arial"/>
                <w:color w:val="000000"/>
                <w:sz w:val="20"/>
                <w:szCs w:val="20"/>
              </w:rPr>
              <w:t xml:space="preserve">; </w:t>
            </w:r>
            <w:r w:rsidRPr="00554F31">
              <w:rPr>
                <w:rFonts w:ascii="Arial" w:hAnsi="Arial"/>
                <w:color w:val="000000"/>
                <w:sz w:val="20"/>
                <w:szCs w:val="20"/>
              </w:rPr>
              <w:t>Baby Bonus</w:t>
            </w:r>
            <w:r w:rsidR="00496092">
              <w:rPr>
                <w:rFonts w:ascii="Arial" w:hAnsi="Arial"/>
                <w:color w:val="000000"/>
                <w:sz w:val="20"/>
                <w:szCs w:val="20"/>
              </w:rPr>
              <w:t xml:space="preserve">; </w:t>
            </w:r>
            <w:r w:rsidRPr="00554F31">
              <w:rPr>
                <w:rFonts w:ascii="Arial" w:hAnsi="Arial"/>
                <w:color w:val="000000"/>
                <w:sz w:val="20"/>
                <w:szCs w:val="20"/>
              </w:rPr>
              <w:t>Child Care Tax Rebate.</w:t>
            </w:r>
          </w:p>
          <w:p w:rsidR="0088335B" w:rsidRPr="00554F31" w:rsidRDefault="00A23D81" w:rsidP="00C9055F">
            <w:pPr>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 most cases, private income reflects the person’s current circumstances. Taxable income for a past financial year or an estimate of taxable income for the current financial year is used where the income unit receives more than the minimum rate of the Family Tax Benefit part </w:t>
            </w:r>
            <w:r w:rsidR="0088335B">
              <w:rPr>
                <w:rFonts w:ascii="Arial" w:hAnsi="Arial"/>
                <w:color w:val="000000"/>
                <w:sz w:val="20"/>
                <w:szCs w:val="20"/>
              </w:rPr>
              <w:t xml:space="preserve">A but no income support payment. </w:t>
            </w:r>
            <w:r w:rsidR="00990831" w:rsidRPr="00990831">
              <w:rPr>
                <w:rFonts w:ascii="Arial" w:hAnsi="Arial"/>
                <w:color w:val="000000"/>
                <w:sz w:val="20"/>
                <w:szCs w:val="20"/>
              </w:rPr>
              <w:t>Income received includes Energy Supplement amounts paid with income support payments and Family Tax Benefit</w:t>
            </w:r>
            <w:r w:rsidR="00712232">
              <w:rPr>
                <w:rFonts w:ascii="Arial" w:hAnsi="Arial"/>
                <w:color w:val="000000"/>
                <w:sz w:val="20"/>
                <w:szCs w:val="20"/>
              </w:rPr>
              <w:t xml:space="preserve"> </w:t>
            </w:r>
            <w:r w:rsidR="00990831" w:rsidRPr="00990831">
              <w:rPr>
                <w:rFonts w:ascii="Arial" w:hAnsi="Arial"/>
                <w:color w:val="000000"/>
                <w:sz w:val="20"/>
                <w:szCs w:val="20"/>
              </w:rPr>
              <w:t>from June 2014</w:t>
            </w:r>
            <w:r w:rsidR="0088335B">
              <w:rPr>
                <w:rFonts w:ascii="Arial" w:hAnsi="Arial"/>
                <w:color w:val="000000"/>
                <w:sz w:val="20"/>
                <w:szCs w:val="20"/>
              </w:rPr>
              <w:t>.</w:t>
            </w:r>
          </w:p>
        </w:tc>
      </w:tr>
    </w:tbl>
    <w:p w:rsidR="00946583" w:rsidRPr="00FE36EB" w:rsidRDefault="00C066DD" w:rsidP="000479D0">
      <w:pPr>
        <w:pStyle w:val="Heading2"/>
      </w:pPr>
      <w:bookmarkStart w:id="24" w:name="_Toc306106370"/>
      <w:bookmarkStart w:id="25" w:name="_Toc401736873"/>
      <w:bookmarkStart w:id="26" w:name="_Toc439927316"/>
      <w:r w:rsidRPr="00FE36EB">
        <w:t>G.</w:t>
      </w:r>
      <w:r w:rsidR="00204B74" w:rsidRPr="00FE36EB">
        <w:t>7</w:t>
      </w:r>
      <w:r w:rsidRPr="00FE36EB">
        <w:tab/>
      </w:r>
      <w:r w:rsidR="00737678" w:rsidRPr="00FE36EB">
        <w:t xml:space="preserve">Appendix – </w:t>
      </w:r>
      <w:r w:rsidR="00946583" w:rsidRPr="00FE36EB">
        <w:t>Private housing market contextual information</w:t>
      </w:r>
      <w:bookmarkEnd w:id="24"/>
      <w:bookmarkEnd w:id="25"/>
      <w:bookmarkEnd w:id="26"/>
    </w:p>
    <w:p w:rsidR="00946583" w:rsidRDefault="00946583" w:rsidP="00E86F55">
      <w:pPr>
        <w:pStyle w:val="Heading3"/>
      </w:pPr>
      <w:r>
        <w:t>Housing market demand, supply and affordability</w:t>
      </w:r>
    </w:p>
    <w:p w:rsidR="00282C3F" w:rsidRDefault="00946583" w:rsidP="00946583">
      <w:pPr>
        <w:pStyle w:val="BodyText"/>
      </w:pPr>
      <w:r>
        <w:t xml:space="preserve">The </w:t>
      </w:r>
      <w:r w:rsidR="008A0838">
        <w:t xml:space="preserve">private </w:t>
      </w:r>
      <w:r>
        <w:t xml:space="preserve">housing market encompasses rented accommodation, home ownership and </w:t>
      </w:r>
      <w:r w:rsidR="008A0838">
        <w:t xml:space="preserve">housing </w:t>
      </w:r>
      <w:r>
        <w:t>investment</w:t>
      </w:r>
      <w:r w:rsidR="008A0838">
        <w:t xml:space="preserve">. A </w:t>
      </w:r>
      <w:r>
        <w:t xml:space="preserve">range of factors influence </w:t>
      </w:r>
      <w:r w:rsidR="008A0838">
        <w:t>demand and supply in the private housing market:</w:t>
      </w:r>
      <w:r>
        <w:t xml:space="preserve"> </w:t>
      </w:r>
    </w:p>
    <w:p w:rsidR="00946583" w:rsidRDefault="00946583" w:rsidP="008A0838">
      <w:pPr>
        <w:pStyle w:val="ListBullet"/>
      </w:pPr>
      <w:r>
        <w:t xml:space="preserve">Factors affecting the demand for housing include population growth, household </w:t>
      </w:r>
      <w:r w:rsidR="00904C1A">
        <w:t xml:space="preserve">formation, household </w:t>
      </w:r>
      <w:r>
        <w:t>income and employment, investor demand, household preferences for size, quality and location of housing, the price and availability of housing, government taxes, concessions and transfers, and the cost and availability of finance (</w:t>
      </w:r>
      <w:proofErr w:type="spellStart"/>
      <w:r>
        <w:t>NHSC</w:t>
      </w:r>
      <w:proofErr w:type="spellEnd"/>
      <w:r>
        <w:t xml:space="preserve"> 2010).</w:t>
      </w:r>
    </w:p>
    <w:p w:rsidR="00946583" w:rsidRDefault="008F7F9A" w:rsidP="002A7554">
      <w:pPr>
        <w:pStyle w:val="ListBullet"/>
      </w:pPr>
      <w:r>
        <w:t>F</w:t>
      </w:r>
      <w:r w:rsidR="00946583">
        <w:t xml:space="preserve">actors </w:t>
      </w:r>
      <w:r>
        <w:t xml:space="preserve">affecting </w:t>
      </w:r>
      <w:r w:rsidR="00946583">
        <w:t>the supply of housing</w:t>
      </w:r>
      <w:r>
        <w:t xml:space="preserve"> include </w:t>
      </w:r>
      <w:r w:rsidR="0079796C">
        <w:t>land tenure</w:t>
      </w:r>
      <w:r w:rsidR="00CC427D">
        <w:t xml:space="preserve"> arrangements</w:t>
      </w:r>
      <w:r w:rsidR="0079796C">
        <w:t xml:space="preserve">, </w:t>
      </w:r>
      <w:r w:rsidR="00946583">
        <w:t>land release and development processes, construction and infrastructure costs, government taxes, concessions and transfers, and the availability and price of land (</w:t>
      </w:r>
      <w:proofErr w:type="spellStart"/>
      <w:r w:rsidR="00946583">
        <w:t>NHSC</w:t>
      </w:r>
      <w:proofErr w:type="spellEnd"/>
      <w:r w:rsidR="00946583">
        <w:t xml:space="preserve"> 2010). The availability of credit to finance th</w:t>
      </w:r>
      <w:r w:rsidR="009B1E59">
        <w:t>e development of new housing can</w:t>
      </w:r>
      <w:r w:rsidR="00946583">
        <w:t xml:space="preserve"> also affect the supply of housing (RBA 2009).</w:t>
      </w:r>
    </w:p>
    <w:p w:rsidR="00946583" w:rsidRPr="00E86F55" w:rsidRDefault="00946583" w:rsidP="005C7CE7">
      <w:pPr>
        <w:pStyle w:val="BodyText"/>
      </w:pPr>
      <w:r w:rsidRPr="005C7CE7">
        <w:t>An efficient housing market refers to achieving a balance between hous</w:t>
      </w:r>
      <w:r w:rsidR="008E114A" w:rsidRPr="005C7CE7">
        <w:t>ing supply and demand (CRC 2010</w:t>
      </w:r>
      <w:r w:rsidR="00335874">
        <w:t>)</w:t>
      </w:r>
      <w:r w:rsidR="00F70CA7">
        <w:t xml:space="preserve">. </w:t>
      </w:r>
      <w:r w:rsidRPr="00E86F55">
        <w:t xml:space="preserve">Nationally </w:t>
      </w:r>
      <w:r w:rsidR="002D10A0" w:rsidRPr="00E86F55">
        <w:t>at June 2</w:t>
      </w:r>
      <w:r w:rsidRPr="00E86F55">
        <w:t>0</w:t>
      </w:r>
      <w:r w:rsidR="005B0D75" w:rsidRPr="00E86F55">
        <w:t xml:space="preserve">11, </w:t>
      </w:r>
      <w:r w:rsidRPr="00E86F55">
        <w:t xml:space="preserve">there was an estimated cumulative gap between underlying demand for housing and housing supply, as a proportion of growth in underlying demand, of </w:t>
      </w:r>
      <w:r w:rsidR="005B0D75" w:rsidRPr="00E86F55">
        <w:t>2.6</w:t>
      </w:r>
      <w:r w:rsidRPr="00E86F55">
        <w:t xml:space="preserve"> per cent</w:t>
      </w:r>
      <w:r w:rsidR="00961E6B" w:rsidRPr="00E86F55">
        <w:t>. A</w:t>
      </w:r>
      <w:r w:rsidR="00DD1852" w:rsidRPr="00E86F55">
        <w:t>n</w:t>
      </w:r>
      <w:r w:rsidR="005B0D75" w:rsidRPr="00E86F55">
        <w:t xml:space="preserve"> estimated 22</w:t>
      </w:r>
      <w:r w:rsidRPr="00E86F55">
        <w:t>8</w:t>
      </w:r>
      <w:r w:rsidR="002F0DB4" w:rsidRPr="00E86F55">
        <w:t> </w:t>
      </w:r>
      <w:r w:rsidR="005B0D75" w:rsidRPr="00E86F55">
        <w:t>0</w:t>
      </w:r>
      <w:r w:rsidRPr="00E86F55">
        <w:t>00 dwellings were required in Australia to meet growth in demand (</w:t>
      </w:r>
      <w:proofErr w:type="spellStart"/>
      <w:r w:rsidRPr="00E86F55">
        <w:t>NHSC</w:t>
      </w:r>
      <w:proofErr w:type="spellEnd"/>
      <w:r w:rsidR="002F0DB4" w:rsidRPr="00E86F55">
        <w:t> </w:t>
      </w:r>
      <w:r w:rsidRPr="00E86F55">
        <w:t>20</w:t>
      </w:r>
      <w:r w:rsidR="00F0343F" w:rsidRPr="00E86F55">
        <w:t>12</w:t>
      </w:r>
      <w:r w:rsidR="001F2B40" w:rsidRPr="00E86F55">
        <w:t>:</w:t>
      </w:r>
      <w:r w:rsidR="00DD1852" w:rsidRPr="00E86F55">
        <w:t> </w:t>
      </w:r>
      <w:r w:rsidR="001F2B40" w:rsidRPr="00E86F55">
        <w:t>t</w:t>
      </w:r>
      <w:r w:rsidRPr="00E86F55">
        <w:t>ables</w:t>
      </w:r>
      <w:r w:rsidR="00D114D4" w:rsidRPr="00E86F55">
        <w:t> </w:t>
      </w:r>
      <w:r w:rsidR="005B0D75" w:rsidRPr="00E86F55">
        <w:t>4.1</w:t>
      </w:r>
      <w:r w:rsidR="001F2B40" w:rsidRPr="00E86F55">
        <w:t xml:space="preserve"> and </w:t>
      </w:r>
      <w:r w:rsidR="005B0D75" w:rsidRPr="00E86F55">
        <w:t>4.4</w:t>
      </w:r>
      <w:r w:rsidR="001F2B40" w:rsidRPr="00E86F55">
        <w:t>).</w:t>
      </w:r>
    </w:p>
    <w:p w:rsidR="00946583" w:rsidRDefault="00946583" w:rsidP="00C012D0">
      <w:pPr>
        <w:pStyle w:val="Heading4"/>
      </w:pPr>
      <w:r>
        <w:t>Housing affordability</w:t>
      </w:r>
    </w:p>
    <w:p w:rsidR="00946583" w:rsidRDefault="00946583" w:rsidP="00946583">
      <w:pPr>
        <w:pStyle w:val="BodyText"/>
      </w:pPr>
      <w:r>
        <w:t xml:space="preserve">A shortage of affordable housing is likely to affect demand for housing and homelessness services. Governments provide support to ensure people can access affordable rental </w:t>
      </w:r>
      <w:r>
        <w:lastRenderedPageBreak/>
        <w:t>housing, either in the private market or in social housing, and</w:t>
      </w:r>
      <w:r w:rsidR="00994AC4">
        <w:t xml:space="preserve"> </w:t>
      </w:r>
      <w:r>
        <w:t xml:space="preserve">many governments provide support to those purchasing houses, particularly first home buyers (box </w:t>
      </w:r>
      <w:r w:rsidR="00D15E8B">
        <w:t>G.8</w:t>
      </w:r>
      <w:r>
        <w:t>).</w:t>
      </w:r>
    </w:p>
    <w:p w:rsidR="00637AA7" w:rsidRDefault="00637AA7" w:rsidP="00946583">
      <w:pPr>
        <w:pStyle w:val="BodyText"/>
      </w:pPr>
      <w:r w:rsidRPr="002F0DB4">
        <w:t>The Housing chapter (chapter 1</w:t>
      </w:r>
      <w:r>
        <w:t>7</w:t>
      </w:r>
      <w:r w:rsidRPr="002F0DB4">
        <w:t xml:space="preserve">) reports on government assistance for social housing, but does not report on government assistance for purchasing housing or </w:t>
      </w:r>
      <w:r w:rsidRPr="00CD3851">
        <w:rPr>
          <w:color w:val="000000" w:themeColor="text1"/>
        </w:rPr>
        <w:t>other forms of housing assistance. Information on housing affordability by region in Australia is available in the State of the Regions Report 201</w:t>
      </w:r>
      <w:r>
        <w:rPr>
          <w:color w:val="000000" w:themeColor="text1"/>
        </w:rPr>
        <w:t>5</w:t>
      </w:r>
      <w:r w:rsidR="00080F6D">
        <w:rPr>
          <w:color w:val="000000" w:themeColor="text1"/>
        </w:rPr>
        <w:noBreakHyphen/>
      </w:r>
      <w:r w:rsidRPr="00CD3851">
        <w:rPr>
          <w:color w:val="000000" w:themeColor="text1"/>
        </w:rPr>
        <w:t>1</w:t>
      </w:r>
      <w:r>
        <w:rPr>
          <w:color w:val="000000" w:themeColor="text1"/>
        </w:rPr>
        <w:t>6</w:t>
      </w:r>
      <w:r w:rsidRPr="00CD3851">
        <w:rPr>
          <w:color w:val="000000" w:themeColor="text1"/>
        </w:rPr>
        <w:t>: the housing shortage and housing affordability (ALGA 201</w:t>
      </w:r>
      <w:r>
        <w:rPr>
          <w:color w:val="000000" w:themeColor="text1"/>
        </w:rPr>
        <w:t>5</w:t>
      </w:r>
      <w:r w:rsidRPr="00CD3851">
        <w:rPr>
          <w:color w:val="000000" w:themeColor="text1"/>
        </w:rPr>
        <w:t xml:space="preserve">). </w:t>
      </w:r>
    </w:p>
    <w:p w:rsidR="005C5F76" w:rsidRDefault="005C5F76">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5C5F76" w:rsidTr="00FE36EB">
        <w:tc>
          <w:tcPr>
            <w:tcW w:w="5000" w:type="pct"/>
            <w:tcBorders>
              <w:top w:val="single" w:sz="6" w:space="0" w:color="78A22F"/>
              <w:left w:val="nil"/>
              <w:bottom w:val="nil"/>
              <w:right w:val="nil"/>
            </w:tcBorders>
            <w:shd w:val="clear" w:color="auto" w:fill="F2F2F2" w:themeFill="background1" w:themeFillShade="F2"/>
          </w:tcPr>
          <w:p w:rsidR="005C5F76" w:rsidRDefault="005C5F76" w:rsidP="005C5F76">
            <w:pPr>
              <w:pStyle w:val="BoxTitle"/>
            </w:pPr>
            <w:r>
              <w:rPr>
                <w:b w:val="0"/>
              </w:rPr>
              <w:t>Box G.</w:t>
            </w:r>
            <w:r w:rsidR="00D15E8B">
              <w:rPr>
                <w:b w:val="0"/>
                <w:noProof/>
              </w:rPr>
              <w:t>8</w:t>
            </w:r>
            <w:r>
              <w:tab/>
            </w:r>
            <w:r w:rsidRPr="005C5F76">
              <w:t>Government assistance for affordable housing</w:t>
            </w:r>
          </w:p>
        </w:tc>
      </w:tr>
      <w:tr w:rsidR="005C5F76" w:rsidTr="00FE36EB">
        <w:trPr>
          <w:cantSplit/>
        </w:trPr>
        <w:tc>
          <w:tcPr>
            <w:tcW w:w="5000" w:type="pct"/>
            <w:tcBorders>
              <w:top w:val="nil"/>
              <w:left w:val="nil"/>
              <w:bottom w:val="nil"/>
              <w:right w:val="nil"/>
            </w:tcBorders>
            <w:shd w:val="clear" w:color="auto" w:fill="F2F2F2" w:themeFill="background1" w:themeFillShade="F2"/>
          </w:tcPr>
          <w:p w:rsidR="005C5F76" w:rsidRPr="005C5F76" w:rsidRDefault="005C5F76" w:rsidP="005C5F76">
            <w:pPr>
              <w:pStyle w:val="Box"/>
            </w:pPr>
            <w:r w:rsidRPr="005C5F76">
              <w:t>A range of government initiatives and programs are designed to help households to pay for housing, and to increase the supply of affordable housing. These initiatives include:</w:t>
            </w:r>
          </w:p>
          <w:p w:rsidR="005C5F76" w:rsidRPr="005C5F76" w:rsidRDefault="005C5F76" w:rsidP="005C5F76">
            <w:pPr>
              <w:pStyle w:val="Box"/>
              <w:numPr>
                <w:ilvl w:val="0"/>
                <w:numId w:val="1"/>
              </w:numPr>
            </w:pPr>
            <w:r w:rsidRPr="005C5F76">
              <w:t xml:space="preserve">direct assistance to first home buyers through schemes such as the First Home Owners Grant and the </w:t>
            </w:r>
            <w:r w:rsidR="00FF58CC">
              <w:t xml:space="preserve">former </w:t>
            </w:r>
            <w:r w:rsidRPr="005C5F76">
              <w:t>First Home Owners Boost</w:t>
            </w:r>
            <w:r w:rsidR="00FF58CC">
              <w:t xml:space="preserve"> programs</w:t>
            </w:r>
            <w:r w:rsidRPr="005C5F76">
              <w:t xml:space="preserve"> </w:t>
            </w:r>
          </w:p>
          <w:p w:rsidR="00492F4A" w:rsidRDefault="005C5F76" w:rsidP="005C5F76">
            <w:pPr>
              <w:pStyle w:val="Box"/>
              <w:numPr>
                <w:ilvl w:val="0"/>
                <w:numId w:val="1"/>
              </w:numPr>
            </w:pPr>
            <w:r w:rsidRPr="005C5F76">
              <w:t xml:space="preserve">funding for Indigenous home ownership programs (the Home Ownership Program funded and administered by Indigenous Business Australia  </w:t>
            </w:r>
          </w:p>
          <w:p w:rsidR="005C5F76" w:rsidRPr="005C5F76" w:rsidRDefault="005C5F76" w:rsidP="005C5F76">
            <w:pPr>
              <w:pStyle w:val="Box"/>
              <w:numPr>
                <w:ilvl w:val="0"/>
                <w:numId w:val="1"/>
              </w:numPr>
            </w:pPr>
            <w:r w:rsidRPr="005C5F76">
              <w:t>stamp duty concessions or exemptions for first home buyers</w:t>
            </w:r>
          </w:p>
          <w:p w:rsidR="005C5F76" w:rsidRPr="005C5F76" w:rsidRDefault="005C5F76" w:rsidP="005C5F76">
            <w:pPr>
              <w:pStyle w:val="Box"/>
              <w:numPr>
                <w:ilvl w:val="0"/>
                <w:numId w:val="1"/>
              </w:numPr>
            </w:pPr>
            <w:r w:rsidRPr="005C5F76">
              <w:t>incentives to save for first home ownership through First Home Saver Accounts</w:t>
            </w:r>
          </w:p>
          <w:p w:rsidR="005C5F76" w:rsidRPr="005C5F76" w:rsidRDefault="005C5F76" w:rsidP="005C5F76">
            <w:pPr>
              <w:pStyle w:val="Box"/>
              <w:numPr>
                <w:ilvl w:val="0"/>
                <w:numId w:val="1"/>
              </w:numPr>
            </w:pPr>
            <w:r w:rsidRPr="005C5F76">
              <w:t xml:space="preserve">State and Territory Government funding to assist low income households with home purchases or mortgage repayments </w:t>
            </w:r>
          </w:p>
          <w:p w:rsidR="005C5F76" w:rsidRPr="005C5F76" w:rsidRDefault="00744D0C" w:rsidP="005C5F76">
            <w:pPr>
              <w:pStyle w:val="Box"/>
              <w:numPr>
                <w:ilvl w:val="0"/>
                <w:numId w:val="1"/>
              </w:numPr>
            </w:pPr>
            <w:r>
              <w:t>CRA</w:t>
            </w:r>
            <w:r w:rsidR="005C5F76" w:rsidRPr="005C5F76">
              <w:t xml:space="preserve"> paid on an ongoi</w:t>
            </w:r>
            <w:r w:rsidR="004B7099">
              <w:t>ng basis to income support and Family Tax B</w:t>
            </w:r>
            <w:r w:rsidR="005C5F76" w:rsidRPr="005C5F76">
              <w:t>enefit</w:t>
            </w:r>
            <w:r w:rsidR="004B7099">
              <w:t xml:space="preserve"> Part A</w:t>
            </w:r>
            <w:r w:rsidR="005C5F76" w:rsidRPr="005C5F76">
              <w:t xml:space="preserve"> recipients in the private rental market and community housing </w:t>
            </w:r>
          </w:p>
          <w:p w:rsidR="005C5F76" w:rsidRPr="005C5F76" w:rsidRDefault="005C5F76" w:rsidP="005C5F76">
            <w:pPr>
              <w:pStyle w:val="Box"/>
              <w:numPr>
                <w:ilvl w:val="0"/>
                <w:numId w:val="1"/>
              </w:numPr>
            </w:pPr>
            <w:r w:rsidRPr="005C5F76">
              <w:t xml:space="preserve">funding for provision and management of social (public and community) housing and related reforms through the </w:t>
            </w:r>
            <w:r w:rsidR="00744D0C">
              <w:t xml:space="preserve">NAH </w:t>
            </w:r>
            <w:proofErr w:type="spellStart"/>
            <w:r w:rsidR="00744D0C">
              <w:t>SPP</w:t>
            </w:r>
            <w:proofErr w:type="spellEnd"/>
          </w:p>
          <w:p w:rsidR="005C5F76" w:rsidRPr="005C5F76" w:rsidRDefault="005C5F76" w:rsidP="005C5F76">
            <w:pPr>
              <w:pStyle w:val="Box"/>
              <w:numPr>
                <w:ilvl w:val="0"/>
                <w:numId w:val="1"/>
              </w:numPr>
            </w:pPr>
            <w:r w:rsidRPr="005C5F76">
              <w:t>incentives for institutional investors and community housing providers to build new affordable rental properties</w:t>
            </w:r>
          </w:p>
          <w:p w:rsidR="005C5F76" w:rsidRDefault="005C5F76" w:rsidP="005C5F76">
            <w:pPr>
              <w:pStyle w:val="Box"/>
              <w:numPr>
                <w:ilvl w:val="0"/>
                <w:numId w:val="1"/>
              </w:numPr>
            </w:pPr>
            <w:r w:rsidRPr="005C5F76">
              <w:t>Commonwealth, State and Territory land and planning measures to increase the supply of affordable housing</w:t>
            </w:r>
          </w:p>
          <w:p w:rsidR="005C5F76" w:rsidRDefault="00FF44AC" w:rsidP="00FF44AC">
            <w:pPr>
              <w:pStyle w:val="Box"/>
              <w:numPr>
                <w:ilvl w:val="0"/>
                <w:numId w:val="1"/>
              </w:numPr>
            </w:pPr>
            <w:r>
              <w:t>H</w:t>
            </w:r>
            <w:r w:rsidR="005C5F76" w:rsidRPr="005C5F76">
              <w:t>ousing Affordability Fund grants to improve planning and infrastructure provision</w:t>
            </w:r>
            <w:r>
              <w:t>.</w:t>
            </w:r>
          </w:p>
        </w:tc>
      </w:tr>
      <w:tr w:rsidR="005C5F76" w:rsidTr="00FE36EB">
        <w:trPr>
          <w:cantSplit/>
        </w:trPr>
        <w:tc>
          <w:tcPr>
            <w:tcW w:w="5000" w:type="pct"/>
            <w:tcBorders>
              <w:top w:val="nil"/>
              <w:left w:val="nil"/>
              <w:bottom w:val="nil"/>
              <w:right w:val="nil"/>
            </w:tcBorders>
            <w:shd w:val="clear" w:color="auto" w:fill="F2F2F2" w:themeFill="background1" w:themeFillShade="F2"/>
          </w:tcPr>
          <w:p w:rsidR="005C5F76" w:rsidRDefault="005C5F76" w:rsidP="00FF44AC">
            <w:pPr>
              <w:pStyle w:val="BoxSource"/>
            </w:pPr>
            <w:r>
              <w:rPr>
                <w:i/>
              </w:rPr>
              <w:t>Source</w:t>
            </w:r>
            <w:r w:rsidRPr="00167F06">
              <w:t xml:space="preserve">: </w:t>
            </w:r>
            <w:r w:rsidRPr="005C5F76">
              <w:t xml:space="preserve">Australian, State and Territory </w:t>
            </w:r>
            <w:r w:rsidR="00FF44AC">
              <w:t>g</w:t>
            </w:r>
            <w:r w:rsidRPr="005C5F76">
              <w:t>overnments (unpublished).</w:t>
            </w:r>
          </w:p>
        </w:tc>
      </w:tr>
      <w:tr w:rsidR="005C5F76" w:rsidTr="00FE36EB">
        <w:trPr>
          <w:cantSplit/>
        </w:trPr>
        <w:tc>
          <w:tcPr>
            <w:tcW w:w="5000" w:type="pct"/>
            <w:tcBorders>
              <w:top w:val="nil"/>
              <w:left w:val="nil"/>
              <w:bottom w:val="single" w:sz="6" w:space="0" w:color="78A22F"/>
              <w:right w:val="nil"/>
            </w:tcBorders>
            <w:shd w:val="clear" w:color="auto" w:fill="F2F2F2" w:themeFill="background1" w:themeFillShade="F2"/>
          </w:tcPr>
          <w:p w:rsidR="005C5F76" w:rsidRDefault="005C5F76">
            <w:pPr>
              <w:pStyle w:val="Box"/>
              <w:spacing w:before="0" w:line="120" w:lineRule="exact"/>
            </w:pPr>
          </w:p>
        </w:tc>
      </w:tr>
      <w:tr w:rsidR="005C5F76" w:rsidRPr="000863A5" w:rsidTr="00FE36EB">
        <w:tc>
          <w:tcPr>
            <w:tcW w:w="5000" w:type="pct"/>
            <w:tcBorders>
              <w:top w:val="single" w:sz="6" w:space="0" w:color="78A22F"/>
              <w:left w:val="nil"/>
              <w:bottom w:val="nil"/>
              <w:right w:val="nil"/>
            </w:tcBorders>
          </w:tcPr>
          <w:p w:rsidR="005C5F76" w:rsidRPr="00626D32" w:rsidRDefault="005C5F76" w:rsidP="005624FF">
            <w:pPr>
              <w:pStyle w:val="BoxSpaceBelow"/>
            </w:pPr>
          </w:p>
        </w:tc>
      </w:tr>
    </w:tbl>
    <w:p w:rsidR="002F0DB4" w:rsidRPr="005C5F76" w:rsidRDefault="002F0DB4" w:rsidP="005C5F76">
      <w:pPr>
        <w:pStyle w:val="Heading5"/>
      </w:pPr>
      <w:r w:rsidRPr="005C5F76">
        <w:t>Affordable housing for low and moderate income households</w:t>
      </w:r>
    </w:p>
    <w:p w:rsidR="002F0DB4" w:rsidRDefault="002F0DB4" w:rsidP="002F0DB4">
      <w:pPr>
        <w:pStyle w:val="BodyText"/>
      </w:pPr>
      <w:r>
        <w:t>Low income households are more likely to be adversely affected by relatively high housing costs than households with higher disposable incomes (Yates and Gabriel</w:t>
      </w:r>
      <w:r w:rsidR="00994AC4">
        <w:t xml:space="preserve"> </w:t>
      </w:r>
      <w:r>
        <w:t>2006; Yates</w:t>
      </w:r>
      <w:r w:rsidR="001125C3">
        <w:t> </w:t>
      </w:r>
      <w:r>
        <w:t>and</w:t>
      </w:r>
      <w:r w:rsidR="001125C3">
        <w:t> </w:t>
      </w:r>
      <w:r>
        <w:t>Milligan 2007).</w:t>
      </w:r>
    </w:p>
    <w:p w:rsidR="002F0DB4" w:rsidRPr="00E60B3E" w:rsidRDefault="002F0DB4" w:rsidP="002A7554">
      <w:pPr>
        <w:pStyle w:val="BodyText"/>
        <w:rPr>
          <w:color w:val="000000" w:themeColor="text1"/>
        </w:rPr>
      </w:pPr>
      <w:r>
        <w:t xml:space="preserve">Housing stress is considered to occur </w:t>
      </w:r>
      <w:r w:rsidRPr="00215B01">
        <w:rPr>
          <w:color w:val="000000" w:themeColor="text1"/>
        </w:rPr>
        <w:t>when households spend more than 30 per cent of their income on rent or mortgage payments.</w:t>
      </w:r>
      <w:r w:rsidR="000D6755">
        <w:t xml:space="preserve"> </w:t>
      </w:r>
      <w:r>
        <w:t xml:space="preserve">The </w:t>
      </w:r>
      <w:r w:rsidR="00606761">
        <w:t xml:space="preserve">number of </w:t>
      </w:r>
      <w:r>
        <w:t>homes sold that are affordable by low and moderate income househol</w:t>
      </w:r>
      <w:r w:rsidRPr="00E60B3E">
        <w:rPr>
          <w:color w:val="000000" w:themeColor="text1"/>
        </w:rPr>
        <w:t xml:space="preserve">ds </w:t>
      </w:r>
      <w:r w:rsidR="00606761" w:rsidRPr="00E60B3E">
        <w:rPr>
          <w:color w:val="000000" w:themeColor="text1"/>
        </w:rPr>
        <w:t>per 1000 low or moderate income households indicates the level of home purchase affordability. N</w:t>
      </w:r>
      <w:r w:rsidR="00DA6FB2" w:rsidRPr="00E60B3E">
        <w:rPr>
          <w:color w:val="000000" w:themeColor="text1"/>
        </w:rPr>
        <w:t xml:space="preserve">ationally in </w:t>
      </w:r>
      <w:r w:rsidR="00DA6FB2" w:rsidRPr="00FF58CC">
        <w:t>20</w:t>
      </w:r>
      <w:r w:rsidR="00FF58CC" w:rsidRPr="00FF58CC">
        <w:t>13</w:t>
      </w:r>
      <w:r w:rsidR="00080F6D">
        <w:noBreakHyphen/>
      </w:r>
      <w:r w:rsidR="00FF58CC" w:rsidRPr="00FF58CC">
        <w:t>14</w:t>
      </w:r>
      <w:r w:rsidR="00E60B3E" w:rsidRPr="00FF58CC">
        <w:t xml:space="preserve">, </w:t>
      </w:r>
      <w:r w:rsidR="00D9650F" w:rsidRPr="002C0F75">
        <w:t>45.0</w:t>
      </w:r>
      <w:r w:rsidR="002C0F75">
        <w:t xml:space="preserve"> </w:t>
      </w:r>
      <w:r w:rsidRPr="00E60B3E">
        <w:rPr>
          <w:color w:val="000000" w:themeColor="text1"/>
        </w:rPr>
        <w:t xml:space="preserve">homes sold </w:t>
      </w:r>
      <w:r w:rsidRPr="00E60B3E">
        <w:rPr>
          <w:color w:val="000000" w:themeColor="text1"/>
        </w:rPr>
        <w:lastRenderedPageBreak/>
        <w:t>were affordable by low and moderate income household</w:t>
      </w:r>
      <w:r w:rsidR="00606761" w:rsidRPr="00E60B3E">
        <w:rPr>
          <w:color w:val="000000" w:themeColor="text1"/>
        </w:rPr>
        <w:t xml:space="preserve">s per 1000 low or moderate income households </w:t>
      </w:r>
      <w:r w:rsidRPr="00E60B3E">
        <w:rPr>
          <w:color w:val="000000" w:themeColor="text1"/>
        </w:rPr>
        <w:t>(table GA.</w:t>
      </w:r>
      <w:r w:rsidR="00EE3F4E">
        <w:rPr>
          <w:color w:val="000000" w:themeColor="text1"/>
        </w:rPr>
        <w:t>10</w:t>
      </w:r>
      <w:r w:rsidR="003B6B8C" w:rsidRPr="00E60B3E">
        <w:rPr>
          <w:color w:val="000000" w:themeColor="text1"/>
        </w:rPr>
        <w:t>).</w:t>
      </w:r>
      <w:r w:rsidR="00FF58CC">
        <w:rPr>
          <w:color w:val="000000" w:themeColor="text1"/>
        </w:rPr>
        <w:t xml:space="preserve"> </w:t>
      </w:r>
    </w:p>
    <w:p w:rsidR="00D75230" w:rsidRPr="00E60B3E" w:rsidRDefault="00D75230" w:rsidP="005C5F76">
      <w:pPr>
        <w:pStyle w:val="Heading5"/>
      </w:pPr>
      <w:r w:rsidRPr="00E60B3E">
        <w:t>Private rental markets</w:t>
      </w:r>
    </w:p>
    <w:p w:rsidR="00744D0C" w:rsidRDefault="00524DAE" w:rsidP="00FE36EB">
      <w:pPr>
        <w:pStyle w:val="BodyText"/>
      </w:pPr>
      <w:r>
        <w:t>Rental markets were tight in some capital cities in 20</w:t>
      </w:r>
      <w:r w:rsidR="005D310D">
        <w:t>14</w:t>
      </w:r>
      <w:r w:rsidR="00080F6D">
        <w:noBreakHyphen/>
      </w:r>
      <w:r>
        <w:t>1</w:t>
      </w:r>
      <w:r w:rsidR="00E02268">
        <w:t>5</w:t>
      </w:r>
      <w:r>
        <w:t xml:space="preserve">, </w:t>
      </w:r>
      <w:r w:rsidR="00D75230" w:rsidRPr="00225055">
        <w:t xml:space="preserve">with </w:t>
      </w:r>
      <w:r w:rsidR="005D310D">
        <w:t xml:space="preserve">trend median </w:t>
      </w:r>
      <w:r w:rsidR="00D75230" w:rsidRPr="00225055">
        <w:t xml:space="preserve">vacancy rates in capital cities ranging between </w:t>
      </w:r>
      <w:r w:rsidR="005D310D" w:rsidRPr="003339D7">
        <w:t>1.9</w:t>
      </w:r>
      <w:r w:rsidR="00D75230" w:rsidRPr="003339D7">
        <w:t xml:space="preserve"> per</w:t>
      </w:r>
      <w:r w:rsidR="006B46CD" w:rsidRPr="003339D7">
        <w:t xml:space="preserve"> cent</w:t>
      </w:r>
      <w:r w:rsidR="005D310D" w:rsidRPr="003339D7">
        <w:t xml:space="preserve"> (Sydney)</w:t>
      </w:r>
      <w:r w:rsidR="006B46CD" w:rsidRPr="003339D7">
        <w:t xml:space="preserve"> and </w:t>
      </w:r>
      <w:r w:rsidR="005D310D" w:rsidRPr="003339D7">
        <w:t>6.0</w:t>
      </w:r>
      <w:r w:rsidR="006B46CD" w:rsidRPr="003339D7">
        <w:t xml:space="preserve"> per cent</w:t>
      </w:r>
      <w:r w:rsidR="005D310D" w:rsidRPr="003339D7">
        <w:t xml:space="preserve"> (Darwin)</w:t>
      </w:r>
      <w:r w:rsidR="006B46CD" w:rsidRPr="00225055">
        <w:t xml:space="preserve"> (table G</w:t>
      </w:r>
      <w:r w:rsidR="00D75230" w:rsidRPr="00225055">
        <w:t>A.</w:t>
      </w:r>
      <w:r w:rsidR="00EE3F4E">
        <w:t>11</w:t>
      </w:r>
      <w:r w:rsidR="00D75230" w:rsidRPr="00225055">
        <w:t xml:space="preserve">). </w:t>
      </w:r>
    </w:p>
    <w:p w:rsidR="00D75230" w:rsidRPr="00225055" w:rsidRDefault="00D75230" w:rsidP="00FE36EB">
      <w:pPr>
        <w:pStyle w:val="BodyText"/>
      </w:pPr>
      <w:r w:rsidRPr="00225055">
        <w:t>Capital city median rents in the private mark</w:t>
      </w:r>
      <w:r w:rsidR="00731EA4" w:rsidRPr="00225055">
        <w:t>et varied across jurisdictions.</w:t>
      </w:r>
      <w:r w:rsidR="00744D0C">
        <w:t xml:space="preserve"> </w:t>
      </w:r>
      <w:r w:rsidRPr="00225055">
        <w:t>Data for median rents for three</w:t>
      </w:r>
      <w:r w:rsidR="00C9055F">
        <w:noBreakHyphen/>
      </w:r>
      <w:r w:rsidRPr="00225055">
        <w:t>bedroom houses and two</w:t>
      </w:r>
      <w:r w:rsidR="00C9055F">
        <w:noBreakHyphen/>
      </w:r>
      <w:r w:rsidRPr="00225055">
        <w:t>bedroom flats or units in capital cities in the June</w:t>
      </w:r>
      <w:r w:rsidR="00F03DF1" w:rsidRPr="00225055">
        <w:t> </w:t>
      </w:r>
      <w:r w:rsidRPr="00225055">
        <w:t>quarter</w:t>
      </w:r>
      <w:r w:rsidR="008D53DA" w:rsidRPr="00225055">
        <w:t xml:space="preserve"> of 201</w:t>
      </w:r>
      <w:r w:rsidR="00E02268">
        <w:t>5</w:t>
      </w:r>
      <w:r w:rsidR="008D53DA" w:rsidRPr="00225055">
        <w:t xml:space="preserve"> </w:t>
      </w:r>
      <w:r w:rsidR="00AB4B32">
        <w:t xml:space="preserve">and earlier years </w:t>
      </w:r>
      <w:r w:rsidR="008D53DA" w:rsidRPr="00225055">
        <w:t>are reported in table G</w:t>
      </w:r>
      <w:r w:rsidRPr="00225055">
        <w:t>A.</w:t>
      </w:r>
      <w:r w:rsidR="008D53DA" w:rsidRPr="00225055">
        <w:t>1</w:t>
      </w:r>
      <w:r w:rsidR="00EE3F4E">
        <w:t>2</w:t>
      </w:r>
      <w:r w:rsidRPr="00225055">
        <w:t>.</w:t>
      </w:r>
    </w:p>
    <w:p w:rsidR="002F0DB4" w:rsidRDefault="002F0DB4" w:rsidP="002F0DB4">
      <w:pPr>
        <w:pStyle w:val="Heading3"/>
      </w:pPr>
      <w:r>
        <w:t>Home ownership and government assistance to home buyers</w:t>
      </w:r>
    </w:p>
    <w:p w:rsidR="002F0DB4" w:rsidRDefault="002F0DB4" w:rsidP="002F0DB4">
      <w:pPr>
        <w:pStyle w:val="BodyText"/>
      </w:pPr>
      <w:r>
        <w:t xml:space="preserve">Home ownership is not necessarily an aspiration for all Australian households, but is often considered desirable because of the benefits associated with home ownership, including wealth accumulation and security of </w:t>
      </w:r>
      <w:r w:rsidRPr="00702F32">
        <w:rPr>
          <w:color w:val="000000" w:themeColor="text1"/>
        </w:rPr>
        <w:t>tenure (CRC</w:t>
      </w:r>
      <w:r w:rsidR="0070349E">
        <w:rPr>
          <w:color w:val="000000" w:themeColor="text1"/>
        </w:rPr>
        <w:t> </w:t>
      </w:r>
      <w:r w:rsidRPr="00702F32">
        <w:rPr>
          <w:color w:val="000000" w:themeColor="text1"/>
        </w:rPr>
        <w:t>2010,</w:t>
      </w:r>
      <w:r w:rsidR="0070349E">
        <w:rPr>
          <w:color w:val="000000" w:themeColor="text1"/>
        </w:rPr>
        <w:t> </w:t>
      </w:r>
      <w:r w:rsidRPr="00702F32">
        <w:rPr>
          <w:color w:val="000000" w:themeColor="text1"/>
        </w:rPr>
        <w:t>p</w:t>
      </w:r>
      <w:r w:rsidR="0070349E">
        <w:rPr>
          <w:color w:val="000000" w:themeColor="text1"/>
        </w:rPr>
        <w:t>. </w:t>
      </w:r>
      <w:r w:rsidRPr="00702F32">
        <w:rPr>
          <w:color w:val="000000" w:themeColor="text1"/>
        </w:rPr>
        <w:t xml:space="preserve">60). </w:t>
      </w:r>
      <w:r>
        <w:t>The rate of home ownership in Australia is similar to many developed countries, but is comparatively higher than some European countries</w:t>
      </w:r>
      <w:r w:rsidR="00D30686">
        <w:t>, which may reflect</w:t>
      </w:r>
      <w:r>
        <w:t xml:space="preserve"> different cultural and economic incentives, such as income security for retirement (ABS </w:t>
      </w:r>
      <w:proofErr w:type="spellStart"/>
      <w:r>
        <w:t>2010b</w:t>
      </w:r>
      <w:proofErr w:type="spellEnd"/>
      <w:r>
        <w:t>; Frick and Headey 2009).</w:t>
      </w:r>
    </w:p>
    <w:p w:rsidR="002F0DB4" w:rsidRPr="00731EA4" w:rsidRDefault="002F0DB4" w:rsidP="002F0DB4">
      <w:pPr>
        <w:pStyle w:val="BodyText"/>
        <w:rPr>
          <w:color w:val="000000" w:themeColor="text1"/>
        </w:rPr>
      </w:pPr>
      <w:r>
        <w:t xml:space="preserve">Governments provide financial assistance to people </w:t>
      </w:r>
      <w:r w:rsidRPr="00455D8C">
        <w:rPr>
          <w:color w:val="000000" w:themeColor="text1"/>
        </w:rPr>
        <w:t xml:space="preserve">purchasing homes, particularly first home owners and low income home owners. Nationally in </w:t>
      </w:r>
      <w:r w:rsidRPr="00C42C06">
        <w:t>201</w:t>
      </w:r>
      <w:r w:rsidR="00DE753A">
        <w:t>4</w:t>
      </w:r>
      <w:r w:rsidR="00080F6D">
        <w:noBreakHyphen/>
      </w:r>
      <w:r w:rsidRPr="00C42C06">
        <w:t>1</w:t>
      </w:r>
      <w:r w:rsidR="00DE753A">
        <w:t>5</w:t>
      </w:r>
      <w:r w:rsidR="00455D8C" w:rsidRPr="00C42C06">
        <w:t>,</w:t>
      </w:r>
      <w:r w:rsidR="00C42C06">
        <w:t xml:space="preserve"> </w:t>
      </w:r>
      <w:r w:rsidR="00DE753A">
        <w:t>53 062</w:t>
      </w:r>
      <w:r w:rsidR="00455D8C" w:rsidRPr="003C748C">
        <w:rPr>
          <w:color w:val="000000" w:themeColor="text1"/>
        </w:rPr>
        <w:t> </w:t>
      </w:r>
      <w:r w:rsidRPr="003C748C">
        <w:rPr>
          <w:color w:val="000000" w:themeColor="text1"/>
        </w:rPr>
        <w:t xml:space="preserve">people </w:t>
      </w:r>
      <w:r w:rsidRPr="00455D8C">
        <w:rPr>
          <w:color w:val="000000" w:themeColor="text1"/>
        </w:rPr>
        <w:t>received the First Home Owner Scheme gran</w:t>
      </w:r>
      <w:r w:rsidR="0002381A" w:rsidRPr="00455D8C">
        <w:rPr>
          <w:color w:val="000000" w:themeColor="text1"/>
        </w:rPr>
        <w:t>t (ta</w:t>
      </w:r>
      <w:r w:rsidR="00EE3F4E">
        <w:rPr>
          <w:color w:val="000000" w:themeColor="text1"/>
        </w:rPr>
        <w:t>ble GA.10</w:t>
      </w:r>
      <w:r w:rsidRPr="00731EA4">
        <w:rPr>
          <w:color w:val="000000" w:themeColor="text1"/>
        </w:rPr>
        <w:t>).</w:t>
      </w:r>
    </w:p>
    <w:p w:rsidR="002F0DB4" w:rsidRDefault="00C066DD" w:rsidP="00E86F55">
      <w:pPr>
        <w:pStyle w:val="Heading2"/>
      </w:pPr>
      <w:bookmarkStart w:id="27" w:name="_Toc306106371"/>
      <w:bookmarkStart w:id="28" w:name="_Toc401736874"/>
      <w:bookmarkStart w:id="29" w:name="_Toc439927317"/>
      <w:r>
        <w:t>G</w:t>
      </w:r>
      <w:r w:rsidR="00900F14">
        <w:t>.8</w:t>
      </w:r>
      <w:r>
        <w:tab/>
      </w:r>
      <w:r w:rsidR="002F0DB4" w:rsidRPr="00E86F55">
        <w:t>References</w:t>
      </w:r>
      <w:bookmarkEnd w:id="27"/>
      <w:bookmarkEnd w:id="28"/>
      <w:bookmarkEnd w:id="29"/>
    </w:p>
    <w:p w:rsidR="00AB5A20" w:rsidRDefault="002F0DB4" w:rsidP="00F65AA5">
      <w:pPr>
        <w:pStyle w:val="Reference"/>
      </w:pPr>
      <w:r>
        <w:t>ABS (Austral</w:t>
      </w:r>
      <w:r w:rsidR="00F65AA5">
        <w:t xml:space="preserve">ian Bureau of Statistics) </w:t>
      </w:r>
      <w:r w:rsidR="00AB5A20">
        <w:t xml:space="preserve">2015, </w:t>
      </w:r>
      <w:r w:rsidR="00AB5A20" w:rsidRPr="00AB5A20">
        <w:rPr>
          <w:i/>
        </w:rPr>
        <w:t>General Social Survey: Summary Results, Australia, 2014</w:t>
      </w:r>
      <w:r w:rsidR="00AB5A20">
        <w:t xml:space="preserve">, </w:t>
      </w:r>
      <w:r w:rsidR="00AB5A20" w:rsidRPr="00AB5A20">
        <w:t xml:space="preserve">Cat. no. 4159.0, </w:t>
      </w:r>
      <w:r w:rsidR="00AB5A20">
        <w:t>Canberra.</w:t>
      </w:r>
    </w:p>
    <w:p w:rsidR="002C52C7" w:rsidRDefault="00AB5A20" w:rsidP="00F65AA5">
      <w:pPr>
        <w:pStyle w:val="Reference"/>
      </w:pPr>
      <w:r>
        <w:t xml:space="preserve">—— </w:t>
      </w:r>
      <w:r w:rsidR="002C52C7">
        <w:rPr>
          <w:color w:val="000000" w:themeColor="text1"/>
        </w:rPr>
        <w:t>2012</w:t>
      </w:r>
      <w:r w:rsidR="002C52C7" w:rsidRPr="0070349E">
        <w:rPr>
          <w:color w:val="000000" w:themeColor="text1"/>
        </w:rPr>
        <w:t xml:space="preserve">, </w:t>
      </w:r>
      <w:r w:rsidR="002C52C7" w:rsidRPr="0070349E">
        <w:rPr>
          <w:i/>
          <w:color w:val="000000" w:themeColor="text1"/>
        </w:rPr>
        <w:t xml:space="preserve">Census of Population and Housing: Estimating </w:t>
      </w:r>
      <w:r w:rsidR="002C52C7">
        <w:rPr>
          <w:color w:val="000000" w:themeColor="text1"/>
        </w:rPr>
        <w:t>Homelessness, Cat. </w:t>
      </w:r>
      <w:r w:rsidR="002C52C7" w:rsidRPr="0070349E">
        <w:rPr>
          <w:color w:val="000000" w:themeColor="text1"/>
        </w:rPr>
        <w:t>no.</w:t>
      </w:r>
      <w:r w:rsidR="002C52C7">
        <w:rPr>
          <w:color w:val="000000" w:themeColor="text1"/>
        </w:rPr>
        <w:t> </w:t>
      </w:r>
      <w:r w:rsidR="002C52C7" w:rsidRPr="0070349E">
        <w:rPr>
          <w:color w:val="000000" w:themeColor="text1"/>
        </w:rPr>
        <w:t>2049.0, Canberra</w:t>
      </w:r>
      <w:r w:rsidR="002C52C7">
        <w:rPr>
          <w:color w:val="000000" w:themeColor="text1"/>
        </w:rPr>
        <w:t>.</w:t>
      </w:r>
      <w:r w:rsidR="002C52C7">
        <w:t xml:space="preserve"> </w:t>
      </w:r>
    </w:p>
    <w:p w:rsidR="002F0DB4" w:rsidRDefault="002C52C7" w:rsidP="00F65AA5">
      <w:pPr>
        <w:pStyle w:val="Reference"/>
        <w:rPr>
          <w:color w:val="000000" w:themeColor="text1"/>
        </w:rPr>
      </w:pPr>
      <w:r>
        <w:t xml:space="preserve">—— </w:t>
      </w:r>
      <w:proofErr w:type="spellStart"/>
      <w:r w:rsidR="002F0DB4">
        <w:t>2010a</w:t>
      </w:r>
      <w:proofErr w:type="spellEnd"/>
      <w:r w:rsidR="002F0DB4">
        <w:t xml:space="preserve">, </w:t>
      </w:r>
      <w:r w:rsidR="002F0DB4" w:rsidRPr="00333B3A">
        <w:rPr>
          <w:i/>
        </w:rPr>
        <w:t>Standards for Income Variables</w:t>
      </w:r>
      <w:r w:rsidR="00333B3A">
        <w:t>,</w:t>
      </w:r>
      <w:r w:rsidR="002F0DB4">
        <w:t xml:space="preserve"> </w:t>
      </w:r>
      <w:r w:rsidR="002F0DB4" w:rsidRPr="003B0169">
        <w:rPr>
          <w:color w:val="000000" w:themeColor="text1"/>
        </w:rPr>
        <w:t>2010. Cat.</w:t>
      </w:r>
      <w:r w:rsidR="00FE36EB">
        <w:rPr>
          <w:color w:val="000000" w:themeColor="text1"/>
        </w:rPr>
        <w:t> </w:t>
      </w:r>
      <w:r w:rsidR="002F0DB4" w:rsidRPr="003B0169">
        <w:rPr>
          <w:color w:val="000000" w:themeColor="text1"/>
        </w:rPr>
        <w:t>no.</w:t>
      </w:r>
      <w:r w:rsidR="00FE36EB">
        <w:rPr>
          <w:color w:val="000000" w:themeColor="text1"/>
        </w:rPr>
        <w:t> </w:t>
      </w:r>
      <w:r w:rsidR="002F0DB4" w:rsidRPr="003B0169">
        <w:rPr>
          <w:color w:val="000000" w:themeColor="text1"/>
        </w:rPr>
        <w:t>1287.0, Canberra.</w:t>
      </w:r>
    </w:p>
    <w:p w:rsidR="001D7314" w:rsidRDefault="001D7314" w:rsidP="001D7314">
      <w:pPr>
        <w:pStyle w:val="Reference"/>
      </w:pPr>
      <w:r>
        <w:t xml:space="preserve">—— </w:t>
      </w:r>
      <w:proofErr w:type="spellStart"/>
      <w:r>
        <w:t>2010b</w:t>
      </w:r>
      <w:proofErr w:type="spellEnd"/>
      <w:r>
        <w:t xml:space="preserve">, </w:t>
      </w:r>
      <w:r w:rsidRPr="00333B3A">
        <w:rPr>
          <w:i/>
        </w:rPr>
        <w:t>Measures of Australia’s Progress</w:t>
      </w:r>
      <w:r>
        <w:t>, 2010. Cat.</w:t>
      </w:r>
      <w:r w:rsidR="00FE36EB">
        <w:t> </w:t>
      </w:r>
      <w:r>
        <w:t>no.</w:t>
      </w:r>
      <w:r w:rsidR="00FE36EB">
        <w:t> </w:t>
      </w:r>
      <w:r>
        <w:t>1370.0, Canberra.</w:t>
      </w:r>
      <w:r w:rsidR="00C4078C">
        <w:t xml:space="preserve"> </w:t>
      </w:r>
    </w:p>
    <w:p w:rsidR="00DC00AC" w:rsidRDefault="00C1355C" w:rsidP="00DC00AC">
      <w:pPr>
        <w:pStyle w:val="Reference"/>
      </w:pPr>
      <w:proofErr w:type="spellStart"/>
      <w:r>
        <w:t>AHURI</w:t>
      </w:r>
      <w:proofErr w:type="spellEnd"/>
      <w:r>
        <w:t xml:space="preserve"> (Australian Housing and Urban Research Institute), </w:t>
      </w:r>
      <w:r w:rsidR="00DC00AC">
        <w:t xml:space="preserve">2008, </w:t>
      </w:r>
      <w:r w:rsidR="00DC00AC" w:rsidRPr="00333B3A">
        <w:rPr>
          <w:i/>
        </w:rPr>
        <w:t>The cost effectiveness of homelessness programs</w:t>
      </w:r>
      <w:r w:rsidR="00DC00AC">
        <w:t>, Research and Policy Bulletin, issue 104, Melbourne.</w:t>
      </w:r>
    </w:p>
    <w:p w:rsidR="002C52C7" w:rsidRDefault="00964AE8" w:rsidP="00DC00AC">
      <w:pPr>
        <w:pStyle w:val="Reference"/>
      </w:pPr>
      <w:r>
        <w:t>AIHW (Australian Institute of Health and Welfare)</w:t>
      </w:r>
      <w:r w:rsidR="002C52C7">
        <w:t xml:space="preserve"> 2015, </w:t>
      </w:r>
      <w:r w:rsidR="002C52C7" w:rsidRPr="002C52C7">
        <w:rPr>
          <w:i/>
        </w:rPr>
        <w:t>E</w:t>
      </w:r>
      <w:r w:rsidR="002C52C7">
        <w:rPr>
          <w:i/>
        </w:rPr>
        <w:t xml:space="preserve">xploring transitions between homelessness and public housing: 1 July 2011 to 30 June 2013, </w:t>
      </w:r>
      <w:r w:rsidR="002C52C7" w:rsidRPr="00964AE8">
        <w:t>Cat. no.</w:t>
      </w:r>
      <w:r w:rsidR="002C52C7">
        <w:t xml:space="preserve"> </w:t>
      </w:r>
      <w:proofErr w:type="spellStart"/>
      <w:r w:rsidR="002C52C7">
        <w:t>HOU</w:t>
      </w:r>
      <w:proofErr w:type="spellEnd"/>
      <w:r w:rsidR="002C52C7">
        <w:t xml:space="preserve"> 277, Canberra.</w:t>
      </w:r>
    </w:p>
    <w:p w:rsidR="00603CD2" w:rsidRPr="0068015B" w:rsidRDefault="0068015B" w:rsidP="002C52C7">
      <w:pPr>
        <w:pStyle w:val="Reference"/>
        <w:rPr>
          <w:i/>
        </w:rPr>
      </w:pPr>
      <w:r w:rsidRPr="002C52C7">
        <w:lastRenderedPageBreak/>
        <w:t>—</w:t>
      </w:r>
      <w:r>
        <w:t xml:space="preserve">— </w:t>
      </w:r>
      <w:proofErr w:type="spellStart"/>
      <w:r w:rsidRPr="00964AE8">
        <w:t>2</w:t>
      </w:r>
      <w:r>
        <w:t>015b</w:t>
      </w:r>
      <w:proofErr w:type="spellEnd"/>
      <w:r>
        <w:t xml:space="preserve"> </w:t>
      </w:r>
      <w:r w:rsidRPr="00964AE8">
        <w:rPr>
          <w:i/>
        </w:rPr>
        <w:t>Specialist homelessness services: 201</w:t>
      </w:r>
      <w:r w:rsidR="00A35BD0">
        <w:rPr>
          <w:i/>
        </w:rPr>
        <w:t>4</w:t>
      </w:r>
      <w:r w:rsidR="00080F6D">
        <w:rPr>
          <w:i/>
        </w:rPr>
        <w:noBreakHyphen/>
      </w:r>
      <w:r w:rsidRPr="00964AE8">
        <w:rPr>
          <w:i/>
        </w:rPr>
        <w:t>1</w:t>
      </w:r>
      <w:r w:rsidR="00A35BD0">
        <w:rPr>
          <w:i/>
        </w:rPr>
        <w:t>5</w:t>
      </w:r>
      <w:r>
        <w:t>, Canberra</w:t>
      </w:r>
      <w:r w:rsidR="00CD4A0A">
        <w:t xml:space="preserve">, </w:t>
      </w:r>
      <w:r w:rsidR="00CD4A0A" w:rsidRPr="00CD4A0A">
        <w:t>http://www.aihw.gov.au/homelessness/specialist-homelessness-services-2014</w:t>
      </w:r>
      <w:r w:rsidR="00080F6D">
        <w:noBreakHyphen/>
      </w:r>
      <w:r w:rsidR="00CD4A0A" w:rsidRPr="00CD4A0A">
        <w:t>15/</w:t>
      </w:r>
      <w:r w:rsidR="00CD4A0A">
        <w:t xml:space="preserve"> (accessed 11 December 2015).</w:t>
      </w:r>
    </w:p>
    <w:p w:rsidR="00357BA1" w:rsidRDefault="0068015B" w:rsidP="00DC00AC">
      <w:pPr>
        <w:pStyle w:val="Reference"/>
      </w:pPr>
      <w:r>
        <w:t>—— 2014</w:t>
      </w:r>
      <w:r w:rsidR="00357BA1">
        <w:t xml:space="preserve">, </w:t>
      </w:r>
      <w:r w:rsidR="00357BA1">
        <w:rPr>
          <w:i/>
        </w:rPr>
        <w:t>Housing outcomes for groups vulnerable to homelessness</w:t>
      </w:r>
      <w:r w:rsidR="00357BA1">
        <w:t>, Cat. no. </w:t>
      </w:r>
      <w:proofErr w:type="spellStart"/>
      <w:r w:rsidR="00357BA1">
        <w:t>HOU</w:t>
      </w:r>
      <w:proofErr w:type="spellEnd"/>
      <w:r w:rsidR="00357BA1">
        <w:t xml:space="preserve"> 274, Canberra. </w:t>
      </w:r>
    </w:p>
    <w:p w:rsidR="009F73B4" w:rsidRPr="00964AE8" w:rsidRDefault="003D0838" w:rsidP="00DC00AC">
      <w:pPr>
        <w:pStyle w:val="Reference"/>
      </w:pPr>
      <w:r w:rsidRPr="003D0838">
        <w:t>—</w:t>
      </w:r>
      <w:r>
        <w:t xml:space="preserve">— </w:t>
      </w:r>
      <w:r w:rsidR="009F73B4">
        <w:t xml:space="preserve">2012, </w:t>
      </w:r>
      <w:r w:rsidR="009F73B4">
        <w:rPr>
          <w:i/>
        </w:rPr>
        <w:t>Children and young people at risk of social exclusion: Links between homelessness, child protection and juvenile justice</w:t>
      </w:r>
      <w:r w:rsidR="009F73B4">
        <w:t xml:space="preserve">, Cat. no. CSI 13, Canberra. </w:t>
      </w:r>
    </w:p>
    <w:p w:rsidR="002F0DB4" w:rsidRPr="00FE067C" w:rsidRDefault="002F0DB4" w:rsidP="00DC00AC">
      <w:pPr>
        <w:pStyle w:val="Reference"/>
      </w:pPr>
      <w:r w:rsidRPr="00FE067C">
        <w:t>ALGA (Australian Lo</w:t>
      </w:r>
      <w:r w:rsidR="00CC427D" w:rsidRPr="00FE067C">
        <w:t>cal Government Association) 201</w:t>
      </w:r>
      <w:r w:rsidR="00FF58CC">
        <w:t>5</w:t>
      </w:r>
      <w:r w:rsidRPr="00FE067C">
        <w:t xml:space="preserve">, </w:t>
      </w:r>
      <w:r w:rsidRPr="00333B3A">
        <w:rPr>
          <w:i/>
        </w:rPr>
        <w:t>State of the Regions Report</w:t>
      </w:r>
      <w:r w:rsidR="00CC427D" w:rsidRPr="00333B3A">
        <w:rPr>
          <w:i/>
        </w:rPr>
        <w:t xml:space="preserve"> 201</w:t>
      </w:r>
      <w:r w:rsidR="00FF58CC">
        <w:rPr>
          <w:i/>
        </w:rPr>
        <w:t>4</w:t>
      </w:r>
      <w:r w:rsidR="00080F6D">
        <w:rPr>
          <w:i/>
        </w:rPr>
        <w:noBreakHyphen/>
      </w:r>
      <w:r w:rsidR="00CC427D" w:rsidRPr="00333B3A">
        <w:rPr>
          <w:i/>
        </w:rPr>
        <w:t>1</w:t>
      </w:r>
      <w:r w:rsidR="00FF58CC">
        <w:rPr>
          <w:i/>
        </w:rPr>
        <w:t>5</w:t>
      </w:r>
      <w:r w:rsidR="00CD3851">
        <w:t xml:space="preserve">, </w:t>
      </w:r>
      <w:r w:rsidRPr="00FE067C">
        <w:t>Canberra.</w:t>
      </w:r>
    </w:p>
    <w:p w:rsidR="002F0DB4" w:rsidRDefault="002F0DB4" w:rsidP="002F0DB4">
      <w:pPr>
        <w:pStyle w:val="Reference"/>
      </w:pPr>
      <w:r>
        <w:t xml:space="preserve">Bridge, C., </w:t>
      </w:r>
      <w:proofErr w:type="spellStart"/>
      <w:r>
        <w:t>Flatau</w:t>
      </w:r>
      <w:proofErr w:type="spellEnd"/>
      <w:r>
        <w:t xml:space="preserve">, P., Whelan, S., Wood, G. and Yates, J. 2003, </w:t>
      </w:r>
      <w:r w:rsidRPr="00333B3A">
        <w:rPr>
          <w:i/>
        </w:rPr>
        <w:t>Housing assistance and non</w:t>
      </w:r>
      <w:r w:rsidR="00380731">
        <w:rPr>
          <w:i/>
        </w:rPr>
        <w:t>–</w:t>
      </w:r>
      <w:r w:rsidRPr="00333B3A">
        <w:rPr>
          <w:i/>
        </w:rPr>
        <w:t>shelter outcomes</w:t>
      </w:r>
      <w:r>
        <w:t>, F</w:t>
      </w:r>
      <w:r w:rsidR="00FE36EB">
        <w:t>inal Report No. </w:t>
      </w:r>
      <w:r>
        <w:t>40, Australian Housing and Urban Research Institute, Melbourne.</w:t>
      </w:r>
    </w:p>
    <w:p w:rsidR="003B60D3" w:rsidRPr="003B60D3" w:rsidRDefault="00AA1397" w:rsidP="003B60D3">
      <w:pPr>
        <w:pStyle w:val="Reference"/>
      </w:pPr>
      <w:proofErr w:type="spellStart"/>
      <w:r>
        <w:t>Bevitt</w:t>
      </w:r>
      <w:proofErr w:type="spellEnd"/>
      <w:r>
        <w:t xml:space="preserve"> et al., 2015</w:t>
      </w:r>
      <w:r w:rsidR="003B60D3" w:rsidRPr="003B60D3">
        <w:t xml:space="preserve">, </w:t>
      </w:r>
      <w:r w:rsidR="003B60D3" w:rsidRPr="009A7AD3">
        <w:rPr>
          <w:i/>
        </w:rPr>
        <w:t>Jo</w:t>
      </w:r>
      <w:r w:rsidR="00FE36EB">
        <w:rPr>
          <w:i/>
        </w:rPr>
        <w:t>urneys Home Research Report No. </w:t>
      </w:r>
      <w:r>
        <w:rPr>
          <w:i/>
        </w:rPr>
        <w:t>6: Complete findings from Waves 1 to 6.</w:t>
      </w:r>
    </w:p>
    <w:p w:rsidR="00932D38" w:rsidRPr="00932D38" w:rsidRDefault="00932D38" w:rsidP="00130556">
      <w:pPr>
        <w:pStyle w:val="Reference"/>
      </w:pPr>
      <w:r>
        <w:t>CHP (Council to Homeless Person</w:t>
      </w:r>
      <w:r w:rsidR="00AB4B32">
        <w:t>s</w:t>
      </w:r>
      <w:r>
        <w:t xml:space="preserve">) 2005, </w:t>
      </w:r>
      <w:r w:rsidRPr="00333B3A">
        <w:rPr>
          <w:i/>
        </w:rPr>
        <w:t>Contextualising young people: Implications for young people experiencing homelessness</w:t>
      </w:r>
      <w:r>
        <w:t>, Strategic Policy Background Paper</w:t>
      </w:r>
      <w:r w:rsidR="00130556">
        <w:t xml:space="preserve">, Melbourne, </w:t>
      </w:r>
      <w:r w:rsidR="00130556" w:rsidRPr="00FC5DC4">
        <w:t>www.chp.org.au/public_library/items/2005</w:t>
      </w:r>
      <w:r w:rsidR="00994AC4">
        <w:t>–</w:t>
      </w:r>
      <w:r w:rsidR="00130556" w:rsidRPr="00FC5DC4">
        <w:t>03/00</w:t>
      </w:r>
      <w:r w:rsidR="00994AC4">
        <w:t> </w:t>
      </w:r>
      <w:r w:rsidR="00130556" w:rsidRPr="00FC5DC4">
        <w:t>052</w:t>
      </w:r>
      <w:r w:rsidR="00380731">
        <w:t>–</w:t>
      </w:r>
      <w:r w:rsidR="00130556" w:rsidRPr="00FC5DC4">
        <w:t>upload</w:t>
      </w:r>
      <w:r w:rsidR="00380731">
        <w:t>–</w:t>
      </w:r>
      <w:r w:rsidR="00130556" w:rsidRPr="00FC5DC4">
        <w:t>00</w:t>
      </w:r>
      <w:r w:rsidR="00994AC4">
        <w:t> </w:t>
      </w:r>
      <w:r w:rsidR="00130556" w:rsidRPr="00FC5DC4">
        <w:t>001.doc</w:t>
      </w:r>
      <w:r w:rsidR="00130556">
        <w:t xml:space="preserve"> </w:t>
      </w:r>
      <w:r>
        <w:t>(accessed 1</w:t>
      </w:r>
      <w:r w:rsidR="00130556">
        <w:t>1</w:t>
      </w:r>
      <w:r>
        <w:t xml:space="preserve"> October 2011). </w:t>
      </w:r>
    </w:p>
    <w:p w:rsidR="00DA28F1" w:rsidRDefault="00DA28F1" w:rsidP="00DA28F1">
      <w:pPr>
        <w:pStyle w:val="Reference"/>
      </w:pPr>
      <w:r>
        <w:t>Council on Federal Financial Relations, 2015, Intergovernmental Agreement on Federal Financial Relations, Australian Government, Council of Australian Governments, http://</w:t>
      </w:r>
      <w:proofErr w:type="spellStart"/>
      <w:r>
        <w:t>www.federalfinancialrelations.gov.au</w:t>
      </w:r>
      <w:proofErr w:type="spellEnd"/>
      <w:r>
        <w:t>/ (accessed 16 October 2015).</w:t>
      </w:r>
    </w:p>
    <w:p w:rsidR="002F0DB4" w:rsidRDefault="002F0DB4" w:rsidP="002F0DB4">
      <w:pPr>
        <w:pStyle w:val="Reference"/>
      </w:pPr>
      <w:r>
        <w:t>COAG (Council of Aust</w:t>
      </w:r>
      <w:r w:rsidR="00C81D1A">
        <w:t xml:space="preserve">ralian Governments) </w:t>
      </w:r>
      <w:r w:rsidR="00D24950">
        <w:t>2012</w:t>
      </w:r>
      <w:r>
        <w:t xml:space="preserve">, </w:t>
      </w:r>
      <w:r w:rsidRPr="00333B3A">
        <w:rPr>
          <w:i/>
        </w:rPr>
        <w:t>National Affordable Housing Agreement</w:t>
      </w:r>
      <w:r>
        <w:t>, Intergovernmental Agreement on Federal Financial Relations, Australian Government, Council of Australian Governments, Canberra.</w:t>
      </w:r>
    </w:p>
    <w:p w:rsidR="00713319" w:rsidRDefault="00713319" w:rsidP="002F0DB4">
      <w:pPr>
        <w:pStyle w:val="Reference"/>
      </w:pPr>
      <w:r w:rsidRPr="00713319">
        <w:t>Commonwealth of Australia 2014, Reform of the Federation White Paper, http://</w:t>
      </w:r>
      <w:proofErr w:type="spellStart"/>
      <w:r w:rsidRPr="00713319">
        <w:t>federation.dpmc.gov.au</w:t>
      </w:r>
      <w:proofErr w:type="spellEnd"/>
      <w:r w:rsidRPr="00713319">
        <w:t xml:space="preserve">/ (accessed 15 September 2015). </w:t>
      </w:r>
    </w:p>
    <w:p w:rsidR="002F0DB4" w:rsidRDefault="002F0DB4" w:rsidP="002F0DB4">
      <w:pPr>
        <w:pStyle w:val="Reference"/>
      </w:pPr>
      <w:r>
        <w:t>CRC (COAG Reform Council), 2010, National Affordable Housing Agreement: Baseline performance report for 2008</w:t>
      </w:r>
      <w:r w:rsidR="00080F6D">
        <w:noBreakHyphen/>
      </w:r>
      <w:r>
        <w:t>09, Sydney.</w:t>
      </w:r>
    </w:p>
    <w:p w:rsidR="002F0DB4" w:rsidRDefault="002F0DB4" w:rsidP="002F0DB4">
      <w:pPr>
        <w:pStyle w:val="Reference"/>
      </w:pPr>
      <w:r>
        <w:t xml:space="preserve">Frick, </w:t>
      </w:r>
      <w:proofErr w:type="spellStart"/>
      <w:r>
        <w:t>J.R</w:t>
      </w:r>
      <w:proofErr w:type="spellEnd"/>
      <w:r>
        <w:t xml:space="preserve"> and Headey, B., 2009, </w:t>
      </w:r>
      <w:r w:rsidRPr="00333B3A">
        <w:rPr>
          <w:i/>
        </w:rPr>
        <w:t>Living Standards in Retirement: Accepted International Comparisons are Misleading</w:t>
      </w:r>
      <w:r>
        <w:t xml:space="preserve">, </w:t>
      </w:r>
      <w:proofErr w:type="spellStart"/>
      <w:r>
        <w:t>Schmollers</w:t>
      </w:r>
      <w:proofErr w:type="spellEnd"/>
      <w:r w:rsidR="00FE36EB">
        <w:t xml:space="preserve"> </w:t>
      </w:r>
      <w:proofErr w:type="spellStart"/>
      <w:r w:rsidR="00FE36EB">
        <w:t>Jahrbuch</w:t>
      </w:r>
      <w:proofErr w:type="spellEnd"/>
      <w:r w:rsidR="00FE36EB">
        <w:t>, no. 129, Berlin, pp. </w:t>
      </w:r>
      <w:r>
        <w:t>309</w:t>
      </w:r>
      <w:r w:rsidR="00B513B1">
        <w:t>–</w:t>
      </w:r>
      <w:r>
        <w:t>319.</w:t>
      </w:r>
    </w:p>
    <w:p w:rsidR="002F0DB4" w:rsidRPr="00FC5DC4" w:rsidRDefault="002F0DB4" w:rsidP="002F0DB4">
      <w:pPr>
        <w:pStyle w:val="Reference"/>
        <w:rPr>
          <w:u w:val="single"/>
        </w:rPr>
      </w:pPr>
      <w:r>
        <w:t xml:space="preserve">Homelessness </w:t>
      </w:r>
      <w:r w:rsidR="009148F7">
        <w:t>NSW</w:t>
      </w:r>
      <w:r>
        <w:t>, 201</w:t>
      </w:r>
      <w:r w:rsidR="009148F7">
        <w:t>5</w:t>
      </w:r>
      <w:r>
        <w:t xml:space="preserve">, </w:t>
      </w:r>
      <w:r w:rsidR="009148F7">
        <w:rPr>
          <w:i/>
        </w:rPr>
        <w:t>Some facts a</w:t>
      </w:r>
      <w:r w:rsidRPr="00333B3A">
        <w:rPr>
          <w:i/>
        </w:rPr>
        <w:t>bout homelessness</w:t>
      </w:r>
      <w:r>
        <w:t xml:space="preserve">, </w:t>
      </w:r>
      <w:r w:rsidR="009148F7" w:rsidRPr="009148F7">
        <w:t>http://www.homelessnessnsw.org.au/resources/about-homelessness/facts-about-homelessness</w:t>
      </w:r>
      <w:r w:rsidR="009148F7" w:rsidRPr="009148F7" w:rsidDel="009148F7">
        <w:t xml:space="preserve"> </w:t>
      </w:r>
      <w:r w:rsidRPr="00FC5DC4">
        <w:t xml:space="preserve">(accessed </w:t>
      </w:r>
      <w:r w:rsidR="00130556" w:rsidRPr="00FC5DC4">
        <w:t>1</w:t>
      </w:r>
      <w:r w:rsidR="009148F7">
        <w:t>5 September</w:t>
      </w:r>
      <w:r w:rsidR="00421E6A">
        <w:t> </w:t>
      </w:r>
      <w:r w:rsidRPr="00FC5DC4">
        <w:t>201</w:t>
      </w:r>
      <w:r w:rsidR="009148F7">
        <w:t>5</w:t>
      </w:r>
      <w:r w:rsidRPr="00FC5DC4">
        <w:t>).</w:t>
      </w:r>
    </w:p>
    <w:p w:rsidR="002F0DB4" w:rsidRDefault="002F0DB4" w:rsidP="002F0DB4">
      <w:pPr>
        <w:pStyle w:val="Reference"/>
      </w:pPr>
      <w:r>
        <w:t xml:space="preserve">King, A. 2002. </w:t>
      </w:r>
      <w:r w:rsidRPr="00333B3A">
        <w:rPr>
          <w:i/>
        </w:rPr>
        <w:t>Housing assistance: the lifetime impacts</w:t>
      </w:r>
      <w:r>
        <w:t>, Fi</w:t>
      </w:r>
      <w:r w:rsidR="00FE36EB">
        <w:t>nal Report no. </w:t>
      </w:r>
      <w:r>
        <w:t>20, Australian Housing and Urban Research Institute, Melbourne.</w:t>
      </w:r>
    </w:p>
    <w:p w:rsidR="00932D38" w:rsidRPr="00932D38" w:rsidRDefault="00932D38" w:rsidP="008E40E9">
      <w:pPr>
        <w:pStyle w:val="Reference"/>
      </w:pPr>
      <w:proofErr w:type="spellStart"/>
      <w:r>
        <w:t>Memmott</w:t>
      </w:r>
      <w:proofErr w:type="spellEnd"/>
      <w:r>
        <w:t xml:space="preserve">, P. and Chambers, C. 2010, </w:t>
      </w:r>
      <w:r w:rsidRPr="00333B3A">
        <w:rPr>
          <w:i/>
        </w:rPr>
        <w:t>Indigenous Homelessness in Australia: An Introduction. Council to Homeless Persons, Parity</w:t>
      </w:r>
      <w:r w:rsidR="008E40E9">
        <w:t>, Melbourne,</w:t>
      </w:r>
      <w:r w:rsidR="00994AC4">
        <w:t xml:space="preserve"> </w:t>
      </w:r>
      <w:proofErr w:type="spellStart"/>
      <w:r w:rsidR="00FE36EB" w:rsidRPr="00FE36EB">
        <w:t>www.chp.org.au</w:t>
      </w:r>
      <w:proofErr w:type="spellEnd"/>
      <w:r w:rsidR="00FE36EB" w:rsidRPr="00FE36EB">
        <w:t>/parity</w:t>
      </w:r>
      <w:r w:rsidR="00FE36EB">
        <w:t xml:space="preserve"> </w:t>
      </w:r>
      <w:r w:rsidRPr="00FC5DC4">
        <w:t>/items/2010</w:t>
      </w:r>
      <w:r w:rsidR="00994AC4">
        <w:t>–</w:t>
      </w:r>
      <w:r w:rsidRPr="00FC5DC4">
        <w:t>12/00</w:t>
      </w:r>
      <w:r w:rsidR="00994AC4">
        <w:t> </w:t>
      </w:r>
      <w:r w:rsidRPr="00FC5DC4">
        <w:t>417</w:t>
      </w:r>
      <w:r w:rsidR="00380731">
        <w:t>–</w:t>
      </w:r>
      <w:r w:rsidRPr="00FC5DC4">
        <w:t>upload</w:t>
      </w:r>
      <w:r w:rsidR="00380731">
        <w:t>–</w:t>
      </w:r>
      <w:r w:rsidRPr="00FC5DC4">
        <w:t>00</w:t>
      </w:r>
      <w:r w:rsidR="00994AC4">
        <w:t> </w:t>
      </w:r>
      <w:proofErr w:type="spellStart"/>
      <w:r w:rsidRPr="00FC5DC4">
        <w:t>001.doc</w:t>
      </w:r>
      <w:proofErr w:type="spellEnd"/>
      <w:r>
        <w:t xml:space="preserve"> (accessed </w:t>
      </w:r>
      <w:r w:rsidR="00E52853">
        <w:t>11 </w:t>
      </w:r>
      <w:r>
        <w:t xml:space="preserve">October 2011). </w:t>
      </w:r>
    </w:p>
    <w:p w:rsidR="001E00EC" w:rsidRPr="001E00EC" w:rsidRDefault="001E00EC" w:rsidP="002F0DB4">
      <w:pPr>
        <w:pStyle w:val="Reference"/>
      </w:pPr>
      <w:r>
        <w:lastRenderedPageBreak/>
        <w:t xml:space="preserve">Mental Health Council of Australia 2009, </w:t>
      </w:r>
      <w:r w:rsidRPr="00333B3A">
        <w:rPr>
          <w:i/>
        </w:rPr>
        <w:t>Home Truths: Mental Health, Housing and Homelessness in Australia</w:t>
      </w:r>
      <w:r>
        <w:t xml:space="preserve">, </w:t>
      </w:r>
      <w:proofErr w:type="spellStart"/>
      <w:r w:rsidR="00FE36EB" w:rsidRPr="00FE36EB">
        <w:t>www.mhca.org.au</w:t>
      </w:r>
      <w:proofErr w:type="spellEnd"/>
      <w:r w:rsidR="00FE36EB" w:rsidRPr="00FE36EB">
        <w:t>/documents/</w:t>
      </w:r>
      <w:proofErr w:type="spellStart"/>
      <w:r w:rsidR="00FE36EB" w:rsidRPr="00FE36EB">
        <w:t>MHCA20Truths%20Layout</w:t>
      </w:r>
      <w:proofErr w:type="spellEnd"/>
      <w:r w:rsidR="00FE36EB">
        <w:t xml:space="preserve"> </w:t>
      </w:r>
      <w:r w:rsidR="008E40E9" w:rsidRPr="00FC5DC4">
        <w:t>%</w:t>
      </w:r>
      <w:proofErr w:type="spellStart"/>
      <w:r w:rsidR="008E40E9" w:rsidRPr="00FC5DC4">
        <w:t>20%20FINAL.pdf</w:t>
      </w:r>
      <w:proofErr w:type="spellEnd"/>
      <w:r w:rsidRPr="00FC5DC4">
        <w:t xml:space="preserve"> </w:t>
      </w:r>
      <w:r>
        <w:t>(accessed 11 October 2011).</w:t>
      </w:r>
    </w:p>
    <w:p w:rsidR="002F0DB4" w:rsidRDefault="002F0DB4" w:rsidP="002F0DB4">
      <w:pPr>
        <w:pStyle w:val="Reference"/>
      </w:pPr>
      <w:r>
        <w:t xml:space="preserve">Morris, A. 2010, </w:t>
      </w:r>
      <w:r w:rsidRPr="00333B3A">
        <w:rPr>
          <w:i/>
        </w:rPr>
        <w:t>The lack of a right to housing and its implications in Australia</w:t>
      </w:r>
      <w:r>
        <w:t>, Journal of Au</w:t>
      </w:r>
      <w:r w:rsidR="00FE36EB">
        <w:t>stralian Political Economy, no. </w:t>
      </w:r>
      <w:r>
        <w:t>65, Winter 2010.</w:t>
      </w:r>
    </w:p>
    <w:p w:rsidR="002F0DB4" w:rsidRDefault="002F0DB4" w:rsidP="002F0DB4">
      <w:pPr>
        <w:pStyle w:val="Reference"/>
      </w:pPr>
      <w:proofErr w:type="spellStart"/>
      <w:r>
        <w:t>NHSC</w:t>
      </w:r>
      <w:proofErr w:type="spellEnd"/>
      <w:r>
        <w:t xml:space="preserve"> (National Housing Supply Council), 201</w:t>
      </w:r>
      <w:r w:rsidR="00CC2781">
        <w:t>2</w:t>
      </w:r>
      <w:r>
        <w:t xml:space="preserve">, </w:t>
      </w:r>
      <w:r w:rsidR="00155C57" w:rsidRPr="00155C57">
        <w:rPr>
          <w:bCs/>
          <w:i/>
        </w:rPr>
        <w:t>Housing Supply and Affordability</w:t>
      </w:r>
      <w:r w:rsidR="00994AC4">
        <w:rPr>
          <w:bCs/>
          <w:i/>
        </w:rPr>
        <w:t xml:space="preserve"> </w:t>
      </w:r>
      <w:r w:rsidR="00720395">
        <w:rPr>
          <w:bCs/>
          <w:i/>
        </w:rPr>
        <w:t>– Key Indicators,</w:t>
      </w:r>
      <w:r>
        <w:t xml:space="preserve"> Comm</w:t>
      </w:r>
      <w:r w:rsidR="00CC2781">
        <w:t>onwealth of Australia, Canberra.</w:t>
      </w:r>
    </w:p>
    <w:p w:rsidR="00CC2781" w:rsidRDefault="00CC2781" w:rsidP="00CC2781">
      <w:pPr>
        <w:pStyle w:val="Reference"/>
      </w:pPr>
      <w:r>
        <w:t xml:space="preserve">—— 2010, </w:t>
      </w:r>
      <w:r w:rsidR="00EB0A6A" w:rsidRPr="00EB0A6A">
        <w:rPr>
          <w:i/>
        </w:rPr>
        <w:t>2</w:t>
      </w:r>
      <w:r w:rsidR="00EB0A6A" w:rsidRPr="00EB0A6A">
        <w:rPr>
          <w:i/>
          <w:vertAlign w:val="superscript"/>
        </w:rPr>
        <w:t>nd</w:t>
      </w:r>
      <w:r w:rsidR="00EB0A6A" w:rsidRPr="00EB0A6A">
        <w:rPr>
          <w:i/>
        </w:rPr>
        <w:t xml:space="preserve"> </w:t>
      </w:r>
      <w:r w:rsidRPr="00EB0A6A">
        <w:rPr>
          <w:i/>
        </w:rPr>
        <w:t>State of Supply Report</w:t>
      </w:r>
      <w:r w:rsidRPr="00CC2781">
        <w:t>, Commonwealth of Australia, Canberra.</w:t>
      </w:r>
    </w:p>
    <w:p w:rsidR="00E32CA2" w:rsidRDefault="00E32CA2" w:rsidP="00901877">
      <w:pPr>
        <w:pStyle w:val="Reference"/>
      </w:pPr>
      <w:proofErr w:type="spellStart"/>
      <w:r>
        <w:t>Phibbs</w:t>
      </w:r>
      <w:proofErr w:type="spellEnd"/>
      <w:r>
        <w:t xml:space="preserve">, P and Thompson, S. 2011, The health impacts of housing: toward a policy-relevant research agenda, </w:t>
      </w:r>
      <w:proofErr w:type="spellStart"/>
      <w:r>
        <w:t>AHURI</w:t>
      </w:r>
      <w:proofErr w:type="spellEnd"/>
      <w:r>
        <w:t xml:space="preserve"> Final Report No. 173</w:t>
      </w:r>
      <w:r w:rsidR="00EC1C9D">
        <w:t>, Melbourne.</w:t>
      </w:r>
    </w:p>
    <w:p w:rsidR="00901877" w:rsidRDefault="00901877" w:rsidP="00901877">
      <w:pPr>
        <w:pStyle w:val="Reference"/>
      </w:pPr>
      <w:r>
        <w:t>Phillips, R, Head B and Jones A, 2012, Integrated Responses to Homelessness in Australia: an analysis of ‘joined up’ policy and practice, Institute for Social Science Research, University of Queensland</w:t>
      </w:r>
    </w:p>
    <w:p w:rsidR="00901877" w:rsidRDefault="00901877" w:rsidP="00901877">
      <w:pPr>
        <w:pStyle w:val="Reference"/>
      </w:pPr>
      <w:r>
        <w:t>Phillips, R, 2013, Integrated Responses to Homelessness in Australia: What works and why?, Institute for Social Science Research, University of Queensland.</w:t>
      </w:r>
    </w:p>
    <w:p w:rsidR="00AE6E6D" w:rsidRDefault="00AE6E6D" w:rsidP="00AE6E6D">
      <w:pPr>
        <w:pStyle w:val="Reference"/>
      </w:pPr>
      <w:r>
        <w:t xml:space="preserve">Productivity Commission 2015, </w:t>
      </w:r>
      <w:r>
        <w:rPr>
          <w:bCs/>
          <w:i/>
        </w:rPr>
        <w:t>Housing Assistance and Employment in Australia,</w:t>
      </w:r>
      <w:r>
        <w:t xml:space="preserve"> Commission Research Paper, Canberra.</w:t>
      </w:r>
    </w:p>
    <w:p w:rsidR="002F0DB4" w:rsidRDefault="002F0DB4" w:rsidP="00901877">
      <w:pPr>
        <w:pStyle w:val="Reference"/>
      </w:pPr>
      <w:r>
        <w:t xml:space="preserve">Quine, S., </w:t>
      </w:r>
      <w:proofErr w:type="spellStart"/>
      <w:r>
        <w:t>Kendig</w:t>
      </w:r>
      <w:proofErr w:type="spellEnd"/>
      <w:r>
        <w:t xml:space="preserve">, H. Russell, C. and </w:t>
      </w:r>
      <w:proofErr w:type="spellStart"/>
      <w:r>
        <w:t>Touchard</w:t>
      </w:r>
      <w:proofErr w:type="spellEnd"/>
      <w:r>
        <w:t xml:space="preserve">, D., 2004, </w:t>
      </w:r>
      <w:r w:rsidRPr="00333B3A">
        <w:rPr>
          <w:i/>
        </w:rPr>
        <w:t>Health promotion for socially disadvantaged groups: the case of homeless older men in Australia</w:t>
      </w:r>
      <w:r>
        <w:t>, Healt</w:t>
      </w:r>
      <w:r w:rsidR="00FE36EB">
        <w:t>h Promotion International, vol. 19, no </w:t>
      </w:r>
      <w:r>
        <w:t>2.</w:t>
      </w:r>
    </w:p>
    <w:p w:rsidR="002F0DB4" w:rsidRDefault="002F0DB4" w:rsidP="002F0DB4">
      <w:pPr>
        <w:pStyle w:val="Reference"/>
      </w:pPr>
      <w:r>
        <w:t xml:space="preserve">RBA (Reserve Bank of Australia), 2009, </w:t>
      </w:r>
      <w:r w:rsidRPr="00333B3A">
        <w:rPr>
          <w:i/>
        </w:rPr>
        <w:t>Conditions and Prospects in the Housing Sector</w:t>
      </w:r>
      <w:r>
        <w:t xml:space="preserve">, Anthony Richards, Address to the 4th Annual Housing Congress, 26 March 2009, Sydney, </w:t>
      </w:r>
      <w:proofErr w:type="spellStart"/>
      <w:r w:rsidRPr="00FC5DC4">
        <w:t>www.rba.gov.au</w:t>
      </w:r>
      <w:proofErr w:type="spellEnd"/>
      <w:r w:rsidRPr="00FC5DC4">
        <w:t>/s</w:t>
      </w:r>
      <w:r w:rsidR="00163EFC" w:rsidRPr="00FC5DC4">
        <w:t>peeches/2009/</w:t>
      </w:r>
      <w:proofErr w:type="spellStart"/>
      <w:r w:rsidR="00163EFC" w:rsidRPr="00FC5DC4">
        <w:t>sp</w:t>
      </w:r>
      <w:proofErr w:type="spellEnd"/>
      <w:r w:rsidR="00380731">
        <w:t>–</w:t>
      </w:r>
      <w:r w:rsidR="00163EFC" w:rsidRPr="00FC5DC4">
        <w:t>so</w:t>
      </w:r>
      <w:r w:rsidR="00380731">
        <w:t>–</w:t>
      </w:r>
      <w:r w:rsidR="00163EFC" w:rsidRPr="00FC5DC4">
        <w:t>260</w:t>
      </w:r>
      <w:r w:rsidR="00994AC4">
        <w:t> </w:t>
      </w:r>
      <w:proofErr w:type="spellStart"/>
      <w:r w:rsidR="00163EFC" w:rsidRPr="00FC5DC4">
        <w:t>309.html</w:t>
      </w:r>
      <w:proofErr w:type="spellEnd"/>
      <w:r w:rsidR="00163EFC">
        <w:t xml:space="preserve"> </w:t>
      </w:r>
      <w:r>
        <w:t>(accessed 1</w:t>
      </w:r>
      <w:r w:rsidR="00130556">
        <w:t>1</w:t>
      </w:r>
      <w:r>
        <w:t xml:space="preserve"> October 201</w:t>
      </w:r>
      <w:r w:rsidR="00130556">
        <w:t>1</w:t>
      </w:r>
      <w:r>
        <w:t>)</w:t>
      </w:r>
      <w:r w:rsidR="003479CE">
        <w:t>.</w:t>
      </w:r>
    </w:p>
    <w:p w:rsidR="002F0DB4" w:rsidRDefault="002F0DB4" w:rsidP="002F0DB4">
      <w:pPr>
        <w:pStyle w:val="Reference"/>
      </w:pPr>
      <w:proofErr w:type="spellStart"/>
      <w:r>
        <w:t>Saugers</w:t>
      </w:r>
      <w:proofErr w:type="spellEnd"/>
      <w:r>
        <w:t xml:space="preserve">, L. and Hulse, K. 2010, </w:t>
      </w:r>
      <w:r w:rsidRPr="00333B3A">
        <w:rPr>
          <w:i/>
        </w:rPr>
        <w:t>Public housing, women and employment: challenges and strategies</w:t>
      </w:r>
      <w:r w:rsidR="00FE36EB">
        <w:t>. Final Report no. </w:t>
      </w:r>
      <w:r>
        <w:t>155, Australian Housing and Urban Research Institute, Melbourne.</w:t>
      </w:r>
    </w:p>
    <w:p w:rsidR="002F0DB4" w:rsidRDefault="00DB4762" w:rsidP="002F0DB4">
      <w:pPr>
        <w:pStyle w:val="Reference"/>
      </w:pPr>
      <w:r>
        <w:t xml:space="preserve">Waters, </w:t>
      </w:r>
      <w:proofErr w:type="spellStart"/>
      <w:r>
        <w:t>A.</w:t>
      </w:r>
      <w:r w:rsidR="002F0DB4">
        <w:t>M.</w:t>
      </w:r>
      <w:proofErr w:type="spellEnd"/>
      <w:r w:rsidR="002F0DB4">
        <w:t xml:space="preserve">, 2001, </w:t>
      </w:r>
      <w:r w:rsidR="002F0DB4" w:rsidRPr="00333B3A">
        <w:rPr>
          <w:i/>
        </w:rPr>
        <w:t>Do housing conditions impact on health inequalities between Australia’s rich and poor?</w:t>
      </w:r>
      <w:r w:rsidR="00FE36EB">
        <w:t xml:space="preserve"> Final Report no. </w:t>
      </w:r>
      <w:r w:rsidR="002F0DB4">
        <w:t>4, Australia Housing and Urban Research Institute, Melbourne.</w:t>
      </w:r>
    </w:p>
    <w:p w:rsidR="002F0DB4" w:rsidRDefault="002F0DB4" w:rsidP="002F0DB4">
      <w:pPr>
        <w:pStyle w:val="Reference"/>
      </w:pPr>
      <w:r>
        <w:t xml:space="preserve">Yates, J. and Gabriel, M. 2006, </w:t>
      </w:r>
      <w:r w:rsidRPr="00333B3A">
        <w:rPr>
          <w:i/>
        </w:rPr>
        <w:t>Housing Affordability i</w:t>
      </w:r>
      <w:r w:rsidR="00FE36EB">
        <w:rPr>
          <w:i/>
        </w:rPr>
        <w:t>n Australia, Research Paper No. </w:t>
      </w:r>
      <w:r w:rsidRPr="00333B3A">
        <w:rPr>
          <w:i/>
        </w:rPr>
        <w:t>3</w:t>
      </w:r>
      <w:r>
        <w:t>, Australian Housing and Urban Research Institute, Melbourne.</w:t>
      </w:r>
    </w:p>
    <w:p w:rsidR="002F0DB4" w:rsidRPr="002F0DB4" w:rsidRDefault="002F0DB4" w:rsidP="002F0DB4">
      <w:pPr>
        <w:pStyle w:val="Reference"/>
      </w:pPr>
      <w:r>
        <w:t xml:space="preserve">Yates, J. and Milligan, V. 2007, </w:t>
      </w:r>
      <w:r w:rsidRPr="00333B3A">
        <w:rPr>
          <w:i/>
        </w:rPr>
        <w:t>Housing affordability: a 21st century problem</w:t>
      </w:r>
      <w:r w:rsidR="00FE36EB">
        <w:t>, Final Report No. </w:t>
      </w:r>
      <w:r>
        <w:t>105, Australian Housing and Urban Research Institute, Melbourne.</w:t>
      </w:r>
    </w:p>
    <w:sectPr w:rsidR="002F0DB4" w:rsidRPr="002F0DB4" w:rsidSect="00DB497C">
      <w:headerReference w:type="even" r:id="rId17"/>
      <w:headerReference w:type="default" r:id="rId18"/>
      <w:footerReference w:type="even" r:id="rId19"/>
      <w:footerReference w:type="default" r:id="rId20"/>
      <w:pgSz w:w="11907" w:h="16840" w:code="9"/>
      <w:pgMar w:top="1984" w:right="1304" w:bottom="1247" w:left="1814" w:header="1701" w:footer="397" w:gutter="0"/>
      <w:pgNumType w:start="1"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405" w:rsidRDefault="00C02405">
      <w:r>
        <w:separator/>
      </w:r>
    </w:p>
  </w:endnote>
  <w:endnote w:type="continuationSeparator" w:id="0">
    <w:p w:rsidR="00C02405" w:rsidRDefault="00C0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2405" w:rsidTr="003341B0">
      <w:trPr>
        <w:trHeight w:hRule="exact" w:val="567"/>
      </w:trPr>
      <w:tc>
        <w:tcPr>
          <w:tcW w:w="510" w:type="dxa"/>
        </w:tcPr>
        <w:p w:rsidR="00C02405" w:rsidRPr="00A24443" w:rsidRDefault="00C02405" w:rsidP="003341B0">
          <w:pPr>
            <w:pStyle w:val="Footer"/>
            <w:tabs>
              <w:tab w:val="left" w:pos="0"/>
            </w:tabs>
            <w:ind w:right="0"/>
            <w:rPr>
              <w:rStyle w:val="PageNumber"/>
              <w:caps w:val="0"/>
            </w:rPr>
          </w:pPr>
          <w:r>
            <w:rPr>
              <w:rStyle w:val="PageNumber"/>
              <w:caps w:val="0"/>
            </w:rPr>
            <w:t>G.</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41BF1">
            <w:rPr>
              <w:rStyle w:val="PageNumber"/>
              <w:caps w:val="0"/>
              <w:noProof/>
            </w:rPr>
            <w:t>2</w:t>
          </w:r>
          <w:r w:rsidRPr="00A24443">
            <w:rPr>
              <w:rStyle w:val="PageNumber"/>
              <w:caps w:val="0"/>
            </w:rPr>
            <w:fldChar w:fldCharType="end"/>
          </w:r>
        </w:p>
      </w:tc>
      <w:tc>
        <w:tcPr>
          <w:tcW w:w="7767" w:type="dxa"/>
        </w:tcPr>
        <w:p w:rsidR="00C02405" w:rsidRPr="0013739A" w:rsidRDefault="00C02405" w:rsidP="00F253DF">
          <w:pPr>
            <w:pStyle w:val="Footer"/>
            <w:rPr>
              <w:rFonts w:cs="Arial"/>
            </w:rPr>
          </w:pPr>
          <w:r>
            <w:rPr>
              <w:rFonts w:cs="Arial"/>
            </w:rPr>
            <w:t>report on government services 2016</w:t>
          </w:r>
        </w:p>
      </w:tc>
      <w:tc>
        <w:tcPr>
          <w:tcW w:w="510" w:type="dxa"/>
        </w:tcPr>
        <w:p w:rsidR="00C02405" w:rsidRDefault="00C02405" w:rsidP="003341B0">
          <w:pPr>
            <w:pStyle w:val="Footer"/>
          </w:pPr>
        </w:p>
      </w:tc>
    </w:tr>
  </w:tbl>
  <w:p w:rsidR="00C02405" w:rsidRDefault="00C02405" w:rsidP="0019293B">
    <w:pPr>
      <w:pStyle w:val="FooterEnd"/>
    </w:pPr>
  </w:p>
  <w:p w:rsidR="00C02405" w:rsidRDefault="00C0240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2405" w:rsidTr="003341B0">
      <w:trPr>
        <w:trHeight w:hRule="exact" w:val="567"/>
      </w:trPr>
      <w:tc>
        <w:tcPr>
          <w:tcW w:w="510" w:type="dxa"/>
        </w:tcPr>
        <w:p w:rsidR="00C02405" w:rsidRDefault="00C02405" w:rsidP="003341B0">
          <w:pPr>
            <w:pStyle w:val="Footer"/>
            <w:ind w:right="360" w:firstLine="360"/>
          </w:pPr>
        </w:p>
      </w:tc>
      <w:tc>
        <w:tcPr>
          <w:tcW w:w="7767" w:type="dxa"/>
        </w:tcPr>
        <w:p w:rsidR="00C02405" w:rsidRPr="00BA5B14" w:rsidRDefault="00C02405" w:rsidP="00034ABA">
          <w:pPr>
            <w:pStyle w:val="Footer"/>
            <w:jc w:val="right"/>
            <w:rPr>
              <w:rFonts w:cs="Arial"/>
            </w:rPr>
          </w:pPr>
          <w:r>
            <w:rPr>
              <w:rFonts w:cs="Arial"/>
            </w:rPr>
            <w:t>housing and homelessness se</w:t>
          </w:r>
          <w:bookmarkStart w:id="30" w:name="DraftReportOdd"/>
          <w:bookmarkEnd w:id="30"/>
          <w:r>
            <w:rPr>
              <w:rFonts w:cs="Arial"/>
            </w:rPr>
            <w:t>ctor overview</w:t>
          </w:r>
        </w:p>
      </w:tc>
      <w:tc>
        <w:tcPr>
          <w:tcW w:w="510" w:type="dxa"/>
        </w:tcPr>
        <w:p w:rsidR="00C02405" w:rsidRPr="00A24443" w:rsidRDefault="00C02405" w:rsidP="003341B0">
          <w:pPr>
            <w:pStyle w:val="Footer"/>
            <w:jc w:val="right"/>
            <w:rPr>
              <w:caps w:val="0"/>
            </w:rPr>
          </w:pPr>
          <w:r>
            <w:rPr>
              <w:rStyle w:val="PageNumber"/>
              <w:caps w:val="0"/>
            </w:rPr>
            <w:t>G.</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41BF1">
            <w:rPr>
              <w:rStyle w:val="PageNumber"/>
              <w:caps w:val="0"/>
              <w:noProof/>
            </w:rPr>
            <w:t>1</w:t>
          </w:r>
          <w:r w:rsidRPr="00A24443">
            <w:rPr>
              <w:rStyle w:val="PageNumber"/>
              <w:caps w:val="0"/>
            </w:rPr>
            <w:fldChar w:fldCharType="end"/>
          </w:r>
        </w:p>
      </w:tc>
    </w:tr>
  </w:tbl>
  <w:p w:rsidR="00C02405" w:rsidRDefault="00C02405">
    <w:pPr>
      <w:pStyle w:val="FooterEnd"/>
    </w:pPr>
  </w:p>
  <w:p w:rsidR="00C02405" w:rsidRDefault="00C0240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405" w:rsidRDefault="00C02405">
      <w:r>
        <w:separator/>
      </w:r>
    </w:p>
  </w:footnote>
  <w:footnote w:type="continuationSeparator" w:id="0">
    <w:p w:rsidR="00C02405" w:rsidRDefault="00C02405">
      <w:r>
        <w:continuationSeparator/>
      </w:r>
    </w:p>
  </w:footnote>
  <w:footnote w:id="1">
    <w:p w:rsidR="00C02405" w:rsidRDefault="00C02405" w:rsidP="00F309C1">
      <w:pPr>
        <w:pStyle w:val="FootnoteText"/>
        <w:spacing w:before="60"/>
      </w:pPr>
      <w:r>
        <w:rPr>
          <w:rStyle w:val="FootnoteReference"/>
        </w:rPr>
        <w:footnoteRef/>
      </w:r>
      <w:r>
        <w:tab/>
      </w:r>
      <w:r w:rsidRPr="0039690B">
        <w:t xml:space="preserve">CRA may be payable to people living in </w:t>
      </w:r>
      <w:r w:rsidRPr="00010DF3">
        <w:t>SOMIH (in NSW</w:t>
      </w:r>
      <w:r>
        <w:t xml:space="preserve"> </w:t>
      </w:r>
      <w:r w:rsidRPr="00E53B74">
        <w:t xml:space="preserve"> on</w:t>
      </w:r>
      <w:r w:rsidRPr="00010DF3">
        <w:t>ly</w:t>
      </w:r>
      <w:r w:rsidRPr="00E42114">
        <w:t>), community</w:t>
      </w:r>
      <w:r w:rsidRPr="0039690B">
        <w:t xml:space="preserve"> housing</w:t>
      </w:r>
      <w:r>
        <w:t xml:space="preserve"> o</w:t>
      </w:r>
      <w:r w:rsidRPr="0039690B">
        <w:t xml:space="preserve">r </w:t>
      </w:r>
      <w:proofErr w:type="spellStart"/>
      <w:r w:rsidRPr="0039690B">
        <w:t>I</w:t>
      </w:r>
      <w:r>
        <w:t>CH</w:t>
      </w:r>
      <w:proofErr w:type="spellEnd"/>
      <w:r>
        <w:t xml:space="preserve"> </w:t>
      </w:r>
      <w:r w:rsidRPr="0039690B">
        <w:t>but it is not payable to people renting housing from State or</w:t>
      </w:r>
      <w:r>
        <w:t xml:space="preserve"> Territory housing authorities (</w:t>
      </w:r>
      <w:r w:rsidRPr="0039690B">
        <w:t xml:space="preserve">that is, </w:t>
      </w:r>
      <w:r>
        <w:t xml:space="preserve">people living in public housing, or </w:t>
      </w:r>
      <w:r w:rsidRPr="0039690B">
        <w:t>SOMIH</w:t>
      </w:r>
      <w:r>
        <w:t xml:space="preserve"> [</w:t>
      </w:r>
      <w:r w:rsidRPr="00010DF3">
        <w:t>other than NSW</w:t>
      </w:r>
      <w:r>
        <w:t>]</w:t>
      </w:r>
      <w:r w:rsidRPr="00010DF3">
        <w:t>)</w:t>
      </w:r>
      <w:r>
        <w:t xml:space="preserve">, </w:t>
      </w:r>
      <w:r w:rsidRPr="0039690B">
        <w:t>as housing authorities separately subsidise rent for eligible tenants.</w:t>
      </w:r>
      <w:r w:rsidRPr="00B3433B">
        <w:t xml:space="preserve"> </w:t>
      </w:r>
      <w:r>
        <w:t>Further i</w:t>
      </w:r>
      <w:r w:rsidRPr="0039690B">
        <w:t xml:space="preserve">nformation on the eligibility and payment </w:t>
      </w:r>
      <w:r>
        <w:t xml:space="preserve">rates for CRA are presented in </w:t>
      </w:r>
      <w:r w:rsidRPr="0083637A">
        <w:t>table GA.</w:t>
      </w:r>
      <w:r>
        <w:t>15</w:t>
      </w:r>
      <w:r w:rsidRPr="00010DF3">
        <w:t>.</w:t>
      </w:r>
    </w:p>
  </w:footnote>
  <w:footnote w:id="2">
    <w:p w:rsidR="00C02405" w:rsidRDefault="00C02405" w:rsidP="00F309C1">
      <w:pPr>
        <w:pStyle w:val="FootnoteText"/>
        <w:spacing w:before="60"/>
      </w:pPr>
      <w:r>
        <w:rPr>
          <w:rStyle w:val="FootnoteReference"/>
        </w:rPr>
        <w:footnoteRef/>
      </w:r>
      <w:r>
        <w:tab/>
        <w:t>‘Income unit’ may consist of: a single person with no dependent children, a sole parent with one or more dependent children, a couple (married, registered or de facto) with no dependent children, a couple (married, registered or de facto) with one or more dependent children. A non–dependent child living at home, including one who is receiving an income support payment in their own right, is regarded as a separate income unit. Similarly, a group of non–related adults sharing accommodation are counted as separate income units. Payment scales for these income units are available in table GA.14.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02405" w:rsidTr="00F253DF">
      <w:tc>
        <w:tcPr>
          <w:tcW w:w="2155" w:type="dxa"/>
          <w:tcBorders>
            <w:top w:val="single" w:sz="24" w:space="0" w:color="auto"/>
          </w:tcBorders>
        </w:tcPr>
        <w:p w:rsidR="00C02405" w:rsidRDefault="00C02405" w:rsidP="003341B0">
          <w:pPr>
            <w:pStyle w:val="HeaderEven"/>
          </w:pPr>
        </w:p>
      </w:tc>
      <w:tc>
        <w:tcPr>
          <w:tcW w:w="6634" w:type="dxa"/>
          <w:tcBorders>
            <w:top w:val="single" w:sz="6" w:space="0" w:color="auto"/>
          </w:tcBorders>
        </w:tcPr>
        <w:p w:rsidR="00C02405" w:rsidRDefault="00C02405" w:rsidP="003341B0">
          <w:pPr>
            <w:pStyle w:val="HeaderEven"/>
          </w:pPr>
        </w:p>
      </w:tc>
    </w:tr>
  </w:tbl>
  <w:p w:rsidR="00C02405" w:rsidRDefault="00C02405" w:rsidP="0019293B">
    <w:pPr>
      <w:pStyle w:val="HeaderEnd"/>
    </w:pPr>
  </w:p>
  <w:p w:rsidR="00C02405" w:rsidRDefault="00C02405" w:rsidP="00311FF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2405" w:rsidTr="003341B0">
      <w:tc>
        <w:tcPr>
          <w:tcW w:w="6634" w:type="dxa"/>
          <w:tcBorders>
            <w:top w:val="single" w:sz="6" w:space="0" w:color="auto"/>
          </w:tcBorders>
        </w:tcPr>
        <w:p w:rsidR="00C02405" w:rsidRDefault="00C02405" w:rsidP="00D75A5D">
          <w:pPr>
            <w:pStyle w:val="HeaderOdd"/>
          </w:pPr>
        </w:p>
      </w:tc>
      <w:tc>
        <w:tcPr>
          <w:tcW w:w="2155" w:type="dxa"/>
          <w:tcBorders>
            <w:top w:val="single" w:sz="24" w:space="0" w:color="auto"/>
          </w:tcBorders>
        </w:tcPr>
        <w:p w:rsidR="00C02405" w:rsidRDefault="00C02405" w:rsidP="003341B0">
          <w:pPr>
            <w:pStyle w:val="HeaderOdd"/>
          </w:pPr>
        </w:p>
      </w:tc>
    </w:tr>
  </w:tbl>
  <w:p w:rsidR="00C02405" w:rsidRDefault="00C02405" w:rsidP="00E669E2">
    <w:pPr>
      <w:pStyle w:val="HeaderEnd"/>
    </w:pPr>
  </w:p>
  <w:p w:rsidR="00C02405" w:rsidRDefault="00C02405" w:rsidP="00311FF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99373E9"/>
    <w:multiLevelType w:val="hybridMultilevel"/>
    <w:tmpl w:val="7864F4C0"/>
    <w:lvl w:ilvl="0" w:tplc="C84485E8">
      <w:start w:val="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CB00E7A"/>
    <w:multiLevelType w:val="hybridMultilevel"/>
    <w:tmpl w:val="A3162938"/>
    <w:lvl w:ilvl="0" w:tplc="88687D68">
      <w:start w:val="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EC8797A"/>
    <w:multiLevelType w:val="hybridMultilevel"/>
    <w:tmpl w:val="24AADEC4"/>
    <w:lvl w:ilvl="0" w:tplc="91EEEA18">
      <w:start w:val="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6"/>
  </w:num>
  <w:num w:numId="3">
    <w:abstractNumId w:val="25"/>
  </w:num>
  <w:num w:numId="4">
    <w:abstractNumId w:val="4"/>
  </w:num>
  <w:num w:numId="5">
    <w:abstractNumId w:val="16"/>
  </w:num>
  <w:num w:numId="6">
    <w:abstractNumId w:val="5"/>
  </w:num>
  <w:num w:numId="7">
    <w:abstractNumId w:val="23"/>
  </w:num>
  <w:num w:numId="8">
    <w:abstractNumId w:val="18"/>
  </w:num>
  <w:num w:numId="9">
    <w:abstractNumId w:val="26"/>
  </w:num>
  <w:num w:numId="10">
    <w:abstractNumId w:val="11"/>
  </w:num>
  <w:num w:numId="11">
    <w:abstractNumId w:val="9"/>
  </w:num>
  <w:num w:numId="12">
    <w:abstractNumId w:val="17"/>
  </w:num>
  <w:num w:numId="13">
    <w:abstractNumId w:val="8"/>
  </w:num>
  <w:num w:numId="14">
    <w:abstractNumId w:val="7"/>
  </w:num>
  <w:num w:numId="15">
    <w:abstractNumId w:val="12"/>
  </w:num>
  <w:num w:numId="16">
    <w:abstractNumId w:val="15"/>
  </w:num>
  <w:num w:numId="17">
    <w:abstractNumId w:val="19"/>
  </w:num>
  <w:num w:numId="18">
    <w:abstractNumId w:val="22"/>
  </w:num>
  <w:num w:numId="19">
    <w:abstractNumId w:val="10"/>
  </w:num>
  <w:num w:numId="20">
    <w:abstractNumId w:val="0"/>
  </w:num>
  <w:num w:numId="21">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3">
    <w:abstractNumId w:val="1"/>
  </w:num>
  <w:num w:numId="24">
    <w:abstractNumId w:val="2"/>
  </w:num>
  <w:num w:numId="25">
    <w:abstractNumId w:val="13"/>
  </w:num>
  <w:num w:numId="26">
    <w:abstractNumId w:val="24"/>
  </w:num>
  <w:num w:numId="27">
    <w:abstractNumId w:val="16"/>
  </w:num>
  <w:num w:numId="28">
    <w:abstractNumId w:val="16"/>
  </w:num>
  <w:num w:numId="29">
    <w:abstractNumId w:val="20"/>
  </w:num>
  <w:num w:numId="30">
    <w:abstractNumId w:val="21"/>
  </w:num>
  <w:num w:numId="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sector summary"/>
    <w:docVar w:name="ShortReportTitle" w:val="Report on Government Services 2012"/>
  </w:docVars>
  <w:rsids>
    <w:rsidRoot w:val="00EE2A5B"/>
    <w:rsid w:val="0000097E"/>
    <w:rsid w:val="00001780"/>
    <w:rsid w:val="00003624"/>
    <w:rsid w:val="00004158"/>
    <w:rsid w:val="00005FFB"/>
    <w:rsid w:val="000073F6"/>
    <w:rsid w:val="00007E43"/>
    <w:rsid w:val="00010DF3"/>
    <w:rsid w:val="00011F0C"/>
    <w:rsid w:val="00013CEA"/>
    <w:rsid w:val="0001439E"/>
    <w:rsid w:val="00015396"/>
    <w:rsid w:val="00015AFD"/>
    <w:rsid w:val="00016004"/>
    <w:rsid w:val="0001648A"/>
    <w:rsid w:val="00016873"/>
    <w:rsid w:val="00017BC7"/>
    <w:rsid w:val="0002030E"/>
    <w:rsid w:val="000205F9"/>
    <w:rsid w:val="00021D88"/>
    <w:rsid w:val="00022965"/>
    <w:rsid w:val="0002381A"/>
    <w:rsid w:val="00023ACE"/>
    <w:rsid w:val="000259BA"/>
    <w:rsid w:val="00026257"/>
    <w:rsid w:val="000275B9"/>
    <w:rsid w:val="0002781A"/>
    <w:rsid w:val="000300E3"/>
    <w:rsid w:val="000301DC"/>
    <w:rsid w:val="000312F6"/>
    <w:rsid w:val="00033B9E"/>
    <w:rsid w:val="00034ABA"/>
    <w:rsid w:val="00035C1F"/>
    <w:rsid w:val="0003664B"/>
    <w:rsid w:val="00037014"/>
    <w:rsid w:val="00040E46"/>
    <w:rsid w:val="00040E9B"/>
    <w:rsid w:val="0004111F"/>
    <w:rsid w:val="0004133B"/>
    <w:rsid w:val="00043B2D"/>
    <w:rsid w:val="00043D9F"/>
    <w:rsid w:val="000444DA"/>
    <w:rsid w:val="000446E0"/>
    <w:rsid w:val="00044E55"/>
    <w:rsid w:val="00044F8C"/>
    <w:rsid w:val="0004535E"/>
    <w:rsid w:val="00045376"/>
    <w:rsid w:val="00045496"/>
    <w:rsid w:val="00045A45"/>
    <w:rsid w:val="00046FFA"/>
    <w:rsid w:val="000479D0"/>
    <w:rsid w:val="00047AA5"/>
    <w:rsid w:val="00047B8A"/>
    <w:rsid w:val="00050405"/>
    <w:rsid w:val="00050964"/>
    <w:rsid w:val="0005358D"/>
    <w:rsid w:val="000539F9"/>
    <w:rsid w:val="000545BC"/>
    <w:rsid w:val="0005580C"/>
    <w:rsid w:val="0005582F"/>
    <w:rsid w:val="00062285"/>
    <w:rsid w:val="00062B0A"/>
    <w:rsid w:val="00062C30"/>
    <w:rsid w:val="00063999"/>
    <w:rsid w:val="00065F48"/>
    <w:rsid w:val="0006652E"/>
    <w:rsid w:val="000672AC"/>
    <w:rsid w:val="00067E96"/>
    <w:rsid w:val="000701D5"/>
    <w:rsid w:val="000703CB"/>
    <w:rsid w:val="000713ED"/>
    <w:rsid w:val="0007150B"/>
    <w:rsid w:val="00071A76"/>
    <w:rsid w:val="00072A63"/>
    <w:rsid w:val="00072C70"/>
    <w:rsid w:val="00073A87"/>
    <w:rsid w:val="00073AC0"/>
    <w:rsid w:val="00073B38"/>
    <w:rsid w:val="00074CC8"/>
    <w:rsid w:val="000758B6"/>
    <w:rsid w:val="0007642D"/>
    <w:rsid w:val="00080278"/>
    <w:rsid w:val="00080F6D"/>
    <w:rsid w:val="00082529"/>
    <w:rsid w:val="0008280F"/>
    <w:rsid w:val="00082B71"/>
    <w:rsid w:val="000840FE"/>
    <w:rsid w:val="00084271"/>
    <w:rsid w:val="00086944"/>
    <w:rsid w:val="00086D93"/>
    <w:rsid w:val="00087755"/>
    <w:rsid w:val="000920E6"/>
    <w:rsid w:val="000927D5"/>
    <w:rsid w:val="00093140"/>
    <w:rsid w:val="000938F5"/>
    <w:rsid w:val="00094BEA"/>
    <w:rsid w:val="00096448"/>
    <w:rsid w:val="00096738"/>
    <w:rsid w:val="00096DC6"/>
    <w:rsid w:val="00097310"/>
    <w:rsid w:val="00097BAB"/>
    <w:rsid w:val="00097D96"/>
    <w:rsid w:val="000A304E"/>
    <w:rsid w:val="000A4226"/>
    <w:rsid w:val="000A4712"/>
    <w:rsid w:val="000A4E71"/>
    <w:rsid w:val="000A5E03"/>
    <w:rsid w:val="000A6351"/>
    <w:rsid w:val="000A6D26"/>
    <w:rsid w:val="000A7A67"/>
    <w:rsid w:val="000B0622"/>
    <w:rsid w:val="000B0923"/>
    <w:rsid w:val="000B18A5"/>
    <w:rsid w:val="000B197C"/>
    <w:rsid w:val="000B25F8"/>
    <w:rsid w:val="000B28C0"/>
    <w:rsid w:val="000B3E4F"/>
    <w:rsid w:val="000B49E0"/>
    <w:rsid w:val="000B57FC"/>
    <w:rsid w:val="000B5F19"/>
    <w:rsid w:val="000B601B"/>
    <w:rsid w:val="000B6048"/>
    <w:rsid w:val="000B718E"/>
    <w:rsid w:val="000B7C25"/>
    <w:rsid w:val="000C0EC5"/>
    <w:rsid w:val="000C207E"/>
    <w:rsid w:val="000C64EF"/>
    <w:rsid w:val="000D0855"/>
    <w:rsid w:val="000D1610"/>
    <w:rsid w:val="000D1D94"/>
    <w:rsid w:val="000D4346"/>
    <w:rsid w:val="000D47D3"/>
    <w:rsid w:val="000D58DC"/>
    <w:rsid w:val="000D64CA"/>
    <w:rsid w:val="000D6755"/>
    <w:rsid w:val="000D6F4D"/>
    <w:rsid w:val="000D71A2"/>
    <w:rsid w:val="000D75DD"/>
    <w:rsid w:val="000D7896"/>
    <w:rsid w:val="000D7AD8"/>
    <w:rsid w:val="000E0C93"/>
    <w:rsid w:val="000E0DF6"/>
    <w:rsid w:val="000E1118"/>
    <w:rsid w:val="000E1691"/>
    <w:rsid w:val="000E2D7F"/>
    <w:rsid w:val="000E4005"/>
    <w:rsid w:val="000E4DC4"/>
    <w:rsid w:val="000E4E42"/>
    <w:rsid w:val="000E4E67"/>
    <w:rsid w:val="000E6A30"/>
    <w:rsid w:val="000E7166"/>
    <w:rsid w:val="000E7EC6"/>
    <w:rsid w:val="000F2FDB"/>
    <w:rsid w:val="000F34A1"/>
    <w:rsid w:val="000F3A42"/>
    <w:rsid w:val="000F490D"/>
    <w:rsid w:val="000F49DD"/>
    <w:rsid w:val="001004C5"/>
    <w:rsid w:val="00100C73"/>
    <w:rsid w:val="0010126C"/>
    <w:rsid w:val="00101287"/>
    <w:rsid w:val="00103097"/>
    <w:rsid w:val="00103449"/>
    <w:rsid w:val="00103FC1"/>
    <w:rsid w:val="0010571F"/>
    <w:rsid w:val="00105EF5"/>
    <w:rsid w:val="00106BF2"/>
    <w:rsid w:val="00107A71"/>
    <w:rsid w:val="00110116"/>
    <w:rsid w:val="0011043B"/>
    <w:rsid w:val="001114A4"/>
    <w:rsid w:val="00112333"/>
    <w:rsid w:val="001125C3"/>
    <w:rsid w:val="001125E7"/>
    <w:rsid w:val="00113685"/>
    <w:rsid w:val="00114786"/>
    <w:rsid w:val="00114D3D"/>
    <w:rsid w:val="001154AB"/>
    <w:rsid w:val="00121741"/>
    <w:rsid w:val="0012195C"/>
    <w:rsid w:val="00123133"/>
    <w:rsid w:val="00123E69"/>
    <w:rsid w:val="0012453E"/>
    <w:rsid w:val="00125975"/>
    <w:rsid w:val="00126EB8"/>
    <w:rsid w:val="00127045"/>
    <w:rsid w:val="00127649"/>
    <w:rsid w:val="00130556"/>
    <w:rsid w:val="00131170"/>
    <w:rsid w:val="00132BD1"/>
    <w:rsid w:val="00133257"/>
    <w:rsid w:val="00133548"/>
    <w:rsid w:val="0013436D"/>
    <w:rsid w:val="001363AA"/>
    <w:rsid w:val="00136B21"/>
    <w:rsid w:val="00136B60"/>
    <w:rsid w:val="001401DC"/>
    <w:rsid w:val="0014052A"/>
    <w:rsid w:val="001407C9"/>
    <w:rsid w:val="00140B3D"/>
    <w:rsid w:val="001417D4"/>
    <w:rsid w:val="00141BF1"/>
    <w:rsid w:val="001473D9"/>
    <w:rsid w:val="0015167B"/>
    <w:rsid w:val="0015398E"/>
    <w:rsid w:val="00153B4B"/>
    <w:rsid w:val="0015431B"/>
    <w:rsid w:val="00155047"/>
    <w:rsid w:val="00155C57"/>
    <w:rsid w:val="001569EB"/>
    <w:rsid w:val="0015703E"/>
    <w:rsid w:val="00160065"/>
    <w:rsid w:val="00162724"/>
    <w:rsid w:val="0016272D"/>
    <w:rsid w:val="00162B9D"/>
    <w:rsid w:val="00163EFC"/>
    <w:rsid w:val="0016474C"/>
    <w:rsid w:val="00165F9F"/>
    <w:rsid w:val="001667FE"/>
    <w:rsid w:val="00166F9A"/>
    <w:rsid w:val="00172F4F"/>
    <w:rsid w:val="00173003"/>
    <w:rsid w:val="0017344A"/>
    <w:rsid w:val="00177108"/>
    <w:rsid w:val="0017775E"/>
    <w:rsid w:val="00177ECB"/>
    <w:rsid w:val="00180557"/>
    <w:rsid w:val="001808BE"/>
    <w:rsid w:val="00181E11"/>
    <w:rsid w:val="00181EFA"/>
    <w:rsid w:val="0018200C"/>
    <w:rsid w:val="001820B5"/>
    <w:rsid w:val="0018303D"/>
    <w:rsid w:val="00183F30"/>
    <w:rsid w:val="0018436A"/>
    <w:rsid w:val="0018443A"/>
    <w:rsid w:val="00184719"/>
    <w:rsid w:val="00185FA3"/>
    <w:rsid w:val="00186FBB"/>
    <w:rsid w:val="00186FF2"/>
    <w:rsid w:val="001871EE"/>
    <w:rsid w:val="00190A35"/>
    <w:rsid w:val="0019293B"/>
    <w:rsid w:val="00194C7D"/>
    <w:rsid w:val="00195AF7"/>
    <w:rsid w:val="00197DF5"/>
    <w:rsid w:val="001A0C69"/>
    <w:rsid w:val="001A1EF5"/>
    <w:rsid w:val="001A24AF"/>
    <w:rsid w:val="001A427B"/>
    <w:rsid w:val="001A4615"/>
    <w:rsid w:val="001A6131"/>
    <w:rsid w:val="001A64DF"/>
    <w:rsid w:val="001A653C"/>
    <w:rsid w:val="001A70EC"/>
    <w:rsid w:val="001A715E"/>
    <w:rsid w:val="001A7D9F"/>
    <w:rsid w:val="001A7E68"/>
    <w:rsid w:val="001B00DA"/>
    <w:rsid w:val="001B1C43"/>
    <w:rsid w:val="001B35B5"/>
    <w:rsid w:val="001B7AED"/>
    <w:rsid w:val="001C0865"/>
    <w:rsid w:val="001C0F0D"/>
    <w:rsid w:val="001C231C"/>
    <w:rsid w:val="001C269A"/>
    <w:rsid w:val="001C2801"/>
    <w:rsid w:val="001C393B"/>
    <w:rsid w:val="001C3ABA"/>
    <w:rsid w:val="001C3DCE"/>
    <w:rsid w:val="001C4982"/>
    <w:rsid w:val="001C5302"/>
    <w:rsid w:val="001C5CEB"/>
    <w:rsid w:val="001C7384"/>
    <w:rsid w:val="001C76F3"/>
    <w:rsid w:val="001D0C7F"/>
    <w:rsid w:val="001D15A8"/>
    <w:rsid w:val="001D20BB"/>
    <w:rsid w:val="001D247E"/>
    <w:rsid w:val="001D5FFB"/>
    <w:rsid w:val="001D6D39"/>
    <w:rsid w:val="001D7314"/>
    <w:rsid w:val="001E00EC"/>
    <w:rsid w:val="001E17EC"/>
    <w:rsid w:val="001E1A26"/>
    <w:rsid w:val="001E246B"/>
    <w:rsid w:val="001E2FD9"/>
    <w:rsid w:val="001E3123"/>
    <w:rsid w:val="001E4357"/>
    <w:rsid w:val="001E466A"/>
    <w:rsid w:val="001E4B6A"/>
    <w:rsid w:val="001E7BE8"/>
    <w:rsid w:val="001F0248"/>
    <w:rsid w:val="001F2B40"/>
    <w:rsid w:val="001F38A4"/>
    <w:rsid w:val="001F3DD6"/>
    <w:rsid w:val="001F4A96"/>
    <w:rsid w:val="001F76B7"/>
    <w:rsid w:val="001F7CFC"/>
    <w:rsid w:val="00200A01"/>
    <w:rsid w:val="00200FEC"/>
    <w:rsid w:val="00201020"/>
    <w:rsid w:val="002015F4"/>
    <w:rsid w:val="00202309"/>
    <w:rsid w:val="00202C2C"/>
    <w:rsid w:val="00202FC8"/>
    <w:rsid w:val="0020330F"/>
    <w:rsid w:val="00203ED3"/>
    <w:rsid w:val="00204553"/>
    <w:rsid w:val="00204B74"/>
    <w:rsid w:val="00205496"/>
    <w:rsid w:val="0020562F"/>
    <w:rsid w:val="00205E8A"/>
    <w:rsid w:val="0020669C"/>
    <w:rsid w:val="00206748"/>
    <w:rsid w:val="00207387"/>
    <w:rsid w:val="00211D62"/>
    <w:rsid w:val="002121C3"/>
    <w:rsid w:val="00212C25"/>
    <w:rsid w:val="00213A7A"/>
    <w:rsid w:val="00215318"/>
    <w:rsid w:val="002158A7"/>
    <w:rsid w:val="00215B01"/>
    <w:rsid w:val="00216502"/>
    <w:rsid w:val="0021710F"/>
    <w:rsid w:val="002205F3"/>
    <w:rsid w:val="002233D4"/>
    <w:rsid w:val="002235C1"/>
    <w:rsid w:val="00224725"/>
    <w:rsid w:val="00225055"/>
    <w:rsid w:val="00225554"/>
    <w:rsid w:val="0022598A"/>
    <w:rsid w:val="00225D24"/>
    <w:rsid w:val="00225DF5"/>
    <w:rsid w:val="002260AC"/>
    <w:rsid w:val="00226648"/>
    <w:rsid w:val="00226957"/>
    <w:rsid w:val="002277CE"/>
    <w:rsid w:val="00230D14"/>
    <w:rsid w:val="0023208D"/>
    <w:rsid w:val="002331AB"/>
    <w:rsid w:val="00234C07"/>
    <w:rsid w:val="002354A5"/>
    <w:rsid w:val="002378B1"/>
    <w:rsid w:val="00237ACD"/>
    <w:rsid w:val="00237EA2"/>
    <w:rsid w:val="00240072"/>
    <w:rsid w:val="002404C7"/>
    <w:rsid w:val="002407D9"/>
    <w:rsid w:val="002410C2"/>
    <w:rsid w:val="0024115B"/>
    <w:rsid w:val="00242279"/>
    <w:rsid w:val="0024317D"/>
    <w:rsid w:val="00244099"/>
    <w:rsid w:val="0024443A"/>
    <w:rsid w:val="00244687"/>
    <w:rsid w:val="00244934"/>
    <w:rsid w:val="002458D7"/>
    <w:rsid w:val="00245CBF"/>
    <w:rsid w:val="002475DC"/>
    <w:rsid w:val="00247695"/>
    <w:rsid w:val="00250A62"/>
    <w:rsid w:val="002518EA"/>
    <w:rsid w:val="00252B1F"/>
    <w:rsid w:val="00253C6A"/>
    <w:rsid w:val="002543D4"/>
    <w:rsid w:val="002559C2"/>
    <w:rsid w:val="00255C29"/>
    <w:rsid w:val="00256B58"/>
    <w:rsid w:val="00260208"/>
    <w:rsid w:val="002603BA"/>
    <w:rsid w:val="00260505"/>
    <w:rsid w:val="00262381"/>
    <w:rsid w:val="00263645"/>
    <w:rsid w:val="00263996"/>
    <w:rsid w:val="00264A41"/>
    <w:rsid w:val="00270E66"/>
    <w:rsid w:val="002710F6"/>
    <w:rsid w:val="00272333"/>
    <w:rsid w:val="0027303E"/>
    <w:rsid w:val="002753C8"/>
    <w:rsid w:val="00276579"/>
    <w:rsid w:val="0027772C"/>
    <w:rsid w:val="0028107B"/>
    <w:rsid w:val="0028192E"/>
    <w:rsid w:val="002819E1"/>
    <w:rsid w:val="002821C8"/>
    <w:rsid w:val="002824EF"/>
    <w:rsid w:val="0028282B"/>
    <w:rsid w:val="00282C3F"/>
    <w:rsid w:val="002832AA"/>
    <w:rsid w:val="00283DEF"/>
    <w:rsid w:val="002842FB"/>
    <w:rsid w:val="00284E1D"/>
    <w:rsid w:val="00285062"/>
    <w:rsid w:val="002854AA"/>
    <w:rsid w:val="0028553E"/>
    <w:rsid w:val="0028600A"/>
    <w:rsid w:val="00286A37"/>
    <w:rsid w:val="00291662"/>
    <w:rsid w:val="00291B40"/>
    <w:rsid w:val="00291F18"/>
    <w:rsid w:val="00291FD9"/>
    <w:rsid w:val="002950AD"/>
    <w:rsid w:val="0029562C"/>
    <w:rsid w:val="002959CB"/>
    <w:rsid w:val="00295CB5"/>
    <w:rsid w:val="00297498"/>
    <w:rsid w:val="002979D2"/>
    <w:rsid w:val="00297BD1"/>
    <w:rsid w:val="002A226C"/>
    <w:rsid w:val="002A2292"/>
    <w:rsid w:val="002A3BFC"/>
    <w:rsid w:val="002A3FA0"/>
    <w:rsid w:val="002A421E"/>
    <w:rsid w:val="002A4921"/>
    <w:rsid w:val="002A7554"/>
    <w:rsid w:val="002B0957"/>
    <w:rsid w:val="002B0B54"/>
    <w:rsid w:val="002B1717"/>
    <w:rsid w:val="002B2129"/>
    <w:rsid w:val="002B2A64"/>
    <w:rsid w:val="002B3893"/>
    <w:rsid w:val="002B4008"/>
    <w:rsid w:val="002B4651"/>
    <w:rsid w:val="002B47CB"/>
    <w:rsid w:val="002B4ACB"/>
    <w:rsid w:val="002B58B9"/>
    <w:rsid w:val="002B64A5"/>
    <w:rsid w:val="002B7075"/>
    <w:rsid w:val="002C0F75"/>
    <w:rsid w:val="002C323C"/>
    <w:rsid w:val="002C4597"/>
    <w:rsid w:val="002C4B02"/>
    <w:rsid w:val="002C52C7"/>
    <w:rsid w:val="002C6E6D"/>
    <w:rsid w:val="002C7476"/>
    <w:rsid w:val="002D019F"/>
    <w:rsid w:val="002D0E8E"/>
    <w:rsid w:val="002D10A0"/>
    <w:rsid w:val="002D1999"/>
    <w:rsid w:val="002D2D16"/>
    <w:rsid w:val="002D330F"/>
    <w:rsid w:val="002D388A"/>
    <w:rsid w:val="002D4480"/>
    <w:rsid w:val="002D4E2D"/>
    <w:rsid w:val="002D55DA"/>
    <w:rsid w:val="002D70CF"/>
    <w:rsid w:val="002D782E"/>
    <w:rsid w:val="002D7836"/>
    <w:rsid w:val="002D7B19"/>
    <w:rsid w:val="002E1BD3"/>
    <w:rsid w:val="002E27E3"/>
    <w:rsid w:val="002E2B5C"/>
    <w:rsid w:val="002E30F5"/>
    <w:rsid w:val="002E33D2"/>
    <w:rsid w:val="002E427A"/>
    <w:rsid w:val="002E49DA"/>
    <w:rsid w:val="002E567C"/>
    <w:rsid w:val="002E597F"/>
    <w:rsid w:val="002E5F14"/>
    <w:rsid w:val="002E6124"/>
    <w:rsid w:val="002E65ED"/>
    <w:rsid w:val="002E6EFE"/>
    <w:rsid w:val="002E7027"/>
    <w:rsid w:val="002F0DB4"/>
    <w:rsid w:val="002F188D"/>
    <w:rsid w:val="002F1949"/>
    <w:rsid w:val="002F41CC"/>
    <w:rsid w:val="002F4790"/>
    <w:rsid w:val="002F4FA6"/>
    <w:rsid w:val="002F5C59"/>
    <w:rsid w:val="002F5F9C"/>
    <w:rsid w:val="002F6E3C"/>
    <w:rsid w:val="002F7031"/>
    <w:rsid w:val="002F718E"/>
    <w:rsid w:val="00301189"/>
    <w:rsid w:val="003053A8"/>
    <w:rsid w:val="003060D2"/>
    <w:rsid w:val="00306274"/>
    <w:rsid w:val="003066B1"/>
    <w:rsid w:val="00306711"/>
    <w:rsid w:val="00306D79"/>
    <w:rsid w:val="00311426"/>
    <w:rsid w:val="00311FF5"/>
    <w:rsid w:val="0031253A"/>
    <w:rsid w:val="00312D53"/>
    <w:rsid w:val="003137DE"/>
    <w:rsid w:val="00313BAE"/>
    <w:rsid w:val="0031574E"/>
    <w:rsid w:val="00316702"/>
    <w:rsid w:val="00320280"/>
    <w:rsid w:val="00320433"/>
    <w:rsid w:val="00322587"/>
    <w:rsid w:val="00322C6D"/>
    <w:rsid w:val="00323530"/>
    <w:rsid w:val="00323C5B"/>
    <w:rsid w:val="00323E09"/>
    <w:rsid w:val="00324624"/>
    <w:rsid w:val="00325429"/>
    <w:rsid w:val="0032569B"/>
    <w:rsid w:val="00326A2A"/>
    <w:rsid w:val="00327AA6"/>
    <w:rsid w:val="00327B16"/>
    <w:rsid w:val="00330C2C"/>
    <w:rsid w:val="00331F20"/>
    <w:rsid w:val="00333932"/>
    <w:rsid w:val="003339D7"/>
    <w:rsid w:val="00333B3A"/>
    <w:rsid w:val="003341B0"/>
    <w:rsid w:val="003344DF"/>
    <w:rsid w:val="00334D56"/>
    <w:rsid w:val="00335874"/>
    <w:rsid w:val="00336095"/>
    <w:rsid w:val="00337243"/>
    <w:rsid w:val="00340C06"/>
    <w:rsid w:val="0034134F"/>
    <w:rsid w:val="00342F6F"/>
    <w:rsid w:val="003448E1"/>
    <w:rsid w:val="00344FD0"/>
    <w:rsid w:val="0034606C"/>
    <w:rsid w:val="00346C96"/>
    <w:rsid w:val="00347157"/>
    <w:rsid w:val="003479CE"/>
    <w:rsid w:val="00347A47"/>
    <w:rsid w:val="0035091D"/>
    <w:rsid w:val="003518AA"/>
    <w:rsid w:val="00351B4D"/>
    <w:rsid w:val="00353182"/>
    <w:rsid w:val="00353B58"/>
    <w:rsid w:val="0035452B"/>
    <w:rsid w:val="00355162"/>
    <w:rsid w:val="00356D10"/>
    <w:rsid w:val="00357AFA"/>
    <w:rsid w:val="00357B60"/>
    <w:rsid w:val="00357BA1"/>
    <w:rsid w:val="003602E1"/>
    <w:rsid w:val="00360992"/>
    <w:rsid w:val="003621BA"/>
    <w:rsid w:val="0036396E"/>
    <w:rsid w:val="003644B1"/>
    <w:rsid w:val="00364A1F"/>
    <w:rsid w:val="00364B91"/>
    <w:rsid w:val="0036545C"/>
    <w:rsid w:val="00370C19"/>
    <w:rsid w:val="00370C30"/>
    <w:rsid w:val="00370CA1"/>
    <w:rsid w:val="00370E16"/>
    <w:rsid w:val="00371240"/>
    <w:rsid w:val="00371F1F"/>
    <w:rsid w:val="00372EF5"/>
    <w:rsid w:val="00373622"/>
    <w:rsid w:val="00373A9B"/>
    <w:rsid w:val="00373E59"/>
    <w:rsid w:val="00373EE7"/>
    <w:rsid w:val="00374731"/>
    <w:rsid w:val="0037511C"/>
    <w:rsid w:val="00375872"/>
    <w:rsid w:val="0037792A"/>
    <w:rsid w:val="00377BF3"/>
    <w:rsid w:val="00380731"/>
    <w:rsid w:val="00380C48"/>
    <w:rsid w:val="00382006"/>
    <w:rsid w:val="003822C2"/>
    <w:rsid w:val="00382FF8"/>
    <w:rsid w:val="00383179"/>
    <w:rsid w:val="00383C9F"/>
    <w:rsid w:val="00384183"/>
    <w:rsid w:val="0038437B"/>
    <w:rsid w:val="003845BF"/>
    <w:rsid w:val="003854CD"/>
    <w:rsid w:val="00386128"/>
    <w:rsid w:val="003867D9"/>
    <w:rsid w:val="00386BCA"/>
    <w:rsid w:val="00387517"/>
    <w:rsid w:val="00387FCF"/>
    <w:rsid w:val="00391263"/>
    <w:rsid w:val="0039190C"/>
    <w:rsid w:val="00391EE0"/>
    <w:rsid w:val="0039303A"/>
    <w:rsid w:val="00393091"/>
    <w:rsid w:val="0039346C"/>
    <w:rsid w:val="00393931"/>
    <w:rsid w:val="003944A4"/>
    <w:rsid w:val="0039575D"/>
    <w:rsid w:val="0039690B"/>
    <w:rsid w:val="00397D70"/>
    <w:rsid w:val="003A00ED"/>
    <w:rsid w:val="003A1B65"/>
    <w:rsid w:val="003A1B9E"/>
    <w:rsid w:val="003A1C9C"/>
    <w:rsid w:val="003A343C"/>
    <w:rsid w:val="003A41FC"/>
    <w:rsid w:val="003A4F97"/>
    <w:rsid w:val="003A5976"/>
    <w:rsid w:val="003A7E77"/>
    <w:rsid w:val="003B0169"/>
    <w:rsid w:val="003B0787"/>
    <w:rsid w:val="003B0C6F"/>
    <w:rsid w:val="003B1B53"/>
    <w:rsid w:val="003B23E3"/>
    <w:rsid w:val="003B34DE"/>
    <w:rsid w:val="003B41CD"/>
    <w:rsid w:val="003B5F82"/>
    <w:rsid w:val="003B60D3"/>
    <w:rsid w:val="003B61C4"/>
    <w:rsid w:val="003B6B8C"/>
    <w:rsid w:val="003B7FD5"/>
    <w:rsid w:val="003C38B5"/>
    <w:rsid w:val="003C39F2"/>
    <w:rsid w:val="003C5795"/>
    <w:rsid w:val="003C5B1E"/>
    <w:rsid w:val="003C5D99"/>
    <w:rsid w:val="003C60C8"/>
    <w:rsid w:val="003C748C"/>
    <w:rsid w:val="003C7BE5"/>
    <w:rsid w:val="003D0838"/>
    <w:rsid w:val="003D09A4"/>
    <w:rsid w:val="003D0EF0"/>
    <w:rsid w:val="003D2B45"/>
    <w:rsid w:val="003D36A0"/>
    <w:rsid w:val="003D402A"/>
    <w:rsid w:val="003D427E"/>
    <w:rsid w:val="003D6516"/>
    <w:rsid w:val="003D6D9F"/>
    <w:rsid w:val="003E05CB"/>
    <w:rsid w:val="003E06C6"/>
    <w:rsid w:val="003E1705"/>
    <w:rsid w:val="003E498A"/>
    <w:rsid w:val="003E692E"/>
    <w:rsid w:val="003E6CD1"/>
    <w:rsid w:val="003E70D7"/>
    <w:rsid w:val="003E7246"/>
    <w:rsid w:val="003E73FF"/>
    <w:rsid w:val="003E7535"/>
    <w:rsid w:val="003E7796"/>
    <w:rsid w:val="003E7FC9"/>
    <w:rsid w:val="003F0789"/>
    <w:rsid w:val="003F2675"/>
    <w:rsid w:val="003F29D2"/>
    <w:rsid w:val="003F2DF5"/>
    <w:rsid w:val="003F3682"/>
    <w:rsid w:val="003F3EA6"/>
    <w:rsid w:val="003F4486"/>
    <w:rsid w:val="003F4900"/>
    <w:rsid w:val="003F5242"/>
    <w:rsid w:val="003F58A6"/>
    <w:rsid w:val="003F5BBF"/>
    <w:rsid w:val="00401882"/>
    <w:rsid w:val="00402D69"/>
    <w:rsid w:val="00402E81"/>
    <w:rsid w:val="00403C0B"/>
    <w:rsid w:val="00405210"/>
    <w:rsid w:val="0040573D"/>
    <w:rsid w:val="0040622F"/>
    <w:rsid w:val="004073FA"/>
    <w:rsid w:val="00407B76"/>
    <w:rsid w:val="004100C8"/>
    <w:rsid w:val="00410EBB"/>
    <w:rsid w:val="00412ACE"/>
    <w:rsid w:val="0041332C"/>
    <w:rsid w:val="00414345"/>
    <w:rsid w:val="00414D87"/>
    <w:rsid w:val="00414E24"/>
    <w:rsid w:val="004154AF"/>
    <w:rsid w:val="0041608C"/>
    <w:rsid w:val="00416090"/>
    <w:rsid w:val="0041690B"/>
    <w:rsid w:val="0041761D"/>
    <w:rsid w:val="004204E1"/>
    <w:rsid w:val="00421114"/>
    <w:rsid w:val="00421E6A"/>
    <w:rsid w:val="004222E5"/>
    <w:rsid w:val="00422514"/>
    <w:rsid w:val="00422859"/>
    <w:rsid w:val="004229A9"/>
    <w:rsid w:val="00423378"/>
    <w:rsid w:val="004260FA"/>
    <w:rsid w:val="00427139"/>
    <w:rsid w:val="00427310"/>
    <w:rsid w:val="00427BFD"/>
    <w:rsid w:val="00427E17"/>
    <w:rsid w:val="00431249"/>
    <w:rsid w:val="00432182"/>
    <w:rsid w:val="00432B8C"/>
    <w:rsid w:val="0043316B"/>
    <w:rsid w:val="00433537"/>
    <w:rsid w:val="00434C19"/>
    <w:rsid w:val="00434D0B"/>
    <w:rsid w:val="00434E77"/>
    <w:rsid w:val="00437EEE"/>
    <w:rsid w:val="00440110"/>
    <w:rsid w:val="004410B3"/>
    <w:rsid w:val="004429B2"/>
    <w:rsid w:val="00443CA1"/>
    <w:rsid w:val="004445AF"/>
    <w:rsid w:val="00444805"/>
    <w:rsid w:val="00445D02"/>
    <w:rsid w:val="00446705"/>
    <w:rsid w:val="00447DF9"/>
    <w:rsid w:val="00450810"/>
    <w:rsid w:val="00452A6E"/>
    <w:rsid w:val="00453DE4"/>
    <w:rsid w:val="0045468E"/>
    <w:rsid w:val="004551E9"/>
    <w:rsid w:val="00455D8C"/>
    <w:rsid w:val="00455EB1"/>
    <w:rsid w:val="00457A0F"/>
    <w:rsid w:val="00460AA7"/>
    <w:rsid w:val="00460CA1"/>
    <w:rsid w:val="00461337"/>
    <w:rsid w:val="004613C7"/>
    <w:rsid w:val="00461BF9"/>
    <w:rsid w:val="004624C5"/>
    <w:rsid w:val="00463099"/>
    <w:rsid w:val="004638F1"/>
    <w:rsid w:val="00464855"/>
    <w:rsid w:val="0046561D"/>
    <w:rsid w:val="00466600"/>
    <w:rsid w:val="004666E6"/>
    <w:rsid w:val="00466F3B"/>
    <w:rsid w:val="004674C4"/>
    <w:rsid w:val="0046776C"/>
    <w:rsid w:val="00467DA5"/>
    <w:rsid w:val="00470F68"/>
    <w:rsid w:val="00470F7C"/>
    <w:rsid w:val="00471682"/>
    <w:rsid w:val="00472486"/>
    <w:rsid w:val="00472FA1"/>
    <w:rsid w:val="00473981"/>
    <w:rsid w:val="00473996"/>
    <w:rsid w:val="004752D9"/>
    <w:rsid w:val="00477144"/>
    <w:rsid w:val="004777C1"/>
    <w:rsid w:val="004803AD"/>
    <w:rsid w:val="0048170E"/>
    <w:rsid w:val="004819F1"/>
    <w:rsid w:val="004820D9"/>
    <w:rsid w:val="0048219A"/>
    <w:rsid w:val="0048251A"/>
    <w:rsid w:val="0048523E"/>
    <w:rsid w:val="0048544A"/>
    <w:rsid w:val="004859F7"/>
    <w:rsid w:val="00485ED4"/>
    <w:rsid w:val="00486425"/>
    <w:rsid w:val="00486437"/>
    <w:rsid w:val="00486927"/>
    <w:rsid w:val="00492F4A"/>
    <w:rsid w:val="0049368A"/>
    <w:rsid w:val="00493A8A"/>
    <w:rsid w:val="0049459F"/>
    <w:rsid w:val="00494958"/>
    <w:rsid w:val="00495505"/>
    <w:rsid w:val="00496092"/>
    <w:rsid w:val="00496618"/>
    <w:rsid w:val="004968A1"/>
    <w:rsid w:val="004968AB"/>
    <w:rsid w:val="0049725B"/>
    <w:rsid w:val="00497420"/>
    <w:rsid w:val="004A0A94"/>
    <w:rsid w:val="004A1C69"/>
    <w:rsid w:val="004A3179"/>
    <w:rsid w:val="004A41C8"/>
    <w:rsid w:val="004A428B"/>
    <w:rsid w:val="004A468D"/>
    <w:rsid w:val="004A588F"/>
    <w:rsid w:val="004A5C51"/>
    <w:rsid w:val="004A79BD"/>
    <w:rsid w:val="004B0507"/>
    <w:rsid w:val="004B09AB"/>
    <w:rsid w:val="004B0C74"/>
    <w:rsid w:val="004B13CA"/>
    <w:rsid w:val="004B13E9"/>
    <w:rsid w:val="004B1BAF"/>
    <w:rsid w:val="004B36F8"/>
    <w:rsid w:val="004B3C88"/>
    <w:rsid w:val="004B43AE"/>
    <w:rsid w:val="004B44DF"/>
    <w:rsid w:val="004B5244"/>
    <w:rsid w:val="004B5E8C"/>
    <w:rsid w:val="004B6311"/>
    <w:rsid w:val="004B7099"/>
    <w:rsid w:val="004C1117"/>
    <w:rsid w:val="004C1526"/>
    <w:rsid w:val="004C30ED"/>
    <w:rsid w:val="004C5A73"/>
    <w:rsid w:val="004C5E20"/>
    <w:rsid w:val="004C65A8"/>
    <w:rsid w:val="004C7C4A"/>
    <w:rsid w:val="004D01B2"/>
    <w:rsid w:val="004D0835"/>
    <w:rsid w:val="004D08A9"/>
    <w:rsid w:val="004D0FFB"/>
    <w:rsid w:val="004D16C3"/>
    <w:rsid w:val="004D31FC"/>
    <w:rsid w:val="004D474A"/>
    <w:rsid w:val="004D5A26"/>
    <w:rsid w:val="004D5BD1"/>
    <w:rsid w:val="004D65FC"/>
    <w:rsid w:val="004D6B58"/>
    <w:rsid w:val="004D71BA"/>
    <w:rsid w:val="004E11BF"/>
    <w:rsid w:val="004E29B4"/>
    <w:rsid w:val="004E3193"/>
    <w:rsid w:val="004E410C"/>
    <w:rsid w:val="004E4C7C"/>
    <w:rsid w:val="004E5701"/>
    <w:rsid w:val="004E5753"/>
    <w:rsid w:val="004E6CB9"/>
    <w:rsid w:val="004E7224"/>
    <w:rsid w:val="004F3218"/>
    <w:rsid w:val="004F360B"/>
    <w:rsid w:val="004F4CFD"/>
    <w:rsid w:val="004F4FA7"/>
    <w:rsid w:val="004F618C"/>
    <w:rsid w:val="004F636B"/>
    <w:rsid w:val="004F63A8"/>
    <w:rsid w:val="004F6522"/>
    <w:rsid w:val="004F6760"/>
    <w:rsid w:val="004F7763"/>
    <w:rsid w:val="0050052E"/>
    <w:rsid w:val="00500A98"/>
    <w:rsid w:val="00502304"/>
    <w:rsid w:val="00502A7D"/>
    <w:rsid w:val="00502EEE"/>
    <w:rsid w:val="00502FB3"/>
    <w:rsid w:val="00504DDA"/>
    <w:rsid w:val="00505796"/>
    <w:rsid w:val="0050677D"/>
    <w:rsid w:val="00507227"/>
    <w:rsid w:val="00507334"/>
    <w:rsid w:val="0050780F"/>
    <w:rsid w:val="0051012A"/>
    <w:rsid w:val="005108EF"/>
    <w:rsid w:val="00510E16"/>
    <w:rsid w:val="005111E8"/>
    <w:rsid w:val="00511429"/>
    <w:rsid w:val="00511C08"/>
    <w:rsid w:val="00512D4C"/>
    <w:rsid w:val="00514B47"/>
    <w:rsid w:val="00514CA9"/>
    <w:rsid w:val="00514F25"/>
    <w:rsid w:val="00517BDD"/>
    <w:rsid w:val="00520974"/>
    <w:rsid w:val="00521CCB"/>
    <w:rsid w:val="00522749"/>
    <w:rsid w:val="00522B35"/>
    <w:rsid w:val="00523639"/>
    <w:rsid w:val="005244E3"/>
    <w:rsid w:val="00524DAE"/>
    <w:rsid w:val="00524E59"/>
    <w:rsid w:val="00525785"/>
    <w:rsid w:val="00526A8F"/>
    <w:rsid w:val="00533681"/>
    <w:rsid w:val="005341CB"/>
    <w:rsid w:val="005351EB"/>
    <w:rsid w:val="00535786"/>
    <w:rsid w:val="005373D7"/>
    <w:rsid w:val="0054032F"/>
    <w:rsid w:val="005407CC"/>
    <w:rsid w:val="00540A14"/>
    <w:rsid w:val="00541F17"/>
    <w:rsid w:val="00542723"/>
    <w:rsid w:val="00543509"/>
    <w:rsid w:val="00543DD6"/>
    <w:rsid w:val="00544082"/>
    <w:rsid w:val="005463E9"/>
    <w:rsid w:val="00546ADE"/>
    <w:rsid w:val="00550459"/>
    <w:rsid w:val="005506CB"/>
    <w:rsid w:val="00552F1F"/>
    <w:rsid w:val="00553F54"/>
    <w:rsid w:val="00554896"/>
    <w:rsid w:val="00554F31"/>
    <w:rsid w:val="005550D0"/>
    <w:rsid w:val="00555120"/>
    <w:rsid w:val="0055571E"/>
    <w:rsid w:val="005607C5"/>
    <w:rsid w:val="005613CA"/>
    <w:rsid w:val="005618B3"/>
    <w:rsid w:val="00561A56"/>
    <w:rsid w:val="00561F4A"/>
    <w:rsid w:val="005624FF"/>
    <w:rsid w:val="00562635"/>
    <w:rsid w:val="00562FA1"/>
    <w:rsid w:val="00563628"/>
    <w:rsid w:val="00565E87"/>
    <w:rsid w:val="00566AF3"/>
    <w:rsid w:val="00566B61"/>
    <w:rsid w:val="00566C18"/>
    <w:rsid w:val="0056796E"/>
    <w:rsid w:val="00571A22"/>
    <w:rsid w:val="00573E01"/>
    <w:rsid w:val="00574066"/>
    <w:rsid w:val="005744C9"/>
    <w:rsid w:val="005753AF"/>
    <w:rsid w:val="00575993"/>
    <w:rsid w:val="00575B68"/>
    <w:rsid w:val="00576470"/>
    <w:rsid w:val="005774E6"/>
    <w:rsid w:val="0058011F"/>
    <w:rsid w:val="00580AC2"/>
    <w:rsid w:val="0058216C"/>
    <w:rsid w:val="005825C5"/>
    <w:rsid w:val="00582BE0"/>
    <w:rsid w:val="00583679"/>
    <w:rsid w:val="00583C39"/>
    <w:rsid w:val="00585651"/>
    <w:rsid w:val="00585AB2"/>
    <w:rsid w:val="005861D6"/>
    <w:rsid w:val="00587C1D"/>
    <w:rsid w:val="00587D51"/>
    <w:rsid w:val="005909CF"/>
    <w:rsid w:val="00590C82"/>
    <w:rsid w:val="0059107B"/>
    <w:rsid w:val="00591CE8"/>
    <w:rsid w:val="00591E71"/>
    <w:rsid w:val="005921CE"/>
    <w:rsid w:val="0059274B"/>
    <w:rsid w:val="0059321D"/>
    <w:rsid w:val="00593565"/>
    <w:rsid w:val="005936B3"/>
    <w:rsid w:val="00593A27"/>
    <w:rsid w:val="00595E05"/>
    <w:rsid w:val="00595E94"/>
    <w:rsid w:val="005961EF"/>
    <w:rsid w:val="0059657B"/>
    <w:rsid w:val="00596933"/>
    <w:rsid w:val="00597067"/>
    <w:rsid w:val="005A05A3"/>
    <w:rsid w:val="005A0FD9"/>
    <w:rsid w:val="005A14B2"/>
    <w:rsid w:val="005A15F4"/>
    <w:rsid w:val="005A1A3E"/>
    <w:rsid w:val="005A1BAE"/>
    <w:rsid w:val="005A2BEB"/>
    <w:rsid w:val="005A30EC"/>
    <w:rsid w:val="005A5743"/>
    <w:rsid w:val="005A6D51"/>
    <w:rsid w:val="005B0A94"/>
    <w:rsid w:val="005B0D75"/>
    <w:rsid w:val="005B0E5C"/>
    <w:rsid w:val="005B2C83"/>
    <w:rsid w:val="005B5009"/>
    <w:rsid w:val="005B69AB"/>
    <w:rsid w:val="005C1D56"/>
    <w:rsid w:val="005C42C6"/>
    <w:rsid w:val="005C5BF2"/>
    <w:rsid w:val="005C5DCE"/>
    <w:rsid w:val="005C5F76"/>
    <w:rsid w:val="005C60EF"/>
    <w:rsid w:val="005C7BF0"/>
    <w:rsid w:val="005C7CE7"/>
    <w:rsid w:val="005D0EE7"/>
    <w:rsid w:val="005D1193"/>
    <w:rsid w:val="005D15EF"/>
    <w:rsid w:val="005D195D"/>
    <w:rsid w:val="005D310D"/>
    <w:rsid w:val="005D3ADC"/>
    <w:rsid w:val="005D3B8D"/>
    <w:rsid w:val="005D46BA"/>
    <w:rsid w:val="005D4DB8"/>
    <w:rsid w:val="005D6473"/>
    <w:rsid w:val="005D6513"/>
    <w:rsid w:val="005D681A"/>
    <w:rsid w:val="005D6CD7"/>
    <w:rsid w:val="005D7553"/>
    <w:rsid w:val="005D7AEA"/>
    <w:rsid w:val="005D7CC6"/>
    <w:rsid w:val="005E0BE5"/>
    <w:rsid w:val="005E0FBA"/>
    <w:rsid w:val="005E1111"/>
    <w:rsid w:val="005E14BA"/>
    <w:rsid w:val="005E160B"/>
    <w:rsid w:val="005E21D5"/>
    <w:rsid w:val="005E2230"/>
    <w:rsid w:val="005E2F3C"/>
    <w:rsid w:val="005E31ED"/>
    <w:rsid w:val="005E3CFC"/>
    <w:rsid w:val="005E43E4"/>
    <w:rsid w:val="005E5287"/>
    <w:rsid w:val="005E5C81"/>
    <w:rsid w:val="005E6485"/>
    <w:rsid w:val="005E7525"/>
    <w:rsid w:val="005E753E"/>
    <w:rsid w:val="005E7E65"/>
    <w:rsid w:val="005F00EE"/>
    <w:rsid w:val="005F06B8"/>
    <w:rsid w:val="005F2676"/>
    <w:rsid w:val="005F2950"/>
    <w:rsid w:val="005F3D90"/>
    <w:rsid w:val="005F4371"/>
    <w:rsid w:val="005F4B34"/>
    <w:rsid w:val="005F4C4B"/>
    <w:rsid w:val="005F50E7"/>
    <w:rsid w:val="005F51EA"/>
    <w:rsid w:val="005F68BF"/>
    <w:rsid w:val="005F7D16"/>
    <w:rsid w:val="00601453"/>
    <w:rsid w:val="0060197B"/>
    <w:rsid w:val="00601AC8"/>
    <w:rsid w:val="00602B50"/>
    <w:rsid w:val="00603CD2"/>
    <w:rsid w:val="00603F94"/>
    <w:rsid w:val="00604115"/>
    <w:rsid w:val="006042EA"/>
    <w:rsid w:val="00604E91"/>
    <w:rsid w:val="00606678"/>
    <w:rsid w:val="00606761"/>
    <w:rsid w:val="00606CF7"/>
    <w:rsid w:val="00607A28"/>
    <w:rsid w:val="00607BF1"/>
    <w:rsid w:val="00607E47"/>
    <w:rsid w:val="00610745"/>
    <w:rsid w:val="00611485"/>
    <w:rsid w:val="00612514"/>
    <w:rsid w:val="00612F6B"/>
    <w:rsid w:val="006139BD"/>
    <w:rsid w:val="00614443"/>
    <w:rsid w:val="006145D7"/>
    <w:rsid w:val="00614922"/>
    <w:rsid w:val="00615081"/>
    <w:rsid w:val="006163FB"/>
    <w:rsid w:val="00616971"/>
    <w:rsid w:val="00616B04"/>
    <w:rsid w:val="00617CD2"/>
    <w:rsid w:val="006219A9"/>
    <w:rsid w:val="00621BA4"/>
    <w:rsid w:val="00622633"/>
    <w:rsid w:val="00622EF9"/>
    <w:rsid w:val="00623296"/>
    <w:rsid w:val="00623393"/>
    <w:rsid w:val="0062385E"/>
    <w:rsid w:val="00623AA7"/>
    <w:rsid w:val="00623B44"/>
    <w:rsid w:val="00626817"/>
    <w:rsid w:val="00627002"/>
    <w:rsid w:val="006271FD"/>
    <w:rsid w:val="0062725E"/>
    <w:rsid w:val="00630452"/>
    <w:rsid w:val="006304FF"/>
    <w:rsid w:val="00630D4D"/>
    <w:rsid w:val="00630FE9"/>
    <w:rsid w:val="006310CA"/>
    <w:rsid w:val="0063148D"/>
    <w:rsid w:val="00632A74"/>
    <w:rsid w:val="0063315C"/>
    <w:rsid w:val="00633BF0"/>
    <w:rsid w:val="00633C61"/>
    <w:rsid w:val="00634142"/>
    <w:rsid w:val="006347CB"/>
    <w:rsid w:val="0063555C"/>
    <w:rsid w:val="006359A6"/>
    <w:rsid w:val="00636E54"/>
    <w:rsid w:val="00637AA7"/>
    <w:rsid w:val="00637E3E"/>
    <w:rsid w:val="00640951"/>
    <w:rsid w:val="00640C84"/>
    <w:rsid w:val="00642143"/>
    <w:rsid w:val="0064224C"/>
    <w:rsid w:val="0064270B"/>
    <w:rsid w:val="006427BE"/>
    <w:rsid w:val="00642931"/>
    <w:rsid w:val="00643EB5"/>
    <w:rsid w:val="00644B84"/>
    <w:rsid w:val="0064675E"/>
    <w:rsid w:val="00647218"/>
    <w:rsid w:val="006523EC"/>
    <w:rsid w:val="00653592"/>
    <w:rsid w:val="00655258"/>
    <w:rsid w:val="00657159"/>
    <w:rsid w:val="00657D16"/>
    <w:rsid w:val="00663469"/>
    <w:rsid w:val="0066437F"/>
    <w:rsid w:val="00664EEA"/>
    <w:rsid w:val="00665327"/>
    <w:rsid w:val="00666EA6"/>
    <w:rsid w:val="006671DC"/>
    <w:rsid w:val="00671CD8"/>
    <w:rsid w:val="00671F59"/>
    <w:rsid w:val="00675FBB"/>
    <w:rsid w:val="00676DFA"/>
    <w:rsid w:val="0068015B"/>
    <w:rsid w:val="006823F3"/>
    <w:rsid w:val="0068269E"/>
    <w:rsid w:val="00683C9E"/>
    <w:rsid w:val="00684BF2"/>
    <w:rsid w:val="00685AB0"/>
    <w:rsid w:val="006876EC"/>
    <w:rsid w:val="00690BA1"/>
    <w:rsid w:val="00690C3D"/>
    <w:rsid w:val="00690D3D"/>
    <w:rsid w:val="00690FBB"/>
    <w:rsid w:val="00691CCA"/>
    <w:rsid w:val="00693B20"/>
    <w:rsid w:val="00693ED2"/>
    <w:rsid w:val="006941EF"/>
    <w:rsid w:val="006948D3"/>
    <w:rsid w:val="00694A41"/>
    <w:rsid w:val="00696E8F"/>
    <w:rsid w:val="00697A14"/>
    <w:rsid w:val="00697AB7"/>
    <w:rsid w:val="00697F3C"/>
    <w:rsid w:val="006A121D"/>
    <w:rsid w:val="006A1A6D"/>
    <w:rsid w:val="006A342C"/>
    <w:rsid w:val="006A3A02"/>
    <w:rsid w:val="006A4655"/>
    <w:rsid w:val="006A497A"/>
    <w:rsid w:val="006A4AC1"/>
    <w:rsid w:val="006A4ADE"/>
    <w:rsid w:val="006A5252"/>
    <w:rsid w:val="006A5458"/>
    <w:rsid w:val="006A5BD1"/>
    <w:rsid w:val="006A630F"/>
    <w:rsid w:val="006A72F3"/>
    <w:rsid w:val="006A78F9"/>
    <w:rsid w:val="006A79E8"/>
    <w:rsid w:val="006B0097"/>
    <w:rsid w:val="006B09AC"/>
    <w:rsid w:val="006B1C65"/>
    <w:rsid w:val="006B1FBB"/>
    <w:rsid w:val="006B2986"/>
    <w:rsid w:val="006B2F49"/>
    <w:rsid w:val="006B3FD9"/>
    <w:rsid w:val="006B46CD"/>
    <w:rsid w:val="006B4A51"/>
    <w:rsid w:val="006B57EC"/>
    <w:rsid w:val="006B7CE5"/>
    <w:rsid w:val="006C0101"/>
    <w:rsid w:val="006C0414"/>
    <w:rsid w:val="006C1533"/>
    <w:rsid w:val="006C1591"/>
    <w:rsid w:val="006C2413"/>
    <w:rsid w:val="006C2B2C"/>
    <w:rsid w:val="006C32E0"/>
    <w:rsid w:val="006C3849"/>
    <w:rsid w:val="006C4018"/>
    <w:rsid w:val="006C403B"/>
    <w:rsid w:val="006C4BAA"/>
    <w:rsid w:val="006C596A"/>
    <w:rsid w:val="006C6CE4"/>
    <w:rsid w:val="006C7038"/>
    <w:rsid w:val="006C7BA0"/>
    <w:rsid w:val="006D0181"/>
    <w:rsid w:val="006D049E"/>
    <w:rsid w:val="006D05D7"/>
    <w:rsid w:val="006D4626"/>
    <w:rsid w:val="006D490A"/>
    <w:rsid w:val="006D5013"/>
    <w:rsid w:val="006D6757"/>
    <w:rsid w:val="006D694E"/>
    <w:rsid w:val="006D7AC2"/>
    <w:rsid w:val="006E0130"/>
    <w:rsid w:val="006E1786"/>
    <w:rsid w:val="006E1D5A"/>
    <w:rsid w:val="006E1D76"/>
    <w:rsid w:val="006E1F85"/>
    <w:rsid w:val="006E26B9"/>
    <w:rsid w:val="006E325B"/>
    <w:rsid w:val="006E4606"/>
    <w:rsid w:val="006E5306"/>
    <w:rsid w:val="006E563C"/>
    <w:rsid w:val="006E568B"/>
    <w:rsid w:val="006E5690"/>
    <w:rsid w:val="006E5948"/>
    <w:rsid w:val="006E62E7"/>
    <w:rsid w:val="006E6589"/>
    <w:rsid w:val="006E73EF"/>
    <w:rsid w:val="006F09DF"/>
    <w:rsid w:val="006F114C"/>
    <w:rsid w:val="006F17E5"/>
    <w:rsid w:val="006F1AA5"/>
    <w:rsid w:val="006F1FB8"/>
    <w:rsid w:val="006F2B7F"/>
    <w:rsid w:val="006F328C"/>
    <w:rsid w:val="006F34E3"/>
    <w:rsid w:val="006F427C"/>
    <w:rsid w:val="006F48F0"/>
    <w:rsid w:val="006F4EC9"/>
    <w:rsid w:val="006F542B"/>
    <w:rsid w:val="006F5ABF"/>
    <w:rsid w:val="006F6131"/>
    <w:rsid w:val="006F6309"/>
    <w:rsid w:val="006F6A9E"/>
    <w:rsid w:val="006F6E8E"/>
    <w:rsid w:val="006F7F57"/>
    <w:rsid w:val="007003B7"/>
    <w:rsid w:val="00701B7E"/>
    <w:rsid w:val="007024C1"/>
    <w:rsid w:val="00702F32"/>
    <w:rsid w:val="0070349E"/>
    <w:rsid w:val="0070396B"/>
    <w:rsid w:val="0070484D"/>
    <w:rsid w:val="007060AE"/>
    <w:rsid w:val="00706E08"/>
    <w:rsid w:val="00711060"/>
    <w:rsid w:val="00712232"/>
    <w:rsid w:val="00713319"/>
    <w:rsid w:val="0071398D"/>
    <w:rsid w:val="00714566"/>
    <w:rsid w:val="00714D54"/>
    <w:rsid w:val="00715EC8"/>
    <w:rsid w:val="00720395"/>
    <w:rsid w:val="00720BE3"/>
    <w:rsid w:val="007228C4"/>
    <w:rsid w:val="00723702"/>
    <w:rsid w:val="0072374B"/>
    <w:rsid w:val="00723D28"/>
    <w:rsid w:val="007254F6"/>
    <w:rsid w:val="007263DA"/>
    <w:rsid w:val="00731EA4"/>
    <w:rsid w:val="00732424"/>
    <w:rsid w:val="00734ACC"/>
    <w:rsid w:val="0073573C"/>
    <w:rsid w:val="00737678"/>
    <w:rsid w:val="00737E89"/>
    <w:rsid w:val="0074057F"/>
    <w:rsid w:val="0074176A"/>
    <w:rsid w:val="00743BBA"/>
    <w:rsid w:val="00744D0C"/>
    <w:rsid w:val="007461B4"/>
    <w:rsid w:val="0074659A"/>
    <w:rsid w:val="00747080"/>
    <w:rsid w:val="00747782"/>
    <w:rsid w:val="0074784E"/>
    <w:rsid w:val="00747B23"/>
    <w:rsid w:val="00747FD4"/>
    <w:rsid w:val="00752F38"/>
    <w:rsid w:val="00754E3F"/>
    <w:rsid w:val="007561E8"/>
    <w:rsid w:val="00756C13"/>
    <w:rsid w:val="00757EF4"/>
    <w:rsid w:val="007604BB"/>
    <w:rsid w:val="00760A9A"/>
    <w:rsid w:val="00760DBE"/>
    <w:rsid w:val="0076225A"/>
    <w:rsid w:val="00762897"/>
    <w:rsid w:val="00763FCD"/>
    <w:rsid w:val="0076407E"/>
    <w:rsid w:val="00765538"/>
    <w:rsid w:val="00766416"/>
    <w:rsid w:val="007670B9"/>
    <w:rsid w:val="00767DE8"/>
    <w:rsid w:val="0077002F"/>
    <w:rsid w:val="007726C1"/>
    <w:rsid w:val="0077272F"/>
    <w:rsid w:val="0077384B"/>
    <w:rsid w:val="007742F4"/>
    <w:rsid w:val="007754EC"/>
    <w:rsid w:val="007773D3"/>
    <w:rsid w:val="00780741"/>
    <w:rsid w:val="00781848"/>
    <w:rsid w:val="00781F7A"/>
    <w:rsid w:val="00782BA2"/>
    <w:rsid w:val="007838F8"/>
    <w:rsid w:val="007847CD"/>
    <w:rsid w:val="00785831"/>
    <w:rsid w:val="00786016"/>
    <w:rsid w:val="00786CFB"/>
    <w:rsid w:val="00786DDC"/>
    <w:rsid w:val="00787CCC"/>
    <w:rsid w:val="007906C1"/>
    <w:rsid w:val="00791236"/>
    <w:rsid w:val="007914AB"/>
    <w:rsid w:val="007914AD"/>
    <w:rsid w:val="0079190C"/>
    <w:rsid w:val="00791B3D"/>
    <w:rsid w:val="007924F8"/>
    <w:rsid w:val="0079518E"/>
    <w:rsid w:val="00795920"/>
    <w:rsid w:val="00797626"/>
    <w:rsid w:val="0079796C"/>
    <w:rsid w:val="007A1CA1"/>
    <w:rsid w:val="007A21EB"/>
    <w:rsid w:val="007A2E6E"/>
    <w:rsid w:val="007A6287"/>
    <w:rsid w:val="007A686A"/>
    <w:rsid w:val="007A7030"/>
    <w:rsid w:val="007B02AA"/>
    <w:rsid w:val="007B0A85"/>
    <w:rsid w:val="007B0ADE"/>
    <w:rsid w:val="007B2C44"/>
    <w:rsid w:val="007B35BD"/>
    <w:rsid w:val="007B4363"/>
    <w:rsid w:val="007B51C5"/>
    <w:rsid w:val="007B738B"/>
    <w:rsid w:val="007B78AE"/>
    <w:rsid w:val="007B7C30"/>
    <w:rsid w:val="007C00C7"/>
    <w:rsid w:val="007C33B1"/>
    <w:rsid w:val="007C3594"/>
    <w:rsid w:val="007C36C9"/>
    <w:rsid w:val="007C6C4F"/>
    <w:rsid w:val="007C779C"/>
    <w:rsid w:val="007D05EB"/>
    <w:rsid w:val="007D2ABF"/>
    <w:rsid w:val="007D2FA5"/>
    <w:rsid w:val="007D34B4"/>
    <w:rsid w:val="007D62BF"/>
    <w:rsid w:val="007D6897"/>
    <w:rsid w:val="007D7A58"/>
    <w:rsid w:val="007E01E4"/>
    <w:rsid w:val="007E01FA"/>
    <w:rsid w:val="007E0A94"/>
    <w:rsid w:val="007E1D5F"/>
    <w:rsid w:val="007E46E5"/>
    <w:rsid w:val="007E590E"/>
    <w:rsid w:val="007E726A"/>
    <w:rsid w:val="007E7A72"/>
    <w:rsid w:val="007E7D99"/>
    <w:rsid w:val="007F0653"/>
    <w:rsid w:val="007F0FC8"/>
    <w:rsid w:val="007F2F5D"/>
    <w:rsid w:val="007F3717"/>
    <w:rsid w:val="007F3BF8"/>
    <w:rsid w:val="007F46E2"/>
    <w:rsid w:val="007F5210"/>
    <w:rsid w:val="007F5464"/>
    <w:rsid w:val="007F6EE4"/>
    <w:rsid w:val="007F7107"/>
    <w:rsid w:val="007F7819"/>
    <w:rsid w:val="007F78D3"/>
    <w:rsid w:val="007F7BAF"/>
    <w:rsid w:val="00800756"/>
    <w:rsid w:val="00801B37"/>
    <w:rsid w:val="0080223B"/>
    <w:rsid w:val="00802DAB"/>
    <w:rsid w:val="00803CE3"/>
    <w:rsid w:val="008040A8"/>
    <w:rsid w:val="008045A1"/>
    <w:rsid w:val="00807324"/>
    <w:rsid w:val="0081030F"/>
    <w:rsid w:val="00812029"/>
    <w:rsid w:val="008138DB"/>
    <w:rsid w:val="008143CC"/>
    <w:rsid w:val="00814483"/>
    <w:rsid w:val="0081601E"/>
    <w:rsid w:val="008161D2"/>
    <w:rsid w:val="0082087D"/>
    <w:rsid w:val="00820A1D"/>
    <w:rsid w:val="008227EB"/>
    <w:rsid w:val="008230B6"/>
    <w:rsid w:val="00824B5D"/>
    <w:rsid w:val="008264BF"/>
    <w:rsid w:val="0083041F"/>
    <w:rsid w:val="008331F4"/>
    <w:rsid w:val="00833598"/>
    <w:rsid w:val="0083372F"/>
    <w:rsid w:val="00833DB5"/>
    <w:rsid w:val="008340DF"/>
    <w:rsid w:val="0083637A"/>
    <w:rsid w:val="0083737F"/>
    <w:rsid w:val="00837DDA"/>
    <w:rsid w:val="00840640"/>
    <w:rsid w:val="00840B0E"/>
    <w:rsid w:val="00840D03"/>
    <w:rsid w:val="00841078"/>
    <w:rsid w:val="0084169A"/>
    <w:rsid w:val="008417BC"/>
    <w:rsid w:val="0084218E"/>
    <w:rsid w:val="00844B1E"/>
    <w:rsid w:val="00845FB2"/>
    <w:rsid w:val="00846038"/>
    <w:rsid w:val="008462B5"/>
    <w:rsid w:val="0084664C"/>
    <w:rsid w:val="00846F59"/>
    <w:rsid w:val="008502C5"/>
    <w:rsid w:val="008505DE"/>
    <w:rsid w:val="008505ED"/>
    <w:rsid w:val="0085103F"/>
    <w:rsid w:val="008528E4"/>
    <w:rsid w:val="008535C4"/>
    <w:rsid w:val="00853792"/>
    <w:rsid w:val="00853AB5"/>
    <w:rsid w:val="00854712"/>
    <w:rsid w:val="00854AE3"/>
    <w:rsid w:val="008555B2"/>
    <w:rsid w:val="00857161"/>
    <w:rsid w:val="00860163"/>
    <w:rsid w:val="0086082C"/>
    <w:rsid w:val="00860D6B"/>
    <w:rsid w:val="00861FA2"/>
    <w:rsid w:val="00862577"/>
    <w:rsid w:val="00863844"/>
    <w:rsid w:val="00863AD1"/>
    <w:rsid w:val="00863E19"/>
    <w:rsid w:val="00864ADC"/>
    <w:rsid w:val="00865EFC"/>
    <w:rsid w:val="00866A23"/>
    <w:rsid w:val="008705C8"/>
    <w:rsid w:val="008714B7"/>
    <w:rsid w:val="00871DC1"/>
    <w:rsid w:val="00872329"/>
    <w:rsid w:val="008731DA"/>
    <w:rsid w:val="00873D8A"/>
    <w:rsid w:val="008742E8"/>
    <w:rsid w:val="00875F08"/>
    <w:rsid w:val="00875FB4"/>
    <w:rsid w:val="00876B6B"/>
    <w:rsid w:val="008777B3"/>
    <w:rsid w:val="00877B6F"/>
    <w:rsid w:val="00877FF2"/>
    <w:rsid w:val="00880153"/>
    <w:rsid w:val="00880F97"/>
    <w:rsid w:val="0088133A"/>
    <w:rsid w:val="00882144"/>
    <w:rsid w:val="00882BB6"/>
    <w:rsid w:val="0088335B"/>
    <w:rsid w:val="008846F4"/>
    <w:rsid w:val="00884B27"/>
    <w:rsid w:val="00884C61"/>
    <w:rsid w:val="008857E8"/>
    <w:rsid w:val="00885E99"/>
    <w:rsid w:val="0088637D"/>
    <w:rsid w:val="00890B3D"/>
    <w:rsid w:val="0089155B"/>
    <w:rsid w:val="0089285E"/>
    <w:rsid w:val="00893B40"/>
    <w:rsid w:val="0089436C"/>
    <w:rsid w:val="008950EC"/>
    <w:rsid w:val="00895374"/>
    <w:rsid w:val="008953B9"/>
    <w:rsid w:val="0089541F"/>
    <w:rsid w:val="0089747A"/>
    <w:rsid w:val="008A04C6"/>
    <w:rsid w:val="008A06A6"/>
    <w:rsid w:val="008A0838"/>
    <w:rsid w:val="008A12EB"/>
    <w:rsid w:val="008A1BFD"/>
    <w:rsid w:val="008A2C06"/>
    <w:rsid w:val="008A41A0"/>
    <w:rsid w:val="008A59BE"/>
    <w:rsid w:val="008B02FA"/>
    <w:rsid w:val="008B2F04"/>
    <w:rsid w:val="008B587C"/>
    <w:rsid w:val="008B5CC7"/>
    <w:rsid w:val="008B6464"/>
    <w:rsid w:val="008B69D4"/>
    <w:rsid w:val="008B74A7"/>
    <w:rsid w:val="008C1C55"/>
    <w:rsid w:val="008C1E4F"/>
    <w:rsid w:val="008C29C8"/>
    <w:rsid w:val="008C30D0"/>
    <w:rsid w:val="008C3BA6"/>
    <w:rsid w:val="008C43D9"/>
    <w:rsid w:val="008C44AD"/>
    <w:rsid w:val="008C654F"/>
    <w:rsid w:val="008C742D"/>
    <w:rsid w:val="008D0853"/>
    <w:rsid w:val="008D0A49"/>
    <w:rsid w:val="008D1331"/>
    <w:rsid w:val="008D135A"/>
    <w:rsid w:val="008D379A"/>
    <w:rsid w:val="008D3CD5"/>
    <w:rsid w:val="008D5183"/>
    <w:rsid w:val="008D53DA"/>
    <w:rsid w:val="008D5B18"/>
    <w:rsid w:val="008D5B24"/>
    <w:rsid w:val="008E114A"/>
    <w:rsid w:val="008E15F4"/>
    <w:rsid w:val="008E4019"/>
    <w:rsid w:val="008E40E9"/>
    <w:rsid w:val="008E5843"/>
    <w:rsid w:val="008E5926"/>
    <w:rsid w:val="008E6CE1"/>
    <w:rsid w:val="008E7B36"/>
    <w:rsid w:val="008F0148"/>
    <w:rsid w:val="008F0342"/>
    <w:rsid w:val="008F1519"/>
    <w:rsid w:val="008F1A76"/>
    <w:rsid w:val="008F56FA"/>
    <w:rsid w:val="008F788E"/>
    <w:rsid w:val="008F7A04"/>
    <w:rsid w:val="008F7F9A"/>
    <w:rsid w:val="008F7FEF"/>
    <w:rsid w:val="009007BD"/>
    <w:rsid w:val="00900F14"/>
    <w:rsid w:val="00901251"/>
    <w:rsid w:val="00901815"/>
    <w:rsid w:val="00901877"/>
    <w:rsid w:val="00902DBC"/>
    <w:rsid w:val="009030BF"/>
    <w:rsid w:val="00904C1A"/>
    <w:rsid w:val="00905ACB"/>
    <w:rsid w:val="00906362"/>
    <w:rsid w:val="0090696A"/>
    <w:rsid w:val="00906A27"/>
    <w:rsid w:val="00907913"/>
    <w:rsid w:val="00910AFE"/>
    <w:rsid w:val="00910D1F"/>
    <w:rsid w:val="0091295E"/>
    <w:rsid w:val="00914368"/>
    <w:rsid w:val="00914738"/>
    <w:rsid w:val="009148F7"/>
    <w:rsid w:val="00916FE2"/>
    <w:rsid w:val="00917D1B"/>
    <w:rsid w:val="00917FBE"/>
    <w:rsid w:val="00920D8C"/>
    <w:rsid w:val="00921790"/>
    <w:rsid w:val="0092261C"/>
    <w:rsid w:val="00922F3B"/>
    <w:rsid w:val="009244AB"/>
    <w:rsid w:val="00924AB3"/>
    <w:rsid w:val="0092582A"/>
    <w:rsid w:val="00926315"/>
    <w:rsid w:val="00927989"/>
    <w:rsid w:val="00927F3B"/>
    <w:rsid w:val="00931076"/>
    <w:rsid w:val="009324A4"/>
    <w:rsid w:val="00932AD7"/>
    <w:rsid w:val="00932D38"/>
    <w:rsid w:val="00933B54"/>
    <w:rsid w:val="00933EEE"/>
    <w:rsid w:val="009345D9"/>
    <w:rsid w:val="00934B15"/>
    <w:rsid w:val="00934D67"/>
    <w:rsid w:val="00935053"/>
    <w:rsid w:val="009355DD"/>
    <w:rsid w:val="009358DF"/>
    <w:rsid w:val="00935F60"/>
    <w:rsid w:val="009363DE"/>
    <w:rsid w:val="00936B7E"/>
    <w:rsid w:val="00936E1D"/>
    <w:rsid w:val="00936F7F"/>
    <w:rsid w:val="009370D4"/>
    <w:rsid w:val="0093778D"/>
    <w:rsid w:val="009402E7"/>
    <w:rsid w:val="00941472"/>
    <w:rsid w:val="00941525"/>
    <w:rsid w:val="00941B50"/>
    <w:rsid w:val="009423CF"/>
    <w:rsid w:val="00942B62"/>
    <w:rsid w:val="00943397"/>
    <w:rsid w:val="00943802"/>
    <w:rsid w:val="00944007"/>
    <w:rsid w:val="00944082"/>
    <w:rsid w:val="009441ED"/>
    <w:rsid w:val="0094542A"/>
    <w:rsid w:val="0094585E"/>
    <w:rsid w:val="00945AE7"/>
    <w:rsid w:val="00945FA2"/>
    <w:rsid w:val="00946583"/>
    <w:rsid w:val="00946CB3"/>
    <w:rsid w:val="00946D7B"/>
    <w:rsid w:val="00947BE5"/>
    <w:rsid w:val="0095179A"/>
    <w:rsid w:val="009521EF"/>
    <w:rsid w:val="009529D7"/>
    <w:rsid w:val="00952A1B"/>
    <w:rsid w:val="0095393D"/>
    <w:rsid w:val="009558C3"/>
    <w:rsid w:val="00956A0C"/>
    <w:rsid w:val="00956BD9"/>
    <w:rsid w:val="0095720A"/>
    <w:rsid w:val="0096016A"/>
    <w:rsid w:val="00960C5F"/>
    <w:rsid w:val="009618A8"/>
    <w:rsid w:val="00961DDE"/>
    <w:rsid w:val="00961E6B"/>
    <w:rsid w:val="00962489"/>
    <w:rsid w:val="00962838"/>
    <w:rsid w:val="00962FCC"/>
    <w:rsid w:val="009644DE"/>
    <w:rsid w:val="00964AE8"/>
    <w:rsid w:val="00964F60"/>
    <w:rsid w:val="00965412"/>
    <w:rsid w:val="00965B55"/>
    <w:rsid w:val="00967342"/>
    <w:rsid w:val="00970413"/>
    <w:rsid w:val="00971BDB"/>
    <w:rsid w:val="0097251E"/>
    <w:rsid w:val="0097285A"/>
    <w:rsid w:val="009734B9"/>
    <w:rsid w:val="00975F99"/>
    <w:rsid w:val="00976F6A"/>
    <w:rsid w:val="0097730C"/>
    <w:rsid w:val="00977AF6"/>
    <w:rsid w:val="00982B5B"/>
    <w:rsid w:val="00983023"/>
    <w:rsid w:val="00984427"/>
    <w:rsid w:val="009845C3"/>
    <w:rsid w:val="0098507D"/>
    <w:rsid w:val="009851EC"/>
    <w:rsid w:val="0098554A"/>
    <w:rsid w:val="0098579A"/>
    <w:rsid w:val="00985948"/>
    <w:rsid w:val="00990831"/>
    <w:rsid w:val="009909B5"/>
    <w:rsid w:val="0099106F"/>
    <w:rsid w:val="0099109B"/>
    <w:rsid w:val="00993B88"/>
    <w:rsid w:val="00994530"/>
    <w:rsid w:val="00994950"/>
    <w:rsid w:val="00994AC4"/>
    <w:rsid w:val="0099662D"/>
    <w:rsid w:val="00997C0E"/>
    <w:rsid w:val="009A06B8"/>
    <w:rsid w:val="009A0926"/>
    <w:rsid w:val="009A0AB7"/>
    <w:rsid w:val="009A31AE"/>
    <w:rsid w:val="009A4026"/>
    <w:rsid w:val="009A4986"/>
    <w:rsid w:val="009A521A"/>
    <w:rsid w:val="009A53C0"/>
    <w:rsid w:val="009A580B"/>
    <w:rsid w:val="009A6594"/>
    <w:rsid w:val="009A6A60"/>
    <w:rsid w:val="009A6A73"/>
    <w:rsid w:val="009A7AD3"/>
    <w:rsid w:val="009A7C42"/>
    <w:rsid w:val="009B038D"/>
    <w:rsid w:val="009B16D5"/>
    <w:rsid w:val="009B1E59"/>
    <w:rsid w:val="009B21FF"/>
    <w:rsid w:val="009B39DE"/>
    <w:rsid w:val="009B3C11"/>
    <w:rsid w:val="009B4218"/>
    <w:rsid w:val="009B4578"/>
    <w:rsid w:val="009B59F5"/>
    <w:rsid w:val="009B5BA5"/>
    <w:rsid w:val="009B6F5B"/>
    <w:rsid w:val="009B7142"/>
    <w:rsid w:val="009B72C8"/>
    <w:rsid w:val="009B7740"/>
    <w:rsid w:val="009B790F"/>
    <w:rsid w:val="009B7911"/>
    <w:rsid w:val="009B7CC7"/>
    <w:rsid w:val="009C01D2"/>
    <w:rsid w:val="009C0371"/>
    <w:rsid w:val="009C1CF4"/>
    <w:rsid w:val="009C1D28"/>
    <w:rsid w:val="009C1DF2"/>
    <w:rsid w:val="009C2786"/>
    <w:rsid w:val="009C2B97"/>
    <w:rsid w:val="009C3A31"/>
    <w:rsid w:val="009C6B61"/>
    <w:rsid w:val="009C70C5"/>
    <w:rsid w:val="009C7AD5"/>
    <w:rsid w:val="009D010A"/>
    <w:rsid w:val="009D0AEA"/>
    <w:rsid w:val="009D2C8C"/>
    <w:rsid w:val="009D3044"/>
    <w:rsid w:val="009D403D"/>
    <w:rsid w:val="009D42CC"/>
    <w:rsid w:val="009D50D1"/>
    <w:rsid w:val="009D71D2"/>
    <w:rsid w:val="009E0636"/>
    <w:rsid w:val="009E069F"/>
    <w:rsid w:val="009E0DA1"/>
    <w:rsid w:val="009E1357"/>
    <w:rsid w:val="009E13F4"/>
    <w:rsid w:val="009E146E"/>
    <w:rsid w:val="009E1E33"/>
    <w:rsid w:val="009E2042"/>
    <w:rsid w:val="009E20E8"/>
    <w:rsid w:val="009E2279"/>
    <w:rsid w:val="009E5407"/>
    <w:rsid w:val="009E61E9"/>
    <w:rsid w:val="009E6DBF"/>
    <w:rsid w:val="009E6EB3"/>
    <w:rsid w:val="009E7182"/>
    <w:rsid w:val="009E794C"/>
    <w:rsid w:val="009F0919"/>
    <w:rsid w:val="009F0A5B"/>
    <w:rsid w:val="009F0B97"/>
    <w:rsid w:val="009F1DDE"/>
    <w:rsid w:val="009F3EF3"/>
    <w:rsid w:val="009F445A"/>
    <w:rsid w:val="009F45AE"/>
    <w:rsid w:val="009F4A72"/>
    <w:rsid w:val="009F4AB7"/>
    <w:rsid w:val="009F5C23"/>
    <w:rsid w:val="009F696D"/>
    <w:rsid w:val="009F6BC6"/>
    <w:rsid w:val="009F739D"/>
    <w:rsid w:val="009F73B4"/>
    <w:rsid w:val="009F76C6"/>
    <w:rsid w:val="009F78D4"/>
    <w:rsid w:val="009F7B04"/>
    <w:rsid w:val="009F7FA8"/>
    <w:rsid w:val="00A01734"/>
    <w:rsid w:val="00A01819"/>
    <w:rsid w:val="00A0222D"/>
    <w:rsid w:val="00A0390F"/>
    <w:rsid w:val="00A04157"/>
    <w:rsid w:val="00A04F35"/>
    <w:rsid w:val="00A0511B"/>
    <w:rsid w:val="00A0536C"/>
    <w:rsid w:val="00A062A7"/>
    <w:rsid w:val="00A0650D"/>
    <w:rsid w:val="00A06656"/>
    <w:rsid w:val="00A1056C"/>
    <w:rsid w:val="00A12AF2"/>
    <w:rsid w:val="00A1329B"/>
    <w:rsid w:val="00A13EFF"/>
    <w:rsid w:val="00A14C2D"/>
    <w:rsid w:val="00A158B6"/>
    <w:rsid w:val="00A17328"/>
    <w:rsid w:val="00A179E4"/>
    <w:rsid w:val="00A20872"/>
    <w:rsid w:val="00A22757"/>
    <w:rsid w:val="00A227FB"/>
    <w:rsid w:val="00A2388C"/>
    <w:rsid w:val="00A23D81"/>
    <w:rsid w:val="00A251CE"/>
    <w:rsid w:val="00A2703A"/>
    <w:rsid w:val="00A30D2B"/>
    <w:rsid w:val="00A3130A"/>
    <w:rsid w:val="00A322F7"/>
    <w:rsid w:val="00A32570"/>
    <w:rsid w:val="00A32632"/>
    <w:rsid w:val="00A33DFF"/>
    <w:rsid w:val="00A33F8D"/>
    <w:rsid w:val="00A34377"/>
    <w:rsid w:val="00A35115"/>
    <w:rsid w:val="00A35678"/>
    <w:rsid w:val="00A35A9E"/>
    <w:rsid w:val="00A35BD0"/>
    <w:rsid w:val="00A3612D"/>
    <w:rsid w:val="00A3655E"/>
    <w:rsid w:val="00A36E24"/>
    <w:rsid w:val="00A40072"/>
    <w:rsid w:val="00A41A90"/>
    <w:rsid w:val="00A41E02"/>
    <w:rsid w:val="00A42E0C"/>
    <w:rsid w:val="00A43E70"/>
    <w:rsid w:val="00A451EB"/>
    <w:rsid w:val="00A4674C"/>
    <w:rsid w:val="00A470D1"/>
    <w:rsid w:val="00A47AB3"/>
    <w:rsid w:val="00A50229"/>
    <w:rsid w:val="00A50304"/>
    <w:rsid w:val="00A50380"/>
    <w:rsid w:val="00A50382"/>
    <w:rsid w:val="00A50D14"/>
    <w:rsid w:val="00A50D8E"/>
    <w:rsid w:val="00A50F2D"/>
    <w:rsid w:val="00A5136F"/>
    <w:rsid w:val="00A5161F"/>
    <w:rsid w:val="00A517E9"/>
    <w:rsid w:val="00A53498"/>
    <w:rsid w:val="00A5379A"/>
    <w:rsid w:val="00A544A1"/>
    <w:rsid w:val="00A5532E"/>
    <w:rsid w:val="00A554AB"/>
    <w:rsid w:val="00A5592F"/>
    <w:rsid w:val="00A55F98"/>
    <w:rsid w:val="00A57889"/>
    <w:rsid w:val="00A57B6E"/>
    <w:rsid w:val="00A602A9"/>
    <w:rsid w:val="00A603B4"/>
    <w:rsid w:val="00A61065"/>
    <w:rsid w:val="00A61D1D"/>
    <w:rsid w:val="00A621D8"/>
    <w:rsid w:val="00A62B3D"/>
    <w:rsid w:val="00A63820"/>
    <w:rsid w:val="00A6442B"/>
    <w:rsid w:val="00A649FF"/>
    <w:rsid w:val="00A6628F"/>
    <w:rsid w:val="00A66A5A"/>
    <w:rsid w:val="00A67757"/>
    <w:rsid w:val="00A722C3"/>
    <w:rsid w:val="00A72841"/>
    <w:rsid w:val="00A72C0C"/>
    <w:rsid w:val="00A72EFF"/>
    <w:rsid w:val="00A74E25"/>
    <w:rsid w:val="00A75036"/>
    <w:rsid w:val="00A75572"/>
    <w:rsid w:val="00A77252"/>
    <w:rsid w:val="00A814D2"/>
    <w:rsid w:val="00A8308D"/>
    <w:rsid w:val="00A8528E"/>
    <w:rsid w:val="00A8555B"/>
    <w:rsid w:val="00A857E9"/>
    <w:rsid w:val="00A8658D"/>
    <w:rsid w:val="00A87188"/>
    <w:rsid w:val="00A87372"/>
    <w:rsid w:val="00A87F86"/>
    <w:rsid w:val="00A90298"/>
    <w:rsid w:val="00A917EB"/>
    <w:rsid w:val="00A928E6"/>
    <w:rsid w:val="00A9338B"/>
    <w:rsid w:val="00A93686"/>
    <w:rsid w:val="00A94CA7"/>
    <w:rsid w:val="00A94FA6"/>
    <w:rsid w:val="00A95C3E"/>
    <w:rsid w:val="00A95F3E"/>
    <w:rsid w:val="00A96BBB"/>
    <w:rsid w:val="00AA00E5"/>
    <w:rsid w:val="00AA1397"/>
    <w:rsid w:val="00AA1988"/>
    <w:rsid w:val="00AA1E42"/>
    <w:rsid w:val="00AA21E7"/>
    <w:rsid w:val="00AA3C7E"/>
    <w:rsid w:val="00AA5263"/>
    <w:rsid w:val="00AA531B"/>
    <w:rsid w:val="00AA5365"/>
    <w:rsid w:val="00AA5430"/>
    <w:rsid w:val="00AA6710"/>
    <w:rsid w:val="00AA7C51"/>
    <w:rsid w:val="00AB0681"/>
    <w:rsid w:val="00AB0F05"/>
    <w:rsid w:val="00AB4B32"/>
    <w:rsid w:val="00AB573E"/>
    <w:rsid w:val="00AB5A20"/>
    <w:rsid w:val="00AB5A61"/>
    <w:rsid w:val="00AB6136"/>
    <w:rsid w:val="00AB64B8"/>
    <w:rsid w:val="00AB7F07"/>
    <w:rsid w:val="00AC1D54"/>
    <w:rsid w:val="00AC415C"/>
    <w:rsid w:val="00AC474F"/>
    <w:rsid w:val="00AC4F8C"/>
    <w:rsid w:val="00AC4F95"/>
    <w:rsid w:val="00AC5241"/>
    <w:rsid w:val="00AC5A6E"/>
    <w:rsid w:val="00AC5B05"/>
    <w:rsid w:val="00AC6099"/>
    <w:rsid w:val="00AD0382"/>
    <w:rsid w:val="00AD1AC2"/>
    <w:rsid w:val="00AD1F89"/>
    <w:rsid w:val="00AD22C4"/>
    <w:rsid w:val="00AD2852"/>
    <w:rsid w:val="00AD452B"/>
    <w:rsid w:val="00AD609A"/>
    <w:rsid w:val="00AD62E7"/>
    <w:rsid w:val="00AD7D2C"/>
    <w:rsid w:val="00AD7FDB"/>
    <w:rsid w:val="00AE03C0"/>
    <w:rsid w:val="00AE0C0B"/>
    <w:rsid w:val="00AE1A1F"/>
    <w:rsid w:val="00AE22C3"/>
    <w:rsid w:val="00AE2DA7"/>
    <w:rsid w:val="00AE3321"/>
    <w:rsid w:val="00AE343A"/>
    <w:rsid w:val="00AE3650"/>
    <w:rsid w:val="00AE3855"/>
    <w:rsid w:val="00AE3B0B"/>
    <w:rsid w:val="00AE41FE"/>
    <w:rsid w:val="00AE64CE"/>
    <w:rsid w:val="00AE672F"/>
    <w:rsid w:val="00AE6E6D"/>
    <w:rsid w:val="00AE781E"/>
    <w:rsid w:val="00AF0BDB"/>
    <w:rsid w:val="00AF0CE0"/>
    <w:rsid w:val="00AF3AB9"/>
    <w:rsid w:val="00AF3E5D"/>
    <w:rsid w:val="00AF4577"/>
    <w:rsid w:val="00AF4B9A"/>
    <w:rsid w:val="00AF66D9"/>
    <w:rsid w:val="00B00B6F"/>
    <w:rsid w:val="00B01812"/>
    <w:rsid w:val="00B01AF1"/>
    <w:rsid w:val="00B02A1C"/>
    <w:rsid w:val="00B058A7"/>
    <w:rsid w:val="00B074A1"/>
    <w:rsid w:val="00B07C4D"/>
    <w:rsid w:val="00B10DD3"/>
    <w:rsid w:val="00B11B13"/>
    <w:rsid w:val="00B11D11"/>
    <w:rsid w:val="00B133F3"/>
    <w:rsid w:val="00B140CF"/>
    <w:rsid w:val="00B14259"/>
    <w:rsid w:val="00B142F1"/>
    <w:rsid w:val="00B15528"/>
    <w:rsid w:val="00B15A4C"/>
    <w:rsid w:val="00B1682D"/>
    <w:rsid w:val="00B17B92"/>
    <w:rsid w:val="00B17E3E"/>
    <w:rsid w:val="00B21877"/>
    <w:rsid w:val="00B22037"/>
    <w:rsid w:val="00B2470C"/>
    <w:rsid w:val="00B25BE0"/>
    <w:rsid w:val="00B26DB4"/>
    <w:rsid w:val="00B27684"/>
    <w:rsid w:val="00B27AB8"/>
    <w:rsid w:val="00B3015C"/>
    <w:rsid w:val="00B3036E"/>
    <w:rsid w:val="00B3177D"/>
    <w:rsid w:val="00B328B1"/>
    <w:rsid w:val="00B32B92"/>
    <w:rsid w:val="00B32BEC"/>
    <w:rsid w:val="00B33115"/>
    <w:rsid w:val="00B3374B"/>
    <w:rsid w:val="00B3433B"/>
    <w:rsid w:val="00B373D3"/>
    <w:rsid w:val="00B4024A"/>
    <w:rsid w:val="00B41604"/>
    <w:rsid w:val="00B42BD0"/>
    <w:rsid w:val="00B43D9E"/>
    <w:rsid w:val="00B44CB8"/>
    <w:rsid w:val="00B45472"/>
    <w:rsid w:val="00B456A0"/>
    <w:rsid w:val="00B46D6C"/>
    <w:rsid w:val="00B47180"/>
    <w:rsid w:val="00B47EB7"/>
    <w:rsid w:val="00B50B64"/>
    <w:rsid w:val="00B513B1"/>
    <w:rsid w:val="00B5161A"/>
    <w:rsid w:val="00B51AC3"/>
    <w:rsid w:val="00B53E7E"/>
    <w:rsid w:val="00B55FA8"/>
    <w:rsid w:val="00B563BB"/>
    <w:rsid w:val="00B5723B"/>
    <w:rsid w:val="00B5734A"/>
    <w:rsid w:val="00B57FB6"/>
    <w:rsid w:val="00B600EF"/>
    <w:rsid w:val="00B611FB"/>
    <w:rsid w:val="00B61346"/>
    <w:rsid w:val="00B62587"/>
    <w:rsid w:val="00B62B62"/>
    <w:rsid w:val="00B62ECF"/>
    <w:rsid w:val="00B6315C"/>
    <w:rsid w:val="00B6342E"/>
    <w:rsid w:val="00B63FC5"/>
    <w:rsid w:val="00B647CE"/>
    <w:rsid w:val="00B648D5"/>
    <w:rsid w:val="00B65503"/>
    <w:rsid w:val="00B65829"/>
    <w:rsid w:val="00B660F6"/>
    <w:rsid w:val="00B672BB"/>
    <w:rsid w:val="00B7113F"/>
    <w:rsid w:val="00B71F30"/>
    <w:rsid w:val="00B73111"/>
    <w:rsid w:val="00B7336C"/>
    <w:rsid w:val="00B73D54"/>
    <w:rsid w:val="00B75BED"/>
    <w:rsid w:val="00B774EF"/>
    <w:rsid w:val="00B77CF8"/>
    <w:rsid w:val="00B81C62"/>
    <w:rsid w:val="00B82455"/>
    <w:rsid w:val="00B83372"/>
    <w:rsid w:val="00B8453D"/>
    <w:rsid w:val="00B847A1"/>
    <w:rsid w:val="00B87042"/>
    <w:rsid w:val="00B87BBC"/>
    <w:rsid w:val="00B90DAD"/>
    <w:rsid w:val="00B91E77"/>
    <w:rsid w:val="00B92CA7"/>
    <w:rsid w:val="00B93F17"/>
    <w:rsid w:val="00B95A21"/>
    <w:rsid w:val="00B95BD2"/>
    <w:rsid w:val="00B95CEB"/>
    <w:rsid w:val="00B978FC"/>
    <w:rsid w:val="00BA003F"/>
    <w:rsid w:val="00BA0ADB"/>
    <w:rsid w:val="00BA1383"/>
    <w:rsid w:val="00BA15F0"/>
    <w:rsid w:val="00BA1666"/>
    <w:rsid w:val="00BA1FCE"/>
    <w:rsid w:val="00BA45DB"/>
    <w:rsid w:val="00BA4BB8"/>
    <w:rsid w:val="00BA5714"/>
    <w:rsid w:val="00BA71DB"/>
    <w:rsid w:val="00BA73B6"/>
    <w:rsid w:val="00BA7B35"/>
    <w:rsid w:val="00BB110F"/>
    <w:rsid w:val="00BB2E89"/>
    <w:rsid w:val="00BB3148"/>
    <w:rsid w:val="00BB4CF3"/>
    <w:rsid w:val="00BB4FCD"/>
    <w:rsid w:val="00BB5639"/>
    <w:rsid w:val="00BB6435"/>
    <w:rsid w:val="00BB64A0"/>
    <w:rsid w:val="00BB726C"/>
    <w:rsid w:val="00BB7D75"/>
    <w:rsid w:val="00BC27F6"/>
    <w:rsid w:val="00BC2936"/>
    <w:rsid w:val="00BC340D"/>
    <w:rsid w:val="00BC495B"/>
    <w:rsid w:val="00BC5B89"/>
    <w:rsid w:val="00BC6055"/>
    <w:rsid w:val="00BC63A4"/>
    <w:rsid w:val="00BC7C1D"/>
    <w:rsid w:val="00BD1358"/>
    <w:rsid w:val="00BD13EA"/>
    <w:rsid w:val="00BD18D3"/>
    <w:rsid w:val="00BD1B52"/>
    <w:rsid w:val="00BD1CA1"/>
    <w:rsid w:val="00BD20D5"/>
    <w:rsid w:val="00BD212A"/>
    <w:rsid w:val="00BD2C35"/>
    <w:rsid w:val="00BD38C6"/>
    <w:rsid w:val="00BD58A2"/>
    <w:rsid w:val="00BD5C85"/>
    <w:rsid w:val="00BD67AE"/>
    <w:rsid w:val="00BD743B"/>
    <w:rsid w:val="00BD7601"/>
    <w:rsid w:val="00BD764E"/>
    <w:rsid w:val="00BE037F"/>
    <w:rsid w:val="00BE09BD"/>
    <w:rsid w:val="00BE10D9"/>
    <w:rsid w:val="00BE246F"/>
    <w:rsid w:val="00BE3808"/>
    <w:rsid w:val="00BE643B"/>
    <w:rsid w:val="00BE6950"/>
    <w:rsid w:val="00BE6BDE"/>
    <w:rsid w:val="00BF012F"/>
    <w:rsid w:val="00BF04FC"/>
    <w:rsid w:val="00BF065C"/>
    <w:rsid w:val="00BF11C1"/>
    <w:rsid w:val="00BF23F8"/>
    <w:rsid w:val="00BF3AB8"/>
    <w:rsid w:val="00BF3FDB"/>
    <w:rsid w:val="00BF43F2"/>
    <w:rsid w:val="00BF4434"/>
    <w:rsid w:val="00BF68A5"/>
    <w:rsid w:val="00C0030B"/>
    <w:rsid w:val="00C00AD5"/>
    <w:rsid w:val="00C012D0"/>
    <w:rsid w:val="00C02405"/>
    <w:rsid w:val="00C02F09"/>
    <w:rsid w:val="00C040D0"/>
    <w:rsid w:val="00C040EB"/>
    <w:rsid w:val="00C048B8"/>
    <w:rsid w:val="00C0614C"/>
    <w:rsid w:val="00C062E9"/>
    <w:rsid w:val="00C066DD"/>
    <w:rsid w:val="00C069DD"/>
    <w:rsid w:val="00C07033"/>
    <w:rsid w:val="00C0734D"/>
    <w:rsid w:val="00C1128C"/>
    <w:rsid w:val="00C113B2"/>
    <w:rsid w:val="00C114C2"/>
    <w:rsid w:val="00C1265C"/>
    <w:rsid w:val="00C1355C"/>
    <w:rsid w:val="00C13721"/>
    <w:rsid w:val="00C13EE9"/>
    <w:rsid w:val="00C14376"/>
    <w:rsid w:val="00C14D28"/>
    <w:rsid w:val="00C155D7"/>
    <w:rsid w:val="00C15BA9"/>
    <w:rsid w:val="00C15DF1"/>
    <w:rsid w:val="00C16329"/>
    <w:rsid w:val="00C16C37"/>
    <w:rsid w:val="00C2143C"/>
    <w:rsid w:val="00C21C64"/>
    <w:rsid w:val="00C230C7"/>
    <w:rsid w:val="00C2463A"/>
    <w:rsid w:val="00C24BA0"/>
    <w:rsid w:val="00C253FC"/>
    <w:rsid w:val="00C25775"/>
    <w:rsid w:val="00C258B2"/>
    <w:rsid w:val="00C25F9E"/>
    <w:rsid w:val="00C2638D"/>
    <w:rsid w:val="00C26E06"/>
    <w:rsid w:val="00C30F47"/>
    <w:rsid w:val="00C31869"/>
    <w:rsid w:val="00C33AED"/>
    <w:rsid w:val="00C3495E"/>
    <w:rsid w:val="00C351B0"/>
    <w:rsid w:val="00C365FC"/>
    <w:rsid w:val="00C36664"/>
    <w:rsid w:val="00C36C34"/>
    <w:rsid w:val="00C36E25"/>
    <w:rsid w:val="00C3743E"/>
    <w:rsid w:val="00C37A45"/>
    <w:rsid w:val="00C406A3"/>
    <w:rsid w:val="00C4078C"/>
    <w:rsid w:val="00C40F8E"/>
    <w:rsid w:val="00C413B3"/>
    <w:rsid w:val="00C41DC6"/>
    <w:rsid w:val="00C42C06"/>
    <w:rsid w:val="00C42D02"/>
    <w:rsid w:val="00C4392F"/>
    <w:rsid w:val="00C44FEF"/>
    <w:rsid w:val="00C45AC4"/>
    <w:rsid w:val="00C46111"/>
    <w:rsid w:val="00C46167"/>
    <w:rsid w:val="00C50844"/>
    <w:rsid w:val="00C51088"/>
    <w:rsid w:val="00C510FA"/>
    <w:rsid w:val="00C515A6"/>
    <w:rsid w:val="00C51E13"/>
    <w:rsid w:val="00C52DB9"/>
    <w:rsid w:val="00C5408E"/>
    <w:rsid w:val="00C543F4"/>
    <w:rsid w:val="00C54F90"/>
    <w:rsid w:val="00C55A32"/>
    <w:rsid w:val="00C56C60"/>
    <w:rsid w:val="00C56F50"/>
    <w:rsid w:val="00C60CB7"/>
    <w:rsid w:val="00C6202B"/>
    <w:rsid w:val="00C62538"/>
    <w:rsid w:val="00C6291C"/>
    <w:rsid w:val="00C633CB"/>
    <w:rsid w:val="00C636C8"/>
    <w:rsid w:val="00C63AB5"/>
    <w:rsid w:val="00C656E1"/>
    <w:rsid w:val="00C65A27"/>
    <w:rsid w:val="00C7017F"/>
    <w:rsid w:val="00C708ED"/>
    <w:rsid w:val="00C71BE9"/>
    <w:rsid w:val="00C71C1F"/>
    <w:rsid w:val="00C71D7C"/>
    <w:rsid w:val="00C72A04"/>
    <w:rsid w:val="00C7354B"/>
    <w:rsid w:val="00C73598"/>
    <w:rsid w:val="00C76817"/>
    <w:rsid w:val="00C7689D"/>
    <w:rsid w:val="00C77021"/>
    <w:rsid w:val="00C774F3"/>
    <w:rsid w:val="00C802DA"/>
    <w:rsid w:val="00C80C91"/>
    <w:rsid w:val="00C80E25"/>
    <w:rsid w:val="00C81D1A"/>
    <w:rsid w:val="00C82649"/>
    <w:rsid w:val="00C82AC2"/>
    <w:rsid w:val="00C8307C"/>
    <w:rsid w:val="00C8435F"/>
    <w:rsid w:val="00C849C2"/>
    <w:rsid w:val="00C85775"/>
    <w:rsid w:val="00C858B4"/>
    <w:rsid w:val="00C858D6"/>
    <w:rsid w:val="00C85EE8"/>
    <w:rsid w:val="00C8679F"/>
    <w:rsid w:val="00C86DFA"/>
    <w:rsid w:val="00C8762C"/>
    <w:rsid w:val="00C87DAB"/>
    <w:rsid w:val="00C903BF"/>
    <w:rsid w:val="00C9055F"/>
    <w:rsid w:val="00C910EE"/>
    <w:rsid w:val="00C911EC"/>
    <w:rsid w:val="00C92610"/>
    <w:rsid w:val="00C9293D"/>
    <w:rsid w:val="00C946E4"/>
    <w:rsid w:val="00C94DDE"/>
    <w:rsid w:val="00C95164"/>
    <w:rsid w:val="00C9516E"/>
    <w:rsid w:val="00C95AEF"/>
    <w:rsid w:val="00CA00F9"/>
    <w:rsid w:val="00CA2961"/>
    <w:rsid w:val="00CA3481"/>
    <w:rsid w:val="00CA3FC5"/>
    <w:rsid w:val="00CA5010"/>
    <w:rsid w:val="00CA5832"/>
    <w:rsid w:val="00CA6349"/>
    <w:rsid w:val="00CA671C"/>
    <w:rsid w:val="00CA71F8"/>
    <w:rsid w:val="00CB009F"/>
    <w:rsid w:val="00CB04B2"/>
    <w:rsid w:val="00CB3E77"/>
    <w:rsid w:val="00CB50D7"/>
    <w:rsid w:val="00CB5A3B"/>
    <w:rsid w:val="00CB7177"/>
    <w:rsid w:val="00CC0B62"/>
    <w:rsid w:val="00CC111C"/>
    <w:rsid w:val="00CC1998"/>
    <w:rsid w:val="00CC1BD7"/>
    <w:rsid w:val="00CC1FF5"/>
    <w:rsid w:val="00CC209D"/>
    <w:rsid w:val="00CC2781"/>
    <w:rsid w:val="00CC2CEA"/>
    <w:rsid w:val="00CC3064"/>
    <w:rsid w:val="00CC382E"/>
    <w:rsid w:val="00CC3FF6"/>
    <w:rsid w:val="00CC427D"/>
    <w:rsid w:val="00CC4303"/>
    <w:rsid w:val="00CC4946"/>
    <w:rsid w:val="00CC4D10"/>
    <w:rsid w:val="00CC64C3"/>
    <w:rsid w:val="00CC6CCE"/>
    <w:rsid w:val="00CC6D65"/>
    <w:rsid w:val="00CC6F75"/>
    <w:rsid w:val="00CC73C9"/>
    <w:rsid w:val="00CC7A66"/>
    <w:rsid w:val="00CD0CED"/>
    <w:rsid w:val="00CD23AE"/>
    <w:rsid w:val="00CD276B"/>
    <w:rsid w:val="00CD28E7"/>
    <w:rsid w:val="00CD3851"/>
    <w:rsid w:val="00CD3B88"/>
    <w:rsid w:val="00CD4442"/>
    <w:rsid w:val="00CD4A0A"/>
    <w:rsid w:val="00CE4238"/>
    <w:rsid w:val="00CE48BF"/>
    <w:rsid w:val="00CE5578"/>
    <w:rsid w:val="00CE5655"/>
    <w:rsid w:val="00CE7801"/>
    <w:rsid w:val="00CF0A12"/>
    <w:rsid w:val="00CF285B"/>
    <w:rsid w:val="00CF3EFB"/>
    <w:rsid w:val="00CF4AA7"/>
    <w:rsid w:val="00CF6184"/>
    <w:rsid w:val="00CF66CF"/>
    <w:rsid w:val="00D01CCE"/>
    <w:rsid w:val="00D01E14"/>
    <w:rsid w:val="00D02569"/>
    <w:rsid w:val="00D02979"/>
    <w:rsid w:val="00D035F4"/>
    <w:rsid w:val="00D03C8D"/>
    <w:rsid w:val="00D05484"/>
    <w:rsid w:val="00D10FC8"/>
    <w:rsid w:val="00D11419"/>
    <w:rsid w:val="00D114D4"/>
    <w:rsid w:val="00D116F7"/>
    <w:rsid w:val="00D125FC"/>
    <w:rsid w:val="00D135E7"/>
    <w:rsid w:val="00D14A5E"/>
    <w:rsid w:val="00D14E8D"/>
    <w:rsid w:val="00D152C4"/>
    <w:rsid w:val="00D152FD"/>
    <w:rsid w:val="00D15352"/>
    <w:rsid w:val="00D15E8B"/>
    <w:rsid w:val="00D161C3"/>
    <w:rsid w:val="00D17C15"/>
    <w:rsid w:val="00D203E5"/>
    <w:rsid w:val="00D21592"/>
    <w:rsid w:val="00D218DD"/>
    <w:rsid w:val="00D21BCB"/>
    <w:rsid w:val="00D22C5F"/>
    <w:rsid w:val="00D22E73"/>
    <w:rsid w:val="00D238FF"/>
    <w:rsid w:val="00D24385"/>
    <w:rsid w:val="00D248DC"/>
    <w:rsid w:val="00D24950"/>
    <w:rsid w:val="00D250B0"/>
    <w:rsid w:val="00D255A8"/>
    <w:rsid w:val="00D2662C"/>
    <w:rsid w:val="00D270A4"/>
    <w:rsid w:val="00D27250"/>
    <w:rsid w:val="00D274EC"/>
    <w:rsid w:val="00D30183"/>
    <w:rsid w:val="00D30686"/>
    <w:rsid w:val="00D30939"/>
    <w:rsid w:val="00D30B23"/>
    <w:rsid w:val="00D323CD"/>
    <w:rsid w:val="00D34E1B"/>
    <w:rsid w:val="00D35154"/>
    <w:rsid w:val="00D36BB0"/>
    <w:rsid w:val="00D372B3"/>
    <w:rsid w:val="00D37DB8"/>
    <w:rsid w:val="00D37E99"/>
    <w:rsid w:val="00D37FD5"/>
    <w:rsid w:val="00D4000C"/>
    <w:rsid w:val="00D41D85"/>
    <w:rsid w:val="00D42D71"/>
    <w:rsid w:val="00D43520"/>
    <w:rsid w:val="00D444D4"/>
    <w:rsid w:val="00D460F0"/>
    <w:rsid w:val="00D4759D"/>
    <w:rsid w:val="00D47F65"/>
    <w:rsid w:val="00D5252B"/>
    <w:rsid w:val="00D5388C"/>
    <w:rsid w:val="00D551D1"/>
    <w:rsid w:val="00D569A9"/>
    <w:rsid w:val="00D577D8"/>
    <w:rsid w:val="00D602CF"/>
    <w:rsid w:val="00D6097B"/>
    <w:rsid w:val="00D60F95"/>
    <w:rsid w:val="00D61757"/>
    <w:rsid w:val="00D61878"/>
    <w:rsid w:val="00D62436"/>
    <w:rsid w:val="00D639EE"/>
    <w:rsid w:val="00D63D73"/>
    <w:rsid w:val="00D6463A"/>
    <w:rsid w:val="00D6475E"/>
    <w:rsid w:val="00D649EF"/>
    <w:rsid w:val="00D65294"/>
    <w:rsid w:val="00D66E1E"/>
    <w:rsid w:val="00D6752F"/>
    <w:rsid w:val="00D70100"/>
    <w:rsid w:val="00D70932"/>
    <w:rsid w:val="00D709C6"/>
    <w:rsid w:val="00D71B6B"/>
    <w:rsid w:val="00D72A64"/>
    <w:rsid w:val="00D749A4"/>
    <w:rsid w:val="00D74C82"/>
    <w:rsid w:val="00D75230"/>
    <w:rsid w:val="00D75722"/>
    <w:rsid w:val="00D75A5D"/>
    <w:rsid w:val="00D75C2A"/>
    <w:rsid w:val="00D77E03"/>
    <w:rsid w:val="00D81149"/>
    <w:rsid w:val="00D81770"/>
    <w:rsid w:val="00D827C5"/>
    <w:rsid w:val="00D82F8F"/>
    <w:rsid w:val="00D849E1"/>
    <w:rsid w:val="00D85035"/>
    <w:rsid w:val="00D86AC8"/>
    <w:rsid w:val="00D86FA4"/>
    <w:rsid w:val="00D90699"/>
    <w:rsid w:val="00D90830"/>
    <w:rsid w:val="00D90D9F"/>
    <w:rsid w:val="00D90DDD"/>
    <w:rsid w:val="00D91281"/>
    <w:rsid w:val="00D91285"/>
    <w:rsid w:val="00D913A9"/>
    <w:rsid w:val="00D913AD"/>
    <w:rsid w:val="00D921A1"/>
    <w:rsid w:val="00D92F1A"/>
    <w:rsid w:val="00D94129"/>
    <w:rsid w:val="00D94347"/>
    <w:rsid w:val="00D95230"/>
    <w:rsid w:val="00D955F9"/>
    <w:rsid w:val="00D9650F"/>
    <w:rsid w:val="00D96F6F"/>
    <w:rsid w:val="00DA056A"/>
    <w:rsid w:val="00DA0B10"/>
    <w:rsid w:val="00DA0BB9"/>
    <w:rsid w:val="00DA1A64"/>
    <w:rsid w:val="00DA1E65"/>
    <w:rsid w:val="00DA27C8"/>
    <w:rsid w:val="00DA28F1"/>
    <w:rsid w:val="00DA2B9B"/>
    <w:rsid w:val="00DA4333"/>
    <w:rsid w:val="00DA481B"/>
    <w:rsid w:val="00DA4BB7"/>
    <w:rsid w:val="00DA50DA"/>
    <w:rsid w:val="00DA5296"/>
    <w:rsid w:val="00DA6314"/>
    <w:rsid w:val="00DA68DB"/>
    <w:rsid w:val="00DA6FB2"/>
    <w:rsid w:val="00DA70F2"/>
    <w:rsid w:val="00DB214C"/>
    <w:rsid w:val="00DB2E8B"/>
    <w:rsid w:val="00DB2F1C"/>
    <w:rsid w:val="00DB3BD1"/>
    <w:rsid w:val="00DB4762"/>
    <w:rsid w:val="00DB497C"/>
    <w:rsid w:val="00DB49B2"/>
    <w:rsid w:val="00DB5E14"/>
    <w:rsid w:val="00DB646C"/>
    <w:rsid w:val="00DB67C9"/>
    <w:rsid w:val="00DC00AC"/>
    <w:rsid w:val="00DC00CA"/>
    <w:rsid w:val="00DC00E6"/>
    <w:rsid w:val="00DC0C95"/>
    <w:rsid w:val="00DC10F0"/>
    <w:rsid w:val="00DC1AED"/>
    <w:rsid w:val="00DC4CC1"/>
    <w:rsid w:val="00DC5729"/>
    <w:rsid w:val="00DC6219"/>
    <w:rsid w:val="00DC6DDF"/>
    <w:rsid w:val="00DD0909"/>
    <w:rsid w:val="00DD153F"/>
    <w:rsid w:val="00DD1852"/>
    <w:rsid w:val="00DD2FAF"/>
    <w:rsid w:val="00DD30CD"/>
    <w:rsid w:val="00DD423D"/>
    <w:rsid w:val="00DD4672"/>
    <w:rsid w:val="00DD4D1A"/>
    <w:rsid w:val="00DD6580"/>
    <w:rsid w:val="00DD7864"/>
    <w:rsid w:val="00DE0CB3"/>
    <w:rsid w:val="00DE11FE"/>
    <w:rsid w:val="00DE1E73"/>
    <w:rsid w:val="00DE2409"/>
    <w:rsid w:val="00DE33B0"/>
    <w:rsid w:val="00DE4750"/>
    <w:rsid w:val="00DE5095"/>
    <w:rsid w:val="00DE51E0"/>
    <w:rsid w:val="00DE7308"/>
    <w:rsid w:val="00DE753A"/>
    <w:rsid w:val="00DE7798"/>
    <w:rsid w:val="00DE7E38"/>
    <w:rsid w:val="00DF093A"/>
    <w:rsid w:val="00DF0FBF"/>
    <w:rsid w:val="00DF1C21"/>
    <w:rsid w:val="00DF1FEF"/>
    <w:rsid w:val="00DF25DF"/>
    <w:rsid w:val="00DF2C25"/>
    <w:rsid w:val="00DF3BF7"/>
    <w:rsid w:val="00DF53E0"/>
    <w:rsid w:val="00DF5481"/>
    <w:rsid w:val="00DF68B4"/>
    <w:rsid w:val="00DF69FC"/>
    <w:rsid w:val="00DF6B13"/>
    <w:rsid w:val="00DF7368"/>
    <w:rsid w:val="00E0212E"/>
    <w:rsid w:val="00E02268"/>
    <w:rsid w:val="00E02311"/>
    <w:rsid w:val="00E02832"/>
    <w:rsid w:val="00E02EE8"/>
    <w:rsid w:val="00E0411A"/>
    <w:rsid w:val="00E04929"/>
    <w:rsid w:val="00E0693E"/>
    <w:rsid w:val="00E07AB4"/>
    <w:rsid w:val="00E10466"/>
    <w:rsid w:val="00E109BA"/>
    <w:rsid w:val="00E11181"/>
    <w:rsid w:val="00E1150B"/>
    <w:rsid w:val="00E11CFA"/>
    <w:rsid w:val="00E1280C"/>
    <w:rsid w:val="00E12D3A"/>
    <w:rsid w:val="00E12E6A"/>
    <w:rsid w:val="00E15F4A"/>
    <w:rsid w:val="00E160C9"/>
    <w:rsid w:val="00E171F5"/>
    <w:rsid w:val="00E17C72"/>
    <w:rsid w:val="00E207AE"/>
    <w:rsid w:val="00E221B1"/>
    <w:rsid w:val="00E22F73"/>
    <w:rsid w:val="00E23976"/>
    <w:rsid w:val="00E23B62"/>
    <w:rsid w:val="00E23DCE"/>
    <w:rsid w:val="00E24C2D"/>
    <w:rsid w:val="00E25B46"/>
    <w:rsid w:val="00E26656"/>
    <w:rsid w:val="00E26EFE"/>
    <w:rsid w:val="00E27BA4"/>
    <w:rsid w:val="00E3025A"/>
    <w:rsid w:val="00E30E79"/>
    <w:rsid w:val="00E31145"/>
    <w:rsid w:val="00E325AF"/>
    <w:rsid w:val="00E32CA2"/>
    <w:rsid w:val="00E331DD"/>
    <w:rsid w:val="00E334E3"/>
    <w:rsid w:val="00E33C32"/>
    <w:rsid w:val="00E341D8"/>
    <w:rsid w:val="00E348AF"/>
    <w:rsid w:val="00E35758"/>
    <w:rsid w:val="00E35860"/>
    <w:rsid w:val="00E36A06"/>
    <w:rsid w:val="00E37064"/>
    <w:rsid w:val="00E412BF"/>
    <w:rsid w:val="00E42114"/>
    <w:rsid w:val="00E45483"/>
    <w:rsid w:val="00E46330"/>
    <w:rsid w:val="00E46F82"/>
    <w:rsid w:val="00E47228"/>
    <w:rsid w:val="00E47466"/>
    <w:rsid w:val="00E47569"/>
    <w:rsid w:val="00E508CD"/>
    <w:rsid w:val="00E50945"/>
    <w:rsid w:val="00E51ECD"/>
    <w:rsid w:val="00E5263F"/>
    <w:rsid w:val="00E52853"/>
    <w:rsid w:val="00E52F4D"/>
    <w:rsid w:val="00E53B74"/>
    <w:rsid w:val="00E53CCD"/>
    <w:rsid w:val="00E55ADC"/>
    <w:rsid w:val="00E60B3E"/>
    <w:rsid w:val="00E61CB4"/>
    <w:rsid w:val="00E622E6"/>
    <w:rsid w:val="00E63B7E"/>
    <w:rsid w:val="00E64741"/>
    <w:rsid w:val="00E64ACD"/>
    <w:rsid w:val="00E669E2"/>
    <w:rsid w:val="00E66A31"/>
    <w:rsid w:val="00E66D1F"/>
    <w:rsid w:val="00E67536"/>
    <w:rsid w:val="00E67F9A"/>
    <w:rsid w:val="00E70B6A"/>
    <w:rsid w:val="00E71316"/>
    <w:rsid w:val="00E7139C"/>
    <w:rsid w:val="00E72340"/>
    <w:rsid w:val="00E72B9F"/>
    <w:rsid w:val="00E72BB2"/>
    <w:rsid w:val="00E75685"/>
    <w:rsid w:val="00E76135"/>
    <w:rsid w:val="00E776C0"/>
    <w:rsid w:val="00E80A98"/>
    <w:rsid w:val="00E81377"/>
    <w:rsid w:val="00E822B0"/>
    <w:rsid w:val="00E82420"/>
    <w:rsid w:val="00E825AC"/>
    <w:rsid w:val="00E8306B"/>
    <w:rsid w:val="00E836CB"/>
    <w:rsid w:val="00E84957"/>
    <w:rsid w:val="00E85638"/>
    <w:rsid w:val="00E85DC7"/>
    <w:rsid w:val="00E86893"/>
    <w:rsid w:val="00E86F55"/>
    <w:rsid w:val="00E874DE"/>
    <w:rsid w:val="00E91131"/>
    <w:rsid w:val="00E91696"/>
    <w:rsid w:val="00E92000"/>
    <w:rsid w:val="00E9207E"/>
    <w:rsid w:val="00E92B3F"/>
    <w:rsid w:val="00E93123"/>
    <w:rsid w:val="00E941C8"/>
    <w:rsid w:val="00E94EC2"/>
    <w:rsid w:val="00E97D9E"/>
    <w:rsid w:val="00EA1262"/>
    <w:rsid w:val="00EA27F3"/>
    <w:rsid w:val="00EA401E"/>
    <w:rsid w:val="00EA560D"/>
    <w:rsid w:val="00EA5662"/>
    <w:rsid w:val="00EA5B79"/>
    <w:rsid w:val="00EA5DBF"/>
    <w:rsid w:val="00EA5E04"/>
    <w:rsid w:val="00EA7056"/>
    <w:rsid w:val="00EA70A0"/>
    <w:rsid w:val="00EA7427"/>
    <w:rsid w:val="00EA7665"/>
    <w:rsid w:val="00EB0A6A"/>
    <w:rsid w:val="00EB1C7E"/>
    <w:rsid w:val="00EB34C8"/>
    <w:rsid w:val="00EB3B2D"/>
    <w:rsid w:val="00EB3CEB"/>
    <w:rsid w:val="00EB3D71"/>
    <w:rsid w:val="00EB403A"/>
    <w:rsid w:val="00EB4A39"/>
    <w:rsid w:val="00EB5EF8"/>
    <w:rsid w:val="00EB621A"/>
    <w:rsid w:val="00EB68E2"/>
    <w:rsid w:val="00EB7298"/>
    <w:rsid w:val="00EB7BBB"/>
    <w:rsid w:val="00EC0C6A"/>
    <w:rsid w:val="00EC0E52"/>
    <w:rsid w:val="00EC0F52"/>
    <w:rsid w:val="00EC101D"/>
    <w:rsid w:val="00EC1045"/>
    <w:rsid w:val="00EC1C9D"/>
    <w:rsid w:val="00EC35C5"/>
    <w:rsid w:val="00EC3EAD"/>
    <w:rsid w:val="00EC4DD5"/>
    <w:rsid w:val="00EC644C"/>
    <w:rsid w:val="00EC66E1"/>
    <w:rsid w:val="00EC7775"/>
    <w:rsid w:val="00ED0CD0"/>
    <w:rsid w:val="00ED1B02"/>
    <w:rsid w:val="00ED1F6A"/>
    <w:rsid w:val="00ED321F"/>
    <w:rsid w:val="00ED370D"/>
    <w:rsid w:val="00ED58C0"/>
    <w:rsid w:val="00ED5F1B"/>
    <w:rsid w:val="00ED60EC"/>
    <w:rsid w:val="00ED6920"/>
    <w:rsid w:val="00ED74F5"/>
    <w:rsid w:val="00EE1C05"/>
    <w:rsid w:val="00EE1C9C"/>
    <w:rsid w:val="00EE2A5B"/>
    <w:rsid w:val="00EE3034"/>
    <w:rsid w:val="00EE368A"/>
    <w:rsid w:val="00EE3F4E"/>
    <w:rsid w:val="00EE40FF"/>
    <w:rsid w:val="00EE41CE"/>
    <w:rsid w:val="00EE4585"/>
    <w:rsid w:val="00EE4B35"/>
    <w:rsid w:val="00EE4B60"/>
    <w:rsid w:val="00EE4C8C"/>
    <w:rsid w:val="00EE5DA7"/>
    <w:rsid w:val="00EE61D7"/>
    <w:rsid w:val="00EE6A9C"/>
    <w:rsid w:val="00EE73F5"/>
    <w:rsid w:val="00EF095D"/>
    <w:rsid w:val="00EF116B"/>
    <w:rsid w:val="00EF15C8"/>
    <w:rsid w:val="00EF3920"/>
    <w:rsid w:val="00EF5CF2"/>
    <w:rsid w:val="00EF7A81"/>
    <w:rsid w:val="00F001B3"/>
    <w:rsid w:val="00F01296"/>
    <w:rsid w:val="00F0246E"/>
    <w:rsid w:val="00F028B8"/>
    <w:rsid w:val="00F0292C"/>
    <w:rsid w:val="00F030EB"/>
    <w:rsid w:val="00F0343F"/>
    <w:rsid w:val="00F036A3"/>
    <w:rsid w:val="00F03DF1"/>
    <w:rsid w:val="00F04AF0"/>
    <w:rsid w:val="00F054D7"/>
    <w:rsid w:val="00F056FC"/>
    <w:rsid w:val="00F05CBC"/>
    <w:rsid w:val="00F07188"/>
    <w:rsid w:val="00F07610"/>
    <w:rsid w:val="00F07949"/>
    <w:rsid w:val="00F105FC"/>
    <w:rsid w:val="00F110B3"/>
    <w:rsid w:val="00F11F60"/>
    <w:rsid w:val="00F131F7"/>
    <w:rsid w:val="00F13358"/>
    <w:rsid w:val="00F1343F"/>
    <w:rsid w:val="00F135D8"/>
    <w:rsid w:val="00F13635"/>
    <w:rsid w:val="00F13D7F"/>
    <w:rsid w:val="00F1424D"/>
    <w:rsid w:val="00F147DF"/>
    <w:rsid w:val="00F159AC"/>
    <w:rsid w:val="00F17A0F"/>
    <w:rsid w:val="00F200BF"/>
    <w:rsid w:val="00F209A8"/>
    <w:rsid w:val="00F21F70"/>
    <w:rsid w:val="00F22FB7"/>
    <w:rsid w:val="00F232B1"/>
    <w:rsid w:val="00F253DF"/>
    <w:rsid w:val="00F260BC"/>
    <w:rsid w:val="00F26B7D"/>
    <w:rsid w:val="00F26F6E"/>
    <w:rsid w:val="00F270F6"/>
    <w:rsid w:val="00F309C1"/>
    <w:rsid w:val="00F31299"/>
    <w:rsid w:val="00F31614"/>
    <w:rsid w:val="00F321DA"/>
    <w:rsid w:val="00F32DB2"/>
    <w:rsid w:val="00F332B8"/>
    <w:rsid w:val="00F343D9"/>
    <w:rsid w:val="00F34A8F"/>
    <w:rsid w:val="00F3534A"/>
    <w:rsid w:val="00F35460"/>
    <w:rsid w:val="00F355F4"/>
    <w:rsid w:val="00F35D88"/>
    <w:rsid w:val="00F3749E"/>
    <w:rsid w:val="00F40F8F"/>
    <w:rsid w:val="00F41CE7"/>
    <w:rsid w:val="00F42849"/>
    <w:rsid w:val="00F43EC6"/>
    <w:rsid w:val="00F450B1"/>
    <w:rsid w:val="00F4597C"/>
    <w:rsid w:val="00F45C47"/>
    <w:rsid w:val="00F47F6A"/>
    <w:rsid w:val="00F50FBB"/>
    <w:rsid w:val="00F51969"/>
    <w:rsid w:val="00F52850"/>
    <w:rsid w:val="00F53055"/>
    <w:rsid w:val="00F55A86"/>
    <w:rsid w:val="00F60C5C"/>
    <w:rsid w:val="00F618B9"/>
    <w:rsid w:val="00F6267F"/>
    <w:rsid w:val="00F6322C"/>
    <w:rsid w:val="00F63784"/>
    <w:rsid w:val="00F63BCA"/>
    <w:rsid w:val="00F65AA5"/>
    <w:rsid w:val="00F65B34"/>
    <w:rsid w:val="00F66365"/>
    <w:rsid w:val="00F6734A"/>
    <w:rsid w:val="00F67382"/>
    <w:rsid w:val="00F70CA7"/>
    <w:rsid w:val="00F715EE"/>
    <w:rsid w:val="00F72246"/>
    <w:rsid w:val="00F7452E"/>
    <w:rsid w:val="00F74736"/>
    <w:rsid w:val="00F74F14"/>
    <w:rsid w:val="00F757FD"/>
    <w:rsid w:val="00F75E66"/>
    <w:rsid w:val="00F767C9"/>
    <w:rsid w:val="00F772E2"/>
    <w:rsid w:val="00F80A6C"/>
    <w:rsid w:val="00F8193B"/>
    <w:rsid w:val="00F85325"/>
    <w:rsid w:val="00F85D18"/>
    <w:rsid w:val="00F86EA2"/>
    <w:rsid w:val="00F86F34"/>
    <w:rsid w:val="00F87662"/>
    <w:rsid w:val="00F923F9"/>
    <w:rsid w:val="00F9315E"/>
    <w:rsid w:val="00F939A5"/>
    <w:rsid w:val="00F94D9B"/>
    <w:rsid w:val="00F9645E"/>
    <w:rsid w:val="00F9705E"/>
    <w:rsid w:val="00FA0E24"/>
    <w:rsid w:val="00FA3EAE"/>
    <w:rsid w:val="00FA43A8"/>
    <w:rsid w:val="00FA4579"/>
    <w:rsid w:val="00FA56F1"/>
    <w:rsid w:val="00FA6EB5"/>
    <w:rsid w:val="00FB18B4"/>
    <w:rsid w:val="00FB29CD"/>
    <w:rsid w:val="00FB2B9E"/>
    <w:rsid w:val="00FB3EC1"/>
    <w:rsid w:val="00FB485E"/>
    <w:rsid w:val="00FB5737"/>
    <w:rsid w:val="00FB6351"/>
    <w:rsid w:val="00FB6C1C"/>
    <w:rsid w:val="00FB727D"/>
    <w:rsid w:val="00FC012D"/>
    <w:rsid w:val="00FC2089"/>
    <w:rsid w:val="00FC2FD7"/>
    <w:rsid w:val="00FC52DC"/>
    <w:rsid w:val="00FC55DD"/>
    <w:rsid w:val="00FC56DC"/>
    <w:rsid w:val="00FC5DC4"/>
    <w:rsid w:val="00FC7B83"/>
    <w:rsid w:val="00FD22B1"/>
    <w:rsid w:val="00FD3143"/>
    <w:rsid w:val="00FD539C"/>
    <w:rsid w:val="00FD5526"/>
    <w:rsid w:val="00FD63BF"/>
    <w:rsid w:val="00FD796B"/>
    <w:rsid w:val="00FD7A67"/>
    <w:rsid w:val="00FE067C"/>
    <w:rsid w:val="00FE36EB"/>
    <w:rsid w:val="00FE3FFD"/>
    <w:rsid w:val="00FE64DE"/>
    <w:rsid w:val="00FE796C"/>
    <w:rsid w:val="00FF0494"/>
    <w:rsid w:val="00FF0560"/>
    <w:rsid w:val="00FF06E1"/>
    <w:rsid w:val="00FF0DFD"/>
    <w:rsid w:val="00FF32BF"/>
    <w:rsid w:val="00FF44AC"/>
    <w:rsid w:val="00FF58CC"/>
    <w:rsid w:val="00FF5E4A"/>
    <w:rsid w:val="00FF60CA"/>
    <w:rsid w:val="00FF6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41BF1"/>
    <w:rPr>
      <w:sz w:val="24"/>
      <w:szCs w:val="24"/>
    </w:rPr>
  </w:style>
  <w:style w:type="paragraph" w:styleId="Heading1">
    <w:name w:val="heading 1"/>
    <w:basedOn w:val="BodyText"/>
    <w:next w:val="BodyText"/>
    <w:rsid w:val="00141BF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41BF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41BF1"/>
    <w:pPr>
      <w:spacing w:before="560" w:line="320" w:lineRule="exact"/>
      <w:ind w:left="0" w:firstLine="0"/>
      <w:outlineLvl w:val="2"/>
    </w:pPr>
    <w:rPr>
      <w:sz w:val="26"/>
    </w:rPr>
  </w:style>
  <w:style w:type="paragraph" w:styleId="Heading4">
    <w:name w:val="heading 4"/>
    <w:basedOn w:val="Heading3"/>
    <w:next w:val="BodyText"/>
    <w:link w:val="Heading4Char"/>
    <w:qFormat/>
    <w:rsid w:val="00141BF1"/>
    <w:pPr>
      <w:spacing w:before="480"/>
      <w:outlineLvl w:val="3"/>
    </w:pPr>
    <w:rPr>
      <w:b w:val="0"/>
      <w:sz w:val="24"/>
    </w:rPr>
  </w:style>
  <w:style w:type="paragraph" w:styleId="Heading5">
    <w:name w:val="heading 5"/>
    <w:basedOn w:val="Heading4"/>
    <w:next w:val="BodyText"/>
    <w:link w:val="Heading5Char"/>
    <w:qFormat/>
    <w:rsid w:val="00141BF1"/>
    <w:pPr>
      <w:outlineLvl w:val="4"/>
    </w:pPr>
    <w:rPr>
      <w:i/>
      <w:sz w:val="22"/>
    </w:rPr>
  </w:style>
  <w:style w:type="paragraph" w:styleId="Heading6">
    <w:name w:val="heading 6"/>
    <w:basedOn w:val="BodyText"/>
    <w:next w:val="BodyText"/>
    <w:rsid w:val="00141BF1"/>
    <w:pPr>
      <w:spacing w:after="60"/>
      <w:jc w:val="left"/>
      <w:outlineLvl w:val="5"/>
    </w:pPr>
    <w:rPr>
      <w:i/>
      <w:sz w:val="22"/>
    </w:rPr>
  </w:style>
  <w:style w:type="paragraph" w:styleId="Heading7">
    <w:name w:val="heading 7"/>
    <w:basedOn w:val="BodyText"/>
    <w:next w:val="BodyText"/>
    <w:rsid w:val="00141BF1"/>
    <w:pPr>
      <w:spacing w:after="60" w:line="240" w:lineRule="auto"/>
      <w:jc w:val="left"/>
      <w:outlineLvl w:val="6"/>
    </w:pPr>
    <w:rPr>
      <w:rFonts w:ascii="Arial" w:hAnsi="Arial"/>
      <w:sz w:val="20"/>
    </w:rPr>
  </w:style>
  <w:style w:type="paragraph" w:styleId="Heading8">
    <w:name w:val="heading 8"/>
    <w:basedOn w:val="BodyText"/>
    <w:next w:val="BodyText"/>
    <w:rsid w:val="00141BF1"/>
    <w:pPr>
      <w:spacing w:after="60" w:line="240" w:lineRule="auto"/>
      <w:jc w:val="left"/>
      <w:outlineLvl w:val="7"/>
    </w:pPr>
    <w:rPr>
      <w:rFonts w:ascii="Arial" w:hAnsi="Arial"/>
      <w:i/>
      <w:sz w:val="20"/>
    </w:rPr>
  </w:style>
  <w:style w:type="paragraph" w:styleId="Heading9">
    <w:name w:val="heading 9"/>
    <w:basedOn w:val="BodyText"/>
    <w:next w:val="BodyText"/>
    <w:rsid w:val="00141BF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41B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BF1"/>
  </w:style>
  <w:style w:type="paragraph" w:styleId="BodyText">
    <w:name w:val="Body Text"/>
    <w:link w:val="BodyTextChar"/>
    <w:qFormat/>
    <w:rsid w:val="00141BF1"/>
    <w:pPr>
      <w:spacing w:before="240" w:line="300" w:lineRule="atLeast"/>
      <w:jc w:val="both"/>
    </w:pPr>
    <w:rPr>
      <w:sz w:val="24"/>
    </w:rPr>
  </w:style>
  <w:style w:type="paragraph" w:customStyle="1" w:styleId="FooterEnd">
    <w:name w:val="Footer End"/>
    <w:basedOn w:val="Footer"/>
    <w:rsid w:val="00141BF1"/>
    <w:pPr>
      <w:spacing w:before="0" w:line="20" w:lineRule="exact"/>
    </w:pPr>
  </w:style>
  <w:style w:type="paragraph" w:styleId="Header">
    <w:name w:val="header"/>
    <w:basedOn w:val="BodyText"/>
    <w:rsid w:val="00141BF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41BF1"/>
    <w:pPr>
      <w:spacing w:line="20" w:lineRule="exact"/>
    </w:pPr>
    <w:rPr>
      <w:sz w:val="16"/>
    </w:rPr>
  </w:style>
  <w:style w:type="character" w:styleId="PageNumber">
    <w:name w:val="page number"/>
    <w:basedOn w:val="DefaultParagraphFont"/>
    <w:rsid w:val="00141BF1"/>
    <w:rPr>
      <w:rFonts w:ascii="Arial" w:hAnsi="Arial"/>
      <w:b/>
      <w:sz w:val="16"/>
    </w:rPr>
  </w:style>
  <w:style w:type="paragraph" w:customStyle="1" w:styleId="Abbreviation">
    <w:name w:val="Abbreviation"/>
    <w:basedOn w:val="BodyText"/>
    <w:rsid w:val="00141BF1"/>
    <w:pPr>
      <w:spacing w:before="120"/>
      <w:ind w:left="2381" w:hanging="2381"/>
      <w:jc w:val="left"/>
    </w:pPr>
  </w:style>
  <w:style w:type="paragraph" w:customStyle="1" w:styleId="Box">
    <w:name w:val="Box"/>
    <w:basedOn w:val="BodyText"/>
    <w:link w:val="BoxChar"/>
    <w:qFormat/>
    <w:rsid w:val="00141BF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41BF1"/>
    <w:pPr>
      <w:spacing w:before="180" w:line="220" w:lineRule="exact"/>
      <w:jc w:val="right"/>
    </w:pPr>
    <w:rPr>
      <w:rFonts w:ascii="Arial" w:hAnsi="Arial"/>
      <w:sz w:val="18"/>
    </w:rPr>
  </w:style>
  <w:style w:type="paragraph" w:customStyle="1" w:styleId="BoxHeading1">
    <w:name w:val="Box Heading 1"/>
    <w:basedOn w:val="BodyText"/>
    <w:next w:val="Box"/>
    <w:rsid w:val="00141BF1"/>
    <w:pPr>
      <w:keepNext/>
      <w:spacing w:before="200" w:line="280" w:lineRule="atLeast"/>
    </w:pPr>
    <w:rPr>
      <w:rFonts w:ascii="Arial" w:hAnsi="Arial"/>
      <w:b/>
      <w:sz w:val="22"/>
    </w:rPr>
  </w:style>
  <w:style w:type="paragraph" w:customStyle="1" w:styleId="BoxHeading2">
    <w:name w:val="Box Heading 2"/>
    <w:basedOn w:val="BoxHeading1"/>
    <w:next w:val="Normal"/>
    <w:rsid w:val="00141BF1"/>
    <w:rPr>
      <w:b w:val="0"/>
      <w:i/>
    </w:rPr>
  </w:style>
  <w:style w:type="paragraph" w:customStyle="1" w:styleId="BoxListBullet">
    <w:name w:val="Box List Bullet"/>
    <w:basedOn w:val="BodyText"/>
    <w:link w:val="BoxListBulletChar"/>
    <w:rsid w:val="00141BF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41BF1"/>
    <w:pPr>
      <w:numPr>
        <w:numId w:val="2"/>
      </w:numPr>
      <w:ind w:left="568" w:hanging="284"/>
    </w:pPr>
  </w:style>
  <w:style w:type="paragraph" w:customStyle="1" w:styleId="BoxListNumber">
    <w:name w:val="Box List Number"/>
    <w:basedOn w:val="BodyText"/>
    <w:rsid w:val="00141BF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41BF1"/>
    <w:pPr>
      <w:numPr>
        <w:ilvl w:val="1"/>
      </w:numPr>
      <w:ind w:left="681" w:hanging="397"/>
    </w:pPr>
  </w:style>
  <w:style w:type="paragraph" w:customStyle="1" w:styleId="BoxQuote">
    <w:name w:val="Box Quote"/>
    <w:basedOn w:val="BodyText"/>
    <w:next w:val="Box"/>
    <w:qFormat/>
    <w:rsid w:val="00141BF1"/>
    <w:pPr>
      <w:keepNext/>
      <w:spacing w:before="60" w:line="240" w:lineRule="exact"/>
      <w:ind w:left="284"/>
    </w:pPr>
    <w:rPr>
      <w:rFonts w:ascii="Arial" w:hAnsi="Arial"/>
      <w:sz w:val="18"/>
    </w:rPr>
  </w:style>
  <w:style w:type="paragraph" w:customStyle="1" w:styleId="Note">
    <w:name w:val="Note"/>
    <w:basedOn w:val="BodyText"/>
    <w:next w:val="BodyText"/>
    <w:link w:val="NoteChar"/>
    <w:rsid w:val="00141BF1"/>
    <w:pPr>
      <w:keepLines/>
      <w:spacing w:before="80" w:line="220" w:lineRule="exact"/>
    </w:pPr>
    <w:rPr>
      <w:rFonts w:ascii="Arial" w:hAnsi="Arial"/>
      <w:sz w:val="18"/>
    </w:rPr>
  </w:style>
  <w:style w:type="paragraph" w:customStyle="1" w:styleId="Source">
    <w:name w:val="Source"/>
    <w:basedOn w:val="Normal"/>
    <w:next w:val="BodyText"/>
    <w:link w:val="SourceChar"/>
    <w:rsid w:val="00141BF1"/>
    <w:pPr>
      <w:keepLines/>
      <w:spacing w:before="80" w:line="220" w:lineRule="exact"/>
      <w:jc w:val="both"/>
    </w:pPr>
    <w:rPr>
      <w:rFonts w:ascii="Arial" w:hAnsi="Arial"/>
      <w:sz w:val="18"/>
      <w:szCs w:val="20"/>
    </w:rPr>
  </w:style>
  <w:style w:type="paragraph" w:customStyle="1" w:styleId="BoxSource">
    <w:name w:val="Box Source"/>
    <w:basedOn w:val="Source"/>
    <w:next w:val="BodyText"/>
    <w:rsid w:val="00141BF1"/>
    <w:pPr>
      <w:spacing w:before="120"/>
    </w:pPr>
  </w:style>
  <w:style w:type="paragraph" w:styleId="Caption">
    <w:name w:val="caption"/>
    <w:basedOn w:val="Normal"/>
    <w:next w:val="BodyText"/>
    <w:rsid w:val="00141BF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41BF1"/>
    <w:pPr>
      <w:spacing w:before="120" w:after="0"/>
    </w:pPr>
  </w:style>
  <w:style w:type="paragraph" w:customStyle="1" w:styleId="BoxSubtitle">
    <w:name w:val="Box Subtitle"/>
    <w:basedOn w:val="BoxTitle"/>
    <w:next w:val="Normal"/>
    <w:rsid w:val="00141BF1"/>
    <w:pPr>
      <w:spacing w:after="80" w:line="200" w:lineRule="exact"/>
      <w:ind w:firstLine="0"/>
    </w:pPr>
    <w:rPr>
      <w:b w:val="0"/>
      <w:sz w:val="20"/>
    </w:rPr>
  </w:style>
  <w:style w:type="paragraph" w:customStyle="1" w:styleId="Chapter">
    <w:name w:val="Chapter"/>
    <w:basedOn w:val="Heading1"/>
    <w:next w:val="BodyText"/>
    <w:semiHidden/>
    <w:rsid w:val="00141BF1"/>
    <w:pPr>
      <w:ind w:left="0" w:firstLine="0"/>
      <w:outlineLvl w:val="9"/>
    </w:pPr>
  </w:style>
  <w:style w:type="paragraph" w:customStyle="1" w:styleId="ChapterSummary">
    <w:name w:val="Chapter Summary"/>
    <w:basedOn w:val="BodyText"/>
    <w:rsid w:val="00141BF1"/>
    <w:pPr>
      <w:spacing w:line="280" w:lineRule="atLeast"/>
      <w:ind w:left="907"/>
    </w:pPr>
    <w:rPr>
      <w:rFonts w:ascii="Arial" w:hAnsi="Arial"/>
      <w:b/>
      <w:sz w:val="20"/>
    </w:rPr>
  </w:style>
  <w:style w:type="character" w:styleId="CommentReference">
    <w:name w:val="annotation reference"/>
    <w:basedOn w:val="DefaultParagraphFont"/>
    <w:rsid w:val="00141BF1"/>
    <w:rPr>
      <w:b/>
      <w:vanish/>
      <w:color w:val="FF00FF"/>
      <w:sz w:val="20"/>
    </w:rPr>
  </w:style>
  <w:style w:type="paragraph" w:styleId="CommentText">
    <w:name w:val="annotation text"/>
    <w:basedOn w:val="Normal"/>
    <w:link w:val="CommentTextChar"/>
    <w:semiHidden/>
    <w:rsid w:val="00141BF1"/>
    <w:pPr>
      <w:spacing w:before="120" w:line="240" w:lineRule="atLeast"/>
      <w:ind w:left="567" w:hanging="567"/>
    </w:pPr>
    <w:rPr>
      <w:sz w:val="20"/>
    </w:rPr>
  </w:style>
  <w:style w:type="paragraph" w:customStyle="1" w:styleId="Continued">
    <w:name w:val="Continued"/>
    <w:basedOn w:val="BoxContinued"/>
    <w:next w:val="BodyText"/>
    <w:link w:val="ContinuedChar"/>
    <w:rsid w:val="00141BF1"/>
  </w:style>
  <w:style w:type="character" w:customStyle="1" w:styleId="DocumentInfo">
    <w:name w:val="Document Info"/>
    <w:basedOn w:val="DefaultParagraphFont"/>
    <w:semiHidden/>
    <w:rsid w:val="00141BF1"/>
    <w:rPr>
      <w:rFonts w:ascii="Arial" w:hAnsi="Arial"/>
      <w:sz w:val="14"/>
    </w:rPr>
  </w:style>
  <w:style w:type="character" w:customStyle="1" w:styleId="DraftingNote">
    <w:name w:val="Drafting Note"/>
    <w:basedOn w:val="DefaultParagraphFont"/>
    <w:rsid w:val="00141BF1"/>
    <w:rPr>
      <w:b/>
      <w:color w:val="FF0000"/>
      <w:sz w:val="24"/>
      <w:u w:val="dotted"/>
    </w:rPr>
  </w:style>
  <w:style w:type="paragraph" w:customStyle="1" w:styleId="Figure">
    <w:name w:val="Figure"/>
    <w:basedOn w:val="BodyText"/>
    <w:rsid w:val="00141BF1"/>
    <w:pPr>
      <w:keepNext/>
      <w:spacing w:before="120" w:after="120" w:line="240" w:lineRule="atLeast"/>
      <w:jc w:val="center"/>
    </w:pPr>
  </w:style>
  <w:style w:type="paragraph" w:customStyle="1" w:styleId="FigureTitle">
    <w:name w:val="Figure Title"/>
    <w:basedOn w:val="Caption"/>
    <w:next w:val="Subtitle"/>
    <w:rsid w:val="00141BF1"/>
    <w:pPr>
      <w:spacing w:before="120"/>
    </w:pPr>
  </w:style>
  <w:style w:type="paragraph" w:styleId="Subtitle">
    <w:name w:val="Subtitle"/>
    <w:basedOn w:val="Caption"/>
    <w:link w:val="SubtitleChar"/>
    <w:qFormat/>
    <w:rsid w:val="00141BF1"/>
    <w:pPr>
      <w:spacing w:before="0" w:line="200" w:lineRule="exact"/>
      <w:ind w:firstLine="0"/>
    </w:pPr>
    <w:rPr>
      <w:b w:val="0"/>
      <w:sz w:val="20"/>
    </w:rPr>
  </w:style>
  <w:style w:type="paragraph" w:customStyle="1" w:styleId="Finding">
    <w:name w:val="Finding"/>
    <w:basedOn w:val="BodyText"/>
    <w:rsid w:val="00141BF1"/>
    <w:pPr>
      <w:keepLines/>
      <w:spacing w:before="120" w:line="280" w:lineRule="atLeast"/>
    </w:pPr>
    <w:rPr>
      <w:rFonts w:ascii="Arial" w:hAnsi="Arial"/>
      <w:sz w:val="22"/>
    </w:rPr>
  </w:style>
  <w:style w:type="paragraph" w:customStyle="1" w:styleId="FindingBullet">
    <w:name w:val="Finding Bullet"/>
    <w:basedOn w:val="Finding"/>
    <w:rsid w:val="00141BF1"/>
    <w:pPr>
      <w:numPr>
        <w:numId w:val="3"/>
      </w:numPr>
      <w:spacing w:before="80"/>
    </w:pPr>
  </w:style>
  <w:style w:type="paragraph" w:customStyle="1" w:styleId="RecTitle">
    <w:name w:val="Rec Title"/>
    <w:basedOn w:val="BodyText"/>
    <w:next w:val="Rec"/>
    <w:qFormat/>
    <w:rsid w:val="00141BF1"/>
    <w:pPr>
      <w:keepNext/>
      <w:keepLines/>
      <w:spacing w:line="280" w:lineRule="atLeast"/>
    </w:pPr>
    <w:rPr>
      <w:rFonts w:ascii="Arial" w:hAnsi="Arial"/>
      <w:caps/>
      <w:sz w:val="18"/>
    </w:rPr>
  </w:style>
  <w:style w:type="paragraph" w:customStyle="1" w:styleId="FindingTitle">
    <w:name w:val="Finding Title"/>
    <w:basedOn w:val="RecTitle"/>
    <w:next w:val="Finding"/>
    <w:rsid w:val="00141BF1"/>
  </w:style>
  <w:style w:type="character" w:styleId="FootnoteReference">
    <w:name w:val="footnote reference"/>
    <w:basedOn w:val="DefaultParagraphFont"/>
    <w:semiHidden/>
    <w:rsid w:val="00141BF1"/>
    <w:rPr>
      <w:rFonts w:ascii="Times New Roman" w:hAnsi="Times New Roman"/>
      <w:position w:val="6"/>
      <w:sz w:val="20"/>
      <w:vertAlign w:val="baseline"/>
    </w:rPr>
  </w:style>
  <w:style w:type="paragraph" w:styleId="FootnoteText">
    <w:name w:val="footnote text"/>
    <w:basedOn w:val="BodyText"/>
    <w:rsid w:val="00141BF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41BF1"/>
    <w:rPr>
      <w:i/>
    </w:rPr>
  </w:style>
  <w:style w:type="paragraph" w:customStyle="1" w:styleId="Jurisdictioncommentsbodytext">
    <w:name w:val="Jurisdiction comments body text"/>
    <w:rsid w:val="00141BF1"/>
    <w:pPr>
      <w:spacing w:after="140"/>
      <w:jc w:val="both"/>
    </w:pPr>
    <w:rPr>
      <w:rFonts w:ascii="Arial" w:hAnsi="Arial"/>
      <w:sz w:val="24"/>
      <w:lang w:eastAsia="en-US"/>
    </w:rPr>
  </w:style>
  <w:style w:type="paragraph" w:customStyle="1" w:styleId="Jurisdictioncommentsheading">
    <w:name w:val="Jurisdiction comments heading"/>
    <w:rsid w:val="00141BF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41BF1"/>
    <w:pPr>
      <w:numPr>
        <w:numId w:val="4"/>
      </w:numPr>
      <w:spacing w:after="140"/>
      <w:jc w:val="both"/>
    </w:pPr>
    <w:rPr>
      <w:rFonts w:ascii="Arial" w:hAnsi="Arial"/>
      <w:sz w:val="24"/>
      <w:lang w:eastAsia="en-US"/>
    </w:rPr>
  </w:style>
  <w:style w:type="paragraph" w:styleId="ListBullet">
    <w:name w:val="List Bullet"/>
    <w:basedOn w:val="BodyText"/>
    <w:link w:val="ListBulletChar"/>
    <w:rsid w:val="00141BF1"/>
    <w:pPr>
      <w:numPr>
        <w:numId w:val="5"/>
      </w:numPr>
      <w:spacing w:before="120"/>
    </w:pPr>
  </w:style>
  <w:style w:type="paragraph" w:styleId="ListBullet2">
    <w:name w:val="List Bullet 2"/>
    <w:basedOn w:val="BodyText"/>
    <w:rsid w:val="00141BF1"/>
    <w:pPr>
      <w:numPr>
        <w:numId w:val="6"/>
      </w:numPr>
      <w:spacing w:before="120"/>
    </w:pPr>
  </w:style>
  <w:style w:type="paragraph" w:styleId="ListBullet3">
    <w:name w:val="List Bullet 3"/>
    <w:basedOn w:val="BodyText"/>
    <w:rsid w:val="00141BF1"/>
    <w:pPr>
      <w:numPr>
        <w:numId w:val="7"/>
      </w:numPr>
      <w:spacing w:before="120"/>
      <w:ind w:left="1020" w:hanging="340"/>
    </w:pPr>
  </w:style>
  <w:style w:type="paragraph" w:styleId="ListNumber">
    <w:name w:val="List Number"/>
    <w:basedOn w:val="BodyText"/>
    <w:rsid w:val="00141BF1"/>
    <w:pPr>
      <w:numPr>
        <w:numId w:val="13"/>
      </w:numPr>
      <w:spacing w:before="120"/>
    </w:pPr>
  </w:style>
  <w:style w:type="paragraph" w:styleId="ListNumber2">
    <w:name w:val="List Number 2"/>
    <w:basedOn w:val="ListNumber"/>
    <w:rsid w:val="00141BF1"/>
    <w:pPr>
      <w:numPr>
        <w:ilvl w:val="1"/>
      </w:numPr>
    </w:pPr>
  </w:style>
  <w:style w:type="paragraph" w:styleId="ListNumber3">
    <w:name w:val="List Number 3"/>
    <w:basedOn w:val="ListNumber2"/>
    <w:rsid w:val="00141BF1"/>
    <w:pPr>
      <w:numPr>
        <w:ilvl w:val="2"/>
      </w:numPr>
    </w:pPr>
  </w:style>
  <w:style w:type="character" w:customStyle="1" w:styleId="NoteLabel">
    <w:name w:val="Note Label"/>
    <w:basedOn w:val="DefaultParagraphFont"/>
    <w:rsid w:val="00141BF1"/>
    <w:rPr>
      <w:rFonts w:ascii="Arial" w:hAnsi="Arial"/>
      <w:b/>
      <w:position w:val="6"/>
      <w:sz w:val="18"/>
    </w:rPr>
  </w:style>
  <w:style w:type="paragraph" w:customStyle="1" w:styleId="PartDivider">
    <w:name w:val="Part Divider"/>
    <w:basedOn w:val="BodyText"/>
    <w:next w:val="BodyText"/>
    <w:semiHidden/>
    <w:rsid w:val="00141BF1"/>
    <w:pPr>
      <w:spacing w:before="0" w:line="40" w:lineRule="exact"/>
      <w:jc w:val="right"/>
    </w:pPr>
    <w:rPr>
      <w:smallCaps/>
      <w:sz w:val="16"/>
    </w:rPr>
  </w:style>
  <w:style w:type="paragraph" w:customStyle="1" w:styleId="PartNumber">
    <w:name w:val="Part Number"/>
    <w:basedOn w:val="BodyText"/>
    <w:next w:val="BodyText"/>
    <w:semiHidden/>
    <w:rsid w:val="00141BF1"/>
    <w:pPr>
      <w:spacing w:before="4000" w:line="320" w:lineRule="exact"/>
      <w:ind w:left="6634"/>
      <w:jc w:val="right"/>
    </w:pPr>
    <w:rPr>
      <w:smallCaps/>
      <w:spacing w:val="60"/>
      <w:sz w:val="32"/>
    </w:rPr>
  </w:style>
  <w:style w:type="paragraph" w:customStyle="1" w:styleId="PartTitle">
    <w:name w:val="Part Title"/>
    <w:basedOn w:val="BodyText"/>
    <w:semiHidden/>
    <w:rsid w:val="00141BF1"/>
    <w:pPr>
      <w:spacing w:before="160" w:after="1360" w:line="520" w:lineRule="exact"/>
      <w:ind w:right="2381"/>
      <w:jc w:val="right"/>
    </w:pPr>
    <w:rPr>
      <w:smallCaps/>
      <w:sz w:val="52"/>
    </w:rPr>
  </w:style>
  <w:style w:type="paragraph" w:styleId="Quote">
    <w:name w:val="Quote"/>
    <w:basedOn w:val="BodyText"/>
    <w:next w:val="BodyText"/>
    <w:qFormat/>
    <w:rsid w:val="00141BF1"/>
    <w:pPr>
      <w:spacing w:before="120" w:line="280" w:lineRule="exact"/>
      <w:ind w:left="340"/>
    </w:pPr>
    <w:rPr>
      <w:sz w:val="22"/>
    </w:rPr>
  </w:style>
  <w:style w:type="paragraph" w:customStyle="1" w:styleId="QuoteBullet">
    <w:name w:val="Quote Bullet"/>
    <w:basedOn w:val="Quote"/>
    <w:rsid w:val="00141BF1"/>
    <w:pPr>
      <w:numPr>
        <w:numId w:val="8"/>
      </w:numPr>
    </w:pPr>
  </w:style>
  <w:style w:type="paragraph" w:customStyle="1" w:styleId="Rec">
    <w:name w:val="Rec"/>
    <w:basedOn w:val="BodyText"/>
    <w:qFormat/>
    <w:rsid w:val="00141BF1"/>
    <w:pPr>
      <w:keepLines/>
      <w:spacing w:before="120" w:line="280" w:lineRule="atLeast"/>
    </w:pPr>
    <w:rPr>
      <w:rFonts w:ascii="Arial" w:hAnsi="Arial"/>
      <w:sz w:val="22"/>
    </w:rPr>
  </w:style>
  <w:style w:type="paragraph" w:customStyle="1" w:styleId="RecBullet">
    <w:name w:val="Rec Bullet"/>
    <w:basedOn w:val="Rec"/>
    <w:rsid w:val="00141BF1"/>
    <w:pPr>
      <w:numPr>
        <w:numId w:val="9"/>
      </w:numPr>
      <w:spacing w:before="80"/>
    </w:pPr>
  </w:style>
  <w:style w:type="paragraph" w:customStyle="1" w:styleId="RecB">
    <w:name w:val="RecB"/>
    <w:basedOn w:val="Normal"/>
    <w:rsid w:val="00141BF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41BF1"/>
    <w:pPr>
      <w:numPr>
        <w:numId w:val="10"/>
      </w:numPr>
      <w:spacing w:before="80"/>
    </w:pPr>
  </w:style>
  <w:style w:type="paragraph" w:customStyle="1" w:styleId="RecBNoTitle">
    <w:name w:val="RecB NoTitle"/>
    <w:basedOn w:val="RecB"/>
    <w:rsid w:val="00141BF1"/>
    <w:pPr>
      <w:spacing w:before="240"/>
    </w:pPr>
  </w:style>
  <w:style w:type="paragraph" w:customStyle="1" w:styleId="Reference">
    <w:name w:val="Reference"/>
    <w:basedOn w:val="BodyText"/>
    <w:rsid w:val="00141BF1"/>
    <w:pPr>
      <w:spacing w:before="120"/>
      <w:ind w:left="340" w:hanging="340"/>
    </w:pPr>
  </w:style>
  <w:style w:type="paragraph" w:customStyle="1" w:styleId="SequenceInfo">
    <w:name w:val="Sequence Info"/>
    <w:basedOn w:val="BodyText"/>
    <w:semiHidden/>
    <w:rsid w:val="00141BF1"/>
    <w:rPr>
      <w:vanish/>
      <w:sz w:val="16"/>
    </w:rPr>
  </w:style>
  <w:style w:type="paragraph" w:customStyle="1" w:styleId="SideNote">
    <w:name w:val="Side Note"/>
    <w:basedOn w:val="BodyText"/>
    <w:next w:val="BodyText"/>
    <w:semiHidden/>
    <w:rsid w:val="00141BF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41BF1"/>
    <w:pPr>
      <w:framePr w:wrap="around"/>
      <w:numPr>
        <w:numId w:val="11"/>
      </w:numPr>
      <w:tabs>
        <w:tab w:val="left" w:pos="227"/>
      </w:tabs>
    </w:pPr>
  </w:style>
  <w:style w:type="paragraph" w:customStyle="1" w:styleId="SideNoteGraphic">
    <w:name w:val="Side Note Graphic"/>
    <w:basedOn w:val="SideNote"/>
    <w:next w:val="BodyText"/>
    <w:semiHidden/>
    <w:rsid w:val="00141BF1"/>
    <w:pPr>
      <w:framePr w:wrap="around"/>
    </w:pPr>
  </w:style>
  <w:style w:type="paragraph" w:customStyle="1" w:styleId="TableBodyText">
    <w:name w:val="Table Body Text"/>
    <w:basedOn w:val="BodyText"/>
    <w:link w:val="TableBodyTextChar"/>
    <w:rsid w:val="00141BF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41BF1"/>
    <w:pPr>
      <w:numPr>
        <w:numId w:val="12"/>
      </w:numPr>
      <w:jc w:val="left"/>
    </w:pPr>
  </w:style>
  <w:style w:type="paragraph" w:customStyle="1" w:styleId="TableColumnHeading">
    <w:name w:val="Table Column Heading"/>
    <w:basedOn w:val="TableBodyText"/>
    <w:rsid w:val="00141BF1"/>
    <w:pPr>
      <w:spacing w:before="80" w:after="80"/>
    </w:pPr>
    <w:rPr>
      <w:i/>
    </w:rPr>
  </w:style>
  <w:style w:type="paragraph" w:styleId="TOC2">
    <w:name w:val="toc 2"/>
    <w:basedOn w:val="TOC1"/>
    <w:rsid w:val="00141BF1"/>
    <w:pPr>
      <w:ind w:left="1134" w:hanging="624"/>
    </w:pPr>
    <w:rPr>
      <w:b w:val="0"/>
    </w:rPr>
  </w:style>
  <w:style w:type="paragraph" w:styleId="TOC3">
    <w:name w:val="toc 3"/>
    <w:basedOn w:val="TOC2"/>
    <w:rsid w:val="00141BF1"/>
    <w:pPr>
      <w:spacing w:before="60"/>
      <w:ind w:left="1190" w:hanging="680"/>
    </w:pPr>
  </w:style>
  <w:style w:type="paragraph" w:styleId="TableofFigures">
    <w:name w:val="table of figures"/>
    <w:basedOn w:val="TOC3"/>
    <w:next w:val="BodyText"/>
    <w:semiHidden/>
    <w:rsid w:val="00141BF1"/>
    <w:pPr>
      <w:ind w:left="737" w:hanging="737"/>
    </w:pPr>
  </w:style>
  <w:style w:type="paragraph" w:customStyle="1" w:styleId="TableTitle">
    <w:name w:val="Table Title"/>
    <w:basedOn w:val="Caption"/>
    <w:next w:val="Subtitle"/>
    <w:qFormat/>
    <w:rsid w:val="00141BF1"/>
    <w:pPr>
      <w:spacing w:before="120"/>
    </w:pPr>
  </w:style>
  <w:style w:type="paragraph" w:customStyle="1" w:styleId="TableUnitsRow">
    <w:name w:val="Table Units Row"/>
    <w:basedOn w:val="TableBodyText"/>
    <w:rsid w:val="00141BF1"/>
    <w:pPr>
      <w:spacing w:before="40"/>
    </w:pPr>
  </w:style>
  <w:style w:type="paragraph" w:styleId="TOC1">
    <w:name w:val="toc 1"/>
    <w:basedOn w:val="Normal"/>
    <w:next w:val="TOC2"/>
    <w:link w:val="TOC1Char"/>
    <w:rsid w:val="00141BF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41BF1"/>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141BF1"/>
    <w:rPr>
      <w:rFonts w:ascii="Tahoma" w:hAnsi="Tahoma" w:cs="Tahoma"/>
      <w:sz w:val="16"/>
      <w:szCs w:val="16"/>
    </w:rPr>
  </w:style>
  <w:style w:type="character" w:customStyle="1" w:styleId="BodyTextChar">
    <w:name w:val="Body Text Char"/>
    <w:basedOn w:val="DefaultParagraphFont"/>
    <w:link w:val="BodyText"/>
    <w:rsid w:val="00141BF1"/>
    <w:rPr>
      <w:sz w:val="24"/>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link w:val="ListBullet"/>
    <w:rsid w:val="00263996"/>
    <w:rPr>
      <w:sz w:val="24"/>
    </w:rPr>
  </w:style>
  <w:style w:type="paragraph" w:customStyle="1" w:styleId="RecBBullet2">
    <w:name w:val="RecB Bullet 2"/>
    <w:basedOn w:val="ListBullet2"/>
    <w:semiHidden/>
    <w:rsid w:val="00141BF1"/>
    <w:pPr>
      <w:pBdr>
        <w:left w:val="single" w:sz="24" w:space="29" w:color="C0C0C0"/>
      </w:pBdr>
    </w:pPr>
    <w:rPr>
      <w:b/>
      <w:i/>
    </w:rPr>
  </w:style>
  <w:style w:type="character" w:customStyle="1" w:styleId="BalloonTextChar">
    <w:name w:val="Balloon Text Char"/>
    <w:basedOn w:val="DefaultParagraphFont"/>
    <w:link w:val="BalloonText"/>
    <w:rsid w:val="00141BF1"/>
    <w:rPr>
      <w:rFonts w:ascii="Tahoma" w:hAnsi="Tahoma" w:cs="Tahoma"/>
      <w:sz w:val="16"/>
      <w:szCs w:val="16"/>
    </w:rPr>
  </w:style>
  <w:style w:type="character" w:customStyle="1" w:styleId="SubtitleChar">
    <w:name w:val="Subtitle Char"/>
    <w:basedOn w:val="DefaultParagraphFont"/>
    <w:link w:val="Subtitle"/>
    <w:rsid w:val="00141BF1"/>
    <w:rPr>
      <w:rFonts w:ascii="Arial" w:hAnsi="Arial"/>
      <w:szCs w:val="24"/>
    </w:rPr>
  </w:style>
  <w:style w:type="paragraph" w:customStyle="1" w:styleId="BoxListBullet3">
    <w:name w:val="Box List Bullet 3"/>
    <w:basedOn w:val="ListBullet3"/>
    <w:rsid w:val="00141BF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41BF1"/>
    <w:rPr>
      <w:i/>
      <w:iCs/>
    </w:rPr>
  </w:style>
  <w:style w:type="paragraph" w:customStyle="1" w:styleId="BoxQuoteBullet">
    <w:name w:val="Box Quote Bullet"/>
    <w:basedOn w:val="BoxQuote"/>
    <w:next w:val="Box"/>
    <w:rsid w:val="00141BF1"/>
    <w:pPr>
      <w:numPr>
        <w:numId w:val="15"/>
      </w:numPr>
      <w:ind w:left="568" w:hanging="284"/>
    </w:pPr>
  </w:style>
  <w:style w:type="paragraph" w:customStyle="1" w:styleId="InformationRequestBullet">
    <w:name w:val="Information Request Bullet"/>
    <w:basedOn w:val="ListBullet"/>
    <w:next w:val="BodyText"/>
    <w:rsid w:val="00141BF1"/>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141BF1"/>
    <w:pPr>
      <w:keepNext/>
      <w:spacing w:before="360" w:line="80" w:lineRule="exact"/>
      <w:jc w:val="left"/>
    </w:pPr>
  </w:style>
  <w:style w:type="paragraph" w:customStyle="1" w:styleId="BoxSpaceBelow">
    <w:name w:val="Box Space Below"/>
    <w:basedOn w:val="Box"/>
    <w:rsid w:val="00141BF1"/>
    <w:pPr>
      <w:keepNext w:val="0"/>
      <w:spacing w:before="60" w:after="60" w:line="80" w:lineRule="exact"/>
    </w:pPr>
    <w:rPr>
      <w:sz w:val="14"/>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rPr>
  </w:style>
  <w:style w:type="character" w:customStyle="1" w:styleId="BoxListBulletChar">
    <w:name w:val="Box List Bullet Char"/>
    <w:basedOn w:val="BoxChar"/>
    <w:link w:val="BoxListBullet"/>
    <w:rsid w:val="00067E96"/>
    <w:rPr>
      <w:rFonts w:ascii="Arial" w:hAnsi="Arial"/>
    </w:rPr>
  </w:style>
  <w:style w:type="paragraph" w:customStyle="1" w:styleId="KeyPointsListBullet">
    <w:name w:val="Key Points List Bullet"/>
    <w:basedOn w:val="Normal"/>
    <w:qFormat/>
    <w:rsid w:val="00141BF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41BF1"/>
    <w:pPr>
      <w:numPr>
        <w:numId w:val="19"/>
      </w:numPr>
      <w:ind w:left="568" w:hanging="284"/>
    </w:pPr>
  </w:style>
  <w:style w:type="paragraph" w:customStyle="1" w:styleId="InformationRequestTitle">
    <w:name w:val="Information Request Title"/>
    <w:basedOn w:val="FindingTitle"/>
    <w:next w:val="InformationRequest"/>
    <w:rsid w:val="00141BF1"/>
    <w:rPr>
      <w:i/>
    </w:rPr>
  </w:style>
  <w:style w:type="paragraph" w:customStyle="1" w:styleId="Space">
    <w:name w:val="Space"/>
    <w:basedOn w:val="Normal"/>
    <w:rsid w:val="00141BF1"/>
    <w:pPr>
      <w:keepNext/>
      <w:spacing w:line="120" w:lineRule="exact"/>
      <w:jc w:val="both"/>
    </w:pPr>
    <w:rPr>
      <w:rFonts w:ascii="Arial" w:hAnsi="Arial"/>
      <w:sz w:val="20"/>
      <w:szCs w:val="20"/>
    </w:rPr>
  </w:style>
  <w:style w:type="paragraph" w:customStyle="1" w:styleId="Heading1nochapterno">
    <w:name w:val="Heading 1 (no chapter no.)"/>
    <w:basedOn w:val="Heading1"/>
    <w:rsid w:val="00141BF1"/>
    <w:pPr>
      <w:spacing w:before="0"/>
      <w:ind w:left="0" w:firstLine="0"/>
    </w:pPr>
  </w:style>
  <w:style w:type="paragraph" w:customStyle="1" w:styleId="Heading2nosectionno">
    <w:name w:val="Heading 2 (no section no.)"/>
    <w:basedOn w:val="Heading2"/>
    <w:rsid w:val="00141BF1"/>
    <w:pPr>
      <w:ind w:left="0" w:firstLine="0"/>
    </w:pPr>
  </w:style>
  <w:style w:type="character" w:customStyle="1" w:styleId="Heading5Char">
    <w:name w:val="Heading 5 Char"/>
    <w:basedOn w:val="DefaultParagraphFont"/>
    <w:link w:val="Heading5"/>
    <w:rsid w:val="00141BF1"/>
    <w:rPr>
      <w:rFonts w:ascii="Arial" w:hAnsi="Arial"/>
      <w:i/>
      <w:sz w:val="22"/>
    </w:rPr>
  </w:style>
  <w:style w:type="paragraph" w:customStyle="1" w:styleId="Figurespace">
    <w:name w:val="Figure space"/>
    <w:basedOn w:val="Box"/>
    <w:rsid w:val="00141BF1"/>
    <w:pPr>
      <w:spacing w:before="0" w:line="120" w:lineRule="exact"/>
    </w:pPr>
  </w:style>
  <w:style w:type="paragraph" w:customStyle="1" w:styleId="FooterDraftReport">
    <w:name w:val="FooterDraftReport"/>
    <w:basedOn w:val="Footer"/>
    <w:link w:val="FooterDraftReportChar"/>
    <w:rsid w:val="00141BF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41BF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41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141BF1"/>
    <w:rPr>
      <w:rFonts w:ascii="Arial" w:hAnsi="Arial"/>
      <w:b/>
      <w:sz w:val="26"/>
      <w:szCs w:val="26"/>
      <w:lang w:eastAsia="en-US"/>
    </w:rPr>
  </w:style>
  <w:style w:type="paragraph" w:styleId="Footer">
    <w:name w:val="footer"/>
    <w:basedOn w:val="BodyText"/>
    <w:link w:val="FooterChar"/>
    <w:rsid w:val="00141BF1"/>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rsid w:val="00141BF1"/>
    <w:rPr>
      <w:rFonts w:ascii="Arial" w:hAnsi="Arial"/>
      <w:caps/>
      <w:spacing w:val="-4"/>
      <w:sz w:val="16"/>
    </w:rPr>
  </w:style>
  <w:style w:type="paragraph" w:customStyle="1" w:styleId="HeaderEven">
    <w:name w:val="Header Even"/>
    <w:basedOn w:val="Header"/>
    <w:semiHidden/>
    <w:rsid w:val="00141BF1"/>
  </w:style>
  <w:style w:type="paragraph" w:customStyle="1" w:styleId="HeaderOdd">
    <w:name w:val="Header Odd"/>
    <w:basedOn w:val="Header"/>
    <w:semiHidden/>
    <w:rsid w:val="00141BF1"/>
  </w:style>
  <w:style w:type="paragraph" w:customStyle="1" w:styleId="FindingNoTitle">
    <w:name w:val="Finding NoTitle"/>
    <w:basedOn w:val="Finding"/>
    <w:semiHidden/>
    <w:rsid w:val="00141BF1"/>
    <w:pPr>
      <w:spacing w:before="240"/>
    </w:pPr>
  </w:style>
  <w:style w:type="character" w:customStyle="1" w:styleId="TableBodyTextChar">
    <w:name w:val="Table Body Text Char"/>
    <w:link w:val="TableBodyText"/>
    <w:rsid w:val="00E04929"/>
    <w:rPr>
      <w:rFonts w:ascii="Arial" w:hAnsi="Arial"/>
      <w:sz w:val="18"/>
    </w:rPr>
  </w:style>
  <w:style w:type="character" w:customStyle="1" w:styleId="TableBulletChar">
    <w:name w:val="Table Bullet Char"/>
    <w:basedOn w:val="TableBodyTextChar"/>
    <w:link w:val="TableBullet"/>
    <w:rsid w:val="00E04929"/>
    <w:rPr>
      <w:rFonts w:ascii="Arial" w:hAnsi="Arial"/>
      <w:sz w:val="18"/>
    </w:rPr>
  </w:style>
  <w:style w:type="paragraph" w:customStyle="1" w:styleId="Heading1NotTOC">
    <w:name w:val="Heading 1 Not TOC"/>
    <w:basedOn w:val="Heading1"/>
    <w:next w:val="BodyText"/>
    <w:rsid w:val="00EB5EF8"/>
    <w:rPr>
      <w:kern w:val="28"/>
      <w:szCs w:val="26"/>
      <w:lang w:eastAsia="en-US"/>
    </w:rPr>
  </w:style>
  <w:style w:type="character" w:customStyle="1" w:styleId="Heading4Char">
    <w:name w:val="Heading 4 Char"/>
    <w:basedOn w:val="DefaultParagraphFont"/>
    <w:link w:val="Heading4"/>
    <w:rsid w:val="004D31FC"/>
    <w:rPr>
      <w:rFonts w:ascii="Arial" w:hAnsi="Arial"/>
      <w:sz w:val="24"/>
    </w:rPr>
  </w:style>
  <w:style w:type="character" w:customStyle="1" w:styleId="CommentTextChar">
    <w:name w:val="Comment Text Char"/>
    <w:basedOn w:val="DefaultParagraphFont"/>
    <w:link w:val="CommentText"/>
    <w:semiHidden/>
    <w:rsid w:val="00F923F9"/>
    <w:rPr>
      <w:szCs w:val="24"/>
    </w:rPr>
  </w:style>
  <w:style w:type="paragraph" w:customStyle="1" w:styleId="DQIRowHeadings">
    <w:name w:val="DQI Row Headings"/>
    <w:basedOn w:val="Normal"/>
    <w:rsid w:val="00514B47"/>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514B47"/>
    <w:pPr>
      <w:keepNext/>
      <w:keepLines/>
      <w:spacing w:before="120" w:line="200" w:lineRule="atLeast"/>
      <w:ind w:left="6" w:right="113"/>
    </w:pPr>
    <w:rPr>
      <w:rFonts w:ascii="Arial" w:hAnsi="Arial"/>
      <w:b/>
      <w:sz w:val="18"/>
      <w:szCs w:val="20"/>
      <w:u w:val="single"/>
    </w:rPr>
  </w:style>
  <w:style w:type="paragraph" w:customStyle="1" w:styleId="Default">
    <w:name w:val="Default"/>
    <w:rsid w:val="0096016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41BF1"/>
    <w:rPr>
      <w:sz w:val="24"/>
      <w:szCs w:val="24"/>
    </w:rPr>
  </w:style>
  <w:style w:type="paragraph" w:styleId="Heading1">
    <w:name w:val="heading 1"/>
    <w:basedOn w:val="BodyText"/>
    <w:next w:val="BodyText"/>
    <w:rsid w:val="00141BF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41BF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41BF1"/>
    <w:pPr>
      <w:spacing w:before="560" w:line="320" w:lineRule="exact"/>
      <w:ind w:left="0" w:firstLine="0"/>
      <w:outlineLvl w:val="2"/>
    </w:pPr>
    <w:rPr>
      <w:sz w:val="26"/>
    </w:rPr>
  </w:style>
  <w:style w:type="paragraph" w:styleId="Heading4">
    <w:name w:val="heading 4"/>
    <w:basedOn w:val="Heading3"/>
    <w:next w:val="BodyText"/>
    <w:link w:val="Heading4Char"/>
    <w:qFormat/>
    <w:rsid w:val="00141BF1"/>
    <w:pPr>
      <w:spacing w:before="480"/>
      <w:outlineLvl w:val="3"/>
    </w:pPr>
    <w:rPr>
      <w:b w:val="0"/>
      <w:sz w:val="24"/>
    </w:rPr>
  </w:style>
  <w:style w:type="paragraph" w:styleId="Heading5">
    <w:name w:val="heading 5"/>
    <w:basedOn w:val="Heading4"/>
    <w:next w:val="BodyText"/>
    <w:link w:val="Heading5Char"/>
    <w:qFormat/>
    <w:rsid w:val="00141BF1"/>
    <w:pPr>
      <w:outlineLvl w:val="4"/>
    </w:pPr>
    <w:rPr>
      <w:i/>
      <w:sz w:val="22"/>
    </w:rPr>
  </w:style>
  <w:style w:type="paragraph" w:styleId="Heading6">
    <w:name w:val="heading 6"/>
    <w:basedOn w:val="BodyText"/>
    <w:next w:val="BodyText"/>
    <w:rsid w:val="00141BF1"/>
    <w:pPr>
      <w:spacing w:after="60"/>
      <w:jc w:val="left"/>
      <w:outlineLvl w:val="5"/>
    </w:pPr>
    <w:rPr>
      <w:i/>
      <w:sz w:val="22"/>
    </w:rPr>
  </w:style>
  <w:style w:type="paragraph" w:styleId="Heading7">
    <w:name w:val="heading 7"/>
    <w:basedOn w:val="BodyText"/>
    <w:next w:val="BodyText"/>
    <w:rsid w:val="00141BF1"/>
    <w:pPr>
      <w:spacing w:after="60" w:line="240" w:lineRule="auto"/>
      <w:jc w:val="left"/>
      <w:outlineLvl w:val="6"/>
    </w:pPr>
    <w:rPr>
      <w:rFonts w:ascii="Arial" w:hAnsi="Arial"/>
      <w:sz w:val="20"/>
    </w:rPr>
  </w:style>
  <w:style w:type="paragraph" w:styleId="Heading8">
    <w:name w:val="heading 8"/>
    <w:basedOn w:val="BodyText"/>
    <w:next w:val="BodyText"/>
    <w:rsid w:val="00141BF1"/>
    <w:pPr>
      <w:spacing w:after="60" w:line="240" w:lineRule="auto"/>
      <w:jc w:val="left"/>
      <w:outlineLvl w:val="7"/>
    </w:pPr>
    <w:rPr>
      <w:rFonts w:ascii="Arial" w:hAnsi="Arial"/>
      <w:i/>
      <w:sz w:val="20"/>
    </w:rPr>
  </w:style>
  <w:style w:type="paragraph" w:styleId="Heading9">
    <w:name w:val="heading 9"/>
    <w:basedOn w:val="BodyText"/>
    <w:next w:val="BodyText"/>
    <w:rsid w:val="00141BF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41B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BF1"/>
  </w:style>
  <w:style w:type="paragraph" w:styleId="BodyText">
    <w:name w:val="Body Text"/>
    <w:link w:val="BodyTextChar"/>
    <w:qFormat/>
    <w:rsid w:val="00141BF1"/>
    <w:pPr>
      <w:spacing w:before="240" w:line="300" w:lineRule="atLeast"/>
      <w:jc w:val="both"/>
    </w:pPr>
    <w:rPr>
      <w:sz w:val="24"/>
    </w:rPr>
  </w:style>
  <w:style w:type="paragraph" w:customStyle="1" w:styleId="FooterEnd">
    <w:name w:val="Footer End"/>
    <w:basedOn w:val="Footer"/>
    <w:rsid w:val="00141BF1"/>
    <w:pPr>
      <w:spacing w:before="0" w:line="20" w:lineRule="exact"/>
    </w:pPr>
  </w:style>
  <w:style w:type="paragraph" w:styleId="Header">
    <w:name w:val="header"/>
    <w:basedOn w:val="BodyText"/>
    <w:rsid w:val="00141BF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41BF1"/>
    <w:pPr>
      <w:spacing w:line="20" w:lineRule="exact"/>
    </w:pPr>
    <w:rPr>
      <w:sz w:val="16"/>
    </w:rPr>
  </w:style>
  <w:style w:type="character" w:styleId="PageNumber">
    <w:name w:val="page number"/>
    <w:basedOn w:val="DefaultParagraphFont"/>
    <w:rsid w:val="00141BF1"/>
    <w:rPr>
      <w:rFonts w:ascii="Arial" w:hAnsi="Arial"/>
      <w:b/>
      <w:sz w:val="16"/>
    </w:rPr>
  </w:style>
  <w:style w:type="paragraph" w:customStyle="1" w:styleId="Abbreviation">
    <w:name w:val="Abbreviation"/>
    <w:basedOn w:val="BodyText"/>
    <w:rsid w:val="00141BF1"/>
    <w:pPr>
      <w:spacing w:before="120"/>
      <w:ind w:left="2381" w:hanging="2381"/>
      <w:jc w:val="left"/>
    </w:pPr>
  </w:style>
  <w:style w:type="paragraph" w:customStyle="1" w:styleId="Box">
    <w:name w:val="Box"/>
    <w:basedOn w:val="BodyText"/>
    <w:link w:val="BoxChar"/>
    <w:qFormat/>
    <w:rsid w:val="00141BF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41BF1"/>
    <w:pPr>
      <w:spacing w:before="180" w:line="220" w:lineRule="exact"/>
      <w:jc w:val="right"/>
    </w:pPr>
    <w:rPr>
      <w:rFonts w:ascii="Arial" w:hAnsi="Arial"/>
      <w:sz w:val="18"/>
    </w:rPr>
  </w:style>
  <w:style w:type="paragraph" w:customStyle="1" w:styleId="BoxHeading1">
    <w:name w:val="Box Heading 1"/>
    <w:basedOn w:val="BodyText"/>
    <w:next w:val="Box"/>
    <w:rsid w:val="00141BF1"/>
    <w:pPr>
      <w:keepNext/>
      <w:spacing w:before="200" w:line="280" w:lineRule="atLeast"/>
    </w:pPr>
    <w:rPr>
      <w:rFonts w:ascii="Arial" w:hAnsi="Arial"/>
      <w:b/>
      <w:sz w:val="22"/>
    </w:rPr>
  </w:style>
  <w:style w:type="paragraph" w:customStyle="1" w:styleId="BoxHeading2">
    <w:name w:val="Box Heading 2"/>
    <w:basedOn w:val="BoxHeading1"/>
    <w:next w:val="Normal"/>
    <w:rsid w:val="00141BF1"/>
    <w:rPr>
      <w:b w:val="0"/>
      <w:i/>
    </w:rPr>
  </w:style>
  <w:style w:type="paragraph" w:customStyle="1" w:styleId="BoxListBullet">
    <w:name w:val="Box List Bullet"/>
    <w:basedOn w:val="BodyText"/>
    <w:link w:val="BoxListBulletChar"/>
    <w:rsid w:val="00141BF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41BF1"/>
    <w:pPr>
      <w:numPr>
        <w:numId w:val="2"/>
      </w:numPr>
      <w:ind w:left="568" w:hanging="284"/>
    </w:pPr>
  </w:style>
  <w:style w:type="paragraph" w:customStyle="1" w:styleId="BoxListNumber">
    <w:name w:val="Box List Number"/>
    <w:basedOn w:val="BodyText"/>
    <w:rsid w:val="00141BF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41BF1"/>
    <w:pPr>
      <w:numPr>
        <w:ilvl w:val="1"/>
      </w:numPr>
      <w:ind w:left="681" w:hanging="397"/>
    </w:pPr>
  </w:style>
  <w:style w:type="paragraph" w:customStyle="1" w:styleId="BoxQuote">
    <w:name w:val="Box Quote"/>
    <w:basedOn w:val="BodyText"/>
    <w:next w:val="Box"/>
    <w:qFormat/>
    <w:rsid w:val="00141BF1"/>
    <w:pPr>
      <w:keepNext/>
      <w:spacing w:before="60" w:line="240" w:lineRule="exact"/>
      <w:ind w:left="284"/>
    </w:pPr>
    <w:rPr>
      <w:rFonts w:ascii="Arial" w:hAnsi="Arial"/>
      <w:sz w:val="18"/>
    </w:rPr>
  </w:style>
  <w:style w:type="paragraph" w:customStyle="1" w:styleId="Note">
    <w:name w:val="Note"/>
    <w:basedOn w:val="BodyText"/>
    <w:next w:val="BodyText"/>
    <w:link w:val="NoteChar"/>
    <w:rsid w:val="00141BF1"/>
    <w:pPr>
      <w:keepLines/>
      <w:spacing w:before="80" w:line="220" w:lineRule="exact"/>
    </w:pPr>
    <w:rPr>
      <w:rFonts w:ascii="Arial" w:hAnsi="Arial"/>
      <w:sz w:val="18"/>
    </w:rPr>
  </w:style>
  <w:style w:type="paragraph" w:customStyle="1" w:styleId="Source">
    <w:name w:val="Source"/>
    <w:basedOn w:val="Normal"/>
    <w:next w:val="BodyText"/>
    <w:link w:val="SourceChar"/>
    <w:rsid w:val="00141BF1"/>
    <w:pPr>
      <w:keepLines/>
      <w:spacing w:before="80" w:line="220" w:lineRule="exact"/>
      <w:jc w:val="both"/>
    </w:pPr>
    <w:rPr>
      <w:rFonts w:ascii="Arial" w:hAnsi="Arial"/>
      <w:sz w:val="18"/>
      <w:szCs w:val="20"/>
    </w:rPr>
  </w:style>
  <w:style w:type="paragraph" w:customStyle="1" w:styleId="BoxSource">
    <w:name w:val="Box Source"/>
    <w:basedOn w:val="Source"/>
    <w:next w:val="BodyText"/>
    <w:rsid w:val="00141BF1"/>
    <w:pPr>
      <w:spacing w:before="120"/>
    </w:pPr>
  </w:style>
  <w:style w:type="paragraph" w:styleId="Caption">
    <w:name w:val="caption"/>
    <w:basedOn w:val="Normal"/>
    <w:next w:val="BodyText"/>
    <w:rsid w:val="00141BF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41BF1"/>
    <w:pPr>
      <w:spacing w:before="120" w:after="0"/>
    </w:pPr>
  </w:style>
  <w:style w:type="paragraph" w:customStyle="1" w:styleId="BoxSubtitle">
    <w:name w:val="Box Subtitle"/>
    <w:basedOn w:val="BoxTitle"/>
    <w:next w:val="Normal"/>
    <w:rsid w:val="00141BF1"/>
    <w:pPr>
      <w:spacing w:after="80" w:line="200" w:lineRule="exact"/>
      <w:ind w:firstLine="0"/>
    </w:pPr>
    <w:rPr>
      <w:b w:val="0"/>
      <w:sz w:val="20"/>
    </w:rPr>
  </w:style>
  <w:style w:type="paragraph" w:customStyle="1" w:styleId="Chapter">
    <w:name w:val="Chapter"/>
    <w:basedOn w:val="Heading1"/>
    <w:next w:val="BodyText"/>
    <w:semiHidden/>
    <w:rsid w:val="00141BF1"/>
    <w:pPr>
      <w:ind w:left="0" w:firstLine="0"/>
      <w:outlineLvl w:val="9"/>
    </w:pPr>
  </w:style>
  <w:style w:type="paragraph" w:customStyle="1" w:styleId="ChapterSummary">
    <w:name w:val="Chapter Summary"/>
    <w:basedOn w:val="BodyText"/>
    <w:rsid w:val="00141BF1"/>
    <w:pPr>
      <w:spacing w:line="280" w:lineRule="atLeast"/>
      <w:ind w:left="907"/>
    </w:pPr>
    <w:rPr>
      <w:rFonts w:ascii="Arial" w:hAnsi="Arial"/>
      <w:b/>
      <w:sz w:val="20"/>
    </w:rPr>
  </w:style>
  <w:style w:type="character" w:styleId="CommentReference">
    <w:name w:val="annotation reference"/>
    <w:basedOn w:val="DefaultParagraphFont"/>
    <w:rsid w:val="00141BF1"/>
    <w:rPr>
      <w:b/>
      <w:vanish/>
      <w:color w:val="FF00FF"/>
      <w:sz w:val="20"/>
    </w:rPr>
  </w:style>
  <w:style w:type="paragraph" w:styleId="CommentText">
    <w:name w:val="annotation text"/>
    <w:basedOn w:val="Normal"/>
    <w:link w:val="CommentTextChar"/>
    <w:semiHidden/>
    <w:rsid w:val="00141BF1"/>
    <w:pPr>
      <w:spacing w:before="120" w:line="240" w:lineRule="atLeast"/>
      <w:ind w:left="567" w:hanging="567"/>
    </w:pPr>
    <w:rPr>
      <w:sz w:val="20"/>
    </w:rPr>
  </w:style>
  <w:style w:type="paragraph" w:customStyle="1" w:styleId="Continued">
    <w:name w:val="Continued"/>
    <w:basedOn w:val="BoxContinued"/>
    <w:next w:val="BodyText"/>
    <w:link w:val="ContinuedChar"/>
    <w:rsid w:val="00141BF1"/>
  </w:style>
  <w:style w:type="character" w:customStyle="1" w:styleId="DocumentInfo">
    <w:name w:val="Document Info"/>
    <w:basedOn w:val="DefaultParagraphFont"/>
    <w:semiHidden/>
    <w:rsid w:val="00141BF1"/>
    <w:rPr>
      <w:rFonts w:ascii="Arial" w:hAnsi="Arial"/>
      <w:sz w:val="14"/>
    </w:rPr>
  </w:style>
  <w:style w:type="character" w:customStyle="1" w:styleId="DraftingNote">
    <w:name w:val="Drafting Note"/>
    <w:basedOn w:val="DefaultParagraphFont"/>
    <w:rsid w:val="00141BF1"/>
    <w:rPr>
      <w:b/>
      <w:color w:val="FF0000"/>
      <w:sz w:val="24"/>
      <w:u w:val="dotted"/>
    </w:rPr>
  </w:style>
  <w:style w:type="paragraph" w:customStyle="1" w:styleId="Figure">
    <w:name w:val="Figure"/>
    <w:basedOn w:val="BodyText"/>
    <w:rsid w:val="00141BF1"/>
    <w:pPr>
      <w:keepNext/>
      <w:spacing w:before="120" w:after="120" w:line="240" w:lineRule="atLeast"/>
      <w:jc w:val="center"/>
    </w:pPr>
  </w:style>
  <w:style w:type="paragraph" w:customStyle="1" w:styleId="FigureTitle">
    <w:name w:val="Figure Title"/>
    <w:basedOn w:val="Caption"/>
    <w:next w:val="Subtitle"/>
    <w:rsid w:val="00141BF1"/>
    <w:pPr>
      <w:spacing w:before="120"/>
    </w:pPr>
  </w:style>
  <w:style w:type="paragraph" w:styleId="Subtitle">
    <w:name w:val="Subtitle"/>
    <w:basedOn w:val="Caption"/>
    <w:link w:val="SubtitleChar"/>
    <w:qFormat/>
    <w:rsid w:val="00141BF1"/>
    <w:pPr>
      <w:spacing w:before="0" w:line="200" w:lineRule="exact"/>
      <w:ind w:firstLine="0"/>
    </w:pPr>
    <w:rPr>
      <w:b w:val="0"/>
      <w:sz w:val="20"/>
    </w:rPr>
  </w:style>
  <w:style w:type="paragraph" w:customStyle="1" w:styleId="Finding">
    <w:name w:val="Finding"/>
    <w:basedOn w:val="BodyText"/>
    <w:rsid w:val="00141BF1"/>
    <w:pPr>
      <w:keepLines/>
      <w:spacing w:before="120" w:line="280" w:lineRule="atLeast"/>
    </w:pPr>
    <w:rPr>
      <w:rFonts w:ascii="Arial" w:hAnsi="Arial"/>
      <w:sz w:val="22"/>
    </w:rPr>
  </w:style>
  <w:style w:type="paragraph" w:customStyle="1" w:styleId="FindingBullet">
    <w:name w:val="Finding Bullet"/>
    <w:basedOn w:val="Finding"/>
    <w:rsid w:val="00141BF1"/>
    <w:pPr>
      <w:numPr>
        <w:numId w:val="3"/>
      </w:numPr>
      <w:spacing w:before="80"/>
    </w:pPr>
  </w:style>
  <w:style w:type="paragraph" w:customStyle="1" w:styleId="RecTitle">
    <w:name w:val="Rec Title"/>
    <w:basedOn w:val="BodyText"/>
    <w:next w:val="Rec"/>
    <w:qFormat/>
    <w:rsid w:val="00141BF1"/>
    <w:pPr>
      <w:keepNext/>
      <w:keepLines/>
      <w:spacing w:line="280" w:lineRule="atLeast"/>
    </w:pPr>
    <w:rPr>
      <w:rFonts w:ascii="Arial" w:hAnsi="Arial"/>
      <w:caps/>
      <w:sz w:val="18"/>
    </w:rPr>
  </w:style>
  <w:style w:type="paragraph" w:customStyle="1" w:styleId="FindingTitle">
    <w:name w:val="Finding Title"/>
    <w:basedOn w:val="RecTitle"/>
    <w:next w:val="Finding"/>
    <w:rsid w:val="00141BF1"/>
  </w:style>
  <w:style w:type="character" w:styleId="FootnoteReference">
    <w:name w:val="footnote reference"/>
    <w:basedOn w:val="DefaultParagraphFont"/>
    <w:semiHidden/>
    <w:rsid w:val="00141BF1"/>
    <w:rPr>
      <w:rFonts w:ascii="Times New Roman" w:hAnsi="Times New Roman"/>
      <w:position w:val="6"/>
      <w:sz w:val="20"/>
      <w:vertAlign w:val="baseline"/>
    </w:rPr>
  </w:style>
  <w:style w:type="paragraph" w:styleId="FootnoteText">
    <w:name w:val="footnote text"/>
    <w:basedOn w:val="BodyText"/>
    <w:rsid w:val="00141BF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41BF1"/>
    <w:rPr>
      <w:i/>
    </w:rPr>
  </w:style>
  <w:style w:type="paragraph" w:customStyle="1" w:styleId="Jurisdictioncommentsbodytext">
    <w:name w:val="Jurisdiction comments body text"/>
    <w:rsid w:val="00141BF1"/>
    <w:pPr>
      <w:spacing w:after="140"/>
      <w:jc w:val="both"/>
    </w:pPr>
    <w:rPr>
      <w:rFonts w:ascii="Arial" w:hAnsi="Arial"/>
      <w:sz w:val="24"/>
      <w:lang w:eastAsia="en-US"/>
    </w:rPr>
  </w:style>
  <w:style w:type="paragraph" w:customStyle="1" w:styleId="Jurisdictioncommentsheading">
    <w:name w:val="Jurisdiction comments heading"/>
    <w:rsid w:val="00141BF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41BF1"/>
    <w:pPr>
      <w:numPr>
        <w:numId w:val="4"/>
      </w:numPr>
      <w:spacing w:after="140"/>
      <w:jc w:val="both"/>
    </w:pPr>
    <w:rPr>
      <w:rFonts w:ascii="Arial" w:hAnsi="Arial"/>
      <w:sz w:val="24"/>
      <w:lang w:eastAsia="en-US"/>
    </w:rPr>
  </w:style>
  <w:style w:type="paragraph" w:styleId="ListBullet">
    <w:name w:val="List Bullet"/>
    <w:basedOn w:val="BodyText"/>
    <w:link w:val="ListBulletChar"/>
    <w:rsid w:val="00141BF1"/>
    <w:pPr>
      <w:numPr>
        <w:numId w:val="5"/>
      </w:numPr>
      <w:spacing w:before="120"/>
    </w:pPr>
  </w:style>
  <w:style w:type="paragraph" w:styleId="ListBullet2">
    <w:name w:val="List Bullet 2"/>
    <w:basedOn w:val="BodyText"/>
    <w:rsid w:val="00141BF1"/>
    <w:pPr>
      <w:numPr>
        <w:numId w:val="6"/>
      </w:numPr>
      <w:spacing w:before="120"/>
    </w:pPr>
  </w:style>
  <w:style w:type="paragraph" w:styleId="ListBullet3">
    <w:name w:val="List Bullet 3"/>
    <w:basedOn w:val="BodyText"/>
    <w:rsid w:val="00141BF1"/>
    <w:pPr>
      <w:numPr>
        <w:numId w:val="7"/>
      </w:numPr>
      <w:spacing w:before="120"/>
      <w:ind w:left="1020" w:hanging="340"/>
    </w:pPr>
  </w:style>
  <w:style w:type="paragraph" w:styleId="ListNumber">
    <w:name w:val="List Number"/>
    <w:basedOn w:val="BodyText"/>
    <w:rsid w:val="00141BF1"/>
    <w:pPr>
      <w:numPr>
        <w:numId w:val="13"/>
      </w:numPr>
      <w:spacing w:before="120"/>
    </w:pPr>
  </w:style>
  <w:style w:type="paragraph" w:styleId="ListNumber2">
    <w:name w:val="List Number 2"/>
    <w:basedOn w:val="ListNumber"/>
    <w:rsid w:val="00141BF1"/>
    <w:pPr>
      <w:numPr>
        <w:ilvl w:val="1"/>
      </w:numPr>
    </w:pPr>
  </w:style>
  <w:style w:type="paragraph" w:styleId="ListNumber3">
    <w:name w:val="List Number 3"/>
    <w:basedOn w:val="ListNumber2"/>
    <w:rsid w:val="00141BF1"/>
    <w:pPr>
      <w:numPr>
        <w:ilvl w:val="2"/>
      </w:numPr>
    </w:pPr>
  </w:style>
  <w:style w:type="character" w:customStyle="1" w:styleId="NoteLabel">
    <w:name w:val="Note Label"/>
    <w:basedOn w:val="DefaultParagraphFont"/>
    <w:rsid w:val="00141BF1"/>
    <w:rPr>
      <w:rFonts w:ascii="Arial" w:hAnsi="Arial"/>
      <w:b/>
      <w:position w:val="6"/>
      <w:sz w:val="18"/>
    </w:rPr>
  </w:style>
  <w:style w:type="paragraph" w:customStyle="1" w:styleId="PartDivider">
    <w:name w:val="Part Divider"/>
    <w:basedOn w:val="BodyText"/>
    <w:next w:val="BodyText"/>
    <w:semiHidden/>
    <w:rsid w:val="00141BF1"/>
    <w:pPr>
      <w:spacing w:before="0" w:line="40" w:lineRule="exact"/>
      <w:jc w:val="right"/>
    </w:pPr>
    <w:rPr>
      <w:smallCaps/>
      <w:sz w:val="16"/>
    </w:rPr>
  </w:style>
  <w:style w:type="paragraph" w:customStyle="1" w:styleId="PartNumber">
    <w:name w:val="Part Number"/>
    <w:basedOn w:val="BodyText"/>
    <w:next w:val="BodyText"/>
    <w:semiHidden/>
    <w:rsid w:val="00141BF1"/>
    <w:pPr>
      <w:spacing w:before="4000" w:line="320" w:lineRule="exact"/>
      <w:ind w:left="6634"/>
      <w:jc w:val="right"/>
    </w:pPr>
    <w:rPr>
      <w:smallCaps/>
      <w:spacing w:val="60"/>
      <w:sz w:val="32"/>
    </w:rPr>
  </w:style>
  <w:style w:type="paragraph" w:customStyle="1" w:styleId="PartTitle">
    <w:name w:val="Part Title"/>
    <w:basedOn w:val="BodyText"/>
    <w:semiHidden/>
    <w:rsid w:val="00141BF1"/>
    <w:pPr>
      <w:spacing w:before="160" w:after="1360" w:line="520" w:lineRule="exact"/>
      <w:ind w:right="2381"/>
      <w:jc w:val="right"/>
    </w:pPr>
    <w:rPr>
      <w:smallCaps/>
      <w:sz w:val="52"/>
    </w:rPr>
  </w:style>
  <w:style w:type="paragraph" w:styleId="Quote">
    <w:name w:val="Quote"/>
    <w:basedOn w:val="BodyText"/>
    <w:next w:val="BodyText"/>
    <w:qFormat/>
    <w:rsid w:val="00141BF1"/>
    <w:pPr>
      <w:spacing w:before="120" w:line="280" w:lineRule="exact"/>
      <w:ind w:left="340"/>
    </w:pPr>
    <w:rPr>
      <w:sz w:val="22"/>
    </w:rPr>
  </w:style>
  <w:style w:type="paragraph" w:customStyle="1" w:styleId="QuoteBullet">
    <w:name w:val="Quote Bullet"/>
    <w:basedOn w:val="Quote"/>
    <w:rsid w:val="00141BF1"/>
    <w:pPr>
      <w:numPr>
        <w:numId w:val="8"/>
      </w:numPr>
    </w:pPr>
  </w:style>
  <w:style w:type="paragraph" w:customStyle="1" w:styleId="Rec">
    <w:name w:val="Rec"/>
    <w:basedOn w:val="BodyText"/>
    <w:qFormat/>
    <w:rsid w:val="00141BF1"/>
    <w:pPr>
      <w:keepLines/>
      <w:spacing w:before="120" w:line="280" w:lineRule="atLeast"/>
    </w:pPr>
    <w:rPr>
      <w:rFonts w:ascii="Arial" w:hAnsi="Arial"/>
      <w:sz w:val="22"/>
    </w:rPr>
  </w:style>
  <w:style w:type="paragraph" w:customStyle="1" w:styleId="RecBullet">
    <w:name w:val="Rec Bullet"/>
    <w:basedOn w:val="Rec"/>
    <w:rsid w:val="00141BF1"/>
    <w:pPr>
      <w:numPr>
        <w:numId w:val="9"/>
      </w:numPr>
      <w:spacing w:before="80"/>
    </w:pPr>
  </w:style>
  <w:style w:type="paragraph" w:customStyle="1" w:styleId="RecB">
    <w:name w:val="RecB"/>
    <w:basedOn w:val="Normal"/>
    <w:rsid w:val="00141BF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41BF1"/>
    <w:pPr>
      <w:numPr>
        <w:numId w:val="10"/>
      </w:numPr>
      <w:spacing w:before="80"/>
    </w:pPr>
  </w:style>
  <w:style w:type="paragraph" w:customStyle="1" w:styleId="RecBNoTitle">
    <w:name w:val="RecB NoTitle"/>
    <w:basedOn w:val="RecB"/>
    <w:rsid w:val="00141BF1"/>
    <w:pPr>
      <w:spacing w:before="240"/>
    </w:pPr>
  </w:style>
  <w:style w:type="paragraph" w:customStyle="1" w:styleId="Reference">
    <w:name w:val="Reference"/>
    <w:basedOn w:val="BodyText"/>
    <w:rsid w:val="00141BF1"/>
    <w:pPr>
      <w:spacing w:before="120"/>
      <w:ind w:left="340" w:hanging="340"/>
    </w:pPr>
  </w:style>
  <w:style w:type="paragraph" w:customStyle="1" w:styleId="SequenceInfo">
    <w:name w:val="Sequence Info"/>
    <w:basedOn w:val="BodyText"/>
    <w:semiHidden/>
    <w:rsid w:val="00141BF1"/>
    <w:rPr>
      <w:vanish/>
      <w:sz w:val="16"/>
    </w:rPr>
  </w:style>
  <w:style w:type="paragraph" w:customStyle="1" w:styleId="SideNote">
    <w:name w:val="Side Note"/>
    <w:basedOn w:val="BodyText"/>
    <w:next w:val="BodyText"/>
    <w:semiHidden/>
    <w:rsid w:val="00141BF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41BF1"/>
    <w:pPr>
      <w:framePr w:wrap="around"/>
      <w:numPr>
        <w:numId w:val="11"/>
      </w:numPr>
      <w:tabs>
        <w:tab w:val="left" w:pos="227"/>
      </w:tabs>
    </w:pPr>
  </w:style>
  <w:style w:type="paragraph" w:customStyle="1" w:styleId="SideNoteGraphic">
    <w:name w:val="Side Note Graphic"/>
    <w:basedOn w:val="SideNote"/>
    <w:next w:val="BodyText"/>
    <w:semiHidden/>
    <w:rsid w:val="00141BF1"/>
    <w:pPr>
      <w:framePr w:wrap="around"/>
    </w:pPr>
  </w:style>
  <w:style w:type="paragraph" w:customStyle="1" w:styleId="TableBodyText">
    <w:name w:val="Table Body Text"/>
    <w:basedOn w:val="BodyText"/>
    <w:link w:val="TableBodyTextChar"/>
    <w:rsid w:val="00141BF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41BF1"/>
    <w:pPr>
      <w:numPr>
        <w:numId w:val="12"/>
      </w:numPr>
      <w:jc w:val="left"/>
    </w:pPr>
  </w:style>
  <w:style w:type="paragraph" w:customStyle="1" w:styleId="TableColumnHeading">
    <w:name w:val="Table Column Heading"/>
    <w:basedOn w:val="TableBodyText"/>
    <w:rsid w:val="00141BF1"/>
    <w:pPr>
      <w:spacing w:before="80" w:after="80"/>
    </w:pPr>
    <w:rPr>
      <w:i/>
    </w:rPr>
  </w:style>
  <w:style w:type="paragraph" w:styleId="TOC2">
    <w:name w:val="toc 2"/>
    <w:basedOn w:val="TOC1"/>
    <w:rsid w:val="00141BF1"/>
    <w:pPr>
      <w:ind w:left="1134" w:hanging="624"/>
    </w:pPr>
    <w:rPr>
      <w:b w:val="0"/>
    </w:rPr>
  </w:style>
  <w:style w:type="paragraph" w:styleId="TOC3">
    <w:name w:val="toc 3"/>
    <w:basedOn w:val="TOC2"/>
    <w:rsid w:val="00141BF1"/>
    <w:pPr>
      <w:spacing w:before="60"/>
      <w:ind w:left="1190" w:hanging="680"/>
    </w:pPr>
  </w:style>
  <w:style w:type="paragraph" w:styleId="TableofFigures">
    <w:name w:val="table of figures"/>
    <w:basedOn w:val="TOC3"/>
    <w:next w:val="BodyText"/>
    <w:semiHidden/>
    <w:rsid w:val="00141BF1"/>
    <w:pPr>
      <w:ind w:left="737" w:hanging="737"/>
    </w:pPr>
  </w:style>
  <w:style w:type="paragraph" w:customStyle="1" w:styleId="TableTitle">
    <w:name w:val="Table Title"/>
    <w:basedOn w:val="Caption"/>
    <w:next w:val="Subtitle"/>
    <w:qFormat/>
    <w:rsid w:val="00141BF1"/>
    <w:pPr>
      <w:spacing w:before="120"/>
    </w:pPr>
  </w:style>
  <w:style w:type="paragraph" w:customStyle="1" w:styleId="TableUnitsRow">
    <w:name w:val="Table Units Row"/>
    <w:basedOn w:val="TableBodyText"/>
    <w:rsid w:val="00141BF1"/>
    <w:pPr>
      <w:spacing w:before="40"/>
    </w:pPr>
  </w:style>
  <w:style w:type="paragraph" w:styleId="TOC1">
    <w:name w:val="toc 1"/>
    <w:basedOn w:val="Normal"/>
    <w:next w:val="TOC2"/>
    <w:link w:val="TOC1Char"/>
    <w:rsid w:val="00141BF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41BF1"/>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141BF1"/>
    <w:rPr>
      <w:rFonts w:ascii="Tahoma" w:hAnsi="Tahoma" w:cs="Tahoma"/>
      <w:sz w:val="16"/>
      <w:szCs w:val="16"/>
    </w:rPr>
  </w:style>
  <w:style w:type="character" w:customStyle="1" w:styleId="BodyTextChar">
    <w:name w:val="Body Text Char"/>
    <w:basedOn w:val="DefaultParagraphFont"/>
    <w:link w:val="BodyText"/>
    <w:rsid w:val="00141BF1"/>
    <w:rPr>
      <w:sz w:val="24"/>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link w:val="ListBullet"/>
    <w:rsid w:val="00263996"/>
    <w:rPr>
      <w:sz w:val="24"/>
    </w:rPr>
  </w:style>
  <w:style w:type="paragraph" w:customStyle="1" w:styleId="RecBBullet2">
    <w:name w:val="RecB Bullet 2"/>
    <w:basedOn w:val="ListBullet2"/>
    <w:semiHidden/>
    <w:rsid w:val="00141BF1"/>
    <w:pPr>
      <w:pBdr>
        <w:left w:val="single" w:sz="24" w:space="29" w:color="C0C0C0"/>
      </w:pBdr>
    </w:pPr>
    <w:rPr>
      <w:b/>
      <w:i/>
    </w:rPr>
  </w:style>
  <w:style w:type="character" w:customStyle="1" w:styleId="BalloonTextChar">
    <w:name w:val="Balloon Text Char"/>
    <w:basedOn w:val="DefaultParagraphFont"/>
    <w:link w:val="BalloonText"/>
    <w:rsid w:val="00141BF1"/>
    <w:rPr>
      <w:rFonts w:ascii="Tahoma" w:hAnsi="Tahoma" w:cs="Tahoma"/>
      <w:sz w:val="16"/>
      <w:szCs w:val="16"/>
    </w:rPr>
  </w:style>
  <w:style w:type="character" w:customStyle="1" w:styleId="SubtitleChar">
    <w:name w:val="Subtitle Char"/>
    <w:basedOn w:val="DefaultParagraphFont"/>
    <w:link w:val="Subtitle"/>
    <w:rsid w:val="00141BF1"/>
    <w:rPr>
      <w:rFonts w:ascii="Arial" w:hAnsi="Arial"/>
      <w:szCs w:val="24"/>
    </w:rPr>
  </w:style>
  <w:style w:type="paragraph" w:customStyle="1" w:styleId="BoxListBullet3">
    <w:name w:val="Box List Bullet 3"/>
    <w:basedOn w:val="ListBullet3"/>
    <w:rsid w:val="00141BF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41BF1"/>
    <w:rPr>
      <w:i/>
      <w:iCs/>
    </w:rPr>
  </w:style>
  <w:style w:type="paragraph" w:customStyle="1" w:styleId="BoxQuoteBullet">
    <w:name w:val="Box Quote Bullet"/>
    <w:basedOn w:val="BoxQuote"/>
    <w:next w:val="Box"/>
    <w:rsid w:val="00141BF1"/>
    <w:pPr>
      <w:numPr>
        <w:numId w:val="15"/>
      </w:numPr>
      <w:ind w:left="568" w:hanging="284"/>
    </w:pPr>
  </w:style>
  <w:style w:type="paragraph" w:customStyle="1" w:styleId="InformationRequestBullet">
    <w:name w:val="Information Request Bullet"/>
    <w:basedOn w:val="ListBullet"/>
    <w:next w:val="BodyText"/>
    <w:rsid w:val="00141BF1"/>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141BF1"/>
    <w:pPr>
      <w:keepNext/>
      <w:spacing w:before="360" w:line="80" w:lineRule="exact"/>
      <w:jc w:val="left"/>
    </w:pPr>
  </w:style>
  <w:style w:type="paragraph" w:customStyle="1" w:styleId="BoxSpaceBelow">
    <w:name w:val="Box Space Below"/>
    <w:basedOn w:val="Box"/>
    <w:rsid w:val="00141BF1"/>
    <w:pPr>
      <w:keepNext w:val="0"/>
      <w:spacing w:before="60" w:after="60" w:line="80" w:lineRule="exact"/>
    </w:pPr>
    <w:rPr>
      <w:sz w:val="14"/>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rPr>
  </w:style>
  <w:style w:type="character" w:customStyle="1" w:styleId="BoxListBulletChar">
    <w:name w:val="Box List Bullet Char"/>
    <w:basedOn w:val="BoxChar"/>
    <w:link w:val="BoxListBullet"/>
    <w:rsid w:val="00067E96"/>
    <w:rPr>
      <w:rFonts w:ascii="Arial" w:hAnsi="Arial"/>
    </w:rPr>
  </w:style>
  <w:style w:type="paragraph" w:customStyle="1" w:styleId="KeyPointsListBullet">
    <w:name w:val="Key Points List Bullet"/>
    <w:basedOn w:val="Normal"/>
    <w:qFormat/>
    <w:rsid w:val="00141BF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41BF1"/>
    <w:pPr>
      <w:numPr>
        <w:numId w:val="19"/>
      </w:numPr>
      <w:ind w:left="568" w:hanging="284"/>
    </w:pPr>
  </w:style>
  <w:style w:type="paragraph" w:customStyle="1" w:styleId="InformationRequestTitle">
    <w:name w:val="Information Request Title"/>
    <w:basedOn w:val="FindingTitle"/>
    <w:next w:val="InformationRequest"/>
    <w:rsid w:val="00141BF1"/>
    <w:rPr>
      <w:i/>
    </w:rPr>
  </w:style>
  <w:style w:type="paragraph" w:customStyle="1" w:styleId="Space">
    <w:name w:val="Space"/>
    <w:basedOn w:val="Normal"/>
    <w:rsid w:val="00141BF1"/>
    <w:pPr>
      <w:keepNext/>
      <w:spacing w:line="120" w:lineRule="exact"/>
      <w:jc w:val="both"/>
    </w:pPr>
    <w:rPr>
      <w:rFonts w:ascii="Arial" w:hAnsi="Arial"/>
      <w:sz w:val="20"/>
      <w:szCs w:val="20"/>
    </w:rPr>
  </w:style>
  <w:style w:type="paragraph" w:customStyle="1" w:styleId="Heading1nochapterno">
    <w:name w:val="Heading 1 (no chapter no.)"/>
    <w:basedOn w:val="Heading1"/>
    <w:rsid w:val="00141BF1"/>
    <w:pPr>
      <w:spacing w:before="0"/>
      <w:ind w:left="0" w:firstLine="0"/>
    </w:pPr>
  </w:style>
  <w:style w:type="paragraph" w:customStyle="1" w:styleId="Heading2nosectionno">
    <w:name w:val="Heading 2 (no section no.)"/>
    <w:basedOn w:val="Heading2"/>
    <w:rsid w:val="00141BF1"/>
    <w:pPr>
      <w:ind w:left="0" w:firstLine="0"/>
    </w:pPr>
  </w:style>
  <w:style w:type="character" w:customStyle="1" w:styleId="Heading5Char">
    <w:name w:val="Heading 5 Char"/>
    <w:basedOn w:val="DefaultParagraphFont"/>
    <w:link w:val="Heading5"/>
    <w:rsid w:val="00141BF1"/>
    <w:rPr>
      <w:rFonts w:ascii="Arial" w:hAnsi="Arial"/>
      <w:i/>
      <w:sz w:val="22"/>
    </w:rPr>
  </w:style>
  <w:style w:type="paragraph" w:customStyle="1" w:styleId="Figurespace">
    <w:name w:val="Figure space"/>
    <w:basedOn w:val="Box"/>
    <w:rsid w:val="00141BF1"/>
    <w:pPr>
      <w:spacing w:before="0" w:line="120" w:lineRule="exact"/>
    </w:pPr>
  </w:style>
  <w:style w:type="paragraph" w:customStyle="1" w:styleId="FooterDraftReport">
    <w:name w:val="FooterDraftReport"/>
    <w:basedOn w:val="Footer"/>
    <w:link w:val="FooterDraftReportChar"/>
    <w:rsid w:val="00141BF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41BF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41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141BF1"/>
    <w:rPr>
      <w:rFonts w:ascii="Arial" w:hAnsi="Arial"/>
      <w:b/>
      <w:sz w:val="26"/>
      <w:szCs w:val="26"/>
      <w:lang w:eastAsia="en-US"/>
    </w:rPr>
  </w:style>
  <w:style w:type="paragraph" w:styleId="Footer">
    <w:name w:val="footer"/>
    <w:basedOn w:val="BodyText"/>
    <w:link w:val="FooterChar"/>
    <w:rsid w:val="00141BF1"/>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rsid w:val="00141BF1"/>
    <w:rPr>
      <w:rFonts w:ascii="Arial" w:hAnsi="Arial"/>
      <w:caps/>
      <w:spacing w:val="-4"/>
      <w:sz w:val="16"/>
    </w:rPr>
  </w:style>
  <w:style w:type="paragraph" w:customStyle="1" w:styleId="HeaderEven">
    <w:name w:val="Header Even"/>
    <w:basedOn w:val="Header"/>
    <w:semiHidden/>
    <w:rsid w:val="00141BF1"/>
  </w:style>
  <w:style w:type="paragraph" w:customStyle="1" w:styleId="HeaderOdd">
    <w:name w:val="Header Odd"/>
    <w:basedOn w:val="Header"/>
    <w:semiHidden/>
    <w:rsid w:val="00141BF1"/>
  </w:style>
  <w:style w:type="paragraph" w:customStyle="1" w:styleId="FindingNoTitle">
    <w:name w:val="Finding NoTitle"/>
    <w:basedOn w:val="Finding"/>
    <w:semiHidden/>
    <w:rsid w:val="00141BF1"/>
    <w:pPr>
      <w:spacing w:before="240"/>
    </w:pPr>
  </w:style>
  <w:style w:type="character" w:customStyle="1" w:styleId="TableBodyTextChar">
    <w:name w:val="Table Body Text Char"/>
    <w:link w:val="TableBodyText"/>
    <w:rsid w:val="00E04929"/>
    <w:rPr>
      <w:rFonts w:ascii="Arial" w:hAnsi="Arial"/>
      <w:sz w:val="18"/>
    </w:rPr>
  </w:style>
  <w:style w:type="character" w:customStyle="1" w:styleId="TableBulletChar">
    <w:name w:val="Table Bullet Char"/>
    <w:basedOn w:val="TableBodyTextChar"/>
    <w:link w:val="TableBullet"/>
    <w:rsid w:val="00E04929"/>
    <w:rPr>
      <w:rFonts w:ascii="Arial" w:hAnsi="Arial"/>
      <w:sz w:val="18"/>
    </w:rPr>
  </w:style>
  <w:style w:type="paragraph" w:customStyle="1" w:styleId="Heading1NotTOC">
    <w:name w:val="Heading 1 Not TOC"/>
    <w:basedOn w:val="Heading1"/>
    <w:next w:val="BodyText"/>
    <w:rsid w:val="00EB5EF8"/>
    <w:rPr>
      <w:kern w:val="28"/>
      <w:szCs w:val="26"/>
      <w:lang w:eastAsia="en-US"/>
    </w:rPr>
  </w:style>
  <w:style w:type="character" w:customStyle="1" w:styleId="Heading4Char">
    <w:name w:val="Heading 4 Char"/>
    <w:basedOn w:val="DefaultParagraphFont"/>
    <w:link w:val="Heading4"/>
    <w:rsid w:val="004D31FC"/>
    <w:rPr>
      <w:rFonts w:ascii="Arial" w:hAnsi="Arial"/>
      <w:sz w:val="24"/>
    </w:rPr>
  </w:style>
  <w:style w:type="character" w:customStyle="1" w:styleId="CommentTextChar">
    <w:name w:val="Comment Text Char"/>
    <w:basedOn w:val="DefaultParagraphFont"/>
    <w:link w:val="CommentText"/>
    <w:semiHidden/>
    <w:rsid w:val="00F923F9"/>
    <w:rPr>
      <w:szCs w:val="24"/>
    </w:rPr>
  </w:style>
  <w:style w:type="paragraph" w:customStyle="1" w:styleId="DQIRowHeadings">
    <w:name w:val="DQI Row Headings"/>
    <w:basedOn w:val="Normal"/>
    <w:rsid w:val="00514B47"/>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514B47"/>
    <w:pPr>
      <w:keepNext/>
      <w:keepLines/>
      <w:spacing w:before="120" w:line="200" w:lineRule="atLeast"/>
      <w:ind w:left="6" w:right="113"/>
    </w:pPr>
    <w:rPr>
      <w:rFonts w:ascii="Arial" w:hAnsi="Arial"/>
      <w:b/>
      <w:sz w:val="18"/>
      <w:szCs w:val="20"/>
      <w:u w:val="single"/>
    </w:rPr>
  </w:style>
  <w:style w:type="paragraph" w:customStyle="1" w:styleId="Default">
    <w:name w:val="Default"/>
    <w:rsid w:val="0096016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4373">
      <w:bodyDiv w:val="1"/>
      <w:marLeft w:val="0"/>
      <w:marRight w:val="0"/>
      <w:marTop w:val="0"/>
      <w:marBottom w:val="0"/>
      <w:divBdr>
        <w:top w:val="none" w:sz="0" w:space="0" w:color="auto"/>
        <w:left w:val="none" w:sz="0" w:space="0" w:color="auto"/>
        <w:bottom w:val="none" w:sz="0" w:space="0" w:color="auto"/>
        <w:right w:val="none" w:sz="0" w:space="0" w:color="auto"/>
      </w:divBdr>
    </w:div>
    <w:div w:id="189924018">
      <w:bodyDiv w:val="1"/>
      <w:marLeft w:val="0"/>
      <w:marRight w:val="0"/>
      <w:marTop w:val="0"/>
      <w:marBottom w:val="0"/>
      <w:divBdr>
        <w:top w:val="none" w:sz="0" w:space="0" w:color="auto"/>
        <w:left w:val="none" w:sz="0" w:space="0" w:color="auto"/>
        <w:bottom w:val="none" w:sz="0" w:space="0" w:color="auto"/>
        <w:right w:val="none" w:sz="0" w:space="0" w:color="auto"/>
      </w:divBdr>
    </w:div>
    <w:div w:id="204026910">
      <w:bodyDiv w:val="1"/>
      <w:marLeft w:val="0"/>
      <w:marRight w:val="0"/>
      <w:marTop w:val="0"/>
      <w:marBottom w:val="0"/>
      <w:divBdr>
        <w:top w:val="none" w:sz="0" w:space="0" w:color="auto"/>
        <w:left w:val="none" w:sz="0" w:space="0" w:color="auto"/>
        <w:bottom w:val="none" w:sz="0" w:space="0" w:color="auto"/>
        <w:right w:val="none" w:sz="0" w:space="0" w:color="auto"/>
      </w:divBdr>
    </w:div>
    <w:div w:id="311908317">
      <w:bodyDiv w:val="1"/>
      <w:marLeft w:val="0"/>
      <w:marRight w:val="0"/>
      <w:marTop w:val="0"/>
      <w:marBottom w:val="0"/>
      <w:divBdr>
        <w:top w:val="none" w:sz="0" w:space="0" w:color="auto"/>
        <w:left w:val="none" w:sz="0" w:space="0" w:color="auto"/>
        <w:bottom w:val="none" w:sz="0" w:space="0" w:color="auto"/>
        <w:right w:val="none" w:sz="0" w:space="0" w:color="auto"/>
      </w:divBdr>
    </w:div>
    <w:div w:id="447551779">
      <w:bodyDiv w:val="1"/>
      <w:marLeft w:val="0"/>
      <w:marRight w:val="0"/>
      <w:marTop w:val="0"/>
      <w:marBottom w:val="0"/>
      <w:divBdr>
        <w:top w:val="none" w:sz="0" w:space="0" w:color="auto"/>
        <w:left w:val="none" w:sz="0" w:space="0" w:color="auto"/>
        <w:bottom w:val="none" w:sz="0" w:space="0" w:color="auto"/>
        <w:right w:val="none" w:sz="0" w:space="0" w:color="auto"/>
      </w:divBdr>
    </w:div>
    <w:div w:id="461654550">
      <w:bodyDiv w:val="1"/>
      <w:marLeft w:val="0"/>
      <w:marRight w:val="0"/>
      <w:marTop w:val="0"/>
      <w:marBottom w:val="0"/>
      <w:divBdr>
        <w:top w:val="none" w:sz="0" w:space="0" w:color="auto"/>
        <w:left w:val="none" w:sz="0" w:space="0" w:color="auto"/>
        <w:bottom w:val="none" w:sz="0" w:space="0" w:color="auto"/>
        <w:right w:val="none" w:sz="0" w:space="0" w:color="auto"/>
      </w:divBdr>
    </w:div>
    <w:div w:id="652415493">
      <w:bodyDiv w:val="1"/>
      <w:marLeft w:val="0"/>
      <w:marRight w:val="0"/>
      <w:marTop w:val="0"/>
      <w:marBottom w:val="0"/>
      <w:divBdr>
        <w:top w:val="none" w:sz="0" w:space="0" w:color="auto"/>
        <w:left w:val="none" w:sz="0" w:space="0" w:color="auto"/>
        <w:bottom w:val="none" w:sz="0" w:space="0" w:color="auto"/>
        <w:right w:val="none" w:sz="0" w:space="0" w:color="auto"/>
      </w:divBdr>
    </w:div>
    <w:div w:id="712995660">
      <w:bodyDiv w:val="1"/>
      <w:marLeft w:val="0"/>
      <w:marRight w:val="0"/>
      <w:marTop w:val="0"/>
      <w:marBottom w:val="0"/>
      <w:divBdr>
        <w:top w:val="none" w:sz="0" w:space="0" w:color="auto"/>
        <w:left w:val="none" w:sz="0" w:space="0" w:color="auto"/>
        <w:bottom w:val="none" w:sz="0" w:space="0" w:color="auto"/>
        <w:right w:val="none" w:sz="0" w:space="0" w:color="auto"/>
      </w:divBdr>
    </w:div>
    <w:div w:id="717630769">
      <w:bodyDiv w:val="1"/>
      <w:marLeft w:val="0"/>
      <w:marRight w:val="0"/>
      <w:marTop w:val="0"/>
      <w:marBottom w:val="0"/>
      <w:divBdr>
        <w:top w:val="none" w:sz="0" w:space="0" w:color="auto"/>
        <w:left w:val="none" w:sz="0" w:space="0" w:color="auto"/>
        <w:bottom w:val="none" w:sz="0" w:space="0" w:color="auto"/>
        <w:right w:val="none" w:sz="0" w:space="0" w:color="auto"/>
      </w:divBdr>
    </w:div>
    <w:div w:id="811361420">
      <w:bodyDiv w:val="1"/>
      <w:marLeft w:val="0"/>
      <w:marRight w:val="0"/>
      <w:marTop w:val="0"/>
      <w:marBottom w:val="0"/>
      <w:divBdr>
        <w:top w:val="none" w:sz="0" w:space="0" w:color="auto"/>
        <w:left w:val="none" w:sz="0" w:space="0" w:color="auto"/>
        <w:bottom w:val="none" w:sz="0" w:space="0" w:color="auto"/>
        <w:right w:val="none" w:sz="0" w:space="0" w:color="auto"/>
      </w:divBdr>
    </w:div>
    <w:div w:id="883178880">
      <w:bodyDiv w:val="1"/>
      <w:marLeft w:val="0"/>
      <w:marRight w:val="0"/>
      <w:marTop w:val="0"/>
      <w:marBottom w:val="0"/>
      <w:divBdr>
        <w:top w:val="none" w:sz="0" w:space="0" w:color="auto"/>
        <w:left w:val="none" w:sz="0" w:space="0" w:color="auto"/>
        <w:bottom w:val="none" w:sz="0" w:space="0" w:color="auto"/>
        <w:right w:val="none" w:sz="0" w:space="0" w:color="auto"/>
      </w:divBdr>
    </w:div>
    <w:div w:id="931820676">
      <w:bodyDiv w:val="1"/>
      <w:marLeft w:val="0"/>
      <w:marRight w:val="0"/>
      <w:marTop w:val="0"/>
      <w:marBottom w:val="0"/>
      <w:divBdr>
        <w:top w:val="none" w:sz="0" w:space="0" w:color="auto"/>
        <w:left w:val="none" w:sz="0" w:space="0" w:color="auto"/>
        <w:bottom w:val="none" w:sz="0" w:space="0" w:color="auto"/>
        <w:right w:val="none" w:sz="0" w:space="0" w:color="auto"/>
      </w:divBdr>
    </w:div>
    <w:div w:id="998117746">
      <w:bodyDiv w:val="1"/>
      <w:marLeft w:val="0"/>
      <w:marRight w:val="0"/>
      <w:marTop w:val="0"/>
      <w:marBottom w:val="0"/>
      <w:divBdr>
        <w:top w:val="none" w:sz="0" w:space="0" w:color="auto"/>
        <w:left w:val="none" w:sz="0" w:space="0" w:color="auto"/>
        <w:bottom w:val="none" w:sz="0" w:space="0" w:color="auto"/>
        <w:right w:val="none" w:sz="0" w:space="0" w:color="auto"/>
      </w:divBdr>
    </w:div>
    <w:div w:id="1006593141">
      <w:bodyDiv w:val="1"/>
      <w:marLeft w:val="0"/>
      <w:marRight w:val="0"/>
      <w:marTop w:val="0"/>
      <w:marBottom w:val="0"/>
      <w:divBdr>
        <w:top w:val="none" w:sz="0" w:space="0" w:color="auto"/>
        <w:left w:val="none" w:sz="0" w:space="0" w:color="auto"/>
        <w:bottom w:val="none" w:sz="0" w:space="0" w:color="auto"/>
        <w:right w:val="none" w:sz="0" w:space="0" w:color="auto"/>
      </w:divBdr>
    </w:div>
    <w:div w:id="1022125066">
      <w:bodyDiv w:val="1"/>
      <w:marLeft w:val="0"/>
      <w:marRight w:val="0"/>
      <w:marTop w:val="0"/>
      <w:marBottom w:val="0"/>
      <w:divBdr>
        <w:top w:val="none" w:sz="0" w:space="0" w:color="auto"/>
        <w:left w:val="none" w:sz="0" w:space="0" w:color="auto"/>
        <w:bottom w:val="none" w:sz="0" w:space="0" w:color="auto"/>
        <w:right w:val="none" w:sz="0" w:space="0" w:color="auto"/>
      </w:divBdr>
      <w:divsChild>
        <w:div w:id="681594146">
          <w:marLeft w:val="0"/>
          <w:marRight w:val="0"/>
          <w:marTop w:val="0"/>
          <w:marBottom w:val="0"/>
          <w:divBdr>
            <w:top w:val="none" w:sz="0" w:space="0" w:color="auto"/>
            <w:left w:val="none" w:sz="0" w:space="0" w:color="auto"/>
            <w:bottom w:val="none" w:sz="0" w:space="0" w:color="auto"/>
            <w:right w:val="none" w:sz="0" w:space="0" w:color="auto"/>
          </w:divBdr>
        </w:div>
      </w:divsChild>
    </w:div>
    <w:div w:id="1026950725">
      <w:bodyDiv w:val="1"/>
      <w:marLeft w:val="0"/>
      <w:marRight w:val="0"/>
      <w:marTop w:val="0"/>
      <w:marBottom w:val="0"/>
      <w:divBdr>
        <w:top w:val="none" w:sz="0" w:space="0" w:color="auto"/>
        <w:left w:val="none" w:sz="0" w:space="0" w:color="auto"/>
        <w:bottom w:val="none" w:sz="0" w:space="0" w:color="auto"/>
        <w:right w:val="none" w:sz="0" w:space="0" w:color="auto"/>
      </w:divBdr>
    </w:div>
    <w:div w:id="1036153432">
      <w:bodyDiv w:val="1"/>
      <w:marLeft w:val="0"/>
      <w:marRight w:val="0"/>
      <w:marTop w:val="0"/>
      <w:marBottom w:val="0"/>
      <w:divBdr>
        <w:top w:val="none" w:sz="0" w:space="0" w:color="auto"/>
        <w:left w:val="none" w:sz="0" w:space="0" w:color="auto"/>
        <w:bottom w:val="none" w:sz="0" w:space="0" w:color="auto"/>
        <w:right w:val="none" w:sz="0" w:space="0" w:color="auto"/>
      </w:divBdr>
    </w:div>
    <w:div w:id="1063605051">
      <w:bodyDiv w:val="1"/>
      <w:marLeft w:val="0"/>
      <w:marRight w:val="0"/>
      <w:marTop w:val="0"/>
      <w:marBottom w:val="0"/>
      <w:divBdr>
        <w:top w:val="none" w:sz="0" w:space="0" w:color="auto"/>
        <w:left w:val="none" w:sz="0" w:space="0" w:color="auto"/>
        <w:bottom w:val="none" w:sz="0" w:space="0" w:color="auto"/>
        <w:right w:val="none" w:sz="0" w:space="0" w:color="auto"/>
      </w:divBdr>
    </w:div>
    <w:div w:id="1075203314">
      <w:bodyDiv w:val="1"/>
      <w:marLeft w:val="0"/>
      <w:marRight w:val="0"/>
      <w:marTop w:val="0"/>
      <w:marBottom w:val="0"/>
      <w:divBdr>
        <w:top w:val="none" w:sz="0" w:space="0" w:color="auto"/>
        <w:left w:val="none" w:sz="0" w:space="0" w:color="auto"/>
        <w:bottom w:val="none" w:sz="0" w:space="0" w:color="auto"/>
        <w:right w:val="none" w:sz="0" w:space="0" w:color="auto"/>
      </w:divBdr>
    </w:div>
    <w:div w:id="1116217448">
      <w:bodyDiv w:val="1"/>
      <w:marLeft w:val="0"/>
      <w:marRight w:val="0"/>
      <w:marTop w:val="0"/>
      <w:marBottom w:val="0"/>
      <w:divBdr>
        <w:top w:val="none" w:sz="0" w:space="0" w:color="auto"/>
        <w:left w:val="none" w:sz="0" w:space="0" w:color="auto"/>
        <w:bottom w:val="none" w:sz="0" w:space="0" w:color="auto"/>
        <w:right w:val="none" w:sz="0" w:space="0" w:color="auto"/>
      </w:divBdr>
    </w:div>
    <w:div w:id="1130900975">
      <w:bodyDiv w:val="1"/>
      <w:marLeft w:val="0"/>
      <w:marRight w:val="0"/>
      <w:marTop w:val="0"/>
      <w:marBottom w:val="0"/>
      <w:divBdr>
        <w:top w:val="none" w:sz="0" w:space="0" w:color="auto"/>
        <w:left w:val="none" w:sz="0" w:space="0" w:color="auto"/>
        <w:bottom w:val="none" w:sz="0" w:space="0" w:color="auto"/>
        <w:right w:val="none" w:sz="0" w:space="0" w:color="auto"/>
      </w:divBdr>
    </w:div>
    <w:div w:id="1270159356">
      <w:bodyDiv w:val="1"/>
      <w:marLeft w:val="0"/>
      <w:marRight w:val="0"/>
      <w:marTop w:val="0"/>
      <w:marBottom w:val="0"/>
      <w:divBdr>
        <w:top w:val="none" w:sz="0" w:space="0" w:color="auto"/>
        <w:left w:val="none" w:sz="0" w:space="0" w:color="auto"/>
        <w:bottom w:val="none" w:sz="0" w:space="0" w:color="auto"/>
        <w:right w:val="none" w:sz="0" w:space="0" w:color="auto"/>
      </w:divBdr>
    </w:div>
    <w:div w:id="1404720332">
      <w:bodyDiv w:val="1"/>
      <w:marLeft w:val="0"/>
      <w:marRight w:val="0"/>
      <w:marTop w:val="0"/>
      <w:marBottom w:val="0"/>
      <w:divBdr>
        <w:top w:val="none" w:sz="0" w:space="0" w:color="auto"/>
        <w:left w:val="none" w:sz="0" w:space="0" w:color="auto"/>
        <w:bottom w:val="none" w:sz="0" w:space="0" w:color="auto"/>
        <w:right w:val="none" w:sz="0" w:space="0" w:color="auto"/>
      </w:divBdr>
    </w:div>
    <w:div w:id="1467046281">
      <w:bodyDiv w:val="1"/>
      <w:marLeft w:val="0"/>
      <w:marRight w:val="0"/>
      <w:marTop w:val="0"/>
      <w:marBottom w:val="0"/>
      <w:divBdr>
        <w:top w:val="none" w:sz="0" w:space="0" w:color="auto"/>
        <w:left w:val="none" w:sz="0" w:space="0" w:color="auto"/>
        <w:bottom w:val="none" w:sz="0" w:space="0" w:color="auto"/>
        <w:right w:val="none" w:sz="0" w:space="0" w:color="auto"/>
      </w:divBdr>
    </w:div>
    <w:div w:id="1494951454">
      <w:bodyDiv w:val="1"/>
      <w:marLeft w:val="0"/>
      <w:marRight w:val="0"/>
      <w:marTop w:val="0"/>
      <w:marBottom w:val="0"/>
      <w:divBdr>
        <w:top w:val="none" w:sz="0" w:space="0" w:color="auto"/>
        <w:left w:val="none" w:sz="0" w:space="0" w:color="auto"/>
        <w:bottom w:val="none" w:sz="0" w:space="0" w:color="auto"/>
        <w:right w:val="none" w:sz="0" w:space="0" w:color="auto"/>
      </w:divBdr>
    </w:div>
    <w:div w:id="1611812176">
      <w:bodyDiv w:val="1"/>
      <w:marLeft w:val="0"/>
      <w:marRight w:val="0"/>
      <w:marTop w:val="0"/>
      <w:marBottom w:val="0"/>
      <w:divBdr>
        <w:top w:val="none" w:sz="0" w:space="0" w:color="auto"/>
        <w:left w:val="none" w:sz="0" w:space="0" w:color="auto"/>
        <w:bottom w:val="none" w:sz="0" w:space="0" w:color="auto"/>
        <w:right w:val="none" w:sz="0" w:space="0" w:color="auto"/>
      </w:divBdr>
    </w:div>
    <w:div w:id="1726678878">
      <w:bodyDiv w:val="1"/>
      <w:marLeft w:val="0"/>
      <w:marRight w:val="0"/>
      <w:marTop w:val="0"/>
      <w:marBottom w:val="0"/>
      <w:divBdr>
        <w:top w:val="none" w:sz="0" w:space="0" w:color="auto"/>
        <w:left w:val="none" w:sz="0" w:space="0" w:color="auto"/>
        <w:bottom w:val="none" w:sz="0" w:space="0" w:color="auto"/>
        <w:right w:val="none" w:sz="0" w:space="0" w:color="auto"/>
      </w:divBdr>
      <w:divsChild>
        <w:div w:id="750273517">
          <w:marLeft w:val="0"/>
          <w:marRight w:val="0"/>
          <w:marTop w:val="0"/>
          <w:marBottom w:val="0"/>
          <w:divBdr>
            <w:top w:val="none" w:sz="0" w:space="0" w:color="auto"/>
            <w:left w:val="none" w:sz="0" w:space="0" w:color="auto"/>
            <w:bottom w:val="none" w:sz="0" w:space="0" w:color="auto"/>
            <w:right w:val="none" w:sz="0" w:space="0" w:color="auto"/>
          </w:divBdr>
          <w:divsChild>
            <w:div w:id="425157490">
              <w:marLeft w:val="0"/>
              <w:marRight w:val="0"/>
              <w:marTop w:val="0"/>
              <w:marBottom w:val="0"/>
              <w:divBdr>
                <w:top w:val="none" w:sz="0" w:space="0" w:color="auto"/>
                <w:left w:val="none" w:sz="0" w:space="0" w:color="auto"/>
                <w:bottom w:val="none" w:sz="0" w:space="0" w:color="auto"/>
                <w:right w:val="none" w:sz="0" w:space="0" w:color="auto"/>
              </w:divBdr>
              <w:divsChild>
                <w:div w:id="1219315998">
                  <w:marLeft w:val="0"/>
                  <w:marRight w:val="0"/>
                  <w:marTop w:val="0"/>
                  <w:marBottom w:val="0"/>
                  <w:divBdr>
                    <w:top w:val="none" w:sz="0" w:space="0" w:color="auto"/>
                    <w:left w:val="none" w:sz="0" w:space="0" w:color="auto"/>
                    <w:bottom w:val="none" w:sz="0" w:space="0" w:color="auto"/>
                    <w:right w:val="none" w:sz="0" w:space="0" w:color="auto"/>
                  </w:divBdr>
                  <w:divsChild>
                    <w:div w:id="345668145">
                      <w:marLeft w:val="0"/>
                      <w:marRight w:val="0"/>
                      <w:marTop w:val="0"/>
                      <w:marBottom w:val="0"/>
                      <w:divBdr>
                        <w:top w:val="none" w:sz="0" w:space="0" w:color="auto"/>
                        <w:left w:val="none" w:sz="0" w:space="0" w:color="auto"/>
                        <w:bottom w:val="none" w:sz="0" w:space="0" w:color="auto"/>
                        <w:right w:val="none" w:sz="0" w:space="0" w:color="auto"/>
                      </w:divBdr>
                      <w:divsChild>
                        <w:div w:id="1841001604">
                          <w:marLeft w:val="0"/>
                          <w:marRight w:val="0"/>
                          <w:marTop w:val="0"/>
                          <w:marBottom w:val="0"/>
                          <w:divBdr>
                            <w:top w:val="none" w:sz="0" w:space="0" w:color="auto"/>
                            <w:left w:val="none" w:sz="0" w:space="0" w:color="auto"/>
                            <w:bottom w:val="none" w:sz="0" w:space="0" w:color="auto"/>
                            <w:right w:val="none" w:sz="0" w:space="0" w:color="auto"/>
                          </w:divBdr>
                          <w:divsChild>
                            <w:div w:id="746264911">
                              <w:marLeft w:val="0"/>
                              <w:marRight w:val="0"/>
                              <w:marTop w:val="0"/>
                              <w:marBottom w:val="0"/>
                              <w:divBdr>
                                <w:top w:val="none" w:sz="0" w:space="0" w:color="auto"/>
                                <w:left w:val="none" w:sz="0" w:space="0" w:color="auto"/>
                                <w:bottom w:val="none" w:sz="0" w:space="0" w:color="auto"/>
                                <w:right w:val="none" w:sz="0" w:space="0" w:color="auto"/>
                              </w:divBdr>
                              <w:divsChild>
                                <w:div w:id="1176074873">
                                  <w:marLeft w:val="0"/>
                                  <w:marRight w:val="0"/>
                                  <w:marTop w:val="0"/>
                                  <w:marBottom w:val="0"/>
                                  <w:divBdr>
                                    <w:top w:val="none" w:sz="0" w:space="0" w:color="auto"/>
                                    <w:left w:val="none" w:sz="0" w:space="0" w:color="auto"/>
                                    <w:bottom w:val="none" w:sz="0" w:space="0" w:color="auto"/>
                                    <w:right w:val="none" w:sz="0" w:space="0" w:color="auto"/>
                                  </w:divBdr>
                                  <w:divsChild>
                                    <w:div w:id="2032221453">
                                      <w:marLeft w:val="0"/>
                                      <w:marRight w:val="0"/>
                                      <w:marTop w:val="0"/>
                                      <w:marBottom w:val="0"/>
                                      <w:divBdr>
                                        <w:top w:val="none" w:sz="0" w:space="0" w:color="auto"/>
                                        <w:left w:val="none" w:sz="0" w:space="0" w:color="auto"/>
                                        <w:bottom w:val="none" w:sz="0" w:space="0" w:color="auto"/>
                                        <w:right w:val="none" w:sz="0" w:space="0" w:color="auto"/>
                                      </w:divBdr>
                                      <w:divsChild>
                                        <w:div w:id="1378164351">
                                          <w:marLeft w:val="0"/>
                                          <w:marRight w:val="0"/>
                                          <w:marTop w:val="0"/>
                                          <w:marBottom w:val="0"/>
                                          <w:divBdr>
                                            <w:top w:val="none" w:sz="0" w:space="0" w:color="auto"/>
                                            <w:left w:val="none" w:sz="0" w:space="0" w:color="auto"/>
                                            <w:bottom w:val="none" w:sz="0" w:space="0" w:color="auto"/>
                                            <w:right w:val="none" w:sz="0" w:space="0" w:color="auto"/>
                                          </w:divBdr>
                                          <w:divsChild>
                                            <w:div w:id="951933483">
                                              <w:marLeft w:val="0"/>
                                              <w:marRight w:val="0"/>
                                              <w:marTop w:val="0"/>
                                              <w:marBottom w:val="0"/>
                                              <w:divBdr>
                                                <w:top w:val="none" w:sz="0" w:space="0" w:color="auto"/>
                                                <w:left w:val="none" w:sz="0" w:space="0" w:color="auto"/>
                                                <w:bottom w:val="none" w:sz="0" w:space="0" w:color="auto"/>
                                                <w:right w:val="none" w:sz="0" w:space="0" w:color="auto"/>
                                              </w:divBdr>
                                              <w:divsChild>
                                                <w:div w:id="6507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0065292">
      <w:bodyDiv w:val="1"/>
      <w:marLeft w:val="0"/>
      <w:marRight w:val="0"/>
      <w:marTop w:val="0"/>
      <w:marBottom w:val="0"/>
      <w:divBdr>
        <w:top w:val="none" w:sz="0" w:space="0" w:color="auto"/>
        <w:left w:val="none" w:sz="0" w:space="0" w:color="auto"/>
        <w:bottom w:val="none" w:sz="0" w:space="0" w:color="auto"/>
        <w:right w:val="none" w:sz="0" w:space="0" w:color="auto"/>
      </w:divBdr>
    </w:div>
    <w:div w:id="196715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72784-A4C2-4A61-902B-EE78380C8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467</TotalTime>
  <Pages>34</Pages>
  <Words>9908</Words>
  <Characters>56516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Sector overview G Housing and Homelessness services - Report on Government Services 2016</vt:lpstr>
    </vt:vector>
  </TitlesOfParts>
  <Company>Productivity Commission</Company>
  <LinksUpToDate>false</LinksUpToDate>
  <CharactersWithSpaces>66292</CharactersWithSpaces>
  <SharedDoc>false</SharedDoc>
  <HLinks>
    <vt:vector size="180" baseType="variant">
      <vt:variant>
        <vt:i4>131130</vt:i4>
      </vt:variant>
      <vt:variant>
        <vt:i4>321</vt:i4>
      </vt:variant>
      <vt:variant>
        <vt:i4>0</vt:i4>
      </vt:variant>
      <vt:variant>
        <vt:i4>5</vt:i4>
      </vt:variant>
      <vt:variant>
        <vt:lpwstr>C:\Users\svassiliou\AppData\Local\Microsoft\Windows\Temporary Internet Files\Content.MSO\E7C0528E.xlsm</vt:lpwstr>
      </vt:variant>
      <vt:variant>
        <vt:lpwstr>'Table GA.32'!A1</vt:lpwstr>
      </vt:variant>
      <vt:variant>
        <vt:i4>65594</vt:i4>
      </vt:variant>
      <vt:variant>
        <vt:i4>318</vt:i4>
      </vt:variant>
      <vt:variant>
        <vt:i4>0</vt:i4>
      </vt:variant>
      <vt:variant>
        <vt:i4>5</vt:i4>
      </vt:variant>
      <vt:variant>
        <vt:lpwstr>C:\Users\svassiliou\AppData\Local\Microsoft\Windows\Temporary Internet Files\Content.MSO\E7C0528E.xlsm</vt:lpwstr>
      </vt:variant>
      <vt:variant>
        <vt:lpwstr>'Table GA.31'!A1</vt:lpwstr>
      </vt:variant>
      <vt:variant>
        <vt:i4>58</vt:i4>
      </vt:variant>
      <vt:variant>
        <vt:i4>315</vt:i4>
      </vt:variant>
      <vt:variant>
        <vt:i4>0</vt:i4>
      </vt:variant>
      <vt:variant>
        <vt:i4>5</vt:i4>
      </vt:variant>
      <vt:variant>
        <vt:lpwstr>C:\Users\svassiliou\AppData\Local\Microsoft\Windows\Temporary Internet Files\Content.MSO\E7C0528E.xlsm</vt:lpwstr>
      </vt:variant>
      <vt:variant>
        <vt:lpwstr>'Table GA.30'!A1</vt:lpwstr>
      </vt:variant>
      <vt:variant>
        <vt:i4>589883</vt:i4>
      </vt:variant>
      <vt:variant>
        <vt:i4>312</vt:i4>
      </vt:variant>
      <vt:variant>
        <vt:i4>0</vt:i4>
      </vt:variant>
      <vt:variant>
        <vt:i4>5</vt:i4>
      </vt:variant>
      <vt:variant>
        <vt:lpwstr>C:\Users\svassiliou\AppData\Local\Microsoft\Windows\Temporary Internet Files\Content.MSO\E7C0528E.xlsm</vt:lpwstr>
      </vt:variant>
      <vt:variant>
        <vt:lpwstr>'Table GA.29'!A1</vt:lpwstr>
      </vt:variant>
      <vt:variant>
        <vt:i4>524347</vt:i4>
      </vt:variant>
      <vt:variant>
        <vt:i4>309</vt:i4>
      </vt:variant>
      <vt:variant>
        <vt:i4>0</vt:i4>
      </vt:variant>
      <vt:variant>
        <vt:i4>5</vt:i4>
      </vt:variant>
      <vt:variant>
        <vt:lpwstr>C:\Users\svassiliou\AppData\Local\Microsoft\Windows\Temporary Internet Files\Content.MSO\E7C0528E.xlsm</vt:lpwstr>
      </vt:variant>
      <vt:variant>
        <vt:lpwstr>'Table GA.28'!A1</vt:lpwstr>
      </vt:variant>
      <vt:variant>
        <vt:i4>458811</vt:i4>
      </vt:variant>
      <vt:variant>
        <vt:i4>306</vt:i4>
      </vt:variant>
      <vt:variant>
        <vt:i4>0</vt:i4>
      </vt:variant>
      <vt:variant>
        <vt:i4>5</vt:i4>
      </vt:variant>
      <vt:variant>
        <vt:lpwstr>C:\Users\svassiliou\AppData\Local\Microsoft\Windows\Temporary Internet Files\Content.MSO\E7C0528E.xlsm</vt:lpwstr>
      </vt:variant>
      <vt:variant>
        <vt:lpwstr>'Table GA.27'!A1</vt:lpwstr>
      </vt:variant>
      <vt:variant>
        <vt:i4>393275</vt:i4>
      </vt:variant>
      <vt:variant>
        <vt:i4>303</vt:i4>
      </vt:variant>
      <vt:variant>
        <vt:i4>0</vt:i4>
      </vt:variant>
      <vt:variant>
        <vt:i4>5</vt:i4>
      </vt:variant>
      <vt:variant>
        <vt:lpwstr>C:\Users\svassiliou\AppData\Local\Microsoft\Windows\Temporary Internet Files\Content.MSO\E7C0528E.xlsm</vt:lpwstr>
      </vt:variant>
      <vt:variant>
        <vt:lpwstr>'Table GA.26'!A1</vt:lpwstr>
      </vt:variant>
      <vt:variant>
        <vt:i4>327739</vt:i4>
      </vt:variant>
      <vt:variant>
        <vt:i4>300</vt:i4>
      </vt:variant>
      <vt:variant>
        <vt:i4>0</vt:i4>
      </vt:variant>
      <vt:variant>
        <vt:i4>5</vt:i4>
      </vt:variant>
      <vt:variant>
        <vt:lpwstr>C:\Users\svassiliou\AppData\Local\Microsoft\Windows\Temporary Internet Files\Content.MSO\E7C0528E.xlsm</vt:lpwstr>
      </vt:variant>
      <vt:variant>
        <vt:lpwstr>'Table GA.25'!A1</vt:lpwstr>
      </vt:variant>
      <vt:variant>
        <vt:i4>262203</vt:i4>
      </vt:variant>
      <vt:variant>
        <vt:i4>297</vt:i4>
      </vt:variant>
      <vt:variant>
        <vt:i4>0</vt:i4>
      </vt:variant>
      <vt:variant>
        <vt:i4>5</vt:i4>
      </vt:variant>
      <vt:variant>
        <vt:lpwstr>C:\Users\svassiliou\AppData\Local\Microsoft\Windows\Temporary Internet Files\Content.MSO\E7C0528E.xlsm</vt:lpwstr>
      </vt:variant>
      <vt:variant>
        <vt:lpwstr>'Table GA.24'!A1</vt:lpwstr>
      </vt:variant>
      <vt:variant>
        <vt:i4>196667</vt:i4>
      </vt:variant>
      <vt:variant>
        <vt:i4>294</vt:i4>
      </vt:variant>
      <vt:variant>
        <vt:i4>0</vt:i4>
      </vt:variant>
      <vt:variant>
        <vt:i4>5</vt:i4>
      </vt:variant>
      <vt:variant>
        <vt:lpwstr>C:\Users\svassiliou\AppData\Local\Microsoft\Windows\Temporary Internet Files\Content.MSO\E7C0528E.xlsm</vt:lpwstr>
      </vt:variant>
      <vt:variant>
        <vt:lpwstr>'Table GA.23'!A1</vt:lpwstr>
      </vt:variant>
      <vt:variant>
        <vt:i4>131131</vt:i4>
      </vt:variant>
      <vt:variant>
        <vt:i4>291</vt:i4>
      </vt:variant>
      <vt:variant>
        <vt:i4>0</vt:i4>
      </vt:variant>
      <vt:variant>
        <vt:i4>5</vt:i4>
      </vt:variant>
      <vt:variant>
        <vt:lpwstr>C:\Users\svassiliou\AppData\Local\Microsoft\Windows\Temporary Internet Files\Content.MSO\E7C0528E.xlsm</vt:lpwstr>
      </vt:variant>
      <vt:variant>
        <vt:lpwstr>'Table GA.22'!A1</vt:lpwstr>
      </vt:variant>
      <vt:variant>
        <vt:i4>65595</vt:i4>
      </vt:variant>
      <vt:variant>
        <vt:i4>288</vt:i4>
      </vt:variant>
      <vt:variant>
        <vt:i4>0</vt:i4>
      </vt:variant>
      <vt:variant>
        <vt:i4>5</vt:i4>
      </vt:variant>
      <vt:variant>
        <vt:lpwstr>C:\Users\svassiliou\AppData\Local\Microsoft\Windows\Temporary Internet Files\Content.MSO\E7C0528E.xlsm</vt:lpwstr>
      </vt:variant>
      <vt:variant>
        <vt:lpwstr>'Table GA.21'!A1</vt:lpwstr>
      </vt:variant>
      <vt:variant>
        <vt:i4>59</vt:i4>
      </vt:variant>
      <vt:variant>
        <vt:i4>285</vt:i4>
      </vt:variant>
      <vt:variant>
        <vt:i4>0</vt:i4>
      </vt:variant>
      <vt:variant>
        <vt:i4>5</vt:i4>
      </vt:variant>
      <vt:variant>
        <vt:lpwstr>C:\Users\svassiliou\AppData\Local\Microsoft\Windows\Temporary Internet Files\Content.MSO\E7C0528E.xlsm</vt:lpwstr>
      </vt:variant>
      <vt:variant>
        <vt:lpwstr>'Table GA.20'!A1</vt:lpwstr>
      </vt:variant>
      <vt:variant>
        <vt:i4>589880</vt:i4>
      </vt:variant>
      <vt:variant>
        <vt:i4>282</vt:i4>
      </vt:variant>
      <vt:variant>
        <vt:i4>0</vt:i4>
      </vt:variant>
      <vt:variant>
        <vt:i4>5</vt:i4>
      </vt:variant>
      <vt:variant>
        <vt:lpwstr>C:\Users\svassiliou\AppData\Local\Microsoft\Windows\Temporary Internet Files\Content.MSO\E7C0528E.xlsm</vt:lpwstr>
      </vt:variant>
      <vt:variant>
        <vt:lpwstr>'Table GA.19'!A1</vt:lpwstr>
      </vt:variant>
      <vt:variant>
        <vt:i4>524344</vt:i4>
      </vt:variant>
      <vt:variant>
        <vt:i4>279</vt:i4>
      </vt:variant>
      <vt:variant>
        <vt:i4>0</vt:i4>
      </vt:variant>
      <vt:variant>
        <vt:i4>5</vt:i4>
      </vt:variant>
      <vt:variant>
        <vt:lpwstr>C:\Users\svassiliou\AppData\Local\Microsoft\Windows\Temporary Internet Files\Content.MSO\E7C0528E.xlsm</vt:lpwstr>
      </vt:variant>
      <vt:variant>
        <vt:lpwstr>'Table GA.18'!A1</vt:lpwstr>
      </vt:variant>
      <vt:variant>
        <vt:i4>458808</vt:i4>
      </vt:variant>
      <vt:variant>
        <vt:i4>276</vt:i4>
      </vt:variant>
      <vt:variant>
        <vt:i4>0</vt:i4>
      </vt:variant>
      <vt:variant>
        <vt:i4>5</vt:i4>
      </vt:variant>
      <vt:variant>
        <vt:lpwstr>C:\Users\svassiliou\AppData\Local\Microsoft\Windows\Temporary Internet Files\Content.MSO\E7C0528E.xlsm</vt:lpwstr>
      </vt:variant>
      <vt:variant>
        <vt:lpwstr>'Table GA.17'!A1</vt:lpwstr>
      </vt:variant>
      <vt:variant>
        <vt:i4>393272</vt:i4>
      </vt:variant>
      <vt:variant>
        <vt:i4>273</vt:i4>
      </vt:variant>
      <vt:variant>
        <vt:i4>0</vt:i4>
      </vt:variant>
      <vt:variant>
        <vt:i4>5</vt:i4>
      </vt:variant>
      <vt:variant>
        <vt:lpwstr>C:\Users\svassiliou\AppData\Local\Microsoft\Windows\Temporary Internet Files\Content.MSO\E7C0528E.xlsm</vt:lpwstr>
      </vt:variant>
      <vt:variant>
        <vt:lpwstr>'Table GA.16'!A1</vt:lpwstr>
      </vt:variant>
      <vt:variant>
        <vt:i4>327736</vt:i4>
      </vt:variant>
      <vt:variant>
        <vt:i4>270</vt:i4>
      </vt:variant>
      <vt:variant>
        <vt:i4>0</vt:i4>
      </vt:variant>
      <vt:variant>
        <vt:i4>5</vt:i4>
      </vt:variant>
      <vt:variant>
        <vt:lpwstr>C:\Users\svassiliou\AppData\Local\Microsoft\Windows\Temporary Internet Files\Content.MSO\E7C0528E.xlsm</vt:lpwstr>
      </vt:variant>
      <vt:variant>
        <vt:lpwstr>'Table GA.15'!A1</vt:lpwstr>
      </vt:variant>
      <vt:variant>
        <vt:i4>262200</vt:i4>
      </vt:variant>
      <vt:variant>
        <vt:i4>267</vt:i4>
      </vt:variant>
      <vt:variant>
        <vt:i4>0</vt:i4>
      </vt:variant>
      <vt:variant>
        <vt:i4>5</vt:i4>
      </vt:variant>
      <vt:variant>
        <vt:lpwstr>C:\Users\svassiliou\AppData\Local\Microsoft\Windows\Temporary Internet Files\Content.MSO\E7C0528E.xlsm</vt:lpwstr>
      </vt:variant>
      <vt:variant>
        <vt:lpwstr>'Table GA.14'!A1</vt:lpwstr>
      </vt:variant>
      <vt:variant>
        <vt:i4>196664</vt:i4>
      </vt:variant>
      <vt:variant>
        <vt:i4>264</vt:i4>
      </vt:variant>
      <vt:variant>
        <vt:i4>0</vt:i4>
      </vt:variant>
      <vt:variant>
        <vt:i4>5</vt:i4>
      </vt:variant>
      <vt:variant>
        <vt:lpwstr>C:\Users\svassiliou\AppData\Local\Microsoft\Windows\Temporary Internet Files\Content.MSO\E7C0528E.xlsm</vt:lpwstr>
      </vt:variant>
      <vt:variant>
        <vt:lpwstr>'Table GA.13'!A1</vt:lpwstr>
      </vt:variant>
      <vt:variant>
        <vt:i4>131128</vt:i4>
      </vt:variant>
      <vt:variant>
        <vt:i4>261</vt:i4>
      </vt:variant>
      <vt:variant>
        <vt:i4>0</vt:i4>
      </vt:variant>
      <vt:variant>
        <vt:i4>5</vt:i4>
      </vt:variant>
      <vt:variant>
        <vt:lpwstr>C:\Users\svassiliou\AppData\Local\Microsoft\Windows\Temporary Internet Files\Content.MSO\E7C0528E.xlsm</vt:lpwstr>
      </vt:variant>
      <vt:variant>
        <vt:lpwstr>'Table GA.12'!A1</vt:lpwstr>
      </vt:variant>
      <vt:variant>
        <vt:i4>65592</vt:i4>
      </vt:variant>
      <vt:variant>
        <vt:i4>258</vt:i4>
      </vt:variant>
      <vt:variant>
        <vt:i4>0</vt:i4>
      </vt:variant>
      <vt:variant>
        <vt:i4>5</vt:i4>
      </vt:variant>
      <vt:variant>
        <vt:lpwstr>C:\Users\svassiliou\AppData\Local\Microsoft\Windows\Temporary Internet Files\Content.MSO\E7C0528E.xlsm</vt:lpwstr>
      </vt:variant>
      <vt:variant>
        <vt:lpwstr>'Table GA.11'!A1</vt:lpwstr>
      </vt:variant>
      <vt:variant>
        <vt:i4>56</vt:i4>
      </vt:variant>
      <vt:variant>
        <vt:i4>255</vt:i4>
      </vt:variant>
      <vt:variant>
        <vt:i4>0</vt:i4>
      </vt:variant>
      <vt:variant>
        <vt:i4>5</vt:i4>
      </vt:variant>
      <vt:variant>
        <vt:lpwstr>C:\Users\svassiliou\AppData\Local\Microsoft\Windows\Temporary Internet Files\Content.MSO\E7C0528E.xlsm</vt:lpwstr>
      </vt:variant>
      <vt:variant>
        <vt:lpwstr>'Table GA.10'!A1</vt:lpwstr>
      </vt:variant>
      <vt:variant>
        <vt:i4>1507382</vt:i4>
      </vt:variant>
      <vt:variant>
        <vt:i4>38</vt:i4>
      </vt:variant>
      <vt:variant>
        <vt:i4>0</vt:i4>
      </vt:variant>
      <vt:variant>
        <vt:i4>5</vt:i4>
      </vt:variant>
      <vt:variant>
        <vt:lpwstr/>
      </vt:variant>
      <vt:variant>
        <vt:lpwstr>_Toc306106371</vt:lpwstr>
      </vt:variant>
      <vt:variant>
        <vt:i4>1507382</vt:i4>
      </vt:variant>
      <vt:variant>
        <vt:i4>32</vt:i4>
      </vt:variant>
      <vt:variant>
        <vt:i4>0</vt:i4>
      </vt:variant>
      <vt:variant>
        <vt:i4>5</vt:i4>
      </vt:variant>
      <vt:variant>
        <vt:lpwstr/>
      </vt:variant>
      <vt:variant>
        <vt:lpwstr>_Toc306106370</vt:lpwstr>
      </vt:variant>
      <vt:variant>
        <vt:i4>1441846</vt:i4>
      </vt:variant>
      <vt:variant>
        <vt:i4>26</vt:i4>
      </vt:variant>
      <vt:variant>
        <vt:i4>0</vt:i4>
      </vt:variant>
      <vt:variant>
        <vt:i4>5</vt:i4>
      </vt:variant>
      <vt:variant>
        <vt:lpwstr/>
      </vt:variant>
      <vt:variant>
        <vt:lpwstr>_Toc306106369</vt:lpwstr>
      </vt:variant>
      <vt:variant>
        <vt:i4>1441846</vt:i4>
      </vt:variant>
      <vt:variant>
        <vt:i4>20</vt:i4>
      </vt:variant>
      <vt:variant>
        <vt:i4>0</vt:i4>
      </vt:variant>
      <vt:variant>
        <vt:i4>5</vt:i4>
      </vt:variant>
      <vt:variant>
        <vt:lpwstr/>
      </vt:variant>
      <vt:variant>
        <vt:lpwstr>_Toc306106368</vt:lpwstr>
      </vt:variant>
      <vt:variant>
        <vt:i4>1441846</vt:i4>
      </vt:variant>
      <vt:variant>
        <vt:i4>14</vt:i4>
      </vt:variant>
      <vt:variant>
        <vt:i4>0</vt:i4>
      </vt:variant>
      <vt:variant>
        <vt:i4>5</vt:i4>
      </vt:variant>
      <vt:variant>
        <vt:lpwstr/>
      </vt:variant>
      <vt:variant>
        <vt:lpwstr>_Toc306106367</vt:lpwstr>
      </vt:variant>
      <vt:variant>
        <vt:i4>1441846</vt:i4>
      </vt:variant>
      <vt:variant>
        <vt:i4>8</vt:i4>
      </vt:variant>
      <vt:variant>
        <vt:i4>0</vt:i4>
      </vt:variant>
      <vt:variant>
        <vt:i4>5</vt:i4>
      </vt:variant>
      <vt:variant>
        <vt:lpwstr/>
      </vt:variant>
      <vt:variant>
        <vt:lpwstr>_Toc306106366</vt:lpwstr>
      </vt:variant>
      <vt:variant>
        <vt:i4>1441846</vt:i4>
      </vt:variant>
      <vt:variant>
        <vt:i4>2</vt:i4>
      </vt:variant>
      <vt:variant>
        <vt:i4>0</vt:i4>
      </vt:variant>
      <vt:variant>
        <vt:i4>5</vt:i4>
      </vt:variant>
      <vt:variant>
        <vt:lpwstr/>
      </vt:variant>
      <vt:variant>
        <vt:lpwstr>_Toc306106365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G Housing and Homelessness services - Report on Government Services 2016</dc:title>
  <dc:creator>Steering Committee for the Review of Government Service Provision</dc:creator>
  <cp:lastModifiedBy>McDonald, Andrew</cp:lastModifiedBy>
  <cp:revision>43</cp:revision>
  <cp:lastPrinted>2016-01-07T00:26:00Z</cp:lastPrinted>
  <dcterms:created xsi:type="dcterms:W3CDTF">2015-12-01T02:40:00Z</dcterms:created>
  <dcterms:modified xsi:type="dcterms:W3CDTF">2016-01-25T00:52:00Z</dcterms:modified>
</cp:coreProperties>
</file>