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F368E9" w:rsidRDefault="00AB2CB0" w:rsidP="00AB2CB0">
      <w:pPr>
        <w:pStyle w:val="Heading1"/>
      </w:pPr>
      <w:bookmarkStart w:id="0" w:name="ChapterNumber"/>
      <w:bookmarkStart w:id="1" w:name="_Toc456775986"/>
      <w:bookmarkStart w:id="2" w:name="_Toc456776016"/>
      <w:bookmarkStart w:id="3" w:name="_Toc456776251"/>
      <w:bookmarkStart w:id="4" w:name="_Toc459734468"/>
      <w:bookmarkStart w:id="5" w:name="_Toc463245138"/>
      <w:bookmarkStart w:id="6" w:name="_GoBack"/>
      <w:bookmarkEnd w:id="6"/>
      <w:r w:rsidRPr="00F368E9">
        <w:t>B</w:t>
      </w:r>
      <w:bookmarkEnd w:id="0"/>
      <w:r w:rsidRPr="00F368E9">
        <w:tab/>
      </w:r>
      <w:bookmarkStart w:id="7" w:name="_Appendix"/>
      <w:bookmarkStart w:id="8" w:name="ChapterTitle"/>
      <w:bookmarkEnd w:id="7"/>
      <w:r w:rsidRPr="00F368E9">
        <w:t>Child care, education and training sector overview</w:t>
      </w:r>
      <w:bookmarkEnd w:id="1"/>
      <w:bookmarkEnd w:id="2"/>
      <w:bookmarkEnd w:id="3"/>
      <w:bookmarkEnd w:id="4"/>
      <w:bookmarkEnd w:id="8"/>
      <w:bookmarkEnd w:id="5"/>
    </w:p>
    <w:sdt>
      <w:sdtPr>
        <w:rPr>
          <w:rFonts w:ascii="Arial" w:hAnsi="Arial"/>
          <w:kern w:val="28"/>
          <w:sz w:val="52"/>
          <w:szCs w:val="26"/>
          <w:lang w:eastAsia="en-US"/>
        </w:rPr>
        <w:id w:val="26771068"/>
        <w:docPartObj>
          <w:docPartGallery w:val="Table of Contents"/>
          <w:docPartUnique/>
        </w:docPartObj>
      </w:sdtPr>
      <w:sdtEndPr>
        <w:rPr>
          <w:noProof/>
          <w:kern w:val="0"/>
          <w:sz w:val="26"/>
        </w:rPr>
      </w:sdtEndPr>
      <w:sdtContent>
        <w:p w:rsidR="00D33DB6" w:rsidRPr="00F368E9" w:rsidRDefault="00D33DB6" w:rsidP="00D33DB6">
          <w:pPr>
            <w:tabs>
              <w:tab w:val="right" w:pos="8789"/>
            </w:tabs>
            <w:spacing w:before="120" w:line="320" w:lineRule="exact"/>
            <w:ind w:left="510" w:right="851" w:hanging="510"/>
            <w:rPr>
              <w:rStyle w:val="Heading4Char"/>
            </w:rPr>
          </w:pPr>
          <w:r w:rsidRPr="00F368E9">
            <w:rPr>
              <w:rStyle w:val="Heading4Char"/>
            </w:rPr>
            <w:t>CONTENTS</w:t>
          </w:r>
        </w:p>
        <w:p w:rsidR="00C81139" w:rsidRPr="00F368E9" w:rsidRDefault="00C81139">
          <w:pPr>
            <w:pStyle w:val="TOC2"/>
            <w:tabs>
              <w:tab w:val="left" w:pos="1134"/>
            </w:tabs>
            <w:rPr>
              <w:noProof/>
            </w:rPr>
          </w:pPr>
          <w:r w:rsidRPr="00F368E9">
            <w:rPr>
              <w:noProof/>
            </w:rPr>
            <w:t>B.1</w:t>
          </w:r>
          <w:r w:rsidRPr="00F368E9">
            <w:rPr>
              <w:noProof/>
            </w:rPr>
            <w:tab/>
            <w:t>Introduction</w:t>
          </w:r>
          <w:r w:rsidRPr="00F368E9">
            <w:rPr>
              <w:noProof/>
            </w:rPr>
            <w:tab/>
            <w:t>B.</w:t>
          </w:r>
          <w:r w:rsidR="001564B9">
            <w:rPr>
              <w:noProof/>
            </w:rPr>
            <w:t>1</w:t>
          </w:r>
        </w:p>
        <w:p w:rsidR="00C81139" w:rsidRPr="00F368E9" w:rsidRDefault="00C81139">
          <w:pPr>
            <w:pStyle w:val="TOC2"/>
            <w:tabs>
              <w:tab w:val="left" w:pos="1134"/>
            </w:tabs>
            <w:rPr>
              <w:noProof/>
            </w:rPr>
          </w:pPr>
          <w:r w:rsidRPr="00F368E9">
            <w:rPr>
              <w:noProof/>
            </w:rPr>
            <w:t>B.2</w:t>
          </w:r>
          <w:r w:rsidRPr="00F368E9">
            <w:rPr>
              <w:noProof/>
            </w:rPr>
            <w:tab/>
            <w:t>Sector performance indicator framework</w:t>
          </w:r>
          <w:r w:rsidRPr="00F368E9">
            <w:rPr>
              <w:noProof/>
            </w:rPr>
            <w:tab/>
            <w:t>B.</w:t>
          </w:r>
          <w:r w:rsidR="001564B9">
            <w:rPr>
              <w:noProof/>
            </w:rPr>
            <w:t>8</w:t>
          </w:r>
        </w:p>
        <w:p w:rsidR="00C81139" w:rsidRPr="00F368E9" w:rsidRDefault="00C81139">
          <w:pPr>
            <w:pStyle w:val="TOC2"/>
            <w:tabs>
              <w:tab w:val="left" w:pos="1134"/>
            </w:tabs>
            <w:rPr>
              <w:noProof/>
            </w:rPr>
          </w:pPr>
          <w:r w:rsidRPr="00F368E9">
            <w:rPr>
              <w:noProof/>
            </w:rPr>
            <w:t>B.3</w:t>
          </w:r>
          <w:r w:rsidRPr="00F368E9">
            <w:rPr>
              <w:noProof/>
            </w:rPr>
            <w:tab/>
            <w:t>Cross</w:t>
          </w:r>
          <w:r w:rsidRPr="00F368E9">
            <w:rPr>
              <w:noProof/>
            </w:rPr>
            <w:noBreakHyphen/>
            <w:t>cutting and interface issues</w:t>
          </w:r>
          <w:r w:rsidRPr="00F368E9">
            <w:rPr>
              <w:noProof/>
            </w:rPr>
            <w:tab/>
            <w:t>B.</w:t>
          </w:r>
          <w:r w:rsidR="001564B9">
            <w:rPr>
              <w:noProof/>
            </w:rPr>
            <w:t>22</w:t>
          </w:r>
        </w:p>
        <w:p w:rsidR="00973112" w:rsidRPr="00F368E9" w:rsidRDefault="00C81139" w:rsidP="0092252F">
          <w:pPr>
            <w:pStyle w:val="TOC2"/>
            <w:tabs>
              <w:tab w:val="left" w:pos="1134"/>
            </w:tabs>
            <w:rPr>
              <w:noProof/>
            </w:rPr>
          </w:pPr>
          <w:r w:rsidRPr="00F368E9">
            <w:rPr>
              <w:noProof/>
            </w:rPr>
            <w:t>B.4</w:t>
          </w:r>
          <w:r w:rsidRPr="00F368E9">
            <w:rPr>
              <w:noProof/>
            </w:rPr>
            <w:tab/>
            <w:t>References</w:t>
          </w:r>
          <w:r w:rsidRPr="00F368E9">
            <w:rPr>
              <w:noProof/>
            </w:rPr>
            <w:tab/>
            <w:t>B.</w:t>
          </w:r>
          <w:r w:rsidR="001564B9">
            <w:rPr>
              <w:noProof/>
            </w:rPr>
            <w:t>23</w:t>
          </w:r>
        </w:p>
      </w:sdtContent>
    </w:sdt>
    <w:p w:rsidR="00A40F63" w:rsidRDefault="00A40F63" w:rsidP="00A40F63">
      <w:pPr>
        <w:pStyle w:val="BodyTex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40F63" w:rsidTr="00B0324F">
        <w:tc>
          <w:tcPr>
            <w:tcW w:w="8771" w:type="dxa"/>
            <w:tcBorders>
              <w:top w:val="single" w:sz="6" w:space="0" w:color="78A22F"/>
              <w:left w:val="nil"/>
              <w:bottom w:val="nil"/>
              <w:right w:val="nil"/>
            </w:tcBorders>
            <w:shd w:val="clear" w:color="auto" w:fill="F2F2F2"/>
          </w:tcPr>
          <w:p w:rsidR="00A40F63" w:rsidRPr="00F368E9" w:rsidRDefault="00A40F63" w:rsidP="00B0324F">
            <w:pPr>
              <w:pStyle w:val="BoxTitle"/>
            </w:pPr>
            <w:r w:rsidRPr="00F368E9">
              <w:t>Attachment tables</w:t>
            </w:r>
            <w:r w:rsidRPr="00F368E9">
              <w:rPr>
                <w:b w:val="0"/>
              </w:rPr>
              <w:t xml:space="preserve"> </w:t>
            </w:r>
          </w:p>
        </w:tc>
      </w:tr>
      <w:tr w:rsidR="00A40F63" w:rsidTr="00B0324F">
        <w:trPr>
          <w:cantSplit/>
        </w:trPr>
        <w:tc>
          <w:tcPr>
            <w:tcW w:w="8771" w:type="dxa"/>
            <w:tcBorders>
              <w:top w:val="nil"/>
              <w:left w:val="nil"/>
              <w:bottom w:val="nil"/>
              <w:right w:val="nil"/>
            </w:tcBorders>
            <w:shd w:val="clear" w:color="auto" w:fill="F2F2F2"/>
          </w:tcPr>
          <w:p w:rsidR="00A40F63" w:rsidRPr="00F368E9" w:rsidRDefault="00A40F63" w:rsidP="00B0324F">
            <w:pPr>
              <w:pStyle w:val="Box"/>
            </w:pPr>
            <w:r w:rsidRPr="00F368E9">
              <w:t xml:space="preserve">Attachment tables are identified in references throughout this sector overview by a ‘BA’ prefix (for example, table </w:t>
            </w:r>
            <w:proofErr w:type="spellStart"/>
            <w:r w:rsidRPr="00F368E9">
              <w:t>BA.1</w:t>
            </w:r>
            <w:proofErr w:type="spellEnd"/>
            <w:r w:rsidRPr="00F368E9">
              <w:t xml:space="preserve">) and are available from the website </w:t>
            </w:r>
            <w:proofErr w:type="spellStart"/>
            <w:r w:rsidRPr="00F368E9">
              <w:t>www.pc.gov.au</w:t>
            </w:r>
            <w:proofErr w:type="spellEnd"/>
            <w:r w:rsidRPr="00F368E9">
              <w:t>/</w:t>
            </w:r>
            <w:proofErr w:type="spellStart"/>
            <w:r w:rsidRPr="00F368E9">
              <w:t>rogs</w:t>
            </w:r>
            <w:proofErr w:type="spellEnd"/>
            <w:r w:rsidRPr="00F368E9">
              <w:t>/2017.</w:t>
            </w:r>
          </w:p>
        </w:tc>
      </w:tr>
      <w:tr w:rsidR="00A40F63" w:rsidTr="00B0324F">
        <w:trPr>
          <w:cantSplit/>
        </w:trPr>
        <w:tc>
          <w:tcPr>
            <w:tcW w:w="8771" w:type="dxa"/>
            <w:tcBorders>
              <w:top w:val="nil"/>
              <w:left w:val="nil"/>
              <w:bottom w:val="single" w:sz="6" w:space="0" w:color="78A22F"/>
              <w:right w:val="nil"/>
            </w:tcBorders>
            <w:shd w:val="clear" w:color="auto" w:fill="F2F2F2"/>
          </w:tcPr>
          <w:p w:rsidR="00A40F63" w:rsidRDefault="00A40F63" w:rsidP="00B0324F">
            <w:pPr>
              <w:pStyle w:val="Box"/>
              <w:spacing w:before="0" w:line="120" w:lineRule="exact"/>
            </w:pPr>
          </w:p>
        </w:tc>
      </w:tr>
      <w:tr w:rsidR="00A40F63" w:rsidRPr="000863A5" w:rsidTr="00B0324F">
        <w:tc>
          <w:tcPr>
            <w:tcW w:w="8771" w:type="dxa"/>
            <w:tcBorders>
              <w:top w:val="single" w:sz="6" w:space="0" w:color="78A22F"/>
              <w:left w:val="nil"/>
              <w:bottom w:val="nil"/>
              <w:right w:val="nil"/>
            </w:tcBorders>
          </w:tcPr>
          <w:p w:rsidR="00A40F63" w:rsidRPr="00626D32" w:rsidRDefault="00A40F63" w:rsidP="00B0324F">
            <w:pPr>
              <w:pStyle w:val="BoxSpaceBelow"/>
            </w:pPr>
          </w:p>
        </w:tc>
      </w:tr>
    </w:tbl>
    <w:p w:rsidR="00C32684" w:rsidRPr="00F368E9" w:rsidRDefault="00264A34" w:rsidP="00C32684">
      <w:pPr>
        <w:pStyle w:val="Heading2"/>
      </w:pPr>
      <w:bookmarkStart w:id="9" w:name="_Toc443391280"/>
      <w:bookmarkStart w:id="10" w:name="_Toc450729657"/>
      <w:bookmarkStart w:id="11" w:name="_Toc456775987"/>
      <w:bookmarkStart w:id="12" w:name="_Toc456776017"/>
      <w:bookmarkStart w:id="13" w:name="_Toc463245139"/>
      <w:proofErr w:type="spellStart"/>
      <w:r w:rsidRPr="00F368E9">
        <w:t>B.</w:t>
      </w:r>
      <w:r w:rsidR="001564B9">
        <w:rPr>
          <w:noProof/>
        </w:rPr>
        <w:t>1</w:t>
      </w:r>
      <w:proofErr w:type="spellEnd"/>
      <w:r w:rsidR="00AE67DB" w:rsidRPr="00F368E9">
        <w:tab/>
      </w:r>
      <w:r w:rsidR="00C32684" w:rsidRPr="00F368E9">
        <w:t>Introduction</w:t>
      </w:r>
      <w:bookmarkEnd w:id="9"/>
      <w:bookmarkEnd w:id="10"/>
      <w:bookmarkEnd w:id="11"/>
      <w:bookmarkEnd w:id="12"/>
      <w:bookmarkEnd w:id="13"/>
    </w:p>
    <w:p w:rsidR="000810FA" w:rsidRPr="00F368E9" w:rsidRDefault="000810FA" w:rsidP="000810FA">
      <w:pPr>
        <w:pStyle w:val="BodyText"/>
      </w:pPr>
      <w:r w:rsidRPr="00F02965">
        <w:t xml:space="preserve">The </w:t>
      </w:r>
      <w:r w:rsidR="008B3242" w:rsidRPr="00F02965">
        <w:t>Child care, education and training (</w:t>
      </w:r>
      <w:proofErr w:type="spellStart"/>
      <w:r w:rsidRPr="00F02965">
        <w:t>CCET</w:t>
      </w:r>
      <w:proofErr w:type="spellEnd"/>
      <w:r w:rsidR="008B3242">
        <w:t>)</w:t>
      </w:r>
      <w:r w:rsidRPr="00F368E9">
        <w:t xml:space="preserve"> sector services covered in this Report comprise:</w:t>
      </w:r>
    </w:p>
    <w:p w:rsidR="000810FA" w:rsidRPr="00F368E9" w:rsidRDefault="00C41478" w:rsidP="000810FA">
      <w:pPr>
        <w:pStyle w:val="ListBullet"/>
      </w:pPr>
      <w:r w:rsidRPr="00C10DB3">
        <w:rPr>
          <w:shd w:val="clear" w:color="auto" w:fill="FFFFFF" w:themeFill="background1"/>
        </w:rPr>
        <w:t>Early childhood education and care (</w:t>
      </w:r>
      <w:proofErr w:type="spellStart"/>
      <w:r w:rsidRPr="00C10DB3">
        <w:rPr>
          <w:shd w:val="clear" w:color="auto" w:fill="FFFFFF" w:themeFill="background1"/>
        </w:rPr>
        <w:t>ECEC</w:t>
      </w:r>
      <w:proofErr w:type="spellEnd"/>
      <w:r w:rsidRPr="00C10DB3">
        <w:rPr>
          <w:shd w:val="clear" w:color="auto" w:fill="FFFFFF" w:themeFill="background1"/>
        </w:rPr>
        <w:t>)</w:t>
      </w:r>
      <w:r w:rsidR="000810FA" w:rsidRPr="00F368E9">
        <w:t xml:space="preserve"> (chapter</w:t>
      </w:r>
      <w:r w:rsidR="00490B08">
        <w:t> </w:t>
      </w:r>
      <w:r w:rsidR="000810FA" w:rsidRPr="00F368E9">
        <w:t xml:space="preserve">3) </w:t>
      </w:r>
      <w:r w:rsidR="00E1736A">
        <w:t>—</w:t>
      </w:r>
      <w:r w:rsidR="000810FA" w:rsidRPr="00F368E9">
        <w:t xml:space="preserve"> services related to early childhood, comprising child care and preschool services</w:t>
      </w:r>
    </w:p>
    <w:p w:rsidR="000810FA" w:rsidRPr="000832E4" w:rsidRDefault="000810FA" w:rsidP="000810FA">
      <w:pPr>
        <w:pStyle w:val="ListBullet"/>
      </w:pPr>
      <w:r w:rsidRPr="00F368E9">
        <w:t>school education (chapter</w:t>
      </w:r>
      <w:r w:rsidR="00490B08">
        <w:t> </w:t>
      </w:r>
      <w:r w:rsidRPr="00F368E9">
        <w:t xml:space="preserve">4) </w:t>
      </w:r>
      <w:r w:rsidR="00E1736A">
        <w:t>—</w:t>
      </w:r>
      <w:r w:rsidRPr="00F368E9">
        <w:t xml:space="preserve"> formal schooling, consisting of six to eight years of </w:t>
      </w:r>
      <w:r w:rsidRPr="000832E4">
        <w:t>primary school education followed by five to six years of secondary schooling</w:t>
      </w:r>
    </w:p>
    <w:p w:rsidR="000810FA" w:rsidRPr="00F368E9" w:rsidRDefault="00C41478" w:rsidP="000832E4">
      <w:pPr>
        <w:pStyle w:val="ListBullet"/>
        <w:widowControl w:val="0"/>
      </w:pPr>
      <w:r w:rsidRPr="000832E4">
        <w:t>Vocational education and training (VET)</w:t>
      </w:r>
      <w:r w:rsidR="000810FA" w:rsidRPr="000832E4">
        <w:t xml:space="preserve"> (chapter</w:t>
      </w:r>
      <w:r w:rsidR="00490B08">
        <w:t> </w:t>
      </w:r>
      <w:r w:rsidR="000810FA" w:rsidRPr="000832E4">
        <w:t xml:space="preserve">5) </w:t>
      </w:r>
      <w:r w:rsidR="00E1736A" w:rsidRPr="000832E4">
        <w:t>—</w:t>
      </w:r>
      <w:r>
        <w:t xml:space="preserve"> government funded VET activity.</w:t>
      </w:r>
    </w:p>
    <w:p w:rsidR="00FE7252" w:rsidRPr="00F368E9" w:rsidRDefault="000810FA" w:rsidP="00FE7252">
      <w:pPr>
        <w:pStyle w:val="BodyText"/>
      </w:pPr>
      <w:r w:rsidRPr="00F368E9">
        <w:t>The inclusion of higher education in this sector overview results in a broader scope than the three service</w:t>
      </w:r>
      <w:r w:rsidR="00490B08">
        <w:noBreakHyphen/>
      </w:r>
      <w:r w:rsidRPr="00F368E9">
        <w:t>specific chapters.</w:t>
      </w:r>
    </w:p>
    <w:p w:rsidR="00FC4675" w:rsidRPr="00F368E9" w:rsidRDefault="00FC4675" w:rsidP="000D3385">
      <w:pPr>
        <w:pStyle w:val="Heading3"/>
      </w:pPr>
      <w:bookmarkStart w:id="14" w:name="_Toc456775990"/>
      <w:bookmarkStart w:id="15" w:name="_Toc456776020"/>
      <w:r w:rsidRPr="00F368E9">
        <w:lastRenderedPageBreak/>
        <w:t>Profile</w:t>
      </w:r>
      <w:r w:rsidR="00FD0BE0" w:rsidRPr="00F368E9">
        <w:t xml:space="preserve"> of the </w:t>
      </w:r>
      <w:proofErr w:type="spellStart"/>
      <w:r w:rsidR="00FD0BE0" w:rsidRPr="00F368E9">
        <w:t>CCET</w:t>
      </w:r>
      <w:proofErr w:type="spellEnd"/>
      <w:r w:rsidR="00FD0BE0" w:rsidRPr="00F368E9">
        <w:t xml:space="preserve"> sector</w:t>
      </w:r>
      <w:bookmarkEnd w:id="14"/>
      <w:bookmarkEnd w:id="15"/>
    </w:p>
    <w:p w:rsidR="008163F4" w:rsidRPr="00F368E9" w:rsidRDefault="000D3385" w:rsidP="000D3385">
      <w:pPr>
        <w:pStyle w:val="Heading4"/>
      </w:pPr>
      <w:r w:rsidRPr="00F368E9">
        <w:t>Sector outline</w:t>
      </w:r>
    </w:p>
    <w:p w:rsidR="000810FA" w:rsidRPr="00F368E9" w:rsidRDefault="000810FA" w:rsidP="00570816">
      <w:pPr>
        <w:pStyle w:val="BodyText"/>
      </w:pPr>
      <w:r w:rsidRPr="00F368E9">
        <w:t>The formal education and training system starts at preschool and continues through the years of compulsory schooling</w:t>
      </w:r>
      <w:r w:rsidR="00C41478">
        <w:t xml:space="preserve"> </w:t>
      </w:r>
      <w:r w:rsidR="00C41478" w:rsidRPr="000832E4">
        <w:t>(generally year 10 – see section</w:t>
      </w:r>
      <w:r w:rsidR="00490B08">
        <w:t> </w:t>
      </w:r>
      <w:r w:rsidR="00C41478" w:rsidRPr="000832E4">
        <w:t>4.1, chapter</w:t>
      </w:r>
      <w:r w:rsidR="00490B08">
        <w:t> </w:t>
      </w:r>
      <w:r w:rsidR="00C41478" w:rsidRPr="000832E4">
        <w:t>4)</w:t>
      </w:r>
      <w:r w:rsidRPr="00C41478">
        <w:t xml:space="preserve"> </w:t>
      </w:r>
      <w:r w:rsidRPr="00F368E9">
        <w:t>and post school edu</w:t>
      </w:r>
      <w:r w:rsidR="00B0324F">
        <w:t xml:space="preserve">cation (figure </w:t>
      </w:r>
      <w:proofErr w:type="spellStart"/>
      <w:r w:rsidR="00B0324F">
        <w:t>B.1</w:t>
      </w:r>
      <w:proofErr w:type="spellEnd"/>
      <w:r w:rsidR="00B0324F">
        <w:t>). Child care</w:t>
      </w:r>
      <w:r w:rsidRPr="00F368E9">
        <w:t xml:space="preserve"> </w:t>
      </w:r>
      <w:r w:rsidRPr="000832E4">
        <w:t>provide</w:t>
      </w:r>
      <w:r w:rsidR="00127CF5" w:rsidRPr="000832E4">
        <w:t>s</w:t>
      </w:r>
      <w:r w:rsidR="00C41478">
        <w:t xml:space="preserve"> </w:t>
      </w:r>
      <w:r w:rsidRPr="00F368E9">
        <w:t>services to children aged 0–12 years.</w:t>
      </w:r>
    </w:p>
    <w:p w:rsidR="00C8417E" w:rsidRPr="00F368E9" w:rsidRDefault="00C8417E" w:rsidP="005B3E30">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417E" w:rsidRPr="00F368E9" w:rsidTr="00B874AE">
        <w:tc>
          <w:tcPr>
            <w:tcW w:w="8771" w:type="dxa"/>
            <w:tcBorders>
              <w:top w:val="single" w:sz="6" w:space="0" w:color="78A22F"/>
              <w:left w:val="nil"/>
              <w:bottom w:val="nil"/>
              <w:right w:val="nil"/>
            </w:tcBorders>
            <w:shd w:val="clear" w:color="auto" w:fill="auto"/>
          </w:tcPr>
          <w:p w:rsidR="00C8417E" w:rsidRPr="00F368E9" w:rsidRDefault="004801AD" w:rsidP="00C8417E">
            <w:pPr>
              <w:pStyle w:val="FigureTitle"/>
            </w:pPr>
            <w:r w:rsidRPr="00F368E9">
              <w:rPr>
                <w:b w:val="0"/>
              </w:rPr>
              <w:t xml:space="preserve">Figure </w:t>
            </w:r>
            <w:proofErr w:type="spellStart"/>
            <w:r w:rsidR="00AB2CB0" w:rsidRPr="00F368E9">
              <w:rPr>
                <w:b w:val="0"/>
              </w:rPr>
              <w:t>B.</w:t>
            </w:r>
            <w:r w:rsidR="001564B9">
              <w:rPr>
                <w:b w:val="0"/>
                <w:noProof/>
              </w:rPr>
              <w:t>1</w:t>
            </w:r>
            <w:proofErr w:type="spellEnd"/>
            <w:r w:rsidR="00C8417E" w:rsidRPr="00F368E9">
              <w:tab/>
              <w:t>Outline of the Australian education and training system</w:t>
            </w:r>
            <w:r w:rsidR="00C8417E" w:rsidRPr="00F368E9">
              <w:rPr>
                <w:rStyle w:val="NoteLabel"/>
                <w:b/>
              </w:rPr>
              <w:t>a, b</w:t>
            </w:r>
            <w:r w:rsidR="00DB7CE2">
              <w:rPr>
                <w:rStyle w:val="NoteLabel"/>
                <w:b/>
              </w:rPr>
              <w:t>, c</w:t>
            </w:r>
          </w:p>
        </w:tc>
      </w:tr>
      <w:tr w:rsidR="00C8417E" w:rsidRPr="00F368E9" w:rsidTr="00B874A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8417E" w:rsidRPr="00F368E9" w:rsidTr="005B3E30">
              <w:trPr>
                <w:jc w:val="center"/>
              </w:trPr>
              <w:tc>
                <w:tcPr>
                  <w:tcW w:w="5000" w:type="pct"/>
                  <w:tcBorders>
                    <w:top w:val="nil"/>
                    <w:bottom w:val="nil"/>
                  </w:tcBorders>
                </w:tcPr>
                <w:p w:rsidR="00C8417E" w:rsidRPr="00F368E9" w:rsidRDefault="005A6954" w:rsidP="005B3E30">
                  <w:pPr>
                    <w:pStyle w:val="Figure"/>
                    <w:spacing w:before="60" w:after="60"/>
                  </w:pPr>
                  <w:r>
                    <w:rPr>
                      <w:noProof/>
                    </w:rPr>
                    <w:drawing>
                      <wp:inline distT="0" distB="0" distL="0" distR="0">
                        <wp:extent cx="5162550" cy="5334000"/>
                        <wp:effectExtent l="0" t="0" r="0" b="0"/>
                        <wp:docPr id="13" name="Picture 13" descr="Figure B.1 Outline of the Australian education and training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62550" cy="5334000"/>
                                </a:xfrm>
                                <a:prstGeom prst="rect">
                                  <a:avLst/>
                                </a:prstGeom>
                                <a:noFill/>
                                <a:ln>
                                  <a:noFill/>
                                </a:ln>
                              </pic:spPr>
                            </pic:pic>
                          </a:graphicData>
                        </a:graphic>
                      </wp:inline>
                    </w:drawing>
                  </w:r>
                </w:p>
              </w:tc>
            </w:tr>
          </w:tbl>
          <w:p w:rsidR="00C8417E" w:rsidRPr="00F368E9" w:rsidRDefault="00C8417E" w:rsidP="005B3E30">
            <w:pPr>
              <w:pStyle w:val="Figure"/>
            </w:pPr>
          </w:p>
        </w:tc>
      </w:tr>
      <w:tr w:rsidR="00C8417E" w:rsidRPr="00F368E9" w:rsidTr="00B874AE">
        <w:tc>
          <w:tcPr>
            <w:tcW w:w="8771" w:type="dxa"/>
            <w:tcBorders>
              <w:top w:val="nil"/>
              <w:left w:val="nil"/>
              <w:bottom w:val="nil"/>
              <w:right w:val="nil"/>
            </w:tcBorders>
            <w:shd w:val="clear" w:color="auto" w:fill="auto"/>
          </w:tcPr>
          <w:p w:rsidR="00C8417E" w:rsidRPr="00F368E9" w:rsidRDefault="00C8417E" w:rsidP="00DB7CE2">
            <w:pPr>
              <w:pStyle w:val="Note"/>
            </w:pPr>
            <w:proofErr w:type="spellStart"/>
            <w:r w:rsidRPr="008619FC">
              <w:rPr>
                <w:rStyle w:val="NoteLabel"/>
              </w:rPr>
              <w:t>a</w:t>
            </w:r>
            <w:proofErr w:type="spellEnd"/>
            <w:r w:rsidR="00DB7CE2" w:rsidRPr="008619FC">
              <w:t> </w:t>
            </w:r>
            <w:r w:rsidRPr="008619FC">
              <w:t xml:space="preserve">There are different starting ages </w:t>
            </w:r>
            <w:r w:rsidR="00C41478" w:rsidRPr="008619FC">
              <w:t xml:space="preserve">and names </w:t>
            </w:r>
            <w:r w:rsidRPr="008619FC">
              <w:t>for preschool (see table</w:t>
            </w:r>
            <w:r w:rsidR="00490B08" w:rsidRPr="008619FC">
              <w:t> </w:t>
            </w:r>
            <w:proofErr w:type="spellStart"/>
            <w:r w:rsidRPr="008619FC">
              <w:t>3A.1</w:t>
            </w:r>
            <w:proofErr w:type="spellEnd"/>
            <w:r w:rsidRPr="008619FC">
              <w:t>) an</w:t>
            </w:r>
            <w:r w:rsidR="004801AD" w:rsidRPr="008619FC">
              <w:t xml:space="preserve">d school education </w:t>
            </w:r>
            <w:r w:rsidR="00C729EB" w:rsidRPr="008619FC">
              <w:t xml:space="preserve"> </w:t>
            </w:r>
            <w:r w:rsidR="004801AD" w:rsidRPr="008619FC">
              <w:t>(see section</w:t>
            </w:r>
            <w:r w:rsidR="00490B08" w:rsidRPr="008619FC">
              <w:t> </w:t>
            </w:r>
            <w:r w:rsidRPr="008619FC">
              <w:t>4.1) across jurisdictions.</w:t>
            </w:r>
            <w:r w:rsidR="00FE1E27" w:rsidRPr="008619FC">
              <w:t xml:space="preserve"> </w:t>
            </w:r>
            <w:r w:rsidR="00DD32C1" w:rsidRPr="008619FC">
              <w:rPr>
                <w:rStyle w:val="NoteLabel"/>
              </w:rPr>
              <w:t>b</w:t>
            </w:r>
            <w:r w:rsidR="00DD32C1" w:rsidRPr="008619FC">
              <w:t> </w:t>
            </w:r>
            <w:r w:rsidR="002636C4" w:rsidRPr="008619FC">
              <w:t xml:space="preserve">In SA primary school </w:t>
            </w:r>
            <w:r w:rsidR="00DB7CE2" w:rsidRPr="008619FC">
              <w:t xml:space="preserve">scans </w:t>
            </w:r>
            <w:r w:rsidR="002636C4" w:rsidRPr="008619FC">
              <w:t>pre</w:t>
            </w:r>
            <w:r w:rsidR="00490B08" w:rsidRPr="008619FC">
              <w:noBreakHyphen/>
            </w:r>
            <w:r w:rsidR="002636C4" w:rsidRPr="008619FC">
              <w:t>year 1 to year 7</w:t>
            </w:r>
            <w:r w:rsidR="00DB7CE2" w:rsidRPr="008619FC">
              <w:t xml:space="preserve"> and </w:t>
            </w:r>
            <w:r w:rsidR="002636C4" w:rsidRPr="008619FC">
              <w:t xml:space="preserve">secondary </w:t>
            </w:r>
            <w:r w:rsidR="00C729EB" w:rsidRPr="008619FC">
              <w:t xml:space="preserve">school </w:t>
            </w:r>
            <w:r w:rsidR="002636C4" w:rsidRPr="008619FC">
              <w:t>span</w:t>
            </w:r>
            <w:r w:rsidR="00DB7CE2" w:rsidRPr="008619FC">
              <w:t>s</w:t>
            </w:r>
            <w:r w:rsidR="002636C4" w:rsidRPr="008619FC">
              <w:t xml:space="preserve"> </w:t>
            </w:r>
            <w:r w:rsidR="00DB7CE2" w:rsidRPr="008619FC">
              <w:t xml:space="preserve">years </w:t>
            </w:r>
            <w:r w:rsidR="002636C4" w:rsidRPr="008619FC">
              <w:t>8 to 12</w:t>
            </w:r>
            <w:r w:rsidR="00DB7CE2" w:rsidRPr="008619FC">
              <w:t xml:space="preserve">. </w:t>
            </w:r>
            <w:r w:rsidR="00DB7CE2" w:rsidRPr="008619FC">
              <w:rPr>
                <w:rStyle w:val="NoteLabel"/>
              </w:rPr>
              <w:t>c</w:t>
            </w:r>
            <w:r w:rsidR="00DB7CE2" w:rsidRPr="008619FC">
              <w:t> </w:t>
            </w:r>
            <w:r w:rsidRPr="008619FC">
              <w:t>Providers deliver qualifications in more than one sector, all subject to meeting the relevant quality assurance requirements.</w:t>
            </w:r>
          </w:p>
        </w:tc>
      </w:tr>
      <w:tr w:rsidR="00C8417E" w:rsidRPr="00F368E9" w:rsidTr="00B874AE">
        <w:tc>
          <w:tcPr>
            <w:tcW w:w="8771" w:type="dxa"/>
            <w:tcBorders>
              <w:top w:val="nil"/>
              <w:left w:val="nil"/>
              <w:bottom w:val="nil"/>
              <w:right w:val="nil"/>
            </w:tcBorders>
            <w:shd w:val="clear" w:color="auto" w:fill="auto"/>
          </w:tcPr>
          <w:p w:rsidR="00C8417E" w:rsidRPr="00F368E9" w:rsidRDefault="00C8417E" w:rsidP="005B3E30">
            <w:pPr>
              <w:pStyle w:val="Source"/>
            </w:pPr>
            <w:r w:rsidRPr="00F368E9">
              <w:rPr>
                <w:i/>
              </w:rPr>
              <w:t>Source</w:t>
            </w:r>
            <w:r w:rsidRPr="00F368E9">
              <w:t>: Australian, State and Terr</w:t>
            </w:r>
            <w:r w:rsidR="00995B91">
              <w:t>itory governments (unpublished).</w:t>
            </w:r>
          </w:p>
        </w:tc>
      </w:tr>
      <w:tr w:rsidR="00C8417E" w:rsidRPr="00F368E9" w:rsidTr="005B3E30">
        <w:tc>
          <w:tcPr>
            <w:tcW w:w="8771" w:type="dxa"/>
            <w:tcBorders>
              <w:top w:val="nil"/>
              <w:left w:val="nil"/>
              <w:bottom w:val="single" w:sz="6" w:space="0" w:color="78A22F"/>
              <w:right w:val="nil"/>
            </w:tcBorders>
            <w:shd w:val="clear" w:color="auto" w:fill="auto"/>
          </w:tcPr>
          <w:p w:rsidR="00C8417E" w:rsidRPr="00F368E9" w:rsidRDefault="00C8417E" w:rsidP="005B3E30">
            <w:pPr>
              <w:pStyle w:val="Figurespace"/>
            </w:pPr>
          </w:p>
        </w:tc>
      </w:tr>
      <w:tr w:rsidR="00C8417E" w:rsidRPr="00F368E9" w:rsidTr="005B3E30">
        <w:tc>
          <w:tcPr>
            <w:tcW w:w="8771" w:type="dxa"/>
            <w:tcBorders>
              <w:top w:val="single" w:sz="6" w:space="0" w:color="78A22F"/>
              <w:left w:val="nil"/>
              <w:bottom w:val="nil"/>
              <w:right w:val="nil"/>
            </w:tcBorders>
          </w:tcPr>
          <w:p w:rsidR="00C8417E" w:rsidRPr="00F368E9" w:rsidRDefault="00C8417E" w:rsidP="005B3E30">
            <w:pPr>
              <w:pStyle w:val="BoxSpaceBelow"/>
            </w:pPr>
          </w:p>
        </w:tc>
      </w:tr>
    </w:tbl>
    <w:p w:rsidR="00C41478" w:rsidRDefault="00C41478" w:rsidP="000832E4">
      <w:pPr>
        <w:pStyle w:val="BodyText"/>
      </w:pPr>
      <w:r>
        <w:lastRenderedPageBreak/>
        <w:t>F</w:t>
      </w:r>
      <w:r w:rsidRPr="004801AD">
        <w:t xml:space="preserve">ormal learning </w:t>
      </w:r>
      <w:r>
        <w:t xml:space="preserve">does not always </w:t>
      </w:r>
      <w:r w:rsidRPr="004801AD">
        <w:t>progress</w:t>
      </w:r>
      <w:r>
        <w:t xml:space="preserve"> </w:t>
      </w:r>
      <w:r w:rsidRPr="004801AD">
        <w:t>in a linear fashion from secondary school to VET or university</w:t>
      </w:r>
      <w:r>
        <w:t xml:space="preserve">, as </w:t>
      </w:r>
      <w:r w:rsidRPr="004801AD">
        <w:t xml:space="preserve">there are many learning pathways an individual might take over their lifetime. In addition, people may work in a range of roles and industries and continue </w:t>
      </w:r>
      <w:r>
        <w:t>their learning</w:t>
      </w:r>
      <w:r w:rsidRPr="004801AD">
        <w:t xml:space="preserve">, for example, mature age students returning to complete senior schooling qualifications. </w:t>
      </w:r>
      <w:r>
        <w:t>In particular, m</w:t>
      </w:r>
      <w:r w:rsidRPr="004801AD">
        <w:t xml:space="preserve">ost disadvantaged students are more likely to follow </w:t>
      </w:r>
      <w:proofErr w:type="spellStart"/>
      <w:r w:rsidRPr="004801AD">
        <w:t>non</w:t>
      </w:r>
      <w:r w:rsidR="004C1549">
        <w:noBreakHyphen/>
      </w:r>
      <w:r w:rsidRPr="004801AD">
        <w:t>linear</w:t>
      </w:r>
      <w:proofErr w:type="spellEnd"/>
      <w:r w:rsidRPr="004801AD">
        <w:t xml:space="preserve"> or fragmented pathways of e</w:t>
      </w:r>
      <w:r>
        <w:t>ducation (Abbott</w:t>
      </w:r>
      <w:r>
        <w:noBreakHyphen/>
        <w:t>Chapman 2011).</w:t>
      </w:r>
    </w:p>
    <w:p w:rsidR="00B21445" w:rsidRPr="00F368E9" w:rsidRDefault="00FD0BE0" w:rsidP="000D3385">
      <w:pPr>
        <w:pStyle w:val="Heading4"/>
      </w:pPr>
      <w:r w:rsidRPr="00F368E9">
        <w:t>R</w:t>
      </w:r>
      <w:r w:rsidR="00B21445" w:rsidRPr="00F368E9">
        <w:t>oles and responsibilit</w:t>
      </w:r>
      <w:r w:rsidR="0093541B" w:rsidRPr="00F368E9">
        <w:t>ies</w:t>
      </w:r>
    </w:p>
    <w:p w:rsidR="000810FA" w:rsidRDefault="000810FA" w:rsidP="000810FA">
      <w:pPr>
        <w:pStyle w:val="BodyText"/>
      </w:pPr>
      <w:r w:rsidRPr="00F368E9">
        <w:t xml:space="preserve">A broad overview of the Australian, State and Territory governments’ involvement in the </w:t>
      </w:r>
      <w:proofErr w:type="spellStart"/>
      <w:r w:rsidRPr="00F368E9">
        <w:t>CCET</w:t>
      </w:r>
      <w:proofErr w:type="spellEnd"/>
      <w:r w:rsidRPr="00F368E9">
        <w:t xml:space="preserve"> sector is provided in box </w:t>
      </w:r>
      <w:proofErr w:type="spellStart"/>
      <w:r w:rsidRPr="00F368E9">
        <w:t>B.1</w:t>
      </w:r>
      <w:proofErr w:type="spellEnd"/>
      <w:r w:rsidRPr="00F368E9">
        <w:t>.</w:t>
      </w:r>
    </w:p>
    <w:p w:rsidR="00E51BBE" w:rsidRDefault="00E51B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E51BBE" w:rsidTr="004C1549">
        <w:tc>
          <w:tcPr>
            <w:tcW w:w="8771" w:type="dxa"/>
            <w:tcBorders>
              <w:top w:val="single" w:sz="6" w:space="0" w:color="78A22F"/>
              <w:left w:val="nil"/>
              <w:bottom w:val="nil"/>
              <w:right w:val="nil"/>
            </w:tcBorders>
            <w:shd w:val="clear" w:color="auto" w:fill="F2F2F2"/>
          </w:tcPr>
          <w:p w:rsidR="00E51BBE" w:rsidRDefault="00E51BBE">
            <w:pPr>
              <w:pStyle w:val="BoxTitle"/>
            </w:pPr>
            <w:r w:rsidRPr="00F368E9">
              <w:rPr>
                <w:b w:val="0"/>
              </w:rPr>
              <w:t xml:space="preserve">Box </w:t>
            </w:r>
            <w:proofErr w:type="spellStart"/>
            <w:r w:rsidRPr="00F368E9">
              <w:rPr>
                <w:b w:val="0"/>
              </w:rPr>
              <w:t>B.</w:t>
            </w:r>
            <w:r w:rsidR="001564B9">
              <w:rPr>
                <w:b w:val="0"/>
                <w:noProof/>
              </w:rPr>
              <w:t>1</w:t>
            </w:r>
            <w:proofErr w:type="spellEnd"/>
            <w:r w:rsidRPr="00F368E9">
              <w:tab/>
              <w:t xml:space="preserve">Government roles and responsibilities in the </w:t>
            </w:r>
            <w:proofErr w:type="spellStart"/>
            <w:r w:rsidRPr="00F368E9">
              <w:t>CCET</w:t>
            </w:r>
            <w:proofErr w:type="spellEnd"/>
            <w:r w:rsidRPr="00F368E9">
              <w:t xml:space="preserve"> sector</w:t>
            </w:r>
          </w:p>
        </w:tc>
      </w:tr>
      <w:tr w:rsidR="00E51BBE" w:rsidTr="004C1549">
        <w:tc>
          <w:tcPr>
            <w:tcW w:w="8771" w:type="dxa"/>
            <w:tcBorders>
              <w:top w:val="nil"/>
              <w:left w:val="nil"/>
              <w:bottom w:val="nil"/>
              <w:right w:val="nil"/>
            </w:tcBorders>
            <w:shd w:val="clear" w:color="auto" w:fill="F2F2F2"/>
          </w:tcPr>
          <w:p w:rsidR="00E51BBE" w:rsidRPr="00E51BBE" w:rsidRDefault="00E51BBE" w:rsidP="00E51BBE">
            <w:pPr>
              <w:pStyle w:val="Box"/>
              <w:rPr>
                <w:b/>
              </w:rPr>
            </w:pPr>
            <w:proofErr w:type="spellStart"/>
            <w:r>
              <w:rPr>
                <w:b/>
              </w:rPr>
              <w:t>ECEC</w:t>
            </w:r>
            <w:proofErr w:type="spellEnd"/>
          </w:p>
          <w:p w:rsidR="00E51BBE" w:rsidRDefault="00E51BBE" w:rsidP="00E51BBE">
            <w:pPr>
              <w:pStyle w:val="Box"/>
            </w:pPr>
            <w:r>
              <w:t>The Australian Government has policy responsibility for child care. It administers a fee subsidy (Child Care Benefit [</w:t>
            </w:r>
            <w:proofErr w:type="spellStart"/>
            <w:r>
              <w:t>CCB</w:t>
            </w:r>
            <w:proofErr w:type="spellEnd"/>
            <w:r>
              <w:t>]), an out</w:t>
            </w:r>
            <w:r w:rsidR="00490B08">
              <w:noBreakHyphen/>
            </w:r>
            <w:r>
              <w:t>of</w:t>
            </w:r>
            <w:r w:rsidR="00490B08">
              <w:noBreakHyphen/>
            </w:r>
            <w:r>
              <w:t xml:space="preserve">pocket subsidy (Child Care Rebate) and provides some direct funding to </w:t>
            </w:r>
            <w:proofErr w:type="spellStart"/>
            <w:r>
              <w:t>CCB</w:t>
            </w:r>
            <w:proofErr w:type="spellEnd"/>
            <w:r>
              <w:t xml:space="preserve"> approved services and Budget Based Funded services. State and Territory governments may solely fund some child care services or contribute to services in receipt of Australian Government funding.</w:t>
            </w:r>
          </w:p>
          <w:p w:rsidR="00E51BBE" w:rsidRDefault="00E51BBE" w:rsidP="00E51BBE">
            <w:pPr>
              <w:pStyle w:val="Box"/>
            </w:pPr>
            <w:r>
              <w:t>State and Territory governments are responsible for funding and providing preschool services. State and Territory governments are responsible for regulating services under the National Quality Framework (</w:t>
            </w:r>
            <w:proofErr w:type="spellStart"/>
            <w:r>
              <w:t>NQF</w:t>
            </w:r>
            <w:proofErr w:type="spellEnd"/>
            <w:r>
              <w:t xml:space="preserve">) and licensing or registering </w:t>
            </w:r>
            <w:proofErr w:type="spellStart"/>
            <w:r>
              <w:t>ECEC</w:t>
            </w:r>
            <w:proofErr w:type="spellEnd"/>
            <w:r>
              <w:t xml:space="preserve"> services not approved under the </w:t>
            </w:r>
            <w:proofErr w:type="spellStart"/>
            <w:r>
              <w:t>NQF</w:t>
            </w:r>
            <w:proofErr w:type="spellEnd"/>
            <w:r>
              <w:t>. The Australian Government also provides funding to States and Territories for preschool.</w:t>
            </w:r>
          </w:p>
          <w:p w:rsidR="00E51BBE" w:rsidRPr="00E51BBE" w:rsidRDefault="00E51BBE" w:rsidP="00E51BBE">
            <w:pPr>
              <w:pStyle w:val="Box"/>
              <w:rPr>
                <w:b/>
              </w:rPr>
            </w:pPr>
            <w:r w:rsidRPr="00E51BBE">
              <w:rPr>
                <w:b/>
              </w:rPr>
              <w:t>School education</w:t>
            </w:r>
          </w:p>
          <w:p w:rsidR="00E51BBE" w:rsidRDefault="00E51BBE" w:rsidP="00E51BBE">
            <w:pPr>
              <w:pStyle w:val="Box"/>
            </w:pPr>
            <w:r>
              <w:t xml:space="preserve">The Australian Government and State and Territory governments share responsibility for developing, progressing and reviewing national objectives and outcomes for schooling and the national curriculum. </w:t>
            </w:r>
          </w:p>
          <w:p w:rsidR="00E51BBE" w:rsidRDefault="00E51BBE" w:rsidP="00E51BBE">
            <w:pPr>
              <w:pStyle w:val="Box"/>
            </w:pPr>
            <w:r>
              <w:t>State and Territory governments are responsible for:</w:t>
            </w:r>
          </w:p>
          <w:p w:rsidR="00E51BBE" w:rsidRDefault="00E51BBE" w:rsidP="00E51BBE">
            <w:pPr>
              <w:pStyle w:val="BoxListBullet"/>
            </w:pPr>
            <w:r>
              <w:t xml:space="preserve">ensuring all school aged children have the opportunity to enrol in a safe and supportive school that provides a high quality education, including students with particular needs </w:t>
            </w:r>
          </w:p>
          <w:p w:rsidR="00E51BBE" w:rsidRDefault="00E51BBE" w:rsidP="00E51BBE">
            <w:pPr>
              <w:pStyle w:val="BoxListBullet"/>
            </w:pPr>
            <w:r>
              <w:t>ensuring that children of compulsory school</w:t>
            </w:r>
            <w:r w:rsidR="00490B08">
              <w:noBreakHyphen/>
            </w:r>
            <w:r>
              <w:t xml:space="preserve">age attend school and for developing policy, delivering services, monitoring and reviewing performance of individual schools, regulating schools, and implementing the national curriculum </w:t>
            </w:r>
          </w:p>
          <w:p w:rsidR="00E51BBE" w:rsidRDefault="00E51BBE" w:rsidP="00E51BBE">
            <w:pPr>
              <w:pStyle w:val="BoxListBullet"/>
            </w:pPr>
            <w:r>
              <w:t>administration of government schools, for which they provide the majority of funding.</w:t>
            </w:r>
          </w:p>
          <w:p w:rsidR="00E51BBE" w:rsidRDefault="00E51BBE" w:rsidP="00E51BBE">
            <w:pPr>
              <w:pStyle w:val="Box"/>
            </w:pPr>
            <w:r>
              <w:t>The Australian Government is responsible for:</w:t>
            </w:r>
          </w:p>
          <w:p w:rsidR="00E51BBE" w:rsidRDefault="00E51BBE" w:rsidP="00E51BBE">
            <w:pPr>
              <w:pStyle w:val="BoxListBullet"/>
            </w:pPr>
            <w:r>
              <w:t>allocating funding to states and territories to support improved service delivery and reform to meet nationally agreed outcomes, including students with particular needs</w:t>
            </w:r>
          </w:p>
          <w:p w:rsidR="00E51BBE" w:rsidRDefault="00E51BBE" w:rsidP="00E51BBE">
            <w:pPr>
              <w:pStyle w:val="BoxListBullet"/>
            </w:pPr>
            <w:r>
              <w:t>ensuring funding arrangements for non</w:t>
            </w:r>
            <w:r w:rsidR="00490B08">
              <w:noBreakHyphen/>
            </w:r>
            <w:r>
              <w:t>government schools are consistent with, and support, the responsibilities of the states and territories in regulation, educational quality, performance and reporting on educational outcomes.</w:t>
            </w:r>
          </w:p>
        </w:tc>
      </w:tr>
      <w:tr w:rsidR="00E51BBE" w:rsidTr="004C1549">
        <w:tc>
          <w:tcPr>
            <w:tcW w:w="8771" w:type="dxa"/>
            <w:tcBorders>
              <w:top w:val="nil"/>
              <w:left w:val="nil"/>
              <w:bottom w:val="nil"/>
              <w:right w:val="nil"/>
            </w:tcBorders>
            <w:shd w:val="clear" w:color="auto" w:fill="F2F2F2"/>
          </w:tcPr>
          <w:p w:rsidR="00E51BBE" w:rsidRDefault="00E51BBE" w:rsidP="00E51BBE">
            <w:pPr>
              <w:pStyle w:val="Continued"/>
            </w:pPr>
            <w:r w:rsidRPr="00F368E9">
              <w:t>(continued next page)</w:t>
            </w:r>
          </w:p>
        </w:tc>
      </w:tr>
      <w:tr w:rsidR="00E51BBE" w:rsidTr="004C1549">
        <w:tc>
          <w:tcPr>
            <w:tcW w:w="8771" w:type="dxa"/>
            <w:tcBorders>
              <w:top w:val="nil"/>
              <w:left w:val="nil"/>
              <w:bottom w:val="single" w:sz="6" w:space="0" w:color="78A22F"/>
              <w:right w:val="nil"/>
            </w:tcBorders>
            <w:shd w:val="clear" w:color="auto" w:fill="F2F2F2"/>
          </w:tcPr>
          <w:p w:rsidR="00E51BBE" w:rsidRDefault="00E51BBE">
            <w:pPr>
              <w:pStyle w:val="Box"/>
              <w:spacing w:before="0" w:line="120" w:lineRule="exact"/>
            </w:pPr>
          </w:p>
        </w:tc>
      </w:tr>
      <w:tr w:rsidR="00E51BBE" w:rsidRPr="000863A5" w:rsidTr="004C1549">
        <w:tc>
          <w:tcPr>
            <w:tcW w:w="8771" w:type="dxa"/>
            <w:tcBorders>
              <w:top w:val="single" w:sz="6" w:space="0" w:color="78A22F"/>
              <w:left w:val="nil"/>
              <w:bottom w:val="nil"/>
              <w:right w:val="nil"/>
            </w:tcBorders>
          </w:tcPr>
          <w:p w:rsidR="00E51BBE" w:rsidRPr="00626D32" w:rsidRDefault="00E51BBE" w:rsidP="004C1549">
            <w:pPr>
              <w:pStyle w:val="BoxSpaceBelow"/>
            </w:pPr>
          </w:p>
        </w:tc>
      </w:tr>
    </w:tbl>
    <w:p w:rsidR="000810FA" w:rsidRPr="00F368E9" w:rsidRDefault="000810FA" w:rsidP="000810F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810FA" w:rsidRPr="00F368E9" w:rsidTr="000810FA">
        <w:tc>
          <w:tcPr>
            <w:tcW w:w="8771" w:type="dxa"/>
            <w:tcBorders>
              <w:top w:val="single" w:sz="6" w:space="0" w:color="78A22F"/>
              <w:left w:val="nil"/>
              <w:bottom w:val="nil"/>
              <w:right w:val="nil"/>
            </w:tcBorders>
            <w:shd w:val="clear" w:color="auto" w:fill="F2F2F2"/>
          </w:tcPr>
          <w:p w:rsidR="000810FA" w:rsidRPr="00F368E9" w:rsidRDefault="000810FA" w:rsidP="000810FA">
            <w:pPr>
              <w:pStyle w:val="BoxTitle"/>
            </w:pPr>
            <w:r w:rsidRPr="00F368E9">
              <w:rPr>
                <w:b w:val="0"/>
              </w:rPr>
              <w:t xml:space="preserve">Box </w:t>
            </w:r>
            <w:proofErr w:type="spellStart"/>
            <w:r w:rsidRPr="00F368E9">
              <w:rPr>
                <w:b w:val="0"/>
              </w:rPr>
              <w:t>B.1</w:t>
            </w:r>
            <w:proofErr w:type="spellEnd"/>
            <w:r w:rsidRPr="00F368E9">
              <w:tab/>
            </w:r>
            <w:r w:rsidRPr="00F368E9">
              <w:rPr>
                <w:rStyle w:val="ContinuedChar"/>
                <w:b w:val="0"/>
              </w:rPr>
              <w:t>(continued)</w:t>
            </w:r>
          </w:p>
        </w:tc>
      </w:tr>
      <w:tr w:rsidR="000810FA" w:rsidRPr="00F368E9" w:rsidTr="00E51BBE">
        <w:trPr>
          <w:cantSplit/>
        </w:trPr>
        <w:tc>
          <w:tcPr>
            <w:tcW w:w="8771" w:type="dxa"/>
            <w:tcBorders>
              <w:top w:val="nil"/>
              <w:left w:val="nil"/>
              <w:bottom w:val="nil"/>
              <w:right w:val="nil"/>
            </w:tcBorders>
            <w:shd w:val="clear" w:color="auto" w:fill="F2F2F2" w:themeFill="background1" w:themeFillShade="F2"/>
          </w:tcPr>
          <w:p w:rsidR="00E51BBE" w:rsidRDefault="00E51BBE" w:rsidP="00E51BBE">
            <w:pPr>
              <w:pStyle w:val="Box"/>
            </w:pPr>
            <w:r>
              <w:t>Non</w:t>
            </w:r>
            <w:r w:rsidR="00490B08">
              <w:noBreakHyphen/>
            </w:r>
            <w:r>
              <w:t>government schools operate under conditions determined by State and Territory government registration authorities and receive Australian, State and Territory government funding.</w:t>
            </w:r>
          </w:p>
          <w:p w:rsidR="00E51BBE" w:rsidRPr="00E51BBE" w:rsidRDefault="00E51BBE" w:rsidP="00E51BBE">
            <w:pPr>
              <w:pStyle w:val="Box"/>
              <w:rPr>
                <w:b/>
              </w:rPr>
            </w:pPr>
            <w:r w:rsidRPr="00E51BBE">
              <w:rPr>
                <w:b/>
              </w:rPr>
              <w:t>VET</w:t>
            </w:r>
          </w:p>
          <w:p w:rsidR="00E51BBE" w:rsidRDefault="00E51BBE" w:rsidP="00E51BBE">
            <w:pPr>
              <w:pStyle w:val="Box"/>
            </w:pPr>
            <w:r>
              <w:t xml:space="preserve">The Australian Government and State and Territory governments allocate funding for VET services and to support the maintenance of public training infrastructure. They oversee the delivery of publicly funded training and facilitate the development and training of the public VET workforce. </w:t>
            </w:r>
          </w:p>
          <w:p w:rsidR="00E51BBE" w:rsidRDefault="00E51BBE" w:rsidP="00E51BBE">
            <w:pPr>
              <w:pStyle w:val="Box"/>
            </w:pPr>
            <w:r>
              <w:t>The Australian Government provides funding to State and Territory governments to support training systems and provide specific incentives, interventions and assistance for national priority areas.</w:t>
            </w:r>
          </w:p>
          <w:p w:rsidR="00E51BBE" w:rsidRPr="00E51BBE" w:rsidRDefault="00E51BBE" w:rsidP="00E51BBE">
            <w:pPr>
              <w:pStyle w:val="Box"/>
              <w:rPr>
                <w:b/>
              </w:rPr>
            </w:pPr>
            <w:r w:rsidRPr="00E51BBE">
              <w:rPr>
                <w:b/>
              </w:rPr>
              <w:t>Higher education</w:t>
            </w:r>
          </w:p>
          <w:p w:rsidR="000810FA" w:rsidRPr="00F368E9" w:rsidRDefault="00E51BBE" w:rsidP="00E51BBE">
            <w:pPr>
              <w:pStyle w:val="Box"/>
            </w:pPr>
            <w:r>
              <w:t>Regulation and governance for higher education are shared between the Australian Government, State and Territory governments and higher education institutions. Universities are generally established under state or territory legislation and, once established, become self</w:t>
            </w:r>
            <w:r>
              <w:noBreakHyphen/>
              <w:t xml:space="preserve">accrediting and responsible for their own standards. The majority of Australian Government funding on higher education is administered under the </w:t>
            </w:r>
            <w:r w:rsidRPr="000A5A8B">
              <w:rPr>
                <w:i/>
              </w:rPr>
              <w:t>Higher Education Support Act 2003</w:t>
            </w:r>
            <w:r>
              <w:t>.</w:t>
            </w:r>
          </w:p>
        </w:tc>
      </w:tr>
      <w:tr w:rsidR="000810FA" w:rsidRPr="00F368E9" w:rsidTr="000810FA">
        <w:trPr>
          <w:cantSplit/>
        </w:trPr>
        <w:tc>
          <w:tcPr>
            <w:tcW w:w="8771" w:type="dxa"/>
            <w:tcBorders>
              <w:top w:val="nil"/>
              <w:left w:val="nil"/>
              <w:bottom w:val="single" w:sz="6" w:space="0" w:color="78A22F"/>
              <w:right w:val="nil"/>
            </w:tcBorders>
            <w:shd w:val="clear" w:color="auto" w:fill="F2F2F2"/>
          </w:tcPr>
          <w:p w:rsidR="000810FA" w:rsidRPr="00F368E9" w:rsidRDefault="000810FA" w:rsidP="000810FA">
            <w:pPr>
              <w:pStyle w:val="Box"/>
              <w:spacing w:before="0" w:line="120" w:lineRule="exact"/>
            </w:pPr>
          </w:p>
        </w:tc>
      </w:tr>
      <w:tr w:rsidR="000810FA" w:rsidRPr="00F368E9" w:rsidTr="000810FA">
        <w:tc>
          <w:tcPr>
            <w:tcW w:w="8771" w:type="dxa"/>
            <w:tcBorders>
              <w:top w:val="single" w:sz="6" w:space="0" w:color="78A22F"/>
              <w:left w:val="nil"/>
              <w:bottom w:val="nil"/>
              <w:right w:val="nil"/>
            </w:tcBorders>
          </w:tcPr>
          <w:p w:rsidR="000810FA" w:rsidRPr="00F368E9" w:rsidRDefault="000810FA" w:rsidP="000810FA">
            <w:pPr>
              <w:pStyle w:val="BoxSpaceBelow"/>
            </w:pPr>
          </w:p>
        </w:tc>
      </w:tr>
    </w:tbl>
    <w:p w:rsidR="009B1E0C" w:rsidRPr="00F368E9" w:rsidRDefault="001F5419" w:rsidP="002D3B47">
      <w:pPr>
        <w:pStyle w:val="Heading4"/>
      </w:pPr>
      <w:r w:rsidRPr="00F368E9">
        <w:t xml:space="preserve">Engagement </w:t>
      </w:r>
      <w:r w:rsidR="009B1E0C" w:rsidRPr="00F368E9">
        <w:t xml:space="preserve">in </w:t>
      </w:r>
      <w:proofErr w:type="spellStart"/>
      <w:r w:rsidR="00955503" w:rsidRPr="00F368E9">
        <w:t>CCET</w:t>
      </w:r>
      <w:proofErr w:type="spellEnd"/>
    </w:p>
    <w:p w:rsidR="000810FA" w:rsidRPr="00F368E9" w:rsidRDefault="000810FA" w:rsidP="000810FA">
      <w:pPr>
        <w:pStyle w:val="BodyText"/>
      </w:pPr>
      <w:r w:rsidRPr="00F368E9">
        <w:rPr>
          <w:shd w:val="clear" w:color="auto" w:fill="FFFFFF" w:themeFill="background1"/>
        </w:rPr>
        <w:t xml:space="preserve">In 2016, 1.2 million children aged 12 years or younger attended an Australian Government </w:t>
      </w:r>
      <w:proofErr w:type="spellStart"/>
      <w:r w:rsidRPr="00F368E9">
        <w:rPr>
          <w:shd w:val="clear" w:color="auto" w:fill="FFFFFF" w:themeFill="background1"/>
        </w:rPr>
        <w:t>CCB</w:t>
      </w:r>
      <w:proofErr w:type="spellEnd"/>
      <w:r w:rsidRPr="00F368E9">
        <w:rPr>
          <w:shd w:val="clear" w:color="auto" w:fill="FFFFFF" w:themeFill="background1"/>
        </w:rPr>
        <w:t xml:space="preserve"> approved child care service (table</w:t>
      </w:r>
      <w:r w:rsidR="00490B08">
        <w:rPr>
          <w:shd w:val="clear" w:color="auto" w:fill="FFFFFF" w:themeFill="background1"/>
        </w:rPr>
        <w:t> </w:t>
      </w:r>
      <w:proofErr w:type="spellStart"/>
      <w:r w:rsidRPr="00F368E9">
        <w:rPr>
          <w:shd w:val="clear" w:color="auto" w:fill="FFFFFF" w:themeFill="background1"/>
        </w:rPr>
        <w:t>3A.18</w:t>
      </w:r>
      <w:proofErr w:type="spellEnd"/>
      <w:r w:rsidRPr="00F368E9">
        <w:rPr>
          <w:shd w:val="clear" w:color="auto" w:fill="FFFFFF" w:themeFill="background1"/>
        </w:rPr>
        <w:t xml:space="preserve">). </w:t>
      </w:r>
      <w:r w:rsidRPr="00F368E9">
        <w:t xml:space="preserve">Some of these children used more than one type of care. In 2015, </w:t>
      </w:r>
      <w:r w:rsidR="00EE2C40" w:rsidRPr="00C10DB3">
        <w:rPr>
          <w:shd w:val="clear" w:color="auto" w:fill="FFFFFF" w:themeFill="background1"/>
        </w:rPr>
        <w:t>304 153</w:t>
      </w:r>
      <w:r w:rsidR="00EE2C40" w:rsidRPr="00F30E6C">
        <w:t xml:space="preserve"> </w:t>
      </w:r>
      <w:r w:rsidRPr="00F368E9">
        <w:t>children aged 4 and 5 years were enrolled in a preschool program in the year before ful</w:t>
      </w:r>
      <w:r w:rsidR="0075124A" w:rsidRPr="00F368E9">
        <w:t>l time schooling (table</w:t>
      </w:r>
      <w:r w:rsidR="00490B08">
        <w:t> </w:t>
      </w:r>
      <w:proofErr w:type="spellStart"/>
      <w:r w:rsidR="0075124A" w:rsidRPr="00F368E9">
        <w:t>3A.25</w:t>
      </w:r>
      <w:proofErr w:type="spellEnd"/>
      <w:r w:rsidR="0075124A" w:rsidRPr="00F368E9">
        <w:t>).</w:t>
      </w:r>
    </w:p>
    <w:p w:rsidR="00491323" w:rsidRPr="00F368E9" w:rsidRDefault="00390B6F" w:rsidP="00491323">
      <w:pPr>
        <w:pStyle w:val="BodyText"/>
      </w:pPr>
      <w:r w:rsidRPr="00F368E9">
        <w:t>In 20</w:t>
      </w:r>
      <w:r w:rsidR="005B2F22" w:rsidRPr="00F368E9">
        <w:t>1</w:t>
      </w:r>
      <w:r w:rsidR="00490DA9" w:rsidRPr="00F368E9">
        <w:t>5</w:t>
      </w:r>
      <w:r w:rsidR="00A05C8C" w:rsidRPr="00F368E9">
        <w:t>, there were 3.</w:t>
      </w:r>
      <w:r w:rsidR="00631BC6" w:rsidRPr="00F368E9">
        <w:t>7</w:t>
      </w:r>
      <w:r w:rsidR="00A05C8C" w:rsidRPr="00F368E9">
        <w:t xml:space="preserve"> million full time school students attending 9</w:t>
      </w:r>
      <w:r w:rsidR="00490DA9" w:rsidRPr="00F368E9">
        <w:t>404</w:t>
      </w:r>
      <w:r w:rsidR="00A05C8C" w:rsidRPr="00F368E9">
        <w:t xml:space="preserve"> schools in Australia, </w:t>
      </w:r>
      <w:r w:rsidR="0027412E" w:rsidRPr="00F368E9">
        <w:t>compris</w:t>
      </w:r>
      <w:r w:rsidR="00A05C8C" w:rsidRPr="00F368E9">
        <w:t xml:space="preserve">ing </w:t>
      </w:r>
      <w:r w:rsidR="004C6B85" w:rsidRPr="00F368E9">
        <w:t>2.4</w:t>
      </w:r>
      <w:r w:rsidR="00A05C8C" w:rsidRPr="00F368E9">
        <w:t xml:space="preserve"> million students attending 6</w:t>
      </w:r>
      <w:r w:rsidR="00631BC6" w:rsidRPr="00F368E9">
        <w:t>6</w:t>
      </w:r>
      <w:r w:rsidR="00490DA9" w:rsidRPr="00F368E9">
        <w:t>39</w:t>
      </w:r>
      <w:r w:rsidR="00A05C8C" w:rsidRPr="00F368E9">
        <w:t xml:space="preserve"> government schools</w:t>
      </w:r>
      <w:r w:rsidR="00EF1C05" w:rsidRPr="00F368E9">
        <w:t xml:space="preserve"> and </w:t>
      </w:r>
      <w:r w:rsidR="00795061" w:rsidRPr="00F368E9">
        <w:br/>
      </w:r>
      <w:r w:rsidR="00EF1C05" w:rsidRPr="00F368E9">
        <w:t>1.</w:t>
      </w:r>
      <w:r w:rsidR="004C6B85" w:rsidRPr="00F368E9">
        <w:t>3</w:t>
      </w:r>
      <w:r w:rsidR="008D13AC" w:rsidRPr="00F368E9">
        <w:t xml:space="preserve"> million </w:t>
      </w:r>
      <w:r w:rsidR="00863E5C" w:rsidRPr="00F368E9">
        <w:t xml:space="preserve">students </w:t>
      </w:r>
      <w:r w:rsidR="008D13AC" w:rsidRPr="00F368E9">
        <w:t>attending 27</w:t>
      </w:r>
      <w:r w:rsidR="00490DA9" w:rsidRPr="00F368E9">
        <w:t>65</w:t>
      </w:r>
      <w:r w:rsidR="00A05C8C" w:rsidRPr="00F368E9">
        <w:t xml:space="preserve"> </w:t>
      </w:r>
      <w:r w:rsidR="00EF1C05" w:rsidRPr="00F368E9">
        <w:t>non</w:t>
      </w:r>
      <w:r w:rsidR="00490B08">
        <w:noBreakHyphen/>
      </w:r>
      <w:r w:rsidR="00B570DB" w:rsidRPr="00F368E9">
        <w:t>government schools (tables</w:t>
      </w:r>
      <w:r w:rsidR="00490B08">
        <w:t> </w:t>
      </w:r>
      <w:proofErr w:type="spellStart"/>
      <w:r w:rsidR="00ED4024" w:rsidRPr="00F368E9">
        <w:t>4A.1</w:t>
      </w:r>
      <w:proofErr w:type="spellEnd"/>
      <w:r w:rsidR="00ED4024" w:rsidRPr="00F368E9">
        <w:t>–</w:t>
      </w:r>
      <w:r w:rsidR="00A05C8C" w:rsidRPr="00F368E9">
        <w:t>3).</w:t>
      </w:r>
    </w:p>
    <w:p w:rsidR="000810FA" w:rsidRPr="00F368E9" w:rsidRDefault="000810FA" w:rsidP="00C10DB3">
      <w:pPr>
        <w:pStyle w:val="BodyText"/>
        <w:shd w:val="clear" w:color="auto" w:fill="FFFFFF" w:themeFill="background1"/>
      </w:pPr>
      <w:r w:rsidRPr="00F368E9">
        <w:t>In 2015, there were 1.</w:t>
      </w:r>
      <w:r w:rsidR="00802B69" w:rsidRPr="00F368E9">
        <w:t>2</w:t>
      </w:r>
      <w:r w:rsidRPr="00F368E9">
        <w:t xml:space="preserve"> million government funded VET students in Australia (table</w:t>
      </w:r>
      <w:r w:rsidR="00490B08">
        <w:t> </w:t>
      </w:r>
      <w:proofErr w:type="spellStart"/>
      <w:r w:rsidRPr="00F368E9">
        <w:t>5A.4</w:t>
      </w:r>
      <w:proofErr w:type="spellEnd"/>
      <w:r w:rsidRPr="00F368E9">
        <w:t xml:space="preserve">) </w:t>
      </w:r>
      <w:r w:rsidRPr="00C10DB3">
        <w:rPr>
          <w:shd w:val="clear" w:color="auto" w:fill="FFFFFF" w:themeFill="background1"/>
        </w:rPr>
        <w:t xml:space="preserve">and </w:t>
      </w:r>
      <w:r w:rsidR="00802B69" w:rsidRPr="00C10DB3">
        <w:rPr>
          <w:shd w:val="clear" w:color="auto" w:fill="FFFFFF" w:themeFill="background1"/>
        </w:rPr>
        <w:t>1978</w:t>
      </w:r>
      <w:r w:rsidRPr="00F368E9">
        <w:t xml:space="preserve"> registered training organisations </w:t>
      </w:r>
      <w:r w:rsidR="00EE2C40" w:rsidRPr="00C10DB3">
        <w:rPr>
          <w:shd w:val="clear" w:color="auto" w:fill="FFFFFF" w:themeFill="background1"/>
        </w:rPr>
        <w:t>delivering government funded programs at 35 179</w:t>
      </w:r>
      <w:r w:rsidR="00EE2C40" w:rsidRPr="00EE2C40">
        <w:t xml:space="preserve"> </w:t>
      </w:r>
      <w:r w:rsidR="00EE2C40" w:rsidRPr="00802B69">
        <w:t>locations in Australia (table</w:t>
      </w:r>
      <w:r w:rsidR="00490B08">
        <w:t> </w:t>
      </w:r>
      <w:proofErr w:type="spellStart"/>
      <w:r w:rsidR="00EE2C40" w:rsidRPr="00802B69">
        <w:t>5A.3</w:t>
      </w:r>
      <w:proofErr w:type="spellEnd"/>
      <w:r w:rsidR="00EE2C40" w:rsidRPr="00802B69">
        <w:t>).</w:t>
      </w:r>
    </w:p>
    <w:p w:rsidR="000810FA" w:rsidRPr="00F368E9" w:rsidRDefault="000810FA" w:rsidP="000810FA">
      <w:pPr>
        <w:pStyle w:val="BodyText"/>
      </w:pPr>
      <w:r w:rsidRPr="00C10DB3">
        <w:rPr>
          <w:shd w:val="clear" w:color="auto" w:fill="FFFFFF" w:themeFill="background1"/>
        </w:rPr>
        <w:t>There were 1.</w:t>
      </w:r>
      <w:r w:rsidR="000E35AB" w:rsidRPr="00C10DB3">
        <w:rPr>
          <w:shd w:val="clear" w:color="auto" w:fill="FFFFFF" w:themeFill="background1"/>
        </w:rPr>
        <w:t>4</w:t>
      </w:r>
      <w:r w:rsidRPr="00C10DB3">
        <w:rPr>
          <w:shd w:val="clear" w:color="auto" w:fill="FFFFFF" w:themeFill="background1"/>
        </w:rPr>
        <w:t xml:space="preserve"> million students enrolled at all higher education providers in 2015</w:t>
      </w:r>
      <w:r w:rsidR="00EE2C40" w:rsidRPr="00C10DB3">
        <w:rPr>
          <w:shd w:val="clear" w:color="auto" w:fill="FFFFFF" w:themeFill="background1"/>
        </w:rPr>
        <w:t xml:space="preserve">, </w:t>
      </w:r>
      <w:r w:rsidRPr="00C10DB3">
        <w:rPr>
          <w:shd w:val="clear" w:color="auto" w:fill="FFFFFF" w:themeFill="background1"/>
        </w:rPr>
        <w:t>compris</w:t>
      </w:r>
      <w:r w:rsidR="00EE2C40" w:rsidRPr="00C10DB3">
        <w:rPr>
          <w:shd w:val="clear" w:color="auto" w:fill="FFFFFF" w:themeFill="background1"/>
        </w:rPr>
        <w:t>ing</w:t>
      </w:r>
      <w:r w:rsidRPr="00F368E9">
        <w:t xml:space="preserve"> </w:t>
      </w:r>
      <w:r w:rsidR="0090541A" w:rsidRPr="00F368E9">
        <w:t>1</w:t>
      </w:r>
      <w:r w:rsidR="0090541A">
        <w:t> </w:t>
      </w:r>
      <w:r w:rsidR="0090541A" w:rsidRPr="00F368E9">
        <w:t>046</w:t>
      </w:r>
      <w:r w:rsidR="0090541A">
        <w:t> </w:t>
      </w:r>
      <w:r w:rsidRPr="00F368E9">
        <w:t xml:space="preserve">682 domestic and </w:t>
      </w:r>
      <w:r w:rsidR="0090541A" w:rsidRPr="00F368E9">
        <w:t>363</w:t>
      </w:r>
      <w:r w:rsidR="0090541A">
        <w:t> </w:t>
      </w:r>
      <w:r w:rsidRPr="00F368E9">
        <w:t>451 international student enrolments. The most common course level was a bachelor degree, which accounted for around two thirds of all students. The majority of students undertook their course on campus on a full time basis (Australian Government Department of Education</w:t>
      </w:r>
      <w:r w:rsidR="0075124A" w:rsidRPr="00F368E9">
        <w:t xml:space="preserve"> and Training </w:t>
      </w:r>
      <w:proofErr w:type="spellStart"/>
      <w:r w:rsidR="0075124A" w:rsidRPr="00F368E9">
        <w:t>2016a</w:t>
      </w:r>
      <w:proofErr w:type="spellEnd"/>
      <w:r w:rsidR="0075124A" w:rsidRPr="00F368E9">
        <w:t>).</w:t>
      </w:r>
    </w:p>
    <w:p w:rsidR="008B55A6" w:rsidRPr="00F368E9" w:rsidRDefault="00541C8D" w:rsidP="00F204CA">
      <w:pPr>
        <w:pStyle w:val="Heading4"/>
      </w:pPr>
      <w:r w:rsidRPr="00F368E9">
        <w:lastRenderedPageBreak/>
        <w:t>E</w:t>
      </w:r>
      <w:r w:rsidR="00B570DB" w:rsidRPr="00F368E9">
        <w:t>xpenditure</w:t>
      </w:r>
    </w:p>
    <w:p w:rsidR="000810FA" w:rsidRPr="00F368E9" w:rsidRDefault="000810FA" w:rsidP="000810FA">
      <w:pPr>
        <w:pStyle w:val="BodyText"/>
        <w:widowControl w:val="0"/>
      </w:pPr>
      <w:r w:rsidRPr="00F368E9">
        <w:t xml:space="preserve">Government Finance Statistics (GFS) data from the Australian Bureau of Statistics (ABS) are used in this section for all </w:t>
      </w:r>
      <w:proofErr w:type="spellStart"/>
      <w:r w:rsidRPr="00F368E9">
        <w:t>CCET</w:t>
      </w:r>
      <w:proofErr w:type="spellEnd"/>
      <w:r w:rsidRPr="00F368E9">
        <w:t xml:space="preserve"> services with the exception of child care services (GFS data are not separa</w:t>
      </w:r>
      <w:r w:rsidR="0075124A" w:rsidRPr="00F368E9">
        <w:t>tely available for child care).</w:t>
      </w:r>
    </w:p>
    <w:p w:rsidR="000810FA" w:rsidRPr="00F368E9" w:rsidRDefault="000810FA" w:rsidP="000810FA">
      <w:pPr>
        <w:pStyle w:val="BodyText"/>
        <w:widowControl w:val="0"/>
      </w:pPr>
      <w:r w:rsidRPr="00F368E9">
        <w:t>In 2014</w:t>
      </w:r>
      <w:r w:rsidRPr="00F368E9">
        <w:noBreakHyphen/>
        <w:t xml:space="preserve">15, total government operating expenditure net of transfers (payments between different levels of government) for all </w:t>
      </w:r>
      <w:proofErr w:type="spellStart"/>
      <w:r w:rsidRPr="00F368E9">
        <w:t>CCET</w:t>
      </w:r>
      <w:proofErr w:type="spellEnd"/>
      <w:r w:rsidRPr="00F368E9">
        <w:t xml:space="preserve"> services (with the exception of child care services) was $84.6 billion for all governments (</w:t>
      </w:r>
      <w:r w:rsidRPr="00C10DB3">
        <w:rPr>
          <w:shd w:val="clear" w:color="auto" w:fill="FFFFFF" w:themeFill="background1"/>
        </w:rPr>
        <w:t xml:space="preserve">table </w:t>
      </w:r>
      <w:proofErr w:type="spellStart"/>
      <w:r w:rsidRPr="00C10DB3">
        <w:rPr>
          <w:shd w:val="clear" w:color="auto" w:fill="FFFFFF" w:themeFill="background1"/>
        </w:rPr>
        <w:t>BA.2</w:t>
      </w:r>
      <w:proofErr w:type="spellEnd"/>
      <w:r w:rsidRPr="00F368E9">
        <w:t xml:space="preserve">). Primary and secondary education accounted for the highest proportion (51.2 per cent), followed by university </w:t>
      </w:r>
      <w:r w:rsidRPr="00F02965">
        <w:t xml:space="preserve">education (29.4 per cent), </w:t>
      </w:r>
      <w:r w:rsidR="0037178A" w:rsidRPr="00F02965">
        <w:t>Technical and further education (</w:t>
      </w:r>
      <w:r w:rsidRPr="00F02965">
        <w:t>TAFE</w:t>
      </w:r>
      <w:r w:rsidR="0037178A" w:rsidRPr="00F02965">
        <w:t>)</w:t>
      </w:r>
      <w:r w:rsidRPr="00F02965">
        <w:t xml:space="preserve"> (6.8 per cent</w:t>
      </w:r>
      <w:r w:rsidRPr="00F368E9">
        <w:t xml:space="preserve">) and preschool education (6.0 per cent). Proportions differed substantially between the Australian Government and the State and Territory governments (figure </w:t>
      </w:r>
      <w:proofErr w:type="spellStart"/>
      <w:r w:rsidRPr="00F368E9">
        <w:t>B.2</w:t>
      </w:r>
      <w:proofErr w:type="spellEnd"/>
      <w:r w:rsidRPr="00F368E9">
        <w:t>).</w:t>
      </w:r>
    </w:p>
    <w:p w:rsidR="00A51A13" w:rsidRPr="00F368E9" w:rsidRDefault="00A51A13" w:rsidP="006E25D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51A13" w:rsidRPr="00F368E9" w:rsidTr="006E25DA">
        <w:tc>
          <w:tcPr>
            <w:tcW w:w="8771" w:type="dxa"/>
            <w:tcBorders>
              <w:top w:val="single" w:sz="6" w:space="0" w:color="78A22F"/>
              <w:left w:val="nil"/>
              <w:bottom w:val="nil"/>
              <w:right w:val="nil"/>
            </w:tcBorders>
            <w:shd w:val="clear" w:color="auto" w:fill="auto"/>
          </w:tcPr>
          <w:p w:rsidR="00A51A13" w:rsidRPr="00F368E9" w:rsidRDefault="00B570DB" w:rsidP="004850F9">
            <w:pPr>
              <w:pStyle w:val="FigureTitle"/>
            </w:pPr>
            <w:r w:rsidRPr="00F368E9">
              <w:rPr>
                <w:b w:val="0"/>
              </w:rPr>
              <w:t xml:space="preserve">Figure </w:t>
            </w:r>
            <w:proofErr w:type="spellStart"/>
            <w:r w:rsidR="00346FA8" w:rsidRPr="00F368E9">
              <w:rPr>
                <w:b w:val="0"/>
              </w:rPr>
              <w:t>B.</w:t>
            </w:r>
            <w:r w:rsidR="001564B9">
              <w:rPr>
                <w:b w:val="0"/>
                <w:noProof/>
              </w:rPr>
              <w:t>2</w:t>
            </w:r>
            <w:proofErr w:type="spellEnd"/>
            <w:r w:rsidR="00A51A13" w:rsidRPr="00F368E9">
              <w:tab/>
              <w:t>Government expenditure on education and training,</w:t>
            </w:r>
            <w:r w:rsidR="008A5DBA" w:rsidRPr="00F368E9">
              <w:t xml:space="preserve"> 201</w:t>
            </w:r>
            <w:r w:rsidR="004850F9" w:rsidRPr="00F368E9">
              <w:t>4</w:t>
            </w:r>
            <w:r w:rsidR="008A5DBA" w:rsidRPr="00F368E9">
              <w:noBreakHyphen/>
              <w:t>1</w:t>
            </w:r>
            <w:r w:rsidR="004850F9" w:rsidRPr="00F368E9">
              <w:t>5</w:t>
            </w:r>
            <w:r w:rsidR="009A28E7" w:rsidRPr="00F368E9">
              <w:rPr>
                <w:rStyle w:val="NoteLabel"/>
                <w:b/>
              </w:rPr>
              <w:t>a</w:t>
            </w:r>
          </w:p>
        </w:tc>
      </w:tr>
      <w:tr w:rsidR="00A51A13" w:rsidRPr="00F368E9" w:rsidTr="006E25D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A51A13" w:rsidRPr="00F368E9" w:rsidTr="006E25DA">
              <w:trPr>
                <w:jc w:val="center"/>
              </w:trPr>
              <w:tc>
                <w:tcPr>
                  <w:tcW w:w="5000" w:type="pct"/>
                  <w:tcBorders>
                    <w:top w:val="nil"/>
                    <w:bottom w:val="nil"/>
                  </w:tcBorders>
                </w:tcPr>
                <w:p w:rsidR="00A51A13" w:rsidRPr="00F368E9" w:rsidRDefault="005A6954" w:rsidP="006E25DA">
                  <w:pPr>
                    <w:pStyle w:val="Figure"/>
                    <w:spacing w:before="60" w:after="60"/>
                  </w:pPr>
                  <w:r>
                    <w:rPr>
                      <w:noProof/>
                    </w:rPr>
                    <w:drawing>
                      <wp:inline distT="0" distB="0" distL="0" distR="0">
                        <wp:extent cx="5400675" cy="2695575"/>
                        <wp:effectExtent l="0" t="0" r="9525" b="9525"/>
                        <wp:docPr id="14" name="Picture 14" descr="Figure B.2 Government expenditure on education and training, 2014-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A51A13" w:rsidRPr="00F368E9" w:rsidRDefault="00A51A13" w:rsidP="006E25DA">
            <w:pPr>
              <w:pStyle w:val="Figure"/>
            </w:pPr>
          </w:p>
        </w:tc>
      </w:tr>
      <w:tr w:rsidR="00A51A13" w:rsidRPr="00F368E9" w:rsidTr="006E25DA">
        <w:tc>
          <w:tcPr>
            <w:tcW w:w="8771" w:type="dxa"/>
            <w:tcBorders>
              <w:top w:val="nil"/>
              <w:left w:val="nil"/>
              <w:bottom w:val="nil"/>
              <w:right w:val="nil"/>
            </w:tcBorders>
            <w:shd w:val="clear" w:color="auto" w:fill="auto"/>
          </w:tcPr>
          <w:p w:rsidR="00A51A13" w:rsidRPr="00F368E9" w:rsidRDefault="00A51A13" w:rsidP="00B05BF3">
            <w:pPr>
              <w:pStyle w:val="Note"/>
            </w:pPr>
            <w:proofErr w:type="spellStart"/>
            <w:r w:rsidRPr="00F368E9">
              <w:t>nec</w:t>
            </w:r>
            <w:proofErr w:type="spellEnd"/>
            <w:r w:rsidRPr="00F368E9">
              <w:rPr>
                <w:b/>
              </w:rPr>
              <w:t xml:space="preserve"> </w:t>
            </w:r>
            <w:r w:rsidRPr="00F368E9">
              <w:t>= Not elsewhere classified.</w:t>
            </w:r>
            <w:r w:rsidRPr="00F368E9">
              <w:rPr>
                <w:rStyle w:val="NoteLabel"/>
              </w:rPr>
              <w:t xml:space="preserve"> a</w:t>
            </w:r>
            <w:r w:rsidRPr="00F368E9">
              <w:t xml:space="preserve"> </w:t>
            </w:r>
            <w:r w:rsidR="0004797A" w:rsidRPr="00F368E9">
              <w:t xml:space="preserve">See tables </w:t>
            </w:r>
            <w:proofErr w:type="spellStart"/>
            <w:r w:rsidR="0004797A" w:rsidRPr="00F368E9">
              <w:t>BA.3</w:t>
            </w:r>
            <w:proofErr w:type="spellEnd"/>
            <w:r w:rsidR="0004797A" w:rsidRPr="00F368E9">
              <w:t xml:space="preserve"> and </w:t>
            </w:r>
            <w:proofErr w:type="spellStart"/>
            <w:r w:rsidR="0004797A" w:rsidRPr="00F368E9">
              <w:t>BA.4</w:t>
            </w:r>
            <w:proofErr w:type="spellEnd"/>
            <w:r w:rsidR="0004797A" w:rsidRPr="00F368E9">
              <w:t xml:space="preserve"> for detailed footnotes</w:t>
            </w:r>
            <w:r w:rsidR="00A96B11" w:rsidRPr="00F368E9">
              <w:t xml:space="preserve"> and caveats</w:t>
            </w:r>
            <w:r w:rsidR="0004797A" w:rsidRPr="00F368E9">
              <w:t>.</w:t>
            </w:r>
          </w:p>
        </w:tc>
      </w:tr>
      <w:tr w:rsidR="00A51A13" w:rsidRPr="00F368E9" w:rsidTr="006E25DA">
        <w:tc>
          <w:tcPr>
            <w:tcW w:w="8771" w:type="dxa"/>
            <w:tcBorders>
              <w:top w:val="nil"/>
              <w:left w:val="nil"/>
              <w:bottom w:val="nil"/>
              <w:right w:val="nil"/>
            </w:tcBorders>
            <w:shd w:val="clear" w:color="auto" w:fill="auto"/>
          </w:tcPr>
          <w:p w:rsidR="00A51A13" w:rsidRPr="00F368E9" w:rsidRDefault="00A51A13" w:rsidP="00F40B04">
            <w:pPr>
              <w:pStyle w:val="Source"/>
            </w:pPr>
            <w:r w:rsidRPr="00F368E9">
              <w:rPr>
                <w:i/>
              </w:rPr>
              <w:t>Source</w:t>
            </w:r>
            <w:r w:rsidRPr="00F368E9">
              <w:t>: ABS (201</w:t>
            </w:r>
            <w:r w:rsidR="0026354C" w:rsidRPr="00F368E9">
              <w:t>6</w:t>
            </w:r>
            <w:r w:rsidRPr="00F368E9">
              <w:t xml:space="preserve">) </w:t>
            </w:r>
            <w:r w:rsidRPr="00F368E9">
              <w:rPr>
                <w:i/>
              </w:rPr>
              <w:t>Government Finance Statistics, Education, 201</w:t>
            </w:r>
            <w:r w:rsidR="00DA69C4" w:rsidRPr="00F368E9">
              <w:rPr>
                <w:i/>
              </w:rPr>
              <w:t>4</w:t>
            </w:r>
            <w:r w:rsidR="000117A0" w:rsidRPr="00F368E9">
              <w:rPr>
                <w:i/>
              </w:rPr>
              <w:noBreakHyphen/>
            </w:r>
            <w:r w:rsidRPr="00F368E9">
              <w:rPr>
                <w:i/>
              </w:rPr>
              <w:t>1</w:t>
            </w:r>
            <w:r w:rsidR="00DA69C4" w:rsidRPr="00F368E9">
              <w:rPr>
                <w:i/>
              </w:rPr>
              <w:t>5</w:t>
            </w:r>
            <w:r w:rsidR="00DA69C4" w:rsidRPr="00F368E9">
              <w:t>,</w:t>
            </w:r>
            <w:r w:rsidRPr="00F368E9">
              <w:t xml:space="preserve"> Cat. no. 5518.0.55.001; </w:t>
            </w:r>
            <w:r w:rsidRPr="00F368E9">
              <w:br/>
            </w:r>
            <w:r w:rsidRPr="000832E4">
              <w:t>table</w:t>
            </w:r>
            <w:r w:rsidR="003831E5" w:rsidRPr="000832E4">
              <w:t>s</w:t>
            </w:r>
            <w:r w:rsidRPr="000832E4">
              <w:t xml:space="preserve"> </w:t>
            </w:r>
            <w:proofErr w:type="spellStart"/>
            <w:r w:rsidRPr="000832E4">
              <w:t>BA.3</w:t>
            </w:r>
            <w:proofErr w:type="spellEnd"/>
            <w:r w:rsidR="00461FCE" w:rsidRPr="000832E4">
              <w:t>–4</w:t>
            </w:r>
            <w:r w:rsidRPr="000832E4">
              <w:t>.</w:t>
            </w:r>
          </w:p>
        </w:tc>
      </w:tr>
      <w:tr w:rsidR="00A51A13" w:rsidRPr="00F368E9" w:rsidTr="006E25DA">
        <w:tc>
          <w:tcPr>
            <w:tcW w:w="8771" w:type="dxa"/>
            <w:tcBorders>
              <w:top w:val="nil"/>
              <w:left w:val="nil"/>
              <w:bottom w:val="single" w:sz="6" w:space="0" w:color="78A22F"/>
              <w:right w:val="nil"/>
            </w:tcBorders>
            <w:shd w:val="clear" w:color="auto" w:fill="auto"/>
          </w:tcPr>
          <w:p w:rsidR="00A51A13" w:rsidRPr="00F368E9" w:rsidRDefault="00A51A13" w:rsidP="006E25DA">
            <w:pPr>
              <w:pStyle w:val="Figurespace"/>
            </w:pPr>
          </w:p>
        </w:tc>
      </w:tr>
      <w:tr w:rsidR="00A51A13" w:rsidRPr="00F368E9" w:rsidTr="006E25DA">
        <w:tc>
          <w:tcPr>
            <w:tcW w:w="8771" w:type="dxa"/>
            <w:tcBorders>
              <w:top w:val="single" w:sz="6" w:space="0" w:color="78A22F"/>
              <w:left w:val="nil"/>
              <w:bottom w:val="nil"/>
              <w:right w:val="nil"/>
            </w:tcBorders>
          </w:tcPr>
          <w:p w:rsidR="00A51A13" w:rsidRPr="00F368E9" w:rsidRDefault="00A51A13" w:rsidP="006E25DA">
            <w:pPr>
              <w:pStyle w:val="BoxSpaceBelow"/>
            </w:pPr>
          </w:p>
        </w:tc>
      </w:tr>
    </w:tbl>
    <w:p w:rsidR="004934C0" w:rsidRPr="00F368E9" w:rsidRDefault="004934C0" w:rsidP="004934C0">
      <w:pPr>
        <w:pStyle w:val="BodyText"/>
        <w:widowControl w:val="0"/>
      </w:pPr>
      <w:r w:rsidRPr="00F368E9">
        <w:t>In 2014</w:t>
      </w:r>
      <w:r w:rsidRPr="00F368E9">
        <w:noBreakHyphen/>
        <w:t>15, total recurrent expenditure for child care services was $7.3 billion</w:t>
      </w:r>
      <w:r w:rsidR="00F40B04" w:rsidRPr="00C10DB3">
        <w:rPr>
          <w:shd w:val="clear" w:color="auto" w:fill="FFFFFF" w:themeFill="background1"/>
        </w:rPr>
        <w:t>,</w:t>
      </w:r>
      <w:r w:rsidRPr="00C10DB3">
        <w:rPr>
          <w:shd w:val="clear" w:color="auto" w:fill="FFFFFF" w:themeFill="background1"/>
        </w:rPr>
        <w:t xml:space="preserve"> equivalent</w:t>
      </w:r>
      <w:r w:rsidRPr="00F368E9">
        <w:t xml:space="preserve"> to 0.5 per cent of gross domestic product (table </w:t>
      </w:r>
      <w:proofErr w:type="spellStart"/>
      <w:r w:rsidRPr="00F368E9">
        <w:t>BA.1</w:t>
      </w:r>
      <w:proofErr w:type="spellEnd"/>
      <w:r w:rsidRPr="00F368E9">
        <w:t xml:space="preserve"> and ABS </w:t>
      </w:r>
      <w:proofErr w:type="spellStart"/>
      <w:r w:rsidRPr="00F368E9">
        <w:t>2016a</w:t>
      </w:r>
      <w:proofErr w:type="spellEnd"/>
      <w:r w:rsidRPr="00F368E9">
        <w:t xml:space="preserve">). Child care expenditure data are sourced from the </w:t>
      </w:r>
      <w:proofErr w:type="spellStart"/>
      <w:r w:rsidRPr="00F368E9">
        <w:t>ECEC</w:t>
      </w:r>
      <w:proofErr w:type="spellEnd"/>
      <w:r w:rsidRPr="00F368E9">
        <w:t xml:space="preserve"> chapter in this Report, and are not directly comparable with GFS data.</w:t>
      </w:r>
    </w:p>
    <w:p w:rsidR="009B1E0C" w:rsidRPr="00F368E9" w:rsidRDefault="00A3537F" w:rsidP="0095291B">
      <w:pPr>
        <w:pStyle w:val="Heading4"/>
      </w:pPr>
      <w:r w:rsidRPr="00F368E9">
        <w:lastRenderedPageBreak/>
        <w:t>W</w:t>
      </w:r>
      <w:r w:rsidR="00973F89" w:rsidRPr="00F368E9">
        <w:t>orkforce</w:t>
      </w:r>
    </w:p>
    <w:p w:rsidR="002D6D6A" w:rsidRPr="00F368E9" w:rsidRDefault="004934C0" w:rsidP="004934C0">
      <w:pPr>
        <w:pStyle w:val="BodyText"/>
        <w:rPr>
          <w:b/>
        </w:rPr>
      </w:pPr>
      <w:bookmarkStart w:id="16" w:name="_Toc456775991"/>
      <w:bookmarkStart w:id="17" w:name="_Toc456776021"/>
      <w:r w:rsidRPr="00F368E9">
        <w:t xml:space="preserve">Nationally in 2016, there </w:t>
      </w:r>
      <w:r w:rsidR="002E434D" w:rsidRPr="00F368E9">
        <w:t>was</w:t>
      </w:r>
      <w:r w:rsidRPr="00F368E9">
        <w:t xml:space="preserve"> </w:t>
      </w:r>
      <w:r w:rsidR="000F41E5" w:rsidRPr="00F368E9">
        <w:t>106</w:t>
      </w:r>
      <w:r w:rsidR="000F41E5">
        <w:t> </w:t>
      </w:r>
      <w:r w:rsidR="002E434D" w:rsidRPr="00F368E9">
        <w:t>622</w:t>
      </w:r>
      <w:r w:rsidRPr="00F368E9">
        <w:t xml:space="preserve"> primary contact staff employed in Australian Government </w:t>
      </w:r>
      <w:proofErr w:type="spellStart"/>
      <w:r w:rsidRPr="00F368E9">
        <w:t>CCB</w:t>
      </w:r>
      <w:proofErr w:type="spellEnd"/>
      <w:r w:rsidRPr="00F368E9">
        <w:t xml:space="preserve"> approved child care services (table</w:t>
      </w:r>
      <w:r w:rsidR="00490B08">
        <w:t> </w:t>
      </w:r>
      <w:proofErr w:type="spellStart"/>
      <w:r w:rsidRPr="00F368E9">
        <w:t>3A.45</w:t>
      </w:r>
      <w:proofErr w:type="spellEnd"/>
      <w:r w:rsidRPr="00F368E9">
        <w:t>)</w:t>
      </w:r>
      <w:r w:rsidR="002E434D" w:rsidRPr="00F368E9">
        <w:t>. In 2014, there were</w:t>
      </w:r>
      <w:r w:rsidRPr="00F368E9">
        <w:t xml:space="preserve"> </w:t>
      </w:r>
      <w:r w:rsidR="000F41E5" w:rsidRPr="00F368E9">
        <w:t>16</w:t>
      </w:r>
      <w:r w:rsidR="000F41E5">
        <w:t> </w:t>
      </w:r>
      <w:r w:rsidRPr="00F368E9">
        <w:t>747 university qualified teachers delivering preschool programs (table</w:t>
      </w:r>
      <w:r w:rsidR="00490B08">
        <w:t> </w:t>
      </w:r>
      <w:proofErr w:type="spellStart"/>
      <w:r w:rsidRPr="00F368E9">
        <w:t>3A.5</w:t>
      </w:r>
      <w:r w:rsidR="00DB28FC" w:rsidRPr="00F368E9">
        <w:t>1</w:t>
      </w:r>
      <w:proofErr w:type="spellEnd"/>
      <w:r w:rsidRPr="00F368E9">
        <w:t>).</w:t>
      </w:r>
    </w:p>
    <w:p w:rsidR="004934C0" w:rsidRPr="00F368E9" w:rsidRDefault="004934C0" w:rsidP="004934C0">
      <w:pPr>
        <w:pStyle w:val="BodyText"/>
      </w:pPr>
      <w:r w:rsidRPr="00F368E9">
        <w:t>Nationally in 201</w:t>
      </w:r>
      <w:r w:rsidR="002E434D" w:rsidRPr="00F368E9">
        <w:t>5</w:t>
      </w:r>
      <w:r w:rsidRPr="00F368E9">
        <w:t xml:space="preserve">, primary schools employed </w:t>
      </w:r>
      <w:r w:rsidR="000F41E5" w:rsidRPr="00F368E9">
        <w:t>198</w:t>
      </w:r>
      <w:r w:rsidR="000F41E5">
        <w:t> </w:t>
      </w:r>
      <w:r w:rsidR="002E434D" w:rsidRPr="00F368E9">
        <w:t>316</w:t>
      </w:r>
      <w:r w:rsidRPr="00F368E9">
        <w:t xml:space="preserve"> full time equivalent (FTE) teachers an</w:t>
      </w:r>
      <w:r w:rsidR="002E434D" w:rsidRPr="00F368E9">
        <w:t xml:space="preserve">d secondary schools employed </w:t>
      </w:r>
      <w:r w:rsidR="000F41E5" w:rsidRPr="00F368E9">
        <w:t>184</w:t>
      </w:r>
      <w:r w:rsidR="000F41E5">
        <w:t> </w:t>
      </w:r>
      <w:r w:rsidR="002E434D" w:rsidRPr="00F368E9">
        <w:t>372</w:t>
      </w:r>
      <w:r w:rsidRPr="00F368E9">
        <w:t xml:space="preserve"> FTE teachers (table</w:t>
      </w:r>
      <w:r w:rsidR="00490B08">
        <w:t> </w:t>
      </w:r>
      <w:proofErr w:type="spellStart"/>
      <w:r w:rsidRPr="00F368E9">
        <w:t>4A.3</w:t>
      </w:r>
      <w:proofErr w:type="spellEnd"/>
      <w:r w:rsidRPr="00F368E9">
        <w:t>).</w:t>
      </w:r>
    </w:p>
    <w:p w:rsidR="00554747" w:rsidRPr="00F368E9" w:rsidRDefault="004934C0" w:rsidP="00554747">
      <w:pPr>
        <w:pStyle w:val="BodyText"/>
      </w:pPr>
      <w:r w:rsidRPr="00F368E9">
        <w:t xml:space="preserve">There is no single accepted measure of the VET workforce although there were an estimated </w:t>
      </w:r>
      <w:r w:rsidR="000F41E5" w:rsidRPr="00F368E9">
        <w:t>31</w:t>
      </w:r>
      <w:r w:rsidR="000F41E5">
        <w:t> </w:t>
      </w:r>
      <w:r w:rsidR="002D6D6A" w:rsidRPr="00F368E9">
        <w:t>0</w:t>
      </w:r>
      <w:r w:rsidRPr="00F368E9">
        <w:t>50 vocational education teachers in 201</w:t>
      </w:r>
      <w:r w:rsidR="002D6D6A" w:rsidRPr="00F368E9">
        <w:t>5</w:t>
      </w:r>
      <w:r w:rsidR="00490B08">
        <w:noBreakHyphen/>
      </w:r>
      <w:r w:rsidR="002D6D6A" w:rsidRPr="00F368E9">
        <w:t>16.</w:t>
      </w:r>
    </w:p>
    <w:p w:rsidR="004934C0" w:rsidRPr="00F368E9" w:rsidRDefault="00272338" w:rsidP="004934C0">
      <w:pPr>
        <w:pStyle w:val="BodyText"/>
      </w:pPr>
      <w:r w:rsidRPr="00F368E9">
        <w:t xml:space="preserve">There were </w:t>
      </w:r>
      <w:r w:rsidR="000F41E5" w:rsidRPr="00C10DB3">
        <w:rPr>
          <w:shd w:val="clear" w:color="auto" w:fill="FFFFFF" w:themeFill="background1"/>
        </w:rPr>
        <w:t>43 </w:t>
      </w:r>
      <w:r w:rsidRPr="00C10DB3">
        <w:rPr>
          <w:shd w:val="clear" w:color="auto" w:fill="FFFFFF" w:themeFill="background1"/>
        </w:rPr>
        <w:t xml:space="preserve">807 academic staff </w:t>
      </w:r>
      <w:r w:rsidR="00F40B04" w:rsidRPr="00C10DB3">
        <w:rPr>
          <w:shd w:val="clear" w:color="auto" w:fill="FFFFFF" w:themeFill="background1"/>
        </w:rPr>
        <w:t>and 65 739 non</w:t>
      </w:r>
      <w:r w:rsidR="00490B08">
        <w:rPr>
          <w:shd w:val="clear" w:color="auto" w:fill="FFFFFF" w:themeFill="background1"/>
        </w:rPr>
        <w:noBreakHyphen/>
      </w:r>
      <w:r w:rsidR="00F40B04" w:rsidRPr="00C10DB3">
        <w:rPr>
          <w:shd w:val="clear" w:color="auto" w:fill="FFFFFF" w:themeFill="background1"/>
        </w:rPr>
        <w:t>academic staff (non</w:t>
      </w:r>
      <w:r w:rsidR="00490B08">
        <w:rPr>
          <w:shd w:val="clear" w:color="auto" w:fill="FFFFFF" w:themeFill="background1"/>
        </w:rPr>
        <w:noBreakHyphen/>
      </w:r>
      <w:r w:rsidR="00F40B04" w:rsidRPr="00C10DB3">
        <w:rPr>
          <w:shd w:val="clear" w:color="auto" w:fill="FFFFFF" w:themeFill="background1"/>
        </w:rPr>
        <w:t xml:space="preserve">teaching or </w:t>
      </w:r>
      <w:r w:rsidR="000F41E5" w:rsidRPr="00C10DB3">
        <w:rPr>
          <w:shd w:val="clear" w:color="auto" w:fill="FFFFFF" w:themeFill="background1"/>
        </w:rPr>
        <w:br/>
      </w:r>
      <w:r w:rsidR="00F40B04" w:rsidRPr="00C10DB3">
        <w:rPr>
          <w:shd w:val="clear" w:color="auto" w:fill="FFFFFF" w:themeFill="background1"/>
        </w:rPr>
        <w:t>non</w:t>
      </w:r>
      <w:r w:rsidR="000F41E5" w:rsidRPr="00C10DB3">
        <w:rPr>
          <w:shd w:val="clear" w:color="auto" w:fill="FFFFFF" w:themeFill="background1"/>
        </w:rPr>
        <w:noBreakHyphen/>
      </w:r>
      <w:r w:rsidR="00F40B04" w:rsidRPr="00C10DB3">
        <w:rPr>
          <w:shd w:val="clear" w:color="auto" w:fill="FFFFFF" w:themeFill="background1"/>
        </w:rPr>
        <w:t>research) employed at Australian universities in 2015</w:t>
      </w:r>
      <w:r w:rsidR="00F40B04">
        <w:t xml:space="preserve"> </w:t>
      </w:r>
      <w:r w:rsidR="00F40B04" w:rsidRPr="00D20D12">
        <w:t xml:space="preserve">(Australian Government Department of Education and Training </w:t>
      </w:r>
      <w:proofErr w:type="spellStart"/>
      <w:r w:rsidR="00F40B04" w:rsidRPr="00D20D12">
        <w:t>2016b</w:t>
      </w:r>
      <w:proofErr w:type="spellEnd"/>
      <w:r w:rsidR="00F40B04" w:rsidRPr="00D20D12">
        <w:t>).</w:t>
      </w:r>
    </w:p>
    <w:p w:rsidR="008B55A6" w:rsidRPr="00F368E9" w:rsidRDefault="00AD713F" w:rsidP="0038185D">
      <w:pPr>
        <w:pStyle w:val="Heading3"/>
      </w:pPr>
      <w:r w:rsidRPr="00F368E9">
        <w:t>Social and economic impacts of e</w:t>
      </w:r>
      <w:r w:rsidR="008B55A6" w:rsidRPr="00F368E9">
        <w:t>ducation</w:t>
      </w:r>
      <w:r w:rsidR="00420B15" w:rsidRPr="00F368E9">
        <w:t xml:space="preserve"> and training</w:t>
      </w:r>
      <w:bookmarkEnd w:id="16"/>
      <w:bookmarkEnd w:id="17"/>
    </w:p>
    <w:p w:rsidR="006D21FD" w:rsidRPr="00F368E9" w:rsidRDefault="006D21FD" w:rsidP="006D21FD">
      <w:pPr>
        <w:pStyle w:val="Heading4"/>
      </w:pPr>
      <w:r w:rsidRPr="00F368E9">
        <w:t xml:space="preserve">Benefits of </w:t>
      </w:r>
      <w:proofErr w:type="spellStart"/>
      <w:r w:rsidRPr="00F368E9">
        <w:t>CCET</w:t>
      </w:r>
      <w:proofErr w:type="spellEnd"/>
    </w:p>
    <w:p w:rsidR="006D21FD" w:rsidRPr="00F368E9" w:rsidRDefault="006D21FD" w:rsidP="006D21FD">
      <w:pPr>
        <w:pStyle w:val="ListBullet"/>
        <w:numPr>
          <w:ilvl w:val="0"/>
          <w:numId w:val="0"/>
        </w:numPr>
      </w:pPr>
      <w:r w:rsidRPr="000832E4">
        <w:t>Education aims</w:t>
      </w:r>
      <w:r w:rsidRPr="00F368E9">
        <w:t xml:space="preserve"> to develop the capacities and talents of students, to ensure necessary knowledge, understanding, skills and values for a</w:t>
      </w:r>
      <w:r w:rsidR="0075124A" w:rsidRPr="00F368E9">
        <w:t xml:space="preserve"> productive and rewarding life.</w:t>
      </w:r>
    </w:p>
    <w:p w:rsidR="006D21FD" w:rsidRPr="00F368E9" w:rsidRDefault="006D21FD" w:rsidP="006D21FD">
      <w:pPr>
        <w:pStyle w:val="ListBullet"/>
        <w:numPr>
          <w:ilvl w:val="0"/>
          <w:numId w:val="0"/>
        </w:numPr>
      </w:pPr>
      <w:r w:rsidRPr="00F368E9">
        <w:t>Across a lifetime, education and training can provide significant economic and social benefits to the individual.</w:t>
      </w:r>
    </w:p>
    <w:p w:rsidR="006D21FD" w:rsidRPr="00D867AA" w:rsidRDefault="006D21FD" w:rsidP="006D21FD">
      <w:pPr>
        <w:pStyle w:val="ListBullet"/>
      </w:pPr>
      <w:r w:rsidRPr="00D867AA">
        <w:rPr>
          <w:rStyle w:val="ListBulletChar"/>
        </w:rPr>
        <w:t xml:space="preserve">Higher </w:t>
      </w:r>
      <w:r w:rsidRPr="00D867AA">
        <w:t>education</w:t>
      </w:r>
      <w:r w:rsidRPr="00D867AA">
        <w:rPr>
          <w:rStyle w:val="ListBulletChar"/>
        </w:rPr>
        <w:t xml:space="preserve"> levels are associated with higher employment and earnings </w:t>
      </w:r>
      <w:r w:rsidR="00DB3EF3" w:rsidRPr="00D867AA">
        <w:rPr>
          <w:rStyle w:val="ListBulletChar"/>
        </w:rPr>
        <w:br/>
      </w:r>
      <w:r w:rsidRPr="00D867AA">
        <w:t xml:space="preserve">(OECD 2013, </w:t>
      </w:r>
      <w:proofErr w:type="spellStart"/>
      <w:r w:rsidRPr="00D867AA">
        <w:t>Shomos</w:t>
      </w:r>
      <w:proofErr w:type="spellEnd"/>
      <w:r w:rsidRPr="00D867AA">
        <w:t xml:space="preserve"> 2010)</w:t>
      </w:r>
      <w:r w:rsidRPr="00D867AA">
        <w:rPr>
          <w:rStyle w:val="ListBulletChar"/>
        </w:rPr>
        <w:t>. Nationally in 201</w:t>
      </w:r>
      <w:r w:rsidR="004868C9" w:rsidRPr="00D867AA">
        <w:rPr>
          <w:rStyle w:val="ListBulletChar"/>
        </w:rPr>
        <w:t>5</w:t>
      </w:r>
      <w:r w:rsidRPr="00D867AA">
        <w:rPr>
          <w:rStyle w:val="ListBulletChar"/>
        </w:rPr>
        <w:t>, people whose highest non</w:t>
      </w:r>
      <w:r w:rsidR="00490B08">
        <w:rPr>
          <w:rStyle w:val="ListBulletChar"/>
        </w:rPr>
        <w:noBreakHyphen/>
      </w:r>
      <w:r w:rsidRPr="00D867AA">
        <w:rPr>
          <w:rStyle w:val="ListBulletChar"/>
        </w:rPr>
        <w:t>school qualification wa</w:t>
      </w:r>
      <w:r w:rsidR="004868C9" w:rsidRPr="00D867AA">
        <w:rPr>
          <w:rStyle w:val="ListBulletChar"/>
        </w:rPr>
        <w:t>s at least a bachelor degree (84.2</w:t>
      </w:r>
      <w:r w:rsidRPr="00D867AA">
        <w:rPr>
          <w:rStyle w:val="ListBulletChar"/>
        </w:rPr>
        <w:t xml:space="preserve"> per cent) or a Certificate III or IV (81.5 per cent) were most likely to be employed, while people who had no</w:t>
      </w:r>
      <w:r w:rsidR="004868C9" w:rsidRPr="00D867AA">
        <w:rPr>
          <w:rStyle w:val="ListBulletChar"/>
        </w:rPr>
        <w:t>t completed secondary school (</w:t>
      </w:r>
      <w:r w:rsidR="00D867AA" w:rsidRPr="00800D95">
        <w:rPr>
          <w:rStyle w:val="ListBulletChar"/>
        </w:rPr>
        <w:t>51.5</w:t>
      </w:r>
      <w:r w:rsidR="006048C4" w:rsidRPr="008E76F4">
        <w:rPr>
          <w:rStyle w:val="ListBulletChar"/>
        </w:rPr>
        <w:t xml:space="preserve"> </w:t>
      </w:r>
      <w:r w:rsidRPr="008E76F4">
        <w:rPr>
          <w:rStyle w:val="ListBulletChar"/>
        </w:rPr>
        <w:t>per cent) were</w:t>
      </w:r>
      <w:r w:rsidRPr="00D867AA">
        <w:rPr>
          <w:rStyle w:val="ListBulletChar"/>
        </w:rPr>
        <w:t xml:space="preserve"> the least likely to be employed (tab</w:t>
      </w:r>
      <w:r w:rsidR="0075124A" w:rsidRPr="00D867AA">
        <w:rPr>
          <w:rStyle w:val="ListBulletChar"/>
        </w:rPr>
        <w:t xml:space="preserve">le </w:t>
      </w:r>
      <w:proofErr w:type="spellStart"/>
      <w:r w:rsidR="0075124A" w:rsidRPr="00D867AA">
        <w:rPr>
          <w:rStyle w:val="ListBulletChar"/>
        </w:rPr>
        <w:t>BA.5</w:t>
      </w:r>
      <w:proofErr w:type="spellEnd"/>
      <w:r w:rsidR="0075124A" w:rsidRPr="00D867AA">
        <w:rPr>
          <w:rStyle w:val="ListBulletChar"/>
        </w:rPr>
        <w:t>).</w:t>
      </w:r>
    </w:p>
    <w:p w:rsidR="006D21FD" w:rsidRPr="00D867AA" w:rsidRDefault="006D21FD" w:rsidP="006D21FD">
      <w:pPr>
        <w:pStyle w:val="ListBullet"/>
      </w:pPr>
      <w:r w:rsidRPr="00D867AA">
        <w:t>Levels of qualifications are also associated with types of occupation. In 201</w:t>
      </w:r>
      <w:r w:rsidR="0074071F" w:rsidRPr="00D867AA">
        <w:t>5</w:t>
      </w:r>
      <w:r w:rsidRPr="00D867AA">
        <w:t>, for those aged 15–64 years</w:t>
      </w:r>
      <w:r w:rsidR="00BE64CF" w:rsidRPr="00D867AA">
        <w:t xml:space="preserve">, </w:t>
      </w:r>
      <w:r w:rsidRPr="00D867AA">
        <w:t>7</w:t>
      </w:r>
      <w:r w:rsidR="0074071F" w:rsidRPr="00D867AA">
        <w:t>3.9</w:t>
      </w:r>
      <w:r w:rsidRPr="00D867AA">
        <w:t xml:space="preserve"> per cent employed as professionals had at least a bachelor degree qualification and 5</w:t>
      </w:r>
      <w:r w:rsidR="0074071F" w:rsidRPr="00D867AA">
        <w:t>3.5</w:t>
      </w:r>
      <w:r w:rsidRPr="00D867AA">
        <w:t xml:space="preserve"> per cent employed as technicians or trade workers had a Certificate III or IV as their highest level of non</w:t>
      </w:r>
      <w:r w:rsidR="00490B08">
        <w:noBreakHyphen/>
      </w:r>
      <w:r w:rsidRPr="00D867AA">
        <w:t xml:space="preserve">school qualification (table </w:t>
      </w:r>
      <w:proofErr w:type="spellStart"/>
      <w:r w:rsidRPr="00D867AA">
        <w:t>BA.6</w:t>
      </w:r>
      <w:proofErr w:type="spellEnd"/>
      <w:r w:rsidRPr="00D867AA">
        <w:t>).</w:t>
      </w:r>
    </w:p>
    <w:p w:rsidR="006D21FD" w:rsidRPr="00F368E9" w:rsidRDefault="006D21FD" w:rsidP="000832E4">
      <w:pPr>
        <w:pStyle w:val="BodyText"/>
      </w:pPr>
      <w:r w:rsidRPr="00F368E9">
        <w:t>Increased educational attainment also results in improved productivity through accelerated rates of innovation, the development of basic knowledge capabilities and the dissemination of new ideas (Murray 2009; PC</w:t>
      </w:r>
      <w:r w:rsidR="004F3EBF" w:rsidRPr="00F368E9">
        <w:t xml:space="preserve"> </w:t>
      </w:r>
      <w:r w:rsidR="0074071F" w:rsidRPr="00F368E9">
        <w:t>2011).</w:t>
      </w:r>
    </w:p>
    <w:p w:rsidR="006D21FD" w:rsidRPr="00F368E9" w:rsidRDefault="006D21FD" w:rsidP="006D21FD">
      <w:pPr>
        <w:pStyle w:val="Heading4"/>
      </w:pPr>
      <w:r w:rsidRPr="00F368E9">
        <w:t xml:space="preserve">Factors affecting engagement and outcomes in </w:t>
      </w:r>
      <w:proofErr w:type="spellStart"/>
      <w:r w:rsidRPr="00F368E9">
        <w:t>CCET</w:t>
      </w:r>
      <w:proofErr w:type="spellEnd"/>
    </w:p>
    <w:p w:rsidR="006D21FD" w:rsidRPr="00F368E9" w:rsidRDefault="006D21FD" w:rsidP="006D21FD">
      <w:pPr>
        <w:pStyle w:val="BodyText"/>
        <w:rPr>
          <w:rFonts w:eastAsia="Lucida Sans Unicode"/>
        </w:rPr>
      </w:pPr>
      <w:bookmarkStart w:id="18" w:name="_Toc456775992"/>
      <w:bookmarkStart w:id="19" w:name="_Toc456776022"/>
      <w:r w:rsidRPr="00F368E9">
        <w:rPr>
          <w:rFonts w:eastAsia="Lucida Sans Unicode"/>
        </w:rPr>
        <w:t xml:space="preserve">Engagement and outcomes in </w:t>
      </w:r>
      <w:proofErr w:type="spellStart"/>
      <w:r w:rsidRPr="00F368E9">
        <w:rPr>
          <w:rFonts w:eastAsia="Lucida Sans Unicode"/>
        </w:rPr>
        <w:t>CCET</w:t>
      </w:r>
      <w:proofErr w:type="spellEnd"/>
      <w:r w:rsidRPr="00F368E9">
        <w:rPr>
          <w:rFonts w:eastAsia="Lucida Sans Unicode"/>
        </w:rPr>
        <w:t xml:space="preserve"> can be affected by a range of socioeconomic and geographical factors.</w:t>
      </w:r>
    </w:p>
    <w:p w:rsidR="00F40B04" w:rsidRDefault="00F40B04" w:rsidP="00F40B04">
      <w:pPr>
        <w:pStyle w:val="ListBullet"/>
        <w:rPr>
          <w:rFonts w:eastAsia="Lucida Sans Unicode"/>
        </w:rPr>
      </w:pPr>
      <w:r w:rsidRPr="00F40B04">
        <w:rPr>
          <w:rFonts w:eastAsia="Lucida Sans Unicode"/>
        </w:rPr>
        <w:lastRenderedPageBreak/>
        <w:t xml:space="preserve">Socioeconomic disadvantage can result in poor school attendance </w:t>
      </w:r>
      <w:r w:rsidRPr="000832E4">
        <w:rPr>
          <w:rFonts w:eastAsia="Lucida Sans Unicode"/>
        </w:rPr>
        <w:t>(which in itself can lead to poorer academic achievement)</w:t>
      </w:r>
      <w:r w:rsidRPr="00F40B04">
        <w:rPr>
          <w:rFonts w:eastAsia="Lucida Sans Unicode"/>
        </w:rPr>
        <w:t xml:space="preserve">, lower retention </w:t>
      </w:r>
      <w:r w:rsidR="00C10DB3" w:rsidRPr="000832E4">
        <w:rPr>
          <w:rFonts w:eastAsia="Lucida Sans Unicode"/>
        </w:rPr>
        <w:t xml:space="preserve">and </w:t>
      </w:r>
      <w:r w:rsidRPr="000832E4">
        <w:rPr>
          <w:rFonts w:eastAsia="Lucida Sans Unicode"/>
        </w:rPr>
        <w:t>completion</w:t>
      </w:r>
      <w:r w:rsidRPr="00F40B04">
        <w:rPr>
          <w:rFonts w:eastAsia="Lucida Sans Unicode"/>
        </w:rPr>
        <w:t xml:space="preserve"> rates and poorer average outcomes at school, as students are less likely to have parental academic support or resources that stimulate learning. </w:t>
      </w:r>
    </w:p>
    <w:p w:rsidR="00F40B04" w:rsidRPr="00F40B04" w:rsidRDefault="00F40B04" w:rsidP="00F40B04">
      <w:pPr>
        <w:pStyle w:val="ListBullet"/>
        <w:rPr>
          <w:rFonts w:eastAsia="Lucida Sans Unicode"/>
        </w:rPr>
      </w:pPr>
      <w:r w:rsidRPr="00F40B04">
        <w:rPr>
          <w:rFonts w:eastAsia="Lucida Sans Unicode"/>
        </w:rPr>
        <w:t xml:space="preserve">Geographical barriers to engagement are largely faced by people living in rural and remote areas, and relate to limited </w:t>
      </w:r>
      <w:r w:rsidRPr="000832E4">
        <w:rPr>
          <w:rFonts w:eastAsia="Lucida Sans Unicode"/>
        </w:rPr>
        <w:t>or reduced</w:t>
      </w:r>
      <w:r w:rsidRPr="00F40B04">
        <w:rPr>
          <w:rFonts w:eastAsia="Lucida Sans Unicode"/>
        </w:rPr>
        <w:t xml:space="preserve"> access to quality education and training resources. Schools in rural and remote areas tend to be smaller with </w:t>
      </w:r>
      <w:r w:rsidRPr="000832E4">
        <w:rPr>
          <w:rFonts w:eastAsia="Lucida Sans Unicode"/>
        </w:rPr>
        <w:t>less</w:t>
      </w:r>
      <w:r w:rsidRPr="00F40B04">
        <w:rPr>
          <w:rFonts w:eastAsia="Lucida Sans Unicode"/>
        </w:rPr>
        <w:t xml:space="preserve"> resourcing, resulting in more limited program offerings. However, VET sector participation in rural and remote areas is higher than in urban areas </w:t>
      </w:r>
      <w:r w:rsidRPr="000832E4">
        <w:rPr>
          <w:rFonts w:eastAsia="Lucida Sans Unicode"/>
        </w:rPr>
        <w:t>which</w:t>
      </w:r>
      <w:r w:rsidRPr="00F40B04">
        <w:rPr>
          <w:rFonts w:eastAsia="Lucida Sans Unicode"/>
        </w:rPr>
        <w:t xml:space="preserve"> could be partly due to the higher prevalence of early school leavers who may be seeking post</w:t>
      </w:r>
      <w:r w:rsidR="00490B08">
        <w:rPr>
          <w:rFonts w:eastAsia="Lucida Sans Unicode"/>
        </w:rPr>
        <w:noBreakHyphen/>
      </w:r>
      <w:r w:rsidRPr="00F40B04">
        <w:rPr>
          <w:rFonts w:eastAsia="Lucida Sans Unicode"/>
        </w:rPr>
        <w:t>school options to support entry into the workforce. Post</w:t>
      </w:r>
      <w:r w:rsidR="00490B08">
        <w:rPr>
          <w:rFonts w:eastAsia="Lucida Sans Unicode"/>
        </w:rPr>
        <w:noBreakHyphen/>
      </w:r>
      <w:r w:rsidRPr="00F40B04">
        <w:rPr>
          <w:rFonts w:eastAsia="Lucida Sans Unicode"/>
        </w:rPr>
        <w:t xml:space="preserve">school education and work may be </w:t>
      </w:r>
      <w:r w:rsidRPr="000832E4">
        <w:rPr>
          <w:rFonts w:eastAsia="Lucida Sans Unicode"/>
        </w:rPr>
        <w:t>partly</w:t>
      </w:r>
      <w:r w:rsidRPr="00F40B04">
        <w:rPr>
          <w:rFonts w:eastAsia="Lucida Sans Unicode"/>
        </w:rPr>
        <w:t xml:space="preserve"> limited by a range of factors which kept people from engaging in opportunities outside </w:t>
      </w:r>
      <w:r w:rsidRPr="000832E4">
        <w:rPr>
          <w:rFonts w:eastAsia="Lucida Sans Unicode"/>
        </w:rPr>
        <w:t>their</w:t>
      </w:r>
      <w:r w:rsidRPr="00F40B04">
        <w:rPr>
          <w:rFonts w:eastAsia="Lucida Sans Unicode"/>
        </w:rPr>
        <w:t xml:space="preserve"> local </w:t>
      </w:r>
      <w:r w:rsidRPr="000832E4">
        <w:rPr>
          <w:rFonts w:eastAsia="Lucida Sans Unicode"/>
        </w:rPr>
        <w:t>area</w:t>
      </w:r>
      <w:r w:rsidRPr="00F40B04">
        <w:rPr>
          <w:rFonts w:eastAsia="Lucida Sans Unicode"/>
        </w:rPr>
        <w:t xml:space="preserve"> (Webb et al. 2015).</w:t>
      </w:r>
    </w:p>
    <w:p w:rsidR="006D21FD" w:rsidRPr="00F368E9" w:rsidRDefault="00F40B04" w:rsidP="006D21FD">
      <w:pPr>
        <w:pStyle w:val="BodyText"/>
        <w:rPr>
          <w:rFonts w:eastAsia="Lucida Sans Unicode"/>
        </w:rPr>
      </w:pPr>
      <w:r w:rsidRPr="000E2A48">
        <w:rPr>
          <w:rFonts w:eastAsia="Lucida Sans Unicode"/>
        </w:rPr>
        <w:t xml:space="preserve">Aboriginal and Torres Strait Islander Australians </w:t>
      </w:r>
      <w:r>
        <w:rPr>
          <w:rFonts w:eastAsia="Lucida Sans Unicode"/>
        </w:rPr>
        <w:t xml:space="preserve">are affected by both of these factors and </w:t>
      </w:r>
      <w:r w:rsidRPr="000E2A48">
        <w:rPr>
          <w:rFonts w:eastAsia="Lucida Sans Unicode"/>
        </w:rPr>
        <w:t xml:space="preserve">overall have a lower level of participation in </w:t>
      </w:r>
      <w:r>
        <w:rPr>
          <w:rFonts w:eastAsia="Lucida Sans Unicode"/>
        </w:rPr>
        <w:t xml:space="preserve">childcare, </w:t>
      </w:r>
      <w:r w:rsidRPr="000E2A48">
        <w:rPr>
          <w:rFonts w:eastAsia="Lucida Sans Unicode"/>
        </w:rPr>
        <w:t xml:space="preserve">education and training than </w:t>
      </w:r>
      <w:r>
        <w:rPr>
          <w:rFonts w:eastAsia="Lucida Sans Unicode"/>
        </w:rPr>
        <w:br/>
      </w:r>
      <w:r w:rsidRPr="000E2A48">
        <w:rPr>
          <w:rFonts w:eastAsia="Lucida Sans Unicode"/>
        </w:rPr>
        <w:t>non</w:t>
      </w:r>
      <w:r w:rsidR="00490B08">
        <w:rPr>
          <w:rFonts w:eastAsia="Lucida Sans Unicode"/>
        </w:rPr>
        <w:noBreakHyphen/>
      </w:r>
      <w:r w:rsidRPr="000E2A48">
        <w:rPr>
          <w:rFonts w:eastAsia="Lucida Sans Unicode"/>
        </w:rPr>
        <w:t xml:space="preserve">Indigenous Australians. </w:t>
      </w:r>
      <w:r>
        <w:rPr>
          <w:rFonts w:eastAsia="Lucida Sans Unicode"/>
        </w:rPr>
        <w:t>Engagement</w:t>
      </w:r>
      <w:r w:rsidRPr="00A577D8">
        <w:rPr>
          <w:rFonts w:eastAsia="Lucida Sans Unicode"/>
        </w:rPr>
        <w:t xml:space="preserve"> of Aboriginal and Torres Strait Islander families </w:t>
      </w:r>
      <w:r>
        <w:rPr>
          <w:rFonts w:eastAsia="Lucida Sans Unicode"/>
        </w:rPr>
        <w:t>with</w:t>
      </w:r>
      <w:r w:rsidRPr="00A577D8">
        <w:rPr>
          <w:rFonts w:eastAsia="Lucida Sans Unicode"/>
        </w:rPr>
        <w:t xml:space="preserve"> child care services </w:t>
      </w:r>
      <w:r>
        <w:rPr>
          <w:rFonts w:eastAsia="Lucida Sans Unicode"/>
        </w:rPr>
        <w:t>can be affected by</w:t>
      </w:r>
      <w:r w:rsidRPr="00A577D8">
        <w:rPr>
          <w:rFonts w:eastAsia="Lucida Sans Unicode"/>
        </w:rPr>
        <w:t xml:space="preserve"> </w:t>
      </w:r>
      <w:r>
        <w:rPr>
          <w:rFonts w:eastAsia="Lucida Sans Unicode"/>
        </w:rPr>
        <w:t xml:space="preserve">the following key barriers: </w:t>
      </w:r>
      <w:r w:rsidRPr="00A577D8">
        <w:rPr>
          <w:rFonts w:eastAsia="Lucida Sans Unicode"/>
        </w:rPr>
        <w:t>lack of available places (including what families consider to be culturally appropriate services)</w:t>
      </w:r>
      <w:r>
        <w:rPr>
          <w:rFonts w:eastAsia="Lucida Sans Unicode"/>
        </w:rPr>
        <w:t xml:space="preserve">, </w:t>
      </w:r>
      <w:r w:rsidRPr="00A577D8">
        <w:rPr>
          <w:rFonts w:eastAsia="Lucida Sans Unicode"/>
        </w:rPr>
        <w:t>lack of transport</w:t>
      </w:r>
      <w:r>
        <w:rPr>
          <w:rFonts w:eastAsia="Lucida Sans Unicode"/>
        </w:rPr>
        <w:t xml:space="preserve"> </w:t>
      </w:r>
      <w:r w:rsidRPr="000832E4">
        <w:rPr>
          <w:rFonts w:eastAsia="Lucida Sans Unicode"/>
        </w:rPr>
        <w:t>and affordability (including uncertainty about government subsidies) (</w:t>
      </w:r>
      <w:proofErr w:type="spellStart"/>
      <w:r w:rsidRPr="000832E4">
        <w:rPr>
          <w:rFonts w:eastAsia="Lucida Sans Unicode"/>
        </w:rPr>
        <w:t>Jackiewicz</w:t>
      </w:r>
      <w:proofErr w:type="spellEnd"/>
      <w:r w:rsidRPr="000832E4">
        <w:rPr>
          <w:rFonts w:eastAsia="Lucida Sans Unicode"/>
        </w:rPr>
        <w:t xml:space="preserve"> et al. 2011). Non</w:t>
      </w:r>
      <w:r w:rsidR="00490B08">
        <w:rPr>
          <w:rFonts w:eastAsia="Lucida Sans Unicode"/>
        </w:rPr>
        <w:noBreakHyphen/>
      </w:r>
      <w:r w:rsidRPr="000832E4">
        <w:rPr>
          <w:rFonts w:eastAsia="Lucida Sans Unicode"/>
        </w:rPr>
        <w:t>attendance at school can be influenced by a lack of recognition by schools of Aboriginal and Torres Strait Islander culture and history</w:t>
      </w:r>
      <w:r w:rsidR="006D21FD" w:rsidRPr="00F368E9">
        <w:rPr>
          <w:rFonts w:eastAsia="Lucida Sans Unicode"/>
        </w:rPr>
        <w:t xml:space="preserve"> (Purdie and </w:t>
      </w:r>
      <w:r w:rsidR="000F41E5" w:rsidRPr="00F368E9">
        <w:rPr>
          <w:rFonts w:eastAsia="Lucida Sans Unicode"/>
        </w:rPr>
        <w:t>Buckley</w:t>
      </w:r>
      <w:r w:rsidR="000F41E5">
        <w:rPr>
          <w:rFonts w:eastAsia="Lucida Sans Unicode"/>
        </w:rPr>
        <w:t> </w:t>
      </w:r>
      <w:r w:rsidR="006D21FD" w:rsidRPr="00F368E9">
        <w:rPr>
          <w:rFonts w:eastAsia="Lucida Sans Unicode"/>
        </w:rPr>
        <w:t>2010).</w:t>
      </w:r>
    </w:p>
    <w:p w:rsidR="006D21FD" w:rsidRPr="00F368E9" w:rsidRDefault="006D21FD" w:rsidP="006D21FD">
      <w:pPr>
        <w:pStyle w:val="BodyText"/>
        <w:rPr>
          <w:rFonts w:eastAsia="Lucida Sans Unicode"/>
        </w:rPr>
      </w:pPr>
      <w:r w:rsidRPr="00F368E9">
        <w:rPr>
          <w:rFonts w:eastAsia="Lucida Sans Unicode"/>
        </w:rPr>
        <w:t>Educational aspirations can have a substantial effect on educational outcomes and have a similar effect on outcomes regardless of socioeconomic status (SES) or Indigenous status (</w:t>
      </w:r>
      <w:proofErr w:type="spellStart"/>
      <w:r w:rsidRPr="00F368E9">
        <w:rPr>
          <w:rFonts w:eastAsia="Lucida Sans Unicode"/>
        </w:rPr>
        <w:t>Homel</w:t>
      </w:r>
      <w:proofErr w:type="spellEnd"/>
      <w:r w:rsidRPr="00F368E9">
        <w:rPr>
          <w:rFonts w:eastAsia="Lucida Sans Unicode"/>
        </w:rPr>
        <w:t xml:space="preserve"> and Ryan 2014). Parental influences and peer plans are particularly important </w:t>
      </w:r>
      <w:r w:rsidRPr="008A5A6B">
        <w:rPr>
          <w:rFonts w:eastAsia="Lucida Sans Unicode"/>
        </w:rPr>
        <w:t>drivers of young people’s educational aspirations and choices (</w:t>
      </w:r>
      <w:proofErr w:type="spellStart"/>
      <w:r w:rsidRPr="008A5A6B">
        <w:rPr>
          <w:rFonts w:eastAsia="Lucida Sans Unicode"/>
        </w:rPr>
        <w:t>Gemici</w:t>
      </w:r>
      <w:proofErr w:type="spellEnd"/>
      <w:r w:rsidRPr="008A5A6B">
        <w:rPr>
          <w:rFonts w:eastAsia="Lucida Sans Unicode"/>
        </w:rPr>
        <w:t xml:space="preserve"> et al. 2014). Students whose parents want them to attend university had occupational </w:t>
      </w:r>
      <w:r w:rsidRPr="000832E4">
        <w:rPr>
          <w:rFonts w:eastAsia="Lucida Sans Unicode"/>
        </w:rPr>
        <w:t>aspirations</w:t>
      </w:r>
      <w:r w:rsidR="00DA1107" w:rsidRPr="000832E4">
        <w:rPr>
          <w:rFonts w:eastAsia="Lucida Sans Unicode"/>
        </w:rPr>
        <w:t xml:space="preserve"> </w:t>
      </w:r>
      <w:r w:rsidRPr="000832E4">
        <w:rPr>
          <w:rFonts w:eastAsia="Lucida Sans Unicode"/>
        </w:rPr>
        <w:t>significantly</w:t>
      </w:r>
      <w:r w:rsidRPr="008A5A6B">
        <w:rPr>
          <w:rFonts w:eastAsia="Lucida Sans Unicode"/>
        </w:rPr>
        <w:t xml:space="preserve"> higher than those whose parents did not have these expectations.</w:t>
      </w:r>
    </w:p>
    <w:p w:rsidR="000D3385" w:rsidRPr="00F368E9" w:rsidRDefault="000D3385" w:rsidP="000D3385">
      <w:pPr>
        <w:pStyle w:val="Heading3"/>
      </w:pPr>
      <w:r w:rsidRPr="00F368E9">
        <w:t>Service</w:t>
      </w:r>
      <w:r w:rsidR="00490B08">
        <w:noBreakHyphen/>
      </w:r>
      <w:r w:rsidR="00451031" w:rsidRPr="00F368E9">
        <w:t xml:space="preserve">sector </w:t>
      </w:r>
      <w:r w:rsidRPr="00F368E9">
        <w:t>objectives</w:t>
      </w:r>
      <w:bookmarkEnd w:id="18"/>
      <w:bookmarkEnd w:id="19"/>
    </w:p>
    <w:p w:rsidR="006D21FD" w:rsidRPr="00F368E9" w:rsidRDefault="006D21FD" w:rsidP="006D21FD">
      <w:pPr>
        <w:pStyle w:val="BodyText"/>
      </w:pPr>
      <w:r w:rsidRPr="00F368E9">
        <w:t xml:space="preserve">The </w:t>
      </w:r>
      <w:proofErr w:type="spellStart"/>
      <w:r w:rsidRPr="00F368E9">
        <w:t>CCET</w:t>
      </w:r>
      <w:proofErr w:type="spellEnd"/>
      <w:r w:rsidRPr="00F368E9">
        <w:t xml:space="preserve"> sector has a range of objectives, some of which are common across all sector components, while others are specific to a particular sub</w:t>
      </w:r>
      <w:r w:rsidR="00490B08">
        <w:noBreakHyphen/>
      </w:r>
      <w:r w:rsidRPr="00F368E9">
        <w:t>sector. Specific high</w:t>
      </w:r>
      <w:r w:rsidR="00490B08">
        <w:noBreakHyphen/>
      </w:r>
      <w:r w:rsidRPr="00F368E9">
        <w:t xml:space="preserve">level objectives of </w:t>
      </w:r>
      <w:proofErr w:type="spellStart"/>
      <w:r w:rsidRPr="00F368E9">
        <w:t>ECEC</w:t>
      </w:r>
      <w:proofErr w:type="spellEnd"/>
      <w:r w:rsidRPr="00F368E9">
        <w:t xml:space="preserve">, school education, VET and higher education service areas are in </w:t>
      </w:r>
      <w:r w:rsidR="00DA1107">
        <w:br/>
        <w:t xml:space="preserve">box </w:t>
      </w:r>
      <w:proofErr w:type="spellStart"/>
      <w:r w:rsidR="00DA1107">
        <w:t>B.2</w:t>
      </w:r>
      <w:proofErr w:type="spellEnd"/>
      <w:r w:rsidR="00DA1107">
        <w:t>. S</w:t>
      </w:r>
      <w:r w:rsidRPr="00F368E9">
        <w:t xml:space="preserve">ervice delivery objectives </w:t>
      </w:r>
      <w:r w:rsidR="00DA1107">
        <w:t xml:space="preserve">are </w:t>
      </w:r>
      <w:r w:rsidR="00DA1107" w:rsidRPr="000832E4">
        <w:t>outlined in the</w:t>
      </w:r>
      <w:r w:rsidR="00DA1107">
        <w:t xml:space="preserve"> relevant chapters.</w:t>
      </w:r>
    </w:p>
    <w:p w:rsidR="006D21FD" w:rsidRPr="00F368E9" w:rsidRDefault="006D21FD" w:rsidP="006D21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D21FD" w:rsidRPr="00F368E9" w:rsidTr="00651D5A">
        <w:tc>
          <w:tcPr>
            <w:tcW w:w="8771" w:type="dxa"/>
            <w:tcBorders>
              <w:top w:val="single" w:sz="6" w:space="0" w:color="78A22F"/>
              <w:left w:val="nil"/>
              <w:bottom w:val="nil"/>
              <w:right w:val="nil"/>
            </w:tcBorders>
            <w:shd w:val="clear" w:color="auto" w:fill="F2F2F2"/>
          </w:tcPr>
          <w:p w:rsidR="006D21FD" w:rsidRPr="00F368E9" w:rsidRDefault="006D21FD" w:rsidP="00651D5A">
            <w:pPr>
              <w:pStyle w:val="BoxTitle"/>
            </w:pPr>
            <w:r w:rsidRPr="00F368E9">
              <w:rPr>
                <w:b w:val="0"/>
              </w:rPr>
              <w:t xml:space="preserve">Box </w:t>
            </w:r>
            <w:proofErr w:type="spellStart"/>
            <w:r w:rsidRPr="00F368E9">
              <w:rPr>
                <w:b w:val="0"/>
              </w:rPr>
              <w:t>B.</w:t>
            </w:r>
            <w:r w:rsidR="001564B9">
              <w:rPr>
                <w:b w:val="0"/>
                <w:noProof/>
              </w:rPr>
              <w:t>2</w:t>
            </w:r>
            <w:proofErr w:type="spellEnd"/>
            <w:r w:rsidRPr="00F368E9">
              <w:tab/>
              <w:t xml:space="preserve">Objectives of the </w:t>
            </w:r>
            <w:proofErr w:type="spellStart"/>
            <w:r w:rsidRPr="00F368E9">
              <w:t>CCET</w:t>
            </w:r>
            <w:proofErr w:type="spellEnd"/>
            <w:r w:rsidRPr="00F368E9">
              <w:t xml:space="preserve"> sector</w:t>
            </w:r>
          </w:p>
        </w:tc>
      </w:tr>
      <w:tr w:rsidR="006D21FD" w:rsidRPr="00F368E9" w:rsidTr="00651D5A">
        <w:trPr>
          <w:cantSplit/>
        </w:trPr>
        <w:tc>
          <w:tcPr>
            <w:tcW w:w="8771" w:type="dxa"/>
            <w:tcBorders>
              <w:top w:val="nil"/>
              <w:left w:val="nil"/>
              <w:bottom w:val="nil"/>
              <w:right w:val="nil"/>
            </w:tcBorders>
            <w:shd w:val="clear" w:color="auto" w:fill="F2F2F2"/>
          </w:tcPr>
          <w:p w:rsidR="006D21FD" w:rsidRPr="00F368E9" w:rsidRDefault="006D21FD" w:rsidP="00651D5A">
            <w:pPr>
              <w:pStyle w:val="Box"/>
            </w:pPr>
            <w:proofErr w:type="spellStart"/>
            <w:r w:rsidRPr="00F368E9">
              <w:t>ECEC</w:t>
            </w:r>
            <w:proofErr w:type="spellEnd"/>
            <w:r w:rsidRPr="00F368E9">
              <w:t xml:space="preserve"> services aim to meet the education, care and development needs of children, and meet the needs of families including enabling increased workforce participation, by providing universal access to early childhood education services for eligible children and accessible child care services.</w:t>
            </w:r>
          </w:p>
          <w:p w:rsidR="006D21FD" w:rsidRPr="00F368E9" w:rsidRDefault="006D21FD" w:rsidP="00651D5A">
            <w:pPr>
              <w:pStyle w:val="Box"/>
            </w:pPr>
            <w:r w:rsidRPr="00F368E9">
              <w:t>The overarching goals for school education are that: 1) Australian schooling promotes equity and excellence; and 2) all young Australians become successful learners, confident and creative individuals, and active and informed citizens.</w:t>
            </w:r>
          </w:p>
          <w:p w:rsidR="006D21FD" w:rsidRPr="00F368E9" w:rsidRDefault="006D21FD" w:rsidP="00651D5A">
            <w:pPr>
              <w:pStyle w:val="Box"/>
            </w:pPr>
            <w:r w:rsidRPr="00F368E9">
              <w:t>Australia’s governments aim to have a school education system:</w:t>
            </w:r>
          </w:p>
          <w:p w:rsidR="006D21FD" w:rsidRPr="00F368E9" w:rsidRDefault="006D21FD" w:rsidP="00651D5A">
            <w:pPr>
              <w:pStyle w:val="BoxListBullet"/>
            </w:pPr>
            <w:r w:rsidRPr="00F368E9">
              <w:t>that benefits all young Australians, providing them with essential literacy and numeracy skills, a solid foundation in knowledge and understanding linked with complex skills that underpin problem solving, critical thinking and creativity, so they can reach their full potential</w:t>
            </w:r>
          </w:p>
          <w:p w:rsidR="006D21FD" w:rsidRPr="00F368E9" w:rsidRDefault="006D21FD" w:rsidP="00651D5A">
            <w:pPr>
              <w:pStyle w:val="BoxListBullet"/>
            </w:pPr>
            <w:r w:rsidRPr="00F368E9">
              <w:t>where Australian students excel by international standards</w:t>
            </w:r>
          </w:p>
          <w:p w:rsidR="006D21FD" w:rsidRPr="00F368E9" w:rsidRDefault="006D21FD" w:rsidP="00651D5A">
            <w:pPr>
              <w:pStyle w:val="BoxListBullet"/>
            </w:pPr>
            <w:r w:rsidRPr="00F368E9">
              <w:t>that reduces the educational disadvantage of children</w:t>
            </w:r>
          </w:p>
          <w:p w:rsidR="006D21FD" w:rsidRPr="00F368E9" w:rsidRDefault="006D21FD" w:rsidP="00651D5A">
            <w:pPr>
              <w:pStyle w:val="BoxListBullet"/>
            </w:pPr>
            <w:r w:rsidRPr="00F368E9">
              <w:t>that enables young people to make a successful transition from school to work and/or further study.</w:t>
            </w:r>
          </w:p>
          <w:p w:rsidR="006D21FD" w:rsidRPr="00F368E9" w:rsidRDefault="00795061" w:rsidP="00651D5A">
            <w:pPr>
              <w:pStyle w:val="Box"/>
            </w:pPr>
            <w:r w:rsidRPr="00F368E9">
              <w:t>The VET system aims to:</w:t>
            </w:r>
          </w:p>
          <w:p w:rsidR="00DA1107" w:rsidRDefault="00DA1107" w:rsidP="00DA1107">
            <w:pPr>
              <w:pStyle w:val="BoxListBullet"/>
            </w:pPr>
            <w:r>
              <w:t xml:space="preserve">deliver a productive and highly skilled workforce </w:t>
            </w:r>
          </w:p>
          <w:p w:rsidR="00DA1107" w:rsidRDefault="00DA1107" w:rsidP="00DA1107">
            <w:pPr>
              <w:pStyle w:val="BoxListBullet"/>
            </w:pPr>
            <w:r>
              <w:t xml:space="preserve">enable all Australians to participate effectively in the labour market and </w:t>
            </w:r>
            <w:r w:rsidRPr="000832E4">
              <w:t>contribute to Australia’s economic future</w:t>
            </w:r>
          </w:p>
          <w:p w:rsidR="00DA1107" w:rsidRDefault="00DA1107" w:rsidP="00DA1107">
            <w:pPr>
              <w:pStyle w:val="BoxListBullet"/>
            </w:pPr>
            <w:r>
              <w:t xml:space="preserve">contribute to increasing the skill levels of the working aged population. </w:t>
            </w:r>
          </w:p>
          <w:p w:rsidR="006D21FD" w:rsidRPr="00F368E9" w:rsidRDefault="006D21FD" w:rsidP="00651D5A">
            <w:pPr>
              <w:pStyle w:val="Box"/>
            </w:pPr>
            <w:r w:rsidRPr="00F368E9">
              <w:t>The VET system also has a particular aim to address the needs of individuals experiencing disadvantage or disengagement.</w:t>
            </w:r>
          </w:p>
          <w:p w:rsidR="006D21FD" w:rsidRPr="00F368E9" w:rsidRDefault="006D21FD" w:rsidP="00651D5A">
            <w:pPr>
              <w:pStyle w:val="Box"/>
            </w:pPr>
            <w:r w:rsidRPr="00F368E9">
              <w:t xml:space="preserve">The objectives of higher education services, as reflected in the </w:t>
            </w:r>
            <w:r w:rsidRPr="00F368E9">
              <w:rPr>
                <w:i/>
              </w:rPr>
              <w:t>Commonwealth Higher Education Support Act 2003</w:t>
            </w:r>
            <w:r w:rsidRPr="00F368E9">
              <w:t>, include contributing to the development of cultural and intellectual life in Australia, and appropriately meeting Australia’s social and economic needs for a highly educated and skilled population.</w:t>
            </w:r>
          </w:p>
        </w:tc>
      </w:tr>
      <w:tr w:rsidR="006D21FD" w:rsidRPr="00F368E9" w:rsidTr="00651D5A">
        <w:trPr>
          <w:cantSplit/>
        </w:trPr>
        <w:tc>
          <w:tcPr>
            <w:tcW w:w="8771" w:type="dxa"/>
            <w:tcBorders>
              <w:top w:val="nil"/>
              <w:left w:val="nil"/>
              <w:bottom w:val="single" w:sz="6" w:space="0" w:color="78A22F"/>
              <w:right w:val="nil"/>
            </w:tcBorders>
            <w:shd w:val="clear" w:color="auto" w:fill="F2F2F2"/>
          </w:tcPr>
          <w:p w:rsidR="006D21FD" w:rsidRPr="00F368E9" w:rsidRDefault="006D21FD" w:rsidP="00651D5A">
            <w:pPr>
              <w:pStyle w:val="Box"/>
              <w:spacing w:before="0" w:line="120" w:lineRule="exact"/>
            </w:pPr>
          </w:p>
        </w:tc>
      </w:tr>
      <w:tr w:rsidR="006D21FD" w:rsidRPr="00F368E9" w:rsidTr="00651D5A">
        <w:tc>
          <w:tcPr>
            <w:tcW w:w="8771" w:type="dxa"/>
            <w:tcBorders>
              <w:top w:val="single" w:sz="6" w:space="0" w:color="78A22F"/>
              <w:left w:val="nil"/>
              <w:bottom w:val="nil"/>
              <w:right w:val="nil"/>
            </w:tcBorders>
          </w:tcPr>
          <w:p w:rsidR="006D21FD" w:rsidRPr="00F368E9" w:rsidRDefault="006D21FD" w:rsidP="00651D5A">
            <w:pPr>
              <w:pStyle w:val="BoxSpaceBelow"/>
            </w:pPr>
          </w:p>
        </w:tc>
      </w:tr>
    </w:tbl>
    <w:p w:rsidR="006D21FD" w:rsidRPr="00F368E9" w:rsidRDefault="00264A34" w:rsidP="006D21FD">
      <w:pPr>
        <w:pStyle w:val="Heading2"/>
      </w:pPr>
      <w:bookmarkStart w:id="20" w:name="_Toc443391281"/>
      <w:bookmarkStart w:id="21" w:name="_Toc450729658"/>
      <w:bookmarkStart w:id="22" w:name="_Toc456775993"/>
      <w:bookmarkStart w:id="23" w:name="_Toc456776023"/>
      <w:bookmarkStart w:id="24" w:name="_Toc463245140"/>
      <w:proofErr w:type="spellStart"/>
      <w:r w:rsidRPr="00F368E9">
        <w:t>B.</w:t>
      </w:r>
      <w:r w:rsidR="001564B9">
        <w:rPr>
          <w:noProof/>
        </w:rPr>
        <w:t>2</w:t>
      </w:r>
      <w:proofErr w:type="spellEnd"/>
      <w:r w:rsidR="006D21FD" w:rsidRPr="00F368E9">
        <w:tab/>
        <w:t>Sector performance indicator framework</w:t>
      </w:r>
      <w:bookmarkEnd w:id="20"/>
      <w:bookmarkEnd w:id="21"/>
      <w:bookmarkEnd w:id="22"/>
      <w:bookmarkEnd w:id="23"/>
      <w:bookmarkEnd w:id="24"/>
    </w:p>
    <w:p w:rsidR="006D21FD" w:rsidRPr="00F368E9" w:rsidRDefault="006D21FD" w:rsidP="006D21FD">
      <w:pPr>
        <w:pStyle w:val="BodyText"/>
      </w:pPr>
      <w:r w:rsidRPr="000832E4">
        <w:t>This sector</w:t>
      </w:r>
      <w:r w:rsidRPr="00F368E9">
        <w:t xml:space="preserve"> performance indicator framework </w:t>
      </w:r>
      <w:r w:rsidR="00DA1107" w:rsidRPr="000832E4">
        <w:t xml:space="preserve">(figure </w:t>
      </w:r>
      <w:proofErr w:type="spellStart"/>
      <w:r w:rsidR="00DA1107" w:rsidRPr="000832E4">
        <w:t>B.3</w:t>
      </w:r>
      <w:proofErr w:type="spellEnd"/>
      <w:r w:rsidR="00DA1107" w:rsidRPr="000832E4">
        <w:t>) is made up of two elements</w:t>
      </w:r>
      <w:r w:rsidR="00DA1107" w:rsidRPr="00925852">
        <w:t>.</w:t>
      </w:r>
    </w:p>
    <w:p w:rsidR="006D21FD" w:rsidRPr="00F368E9" w:rsidRDefault="006D21FD" w:rsidP="006D21FD">
      <w:pPr>
        <w:pStyle w:val="ListBullet"/>
      </w:pPr>
      <w:r w:rsidRPr="00F02965">
        <w:t xml:space="preserve">Sector objectives — three sector objectives are a précis of key </w:t>
      </w:r>
      <w:r w:rsidR="00514292" w:rsidRPr="00F02965">
        <w:t>Council of Australian Governments (</w:t>
      </w:r>
      <w:proofErr w:type="spellStart"/>
      <w:r w:rsidRPr="00F02965">
        <w:t>COAG</w:t>
      </w:r>
      <w:proofErr w:type="spellEnd"/>
      <w:r w:rsidR="00514292" w:rsidRPr="00F02965">
        <w:t>)</w:t>
      </w:r>
      <w:r w:rsidRPr="00F02965">
        <w:t xml:space="preserve"> commitments</w:t>
      </w:r>
      <w:r w:rsidRPr="00F368E9">
        <w:t xml:space="preserve">. Although these goals are based on outcomes in these commitments, wording has been amended for relevance to the </w:t>
      </w:r>
      <w:proofErr w:type="spellStart"/>
      <w:r w:rsidRPr="00F368E9">
        <w:t>CCET</w:t>
      </w:r>
      <w:proofErr w:type="spellEnd"/>
      <w:r w:rsidRPr="00F368E9">
        <w:t xml:space="preserve"> sector overview reporting (box </w:t>
      </w:r>
      <w:proofErr w:type="spellStart"/>
      <w:r w:rsidRPr="00F368E9">
        <w:t>B.2</w:t>
      </w:r>
      <w:proofErr w:type="spellEnd"/>
      <w:r w:rsidRPr="00F368E9">
        <w:t>).</w:t>
      </w:r>
    </w:p>
    <w:p w:rsidR="006D21FD" w:rsidRPr="00F368E9" w:rsidRDefault="006D21FD" w:rsidP="006D21FD">
      <w:pPr>
        <w:pStyle w:val="ListBullet"/>
      </w:pPr>
      <w:r w:rsidRPr="00F368E9">
        <w:t>Sector</w:t>
      </w:r>
      <w:r w:rsidR="00490B08">
        <w:noBreakHyphen/>
      </w:r>
      <w:r w:rsidRPr="00F368E9">
        <w:t>wide indicators — three sector</w:t>
      </w:r>
      <w:r w:rsidRPr="00F368E9">
        <w:noBreakHyphen/>
        <w:t>wide headline indicators reflect activity across the sector. Several measures support each indicator.</w:t>
      </w:r>
    </w:p>
    <w:p w:rsidR="00DA1107" w:rsidRPr="00925852" w:rsidRDefault="00DA1107" w:rsidP="000832E4">
      <w:pPr>
        <w:pStyle w:val="BodyText"/>
      </w:pPr>
      <w:r>
        <w:lastRenderedPageBreak/>
        <w:t>Sector</w:t>
      </w:r>
      <w:r w:rsidR="00490B08">
        <w:noBreakHyphen/>
      </w:r>
      <w:r>
        <w:t>wide indicators are</w:t>
      </w:r>
      <w:r w:rsidRPr="00925852">
        <w:t xml:space="preserve"> high level indicators of </w:t>
      </w:r>
      <w:proofErr w:type="spellStart"/>
      <w:r w:rsidRPr="00925852">
        <w:t>CCET</w:t>
      </w:r>
      <w:proofErr w:type="spellEnd"/>
      <w:r w:rsidRPr="00925852">
        <w:t xml:space="preserve"> outcomes. Many factors are likely to influence outcomes</w:t>
      </w:r>
      <w:r>
        <w:t>; h</w:t>
      </w:r>
      <w:r w:rsidRPr="00925852">
        <w:t>owever, these outcomes inform development of appropriate policies and delivery of government services.</w:t>
      </w:r>
    </w:p>
    <w:p w:rsidR="00966192" w:rsidRPr="00F368E9" w:rsidRDefault="00966192" w:rsidP="000B7E6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66192" w:rsidRPr="00F368E9" w:rsidTr="000B7E6E">
        <w:tc>
          <w:tcPr>
            <w:tcW w:w="8771" w:type="dxa"/>
            <w:tcBorders>
              <w:top w:val="single" w:sz="6" w:space="0" w:color="78A22F"/>
              <w:left w:val="nil"/>
              <w:bottom w:val="nil"/>
              <w:right w:val="nil"/>
            </w:tcBorders>
            <w:shd w:val="clear" w:color="auto" w:fill="auto"/>
          </w:tcPr>
          <w:p w:rsidR="00966192" w:rsidRPr="00F368E9" w:rsidRDefault="006D21FD" w:rsidP="001740A0">
            <w:pPr>
              <w:pStyle w:val="FigureTitle"/>
            </w:pPr>
            <w:r w:rsidRPr="00F368E9">
              <w:rPr>
                <w:b w:val="0"/>
              </w:rPr>
              <w:t xml:space="preserve">Figure </w:t>
            </w:r>
            <w:proofErr w:type="spellStart"/>
            <w:r w:rsidRPr="00F368E9">
              <w:rPr>
                <w:b w:val="0"/>
              </w:rPr>
              <w:t>B.</w:t>
            </w:r>
            <w:r w:rsidR="001564B9">
              <w:rPr>
                <w:b w:val="0"/>
                <w:noProof/>
              </w:rPr>
              <w:t>3</w:t>
            </w:r>
            <w:proofErr w:type="spellEnd"/>
            <w:r w:rsidRPr="00F368E9">
              <w:tab/>
            </w:r>
            <w:proofErr w:type="spellStart"/>
            <w:r w:rsidRPr="00F368E9">
              <w:t>CCET</w:t>
            </w:r>
            <w:proofErr w:type="spellEnd"/>
            <w:r w:rsidRPr="00F368E9">
              <w:t xml:space="preserve"> sector performance indicator framework</w:t>
            </w:r>
          </w:p>
        </w:tc>
      </w:tr>
      <w:tr w:rsidR="00966192" w:rsidRPr="00F368E9" w:rsidTr="000B7E6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66192" w:rsidRPr="00F368E9" w:rsidTr="000B7E6E">
              <w:trPr>
                <w:jc w:val="center"/>
              </w:trPr>
              <w:tc>
                <w:tcPr>
                  <w:tcW w:w="5000" w:type="pct"/>
                  <w:tcBorders>
                    <w:top w:val="nil"/>
                    <w:bottom w:val="nil"/>
                  </w:tcBorders>
                </w:tcPr>
                <w:p w:rsidR="00966192" w:rsidRPr="00F368E9" w:rsidRDefault="005A6954" w:rsidP="000B7E6E">
                  <w:pPr>
                    <w:pStyle w:val="Figure"/>
                    <w:spacing w:before="60" w:after="60"/>
                  </w:pPr>
                  <w:r>
                    <w:rPr>
                      <w:noProof/>
                    </w:rPr>
                    <w:drawing>
                      <wp:inline distT="0" distB="0" distL="0" distR="0">
                        <wp:extent cx="5457825" cy="2752725"/>
                        <wp:effectExtent l="0" t="0" r="9525" b="0"/>
                        <wp:docPr id="16" name="Picture 16" descr="Figure B.3 CCET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7825" cy="2752725"/>
                                </a:xfrm>
                                <a:prstGeom prst="rect">
                                  <a:avLst/>
                                </a:prstGeom>
                                <a:noFill/>
                                <a:ln>
                                  <a:noFill/>
                                </a:ln>
                              </pic:spPr>
                            </pic:pic>
                          </a:graphicData>
                        </a:graphic>
                      </wp:inline>
                    </w:drawing>
                  </w:r>
                </w:p>
              </w:tc>
            </w:tr>
          </w:tbl>
          <w:p w:rsidR="00966192" w:rsidRPr="00F368E9" w:rsidRDefault="00966192" w:rsidP="000B7E6E">
            <w:pPr>
              <w:pStyle w:val="Figure"/>
            </w:pPr>
          </w:p>
        </w:tc>
      </w:tr>
      <w:tr w:rsidR="00966192" w:rsidRPr="00F368E9" w:rsidTr="000B7E6E">
        <w:tc>
          <w:tcPr>
            <w:tcW w:w="8771" w:type="dxa"/>
            <w:tcBorders>
              <w:top w:val="nil"/>
              <w:left w:val="nil"/>
              <w:bottom w:val="single" w:sz="6" w:space="0" w:color="78A22F"/>
              <w:right w:val="nil"/>
            </w:tcBorders>
            <w:shd w:val="clear" w:color="auto" w:fill="auto"/>
          </w:tcPr>
          <w:p w:rsidR="00966192" w:rsidRPr="00F368E9" w:rsidRDefault="00966192" w:rsidP="000B7E6E">
            <w:pPr>
              <w:pStyle w:val="Figurespace"/>
            </w:pPr>
          </w:p>
        </w:tc>
      </w:tr>
      <w:tr w:rsidR="00966192" w:rsidRPr="00F368E9" w:rsidTr="000B7E6E">
        <w:tc>
          <w:tcPr>
            <w:tcW w:w="8771" w:type="dxa"/>
            <w:tcBorders>
              <w:top w:val="single" w:sz="6" w:space="0" w:color="78A22F"/>
              <w:left w:val="nil"/>
              <w:bottom w:val="nil"/>
              <w:right w:val="nil"/>
            </w:tcBorders>
          </w:tcPr>
          <w:p w:rsidR="00966192" w:rsidRPr="00F368E9" w:rsidRDefault="00966192" w:rsidP="000B7E6E">
            <w:pPr>
              <w:pStyle w:val="BoxSpaceBelow"/>
            </w:pPr>
          </w:p>
        </w:tc>
      </w:tr>
    </w:tbl>
    <w:p w:rsidR="00675025" w:rsidRPr="00F368E9" w:rsidRDefault="00675025" w:rsidP="00AF4F1F">
      <w:pPr>
        <w:pStyle w:val="Heading3"/>
      </w:pPr>
      <w:r w:rsidRPr="00F368E9">
        <w:t>School readiness</w:t>
      </w:r>
    </w:p>
    <w:p w:rsidR="00AF4F1F" w:rsidRDefault="00AF4F1F" w:rsidP="00AF4F1F">
      <w:pPr>
        <w:pStyle w:val="BodyText"/>
      </w:pPr>
      <w:r w:rsidRPr="00925852">
        <w:t>‘</w:t>
      </w:r>
      <w:r w:rsidRPr="000832E4">
        <w:t xml:space="preserve">School readiness’ is an indicator of governments’ objective that all children have access to </w:t>
      </w:r>
      <w:proofErr w:type="spellStart"/>
      <w:r w:rsidRPr="000832E4">
        <w:t>ECEC</w:t>
      </w:r>
      <w:proofErr w:type="spellEnd"/>
      <w:r w:rsidRPr="000832E4">
        <w:t xml:space="preserve"> services that meet the education, care and development needs of children</w:t>
      </w:r>
      <w:r w:rsidRPr="000832E4" w:rsidDel="00E226BE">
        <w:t xml:space="preserve"> </w:t>
      </w:r>
      <w:r w:rsidRPr="000832E4">
        <w:t>(box</w:t>
      </w:r>
      <w:r w:rsidRPr="00925852">
        <w:t xml:space="preserve"> </w:t>
      </w:r>
      <w:proofErr w:type="spellStart"/>
      <w:r w:rsidRPr="00925852">
        <w:t>B.</w:t>
      </w:r>
      <w:r>
        <w:t>3</w:t>
      </w:r>
      <w:proofErr w:type="spellEnd"/>
      <w:r w:rsidRPr="00925852">
        <w:t>).</w:t>
      </w:r>
    </w:p>
    <w:p w:rsidR="008263DE" w:rsidRDefault="008263D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263DE" w:rsidTr="000A5A8B">
        <w:tc>
          <w:tcPr>
            <w:tcW w:w="8771" w:type="dxa"/>
            <w:tcBorders>
              <w:top w:val="single" w:sz="6" w:space="0" w:color="78A22F"/>
              <w:left w:val="nil"/>
              <w:bottom w:val="nil"/>
              <w:right w:val="nil"/>
            </w:tcBorders>
            <w:shd w:val="clear" w:color="auto" w:fill="F2F2F2" w:themeFill="background1" w:themeFillShade="F2"/>
          </w:tcPr>
          <w:p w:rsidR="008263DE" w:rsidRDefault="008263DE" w:rsidP="008263DE">
            <w:pPr>
              <w:pStyle w:val="BoxTitle"/>
            </w:pPr>
            <w:r w:rsidRPr="00F368E9">
              <w:rPr>
                <w:b w:val="0"/>
              </w:rPr>
              <w:t xml:space="preserve">Box </w:t>
            </w:r>
            <w:proofErr w:type="spellStart"/>
            <w:r w:rsidRPr="00F368E9">
              <w:rPr>
                <w:b w:val="0"/>
              </w:rPr>
              <w:t>B.</w:t>
            </w:r>
            <w:r w:rsidR="001564B9">
              <w:rPr>
                <w:b w:val="0"/>
                <w:noProof/>
              </w:rPr>
              <w:t>3</w:t>
            </w:r>
            <w:proofErr w:type="spellEnd"/>
            <w:r>
              <w:tab/>
            </w:r>
            <w:r w:rsidRPr="00F368E9">
              <w:t>School readiness</w:t>
            </w:r>
            <w:r>
              <w:t xml:space="preserve"> </w:t>
            </w:r>
          </w:p>
        </w:tc>
      </w:tr>
      <w:tr w:rsidR="008263DE" w:rsidTr="000A5A8B">
        <w:tc>
          <w:tcPr>
            <w:tcW w:w="8771" w:type="dxa"/>
            <w:tcBorders>
              <w:top w:val="nil"/>
              <w:left w:val="nil"/>
              <w:bottom w:val="nil"/>
              <w:right w:val="nil"/>
            </w:tcBorders>
            <w:shd w:val="clear" w:color="auto" w:fill="F2F2F2" w:themeFill="background1" w:themeFillShade="F2"/>
          </w:tcPr>
          <w:p w:rsidR="008263DE" w:rsidRPr="00F368E9" w:rsidRDefault="008263DE" w:rsidP="008263DE">
            <w:pPr>
              <w:pStyle w:val="Box"/>
            </w:pPr>
            <w:r w:rsidRPr="00F368E9">
              <w:t>‘School readiness’ refers to the level of development at which a child can fulfil schooling requirements, and can be described in terms of a range of factors including a child’s emotional and social competence, language and cognitive skills, and resilience. It is reported using two measures:</w:t>
            </w:r>
          </w:p>
          <w:p w:rsidR="008263DE" w:rsidRPr="00AF4F1F" w:rsidRDefault="008263DE" w:rsidP="00002224">
            <w:pPr>
              <w:pStyle w:val="BoxListBullet"/>
              <w:spacing w:before="80"/>
            </w:pPr>
            <w:r w:rsidRPr="00AF4F1F">
              <w:t>Transition t</w:t>
            </w:r>
            <w:r w:rsidRPr="000832E4">
              <w:t>o primary school, defined as the proportion of children developmentally on track (results above the 25th percentile) on four or more (of the five) domains of the Australian Early Development Census (</w:t>
            </w:r>
            <w:proofErr w:type="spellStart"/>
            <w:r w:rsidRPr="000832E4">
              <w:t>AEDC</w:t>
            </w:r>
            <w:proofErr w:type="spellEnd"/>
            <w:r w:rsidRPr="000832E4">
              <w:t>).</w:t>
            </w:r>
          </w:p>
          <w:p w:rsidR="008263DE" w:rsidRDefault="008263DE" w:rsidP="00C10DB3">
            <w:pPr>
              <w:pStyle w:val="BoxListBullet"/>
              <w:spacing w:before="80"/>
            </w:pPr>
            <w:r w:rsidRPr="00F368E9">
              <w:t xml:space="preserve">Early learning (homebased), a proxy measure, defined as the proportion of children aged </w:t>
            </w:r>
            <w:r w:rsidRPr="00F368E9">
              <w:br/>
              <w:t>3–8 years who are involved in home</w:t>
            </w:r>
            <w:r w:rsidR="00490B08">
              <w:noBreakHyphen/>
            </w:r>
            <w:r w:rsidRPr="00F368E9">
              <w:t>based reading activities (based on the number of days per week that a parent told stories, read to a chil</w:t>
            </w:r>
            <w:r>
              <w:t>d or listened to a child read).</w:t>
            </w:r>
          </w:p>
          <w:p w:rsidR="008263DE" w:rsidRDefault="008263DE" w:rsidP="009E7697">
            <w:pPr>
              <w:pStyle w:val="Box"/>
            </w:pPr>
            <w:r w:rsidRPr="00F368E9">
              <w:t>Higher proportions of children developmentally on track, and involved in home</w:t>
            </w:r>
            <w:r w:rsidR="00490B08">
              <w:noBreakHyphen/>
            </w:r>
            <w:r w:rsidRPr="00F368E9">
              <w:t>based r</w:t>
            </w:r>
            <w:r>
              <w:t>eading activities is desirable.</w:t>
            </w:r>
          </w:p>
          <w:p w:rsidR="00002224" w:rsidRPr="00F368E9" w:rsidRDefault="00002224" w:rsidP="00002224">
            <w:pPr>
              <w:pStyle w:val="Box"/>
            </w:pPr>
            <w:r w:rsidRPr="00F368E9">
              <w:t>Data reported for these measures are:</w:t>
            </w:r>
          </w:p>
          <w:p w:rsidR="00002224" w:rsidRPr="00F368E9" w:rsidRDefault="00002224" w:rsidP="00002224">
            <w:pPr>
              <w:pStyle w:val="BoxListBullet"/>
              <w:spacing w:before="80"/>
            </w:pPr>
            <w:r w:rsidRPr="00F368E9">
              <w:t>comparable (subject to caveats) within jurisdictions over time and across jurisdictions</w:t>
            </w:r>
          </w:p>
          <w:p w:rsidR="00002224" w:rsidRDefault="00002224" w:rsidP="00002224">
            <w:pPr>
              <w:pStyle w:val="BoxListBullet"/>
              <w:spacing w:before="80"/>
            </w:pPr>
            <w:r w:rsidRPr="00F368E9">
              <w:t>complete (subject to caveats) for the current reporting period. All required data are available for all jurisdictions.</w:t>
            </w:r>
          </w:p>
        </w:tc>
      </w:tr>
      <w:tr w:rsidR="008263DE" w:rsidTr="000832E4">
        <w:tc>
          <w:tcPr>
            <w:tcW w:w="8771" w:type="dxa"/>
            <w:tcBorders>
              <w:top w:val="nil"/>
              <w:left w:val="nil"/>
              <w:bottom w:val="single" w:sz="6" w:space="0" w:color="78A22F"/>
              <w:right w:val="nil"/>
            </w:tcBorders>
            <w:shd w:val="clear" w:color="auto" w:fill="auto"/>
          </w:tcPr>
          <w:p w:rsidR="008263DE" w:rsidRDefault="008263DE">
            <w:pPr>
              <w:pStyle w:val="Box"/>
              <w:spacing w:before="0" w:line="120" w:lineRule="exact"/>
            </w:pPr>
          </w:p>
        </w:tc>
      </w:tr>
      <w:tr w:rsidR="008263DE" w:rsidRPr="000863A5" w:rsidTr="000832E4">
        <w:tc>
          <w:tcPr>
            <w:tcW w:w="8771" w:type="dxa"/>
            <w:tcBorders>
              <w:top w:val="single" w:sz="6" w:space="0" w:color="78A22F"/>
              <w:left w:val="nil"/>
              <w:bottom w:val="nil"/>
              <w:right w:val="nil"/>
            </w:tcBorders>
            <w:shd w:val="clear" w:color="auto" w:fill="auto"/>
          </w:tcPr>
          <w:p w:rsidR="008263DE" w:rsidRPr="00626D32" w:rsidRDefault="008263DE" w:rsidP="004C1549">
            <w:pPr>
              <w:pStyle w:val="BoxSpaceBelow"/>
            </w:pPr>
          </w:p>
        </w:tc>
      </w:tr>
    </w:tbl>
    <w:p w:rsidR="000716D9" w:rsidRPr="000716D9" w:rsidRDefault="000716D9" w:rsidP="000716D9">
      <w:pPr>
        <w:pStyle w:val="Heading4"/>
      </w:pPr>
      <w:r w:rsidRPr="00925852">
        <w:t>Transition to primary school</w:t>
      </w:r>
    </w:p>
    <w:p w:rsidR="0041454D" w:rsidRPr="00F368E9" w:rsidRDefault="00AF4F1F" w:rsidP="00FC39AE">
      <w:pPr>
        <w:pStyle w:val="BodyText"/>
      </w:pPr>
      <w:r w:rsidRPr="000832E4">
        <w:t>T</w:t>
      </w:r>
      <w:r w:rsidR="0041454D" w:rsidRPr="000832E4">
        <w:t xml:space="preserve">ransition to school represents a major change in </w:t>
      </w:r>
      <w:r w:rsidR="000716D9" w:rsidRPr="000832E4">
        <w:t>a</w:t>
      </w:r>
      <w:r w:rsidR="0041454D" w:rsidRPr="000832E4">
        <w:t xml:space="preserve"> </w:t>
      </w:r>
      <w:r w:rsidR="000716D9" w:rsidRPr="000832E4">
        <w:t>child’s life. Children displaying higher levels of development are more likely than those who do</w:t>
      </w:r>
      <w:r w:rsidR="006F02CB" w:rsidRPr="000832E4">
        <w:t xml:space="preserve"> not </w:t>
      </w:r>
      <w:r w:rsidR="008263DE" w:rsidRPr="000832E4">
        <w:t>to</w:t>
      </w:r>
      <w:r w:rsidR="000716D9" w:rsidRPr="000832E4">
        <w:t xml:space="preserve"> make a successful transition to primary school and have higher levels of achievement</w:t>
      </w:r>
      <w:r w:rsidR="000716D9" w:rsidRPr="00A9263C">
        <w:t xml:space="preserve"> (</w:t>
      </w:r>
      <w:proofErr w:type="spellStart"/>
      <w:r w:rsidR="000716D9" w:rsidRPr="00A9263C">
        <w:t>AIHW</w:t>
      </w:r>
      <w:proofErr w:type="spellEnd"/>
      <w:r w:rsidR="000716D9" w:rsidRPr="00A9263C">
        <w:t xml:space="preserve"> 2011).</w:t>
      </w:r>
    </w:p>
    <w:p w:rsidR="0041454D" w:rsidRPr="00F368E9" w:rsidRDefault="0041454D" w:rsidP="0041454D">
      <w:pPr>
        <w:pStyle w:val="BodyText"/>
      </w:pPr>
      <w:r w:rsidRPr="00F368E9">
        <w:t xml:space="preserve">Nationally in 2015, 69.4 per cent of children were on track on four or more domains of the </w:t>
      </w:r>
      <w:proofErr w:type="spellStart"/>
      <w:r w:rsidRPr="00F368E9">
        <w:t>AEDC</w:t>
      </w:r>
      <w:proofErr w:type="spellEnd"/>
      <w:r w:rsidRPr="00F368E9">
        <w:t xml:space="preserve">, as they entered school (compared with 69.1 per cent in 2012) (figure </w:t>
      </w:r>
      <w:proofErr w:type="spellStart"/>
      <w:r w:rsidRPr="00F368E9">
        <w:t>B.4</w:t>
      </w:r>
      <w:proofErr w:type="spellEnd"/>
      <w:r w:rsidRPr="00F368E9">
        <w:t xml:space="preserve"> and </w:t>
      </w:r>
      <w:r w:rsidR="00461FCE">
        <w:br/>
      </w:r>
      <w:r w:rsidRPr="00F368E9">
        <w:t xml:space="preserve">table </w:t>
      </w:r>
      <w:proofErr w:type="spellStart"/>
      <w:r w:rsidRPr="00F368E9">
        <w:t>BA.7</w:t>
      </w:r>
      <w:proofErr w:type="spellEnd"/>
      <w:r w:rsidRPr="00F368E9">
        <w:t>). The proportion was higher for non</w:t>
      </w:r>
      <w:r w:rsidR="00490B08">
        <w:noBreakHyphen/>
      </w:r>
      <w:r w:rsidRPr="00F368E9">
        <w:t xml:space="preserve">Indigenous children (70.6 per cent) compared to Aboriginal and Torres Strait Islander children (48.6 per cent) (figure </w:t>
      </w:r>
      <w:proofErr w:type="spellStart"/>
      <w:r w:rsidRPr="00F368E9">
        <w:t>B.4</w:t>
      </w:r>
      <w:proofErr w:type="spellEnd"/>
      <w:r w:rsidRPr="00F368E9">
        <w:t xml:space="preserve">). Table </w:t>
      </w:r>
      <w:proofErr w:type="spellStart"/>
      <w:r w:rsidRPr="00F368E9">
        <w:t>BA.7</w:t>
      </w:r>
      <w:proofErr w:type="spellEnd"/>
      <w:r w:rsidRPr="00F368E9">
        <w:t xml:space="preserve"> includes proportions of students who were on track in one or more, two or more, three or more, and all five domains for 20</w:t>
      </w:r>
      <w:r w:rsidR="00DB28FC" w:rsidRPr="00F368E9">
        <w:t>09, 2012</w:t>
      </w:r>
      <w:r w:rsidRPr="00F368E9">
        <w:t xml:space="preserve"> and 2015.</w:t>
      </w:r>
    </w:p>
    <w:p w:rsidR="0041454D" w:rsidRPr="00F368E9" w:rsidRDefault="0041454D" w:rsidP="0041454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1454D" w:rsidRPr="00F368E9" w:rsidTr="00651D5A">
        <w:tc>
          <w:tcPr>
            <w:tcW w:w="8771" w:type="dxa"/>
            <w:tcBorders>
              <w:top w:val="single" w:sz="6" w:space="0" w:color="78A22F"/>
              <w:left w:val="nil"/>
              <w:bottom w:val="nil"/>
              <w:right w:val="nil"/>
            </w:tcBorders>
            <w:shd w:val="clear" w:color="auto" w:fill="auto"/>
          </w:tcPr>
          <w:p w:rsidR="0041454D" w:rsidRPr="00F368E9" w:rsidRDefault="0041454D" w:rsidP="00651D5A">
            <w:pPr>
              <w:pStyle w:val="FigureTitle"/>
            </w:pPr>
            <w:r w:rsidRPr="00F368E9">
              <w:rPr>
                <w:b w:val="0"/>
              </w:rPr>
              <w:t xml:space="preserve">Figure </w:t>
            </w:r>
            <w:proofErr w:type="spellStart"/>
            <w:r w:rsidR="0000704C" w:rsidRPr="00F368E9">
              <w:rPr>
                <w:b w:val="0"/>
              </w:rPr>
              <w:t>B.</w:t>
            </w:r>
            <w:r w:rsidR="001564B9">
              <w:rPr>
                <w:b w:val="0"/>
                <w:noProof/>
              </w:rPr>
              <w:t>4</w:t>
            </w:r>
            <w:proofErr w:type="spellEnd"/>
            <w:r w:rsidRPr="00F368E9">
              <w:tab/>
              <w:t xml:space="preserve">Children on track on four or more domains of the </w:t>
            </w:r>
            <w:proofErr w:type="spellStart"/>
            <w:r w:rsidRPr="00F368E9">
              <w:t>AEDC</w:t>
            </w:r>
            <w:proofErr w:type="spellEnd"/>
            <w:r w:rsidRPr="00F368E9">
              <w:t xml:space="preserve"> as they enter school, by Indigenous status, 2015</w:t>
            </w:r>
            <w:r w:rsidRPr="00F368E9">
              <w:rPr>
                <w:rStyle w:val="NoteLabel"/>
                <w:b/>
              </w:rPr>
              <w:t>a</w:t>
            </w:r>
          </w:p>
        </w:tc>
      </w:tr>
      <w:tr w:rsidR="0041454D" w:rsidRPr="00F368E9" w:rsidTr="00651D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1454D" w:rsidRPr="00F368E9" w:rsidTr="00461FCE">
              <w:trPr>
                <w:jc w:val="center"/>
              </w:trPr>
              <w:tc>
                <w:tcPr>
                  <w:tcW w:w="8504" w:type="dxa"/>
                  <w:tcBorders>
                    <w:top w:val="nil"/>
                    <w:bottom w:val="nil"/>
                  </w:tcBorders>
                </w:tcPr>
                <w:p w:rsidR="0041454D" w:rsidRPr="00F368E9" w:rsidRDefault="00461FCE" w:rsidP="00651D5A">
                  <w:pPr>
                    <w:pStyle w:val="Figure"/>
                    <w:spacing w:before="60" w:after="60"/>
                  </w:pPr>
                  <w:r>
                    <w:rPr>
                      <w:noProof/>
                    </w:rPr>
                    <w:drawing>
                      <wp:inline distT="0" distB="0" distL="0" distR="0" wp14:anchorId="789661DA" wp14:editId="3C34E999">
                        <wp:extent cx="5400000" cy="2700000"/>
                        <wp:effectExtent l="0" t="0" r="0" b="5715"/>
                        <wp:docPr id="1" name="Chart 1" descr="Figure B.4 Children on track on four or more domains of the AEDC as they enter school, by Indigenous status,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41454D" w:rsidRPr="00F368E9" w:rsidRDefault="0041454D" w:rsidP="00651D5A">
            <w:pPr>
              <w:pStyle w:val="Figure"/>
            </w:pPr>
          </w:p>
        </w:tc>
      </w:tr>
      <w:tr w:rsidR="0041454D" w:rsidRPr="00F368E9" w:rsidTr="00651D5A">
        <w:tc>
          <w:tcPr>
            <w:tcW w:w="8771" w:type="dxa"/>
            <w:tcBorders>
              <w:top w:val="nil"/>
              <w:left w:val="nil"/>
              <w:bottom w:val="nil"/>
              <w:right w:val="nil"/>
            </w:tcBorders>
            <w:shd w:val="clear" w:color="auto" w:fill="auto"/>
          </w:tcPr>
          <w:p w:rsidR="0041454D" w:rsidRPr="00F368E9" w:rsidRDefault="0041454D" w:rsidP="00651D5A">
            <w:pPr>
              <w:pStyle w:val="Note"/>
            </w:pPr>
            <w:r w:rsidRPr="00F368E9">
              <w:rPr>
                <w:rStyle w:val="NoteLabel"/>
              </w:rPr>
              <w:t>a</w:t>
            </w:r>
            <w:r w:rsidRPr="00F368E9">
              <w:t xml:space="preserve"> See box </w:t>
            </w:r>
            <w:proofErr w:type="spellStart"/>
            <w:r w:rsidRPr="00F368E9">
              <w:t>B.3</w:t>
            </w:r>
            <w:proofErr w:type="spellEnd"/>
            <w:r w:rsidRPr="00F368E9">
              <w:t xml:space="preserve"> and table </w:t>
            </w:r>
            <w:proofErr w:type="spellStart"/>
            <w:r w:rsidRPr="00F368E9">
              <w:t>BA.7</w:t>
            </w:r>
            <w:proofErr w:type="spellEnd"/>
            <w:r w:rsidRPr="00F368E9">
              <w:t xml:space="preserve"> for detailed definitions, footnotes and caveats.</w:t>
            </w:r>
          </w:p>
        </w:tc>
      </w:tr>
      <w:tr w:rsidR="0041454D" w:rsidRPr="00F368E9" w:rsidTr="00651D5A">
        <w:tc>
          <w:tcPr>
            <w:tcW w:w="8771" w:type="dxa"/>
            <w:tcBorders>
              <w:top w:val="nil"/>
              <w:left w:val="nil"/>
              <w:bottom w:val="nil"/>
              <w:right w:val="nil"/>
            </w:tcBorders>
            <w:shd w:val="clear" w:color="auto" w:fill="auto"/>
          </w:tcPr>
          <w:p w:rsidR="0041454D" w:rsidRPr="00F368E9" w:rsidRDefault="0041454D" w:rsidP="00651D5A">
            <w:pPr>
              <w:pStyle w:val="Source"/>
            </w:pPr>
            <w:r w:rsidRPr="00F368E9">
              <w:rPr>
                <w:i/>
              </w:rPr>
              <w:t>Source</w:t>
            </w:r>
            <w:r w:rsidRPr="00F368E9">
              <w:t xml:space="preserve">: Australian Government Department of Education and Training (unpublished) </w:t>
            </w:r>
            <w:r w:rsidRPr="00F368E9">
              <w:rPr>
                <w:i/>
              </w:rPr>
              <w:t>Australian Early Development Census 2015</w:t>
            </w:r>
            <w:r w:rsidRPr="00F368E9">
              <w:t xml:space="preserve">; table </w:t>
            </w:r>
            <w:proofErr w:type="spellStart"/>
            <w:r w:rsidRPr="00F368E9">
              <w:t>BA.7</w:t>
            </w:r>
            <w:proofErr w:type="spellEnd"/>
            <w:r w:rsidRPr="00F368E9">
              <w:t>.</w:t>
            </w:r>
          </w:p>
        </w:tc>
      </w:tr>
      <w:tr w:rsidR="0041454D" w:rsidRPr="00F368E9" w:rsidTr="00651D5A">
        <w:tc>
          <w:tcPr>
            <w:tcW w:w="8771" w:type="dxa"/>
            <w:tcBorders>
              <w:top w:val="nil"/>
              <w:left w:val="nil"/>
              <w:bottom w:val="single" w:sz="6" w:space="0" w:color="78A22F"/>
              <w:right w:val="nil"/>
            </w:tcBorders>
            <w:shd w:val="clear" w:color="auto" w:fill="auto"/>
          </w:tcPr>
          <w:p w:rsidR="0041454D" w:rsidRPr="00F368E9" w:rsidRDefault="0041454D" w:rsidP="00651D5A">
            <w:pPr>
              <w:pStyle w:val="Figurespace"/>
            </w:pPr>
          </w:p>
        </w:tc>
      </w:tr>
      <w:tr w:rsidR="0041454D" w:rsidRPr="00F368E9" w:rsidTr="00651D5A">
        <w:tc>
          <w:tcPr>
            <w:tcW w:w="8771" w:type="dxa"/>
            <w:tcBorders>
              <w:top w:val="single" w:sz="6" w:space="0" w:color="78A22F"/>
              <w:left w:val="nil"/>
              <w:bottom w:val="nil"/>
              <w:right w:val="nil"/>
            </w:tcBorders>
          </w:tcPr>
          <w:p w:rsidR="0041454D" w:rsidRPr="00F368E9" w:rsidRDefault="0041454D" w:rsidP="00651D5A">
            <w:pPr>
              <w:pStyle w:val="BoxSpaceBelow"/>
            </w:pPr>
          </w:p>
        </w:tc>
      </w:tr>
    </w:tbl>
    <w:p w:rsidR="000716D9" w:rsidRPr="00925852" w:rsidRDefault="000716D9" w:rsidP="000716D9">
      <w:pPr>
        <w:pStyle w:val="BodyText"/>
      </w:pPr>
      <w:r w:rsidRPr="00884412">
        <w:t xml:space="preserve">Aboriginal and Torres Strait Islander children </w:t>
      </w:r>
      <w:r w:rsidRPr="00925852">
        <w:t xml:space="preserve">are </w:t>
      </w:r>
      <w:r>
        <w:t>more likely than non</w:t>
      </w:r>
      <w:r w:rsidR="00490B08">
        <w:noBreakHyphen/>
      </w:r>
      <w:r>
        <w:t xml:space="preserve">Indigenous </w:t>
      </w:r>
      <w:r w:rsidRPr="000832E4">
        <w:t xml:space="preserve">children to be developmentally at risk (score in the 10–25 percentile for an </w:t>
      </w:r>
      <w:proofErr w:type="spellStart"/>
      <w:r w:rsidRPr="000832E4">
        <w:t>AEDC</w:t>
      </w:r>
      <w:proofErr w:type="spellEnd"/>
      <w:r w:rsidRPr="000832E4">
        <w:t xml:space="preserve"> domain) and developmentally vulnerable (score in the lowest 10 per cent for an </w:t>
      </w:r>
      <w:proofErr w:type="spellStart"/>
      <w:r w:rsidRPr="000832E4">
        <w:t>AEDC</w:t>
      </w:r>
      <w:proofErr w:type="spellEnd"/>
      <w:r w:rsidRPr="000832E4">
        <w:t xml:space="preserve"> domain) (tables </w:t>
      </w:r>
      <w:proofErr w:type="spellStart"/>
      <w:r w:rsidRPr="000832E4">
        <w:t>BA.8</w:t>
      </w:r>
      <w:proofErr w:type="spellEnd"/>
      <w:r w:rsidR="004321B3">
        <w:t>–</w:t>
      </w:r>
      <w:r w:rsidRPr="000832E4">
        <w:t>9).</w:t>
      </w:r>
    </w:p>
    <w:p w:rsidR="002A4728" w:rsidRPr="00F368E9" w:rsidRDefault="002A4728" w:rsidP="000716D9">
      <w:pPr>
        <w:pStyle w:val="Heading4"/>
        <w:keepNext w:val="0"/>
        <w:widowControl w:val="0"/>
      </w:pPr>
      <w:r w:rsidRPr="00F368E9">
        <w:t>Early learning (home based)</w:t>
      </w:r>
    </w:p>
    <w:p w:rsidR="0041454D" w:rsidRPr="00F368E9" w:rsidRDefault="00264A34" w:rsidP="000832E4">
      <w:pPr>
        <w:pStyle w:val="BodyText"/>
        <w:widowControl w:val="0"/>
      </w:pPr>
      <w:r>
        <w:t>Home literacy activities</w:t>
      </w:r>
      <w:r w:rsidR="0041454D" w:rsidRPr="00F368E9">
        <w:t xml:space="preserve"> can improve children’s reading, vocabulary, general information and letter recognition skills when entering school. Parent/carer education levels may influence a supportive home learning environment (</w:t>
      </w:r>
      <w:proofErr w:type="spellStart"/>
      <w:r w:rsidR="0041454D" w:rsidRPr="00F368E9">
        <w:t>AIHW</w:t>
      </w:r>
      <w:proofErr w:type="spellEnd"/>
      <w:r w:rsidR="0041454D" w:rsidRPr="00F368E9">
        <w:t xml:space="preserve"> 2011; </w:t>
      </w:r>
      <w:proofErr w:type="spellStart"/>
      <w:r w:rsidR="0041454D" w:rsidRPr="00F368E9">
        <w:t>McTurk</w:t>
      </w:r>
      <w:proofErr w:type="spellEnd"/>
      <w:r w:rsidR="0041454D" w:rsidRPr="00F368E9">
        <w:t xml:space="preserve"> et al. 2011).</w:t>
      </w:r>
    </w:p>
    <w:p w:rsidR="000716D9" w:rsidRPr="00A5688B" w:rsidRDefault="000716D9" w:rsidP="000832E4">
      <w:pPr>
        <w:pStyle w:val="BodyText"/>
        <w:widowControl w:val="0"/>
      </w:pPr>
      <w:r w:rsidRPr="003B0951">
        <w:t xml:space="preserve">Nationally in 2014, 50.0 per cent of children aged 3–8 years were told stories, read to or listened to reading each day, </w:t>
      </w:r>
      <w:r w:rsidRPr="000832E4">
        <w:t xml:space="preserve">compared to 48.5 per cent in 2011 (for children aged </w:t>
      </w:r>
      <w:r w:rsidRPr="000832E4">
        <w:br/>
        <w:t>0–2 years this was 56.1 per cent and 57.1 per cent, respectively</w:t>
      </w:r>
      <w:r w:rsidR="005B463B" w:rsidRPr="000832E4">
        <w:t>)</w:t>
      </w:r>
      <w:r w:rsidRPr="000832E4">
        <w:t xml:space="preserve"> (table </w:t>
      </w:r>
      <w:proofErr w:type="spellStart"/>
      <w:r w:rsidRPr="000832E4">
        <w:t>BA.10</w:t>
      </w:r>
      <w:proofErr w:type="spellEnd"/>
      <w:r w:rsidRPr="000832E4">
        <w:t>).</w:t>
      </w:r>
    </w:p>
    <w:p w:rsidR="000716D9" w:rsidRPr="00E54A92" w:rsidRDefault="000716D9" w:rsidP="000716D9">
      <w:pPr>
        <w:pStyle w:val="Heading3"/>
      </w:pPr>
      <w:r w:rsidRPr="00E54A92">
        <w:t>Participation</w:t>
      </w:r>
    </w:p>
    <w:p w:rsidR="000716D9" w:rsidRDefault="000716D9" w:rsidP="000716D9">
      <w:pPr>
        <w:pStyle w:val="BodyText"/>
        <w:widowControl w:val="0"/>
      </w:pPr>
      <w:r w:rsidRPr="00E54A92">
        <w:t xml:space="preserve">‘Participation’ is an indicator of governments’ objectives to develop the talents and competencies of the population through the </w:t>
      </w:r>
      <w:r w:rsidRPr="000832E4">
        <w:t>education and training system, to equip them with the learning and skills required to contribute to Australia’s economic future (box</w:t>
      </w:r>
      <w:r w:rsidRPr="00E54A92">
        <w:t xml:space="preserve"> </w:t>
      </w:r>
      <w:proofErr w:type="spellStart"/>
      <w:r w:rsidRPr="00E54A92">
        <w:t>B.</w:t>
      </w:r>
      <w:r>
        <w:t>4</w:t>
      </w:r>
      <w:proofErr w:type="spellEnd"/>
      <w:r w:rsidRPr="00E54A92">
        <w:t>).</w:t>
      </w:r>
    </w:p>
    <w:p w:rsidR="00775A0C" w:rsidRDefault="00775A0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75A0C" w:rsidTr="004C1549">
        <w:tc>
          <w:tcPr>
            <w:tcW w:w="8771" w:type="dxa"/>
            <w:tcBorders>
              <w:top w:val="single" w:sz="6" w:space="0" w:color="78A22F"/>
              <w:left w:val="nil"/>
              <w:bottom w:val="nil"/>
              <w:right w:val="nil"/>
            </w:tcBorders>
            <w:shd w:val="clear" w:color="auto" w:fill="F2F2F2"/>
          </w:tcPr>
          <w:p w:rsidR="00775A0C" w:rsidRDefault="00775A0C">
            <w:pPr>
              <w:pStyle w:val="BoxTitle"/>
            </w:pPr>
            <w:r w:rsidRPr="00F368E9">
              <w:rPr>
                <w:b w:val="0"/>
              </w:rPr>
              <w:t xml:space="preserve">Box </w:t>
            </w:r>
            <w:proofErr w:type="spellStart"/>
            <w:r w:rsidRPr="00F368E9">
              <w:rPr>
                <w:b w:val="0"/>
              </w:rPr>
              <w:t>B.</w:t>
            </w:r>
            <w:r w:rsidR="001564B9">
              <w:rPr>
                <w:b w:val="0"/>
                <w:noProof/>
              </w:rPr>
              <w:t>4</w:t>
            </w:r>
            <w:proofErr w:type="spellEnd"/>
            <w:r w:rsidRPr="00F368E9">
              <w:tab/>
              <w:t>Participation</w:t>
            </w:r>
          </w:p>
        </w:tc>
      </w:tr>
      <w:tr w:rsidR="00775A0C" w:rsidTr="004C1549">
        <w:tc>
          <w:tcPr>
            <w:tcW w:w="8771" w:type="dxa"/>
            <w:tcBorders>
              <w:top w:val="nil"/>
              <w:left w:val="nil"/>
              <w:bottom w:val="nil"/>
              <w:right w:val="nil"/>
            </w:tcBorders>
            <w:shd w:val="clear" w:color="auto" w:fill="F2F2F2"/>
          </w:tcPr>
          <w:p w:rsidR="00775A0C" w:rsidRDefault="00775A0C" w:rsidP="004C1549">
            <w:pPr>
              <w:pStyle w:val="Box"/>
            </w:pPr>
            <w:r w:rsidRPr="00775A0C">
              <w:t>Participation’ is defined by four measures:</w:t>
            </w:r>
          </w:p>
          <w:p w:rsidR="00775A0C" w:rsidRDefault="00775A0C" w:rsidP="00775A0C">
            <w:pPr>
              <w:pStyle w:val="BoxListBullet"/>
            </w:pPr>
            <w:r>
              <w:t>Participation in education and training — the proportion of 15–19, 20–24 and 15–24 year olds participating in education and training by level of study.</w:t>
            </w:r>
          </w:p>
          <w:p w:rsidR="00775A0C" w:rsidRDefault="00775A0C" w:rsidP="00775A0C">
            <w:pPr>
              <w:pStyle w:val="BoxListBullet"/>
            </w:pPr>
            <w:r>
              <w:t xml:space="preserve">Full time participation in education and training and/or employment — the proportion of </w:t>
            </w:r>
            <w:r>
              <w:br/>
              <w:t>15–19, 20–24, 15–24, 17–24 and 15–64 year olds participating in full time education and training and/or employment.</w:t>
            </w:r>
          </w:p>
          <w:p w:rsidR="00775A0C" w:rsidRDefault="00775A0C" w:rsidP="00775A0C">
            <w:pPr>
              <w:pStyle w:val="BoxListBullet"/>
            </w:pPr>
            <w:r>
              <w:t>School leaver full time participation in education and training and/or employment — proportion of 17–24 year old school leavers participating in full time education and training and/or employment. [</w:t>
            </w:r>
            <w:r w:rsidRPr="00775A0C">
              <w:rPr>
                <w:i/>
              </w:rPr>
              <w:t>This aligns with an indicator in the NEA</w:t>
            </w:r>
            <w:r>
              <w:t>].</w:t>
            </w:r>
          </w:p>
          <w:p w:rsidR="00775A0C" w:rsidRDefault="00775A0C" w:rsidP="00775A0C">
            <w:pPr>
              <w:pStyle w:val="BoxListBullet"/>
            </w:pPr>
            <w:r>
              <w:t>Participation in higher education by selected groups —</w:t>
            </w:r>
            <w:r w:rsidR="00490B08">
              <w:t xml:space="preserve"> </w:t>
            </w:r>
            <w:r>
              <w:t>the proportion of the population participating in higher education by selected disadvantaged groups, compared with their representation in the community.</w:t>
            </w:r>
          </w:p>
          <w:p w:rsidR="00775A0C" w:rsidRDefault="00775A0C" w:rsidP="00775A0C">
            <w:pPr>
              <w:pStyle w:val="Box"/>
            </w:pPr>
            <w:r>
              <w:t>Holding other factors constant, higher or increasing participation in education and training suggests an improvement in educational outcomes through greater access.</w:t>
            </w:r>
          </w:p>
          <w:p w:rsidR="00775A0C" w:rsidRDefault="00775A0C" w:rsidP="00775A0C">
            <w:pPr>
              <w:pStyle w:val="Box"/>
            </w:pPr>
            <w:r>
              <w:t>The level of participation in education and training can vary across jurisdictions due to factors such as different age/grade structures, starting ages at school, minimum leaving age and the level of service provision. In addition, there are influences beyond the direct control of governments, such as labour market changes, population movements, urbanisation and SES.</w:t>
            </w:r>
          </w:p>
          <w:p w:rsidR="00775A0C" w:rsidRDefault="00775A0C" w:rsidP="00775A0C">
            <w:pPr>
              <w:pStyle w:val="Box"/>
            </w:pPr>
            <w:r>
              <w:t>The level of participation in education, training or work can indicate the proportion of the population at risk of marginal or non</w:t>
            </w:r>
            <w:r w:rsidR="00490B08">
              <w:noBreakHyphen/>
            </w:r>
            <w:r>
              <w:t>participation in the labour market. Young people who are not participating full time in education, training, work or some combination of these activities may be more likely to have difficulty making a transition to full time employment in the future.</w:t>
            </w:r>
          </w:p>
          <w:p w:rsidR="00775A0C" w:rsidRDefault="00775A0C" w:rsidP="00775A0C">
            <w:pPr>
              <w:pStyle w:val="Box"/>
            </w:pPr>
            <w:r>
              <w:t>Data reported for these measures are:</w:t>
            </w:r>
          </w:p>
          <w:p w:rsidR="00775A0C" w:rsidRDefault="00775A0C" w:rsidP="00775A0C">
            <w:pPr>
              <w:pStyle w:val="BoxListBullet"/>
            </w:pPr>
            <w:r>
              <w:t>comparable (subject to caveats) across jurisdictions and over time</w:t>
            </w:r>
          </w:p>
          <w:p w:rsidR="00775A0C" w:rsidRDefault="00775A0C" w:rsidP="00775A0C">
            <w:pPr>
              <w:pStyle w:val="BoxListBullet"/>
            </w:pPr>
            <w:r>
              <w:t>complete (subject to caveats) for the current reporting period. All required data are available for all jurisdictions.</w:t>
            </w:r>
          </w:p>
        </w:tc>
      </w:tr>
      <w:tr w:rsidR="00775A0C" w:rsidTr="004C1549">
        <w:tc>
          <w:tcPr>
            <w:tcW w:w="8771" w:type="dxa"/>
            <w:tcBorders>
              <w:top w:val="nil"/>
              <w:left w:val="nil"/>
              <w:bottom w:val="single" w:sz="6" w:space="0" w:color="78A22F"/>
              <w:right w:val="nil"/>
            </w:tcBorders>
            <w:shd w:val="clear" w:color="auto" w:fill="F2F2F2"/>
          </w:tcPr>
          <w:p w:rsidR="00775A0C" w:rsidRDefault="00775A0C">
            <w:pPr>
              <w:pStyle w:val="Box"/>
              <w:spacing w:before="0" w:line="120" w:lineRule="exact"/>
            </w:pPr>
          </w:p>
        </w:tc>
      </w:tr>
      <w:tr w:rsidR="00775A0C" w:rsidRPr="000863A5" w:rsidTr="004C1549">
        <w:tc>
          <w:tcPr>
            <w:tcW w:w="8771" w:type="dxa"/>
            <w:tcBorders>
              <w:top w:val="single" w:sz="6" w:space="0" w:color="78A22F"/>
              <w:left w:val="nil"/>
              <w:bottom w:val="nil"/>
              <w:right w:val="nil"/>
            </w:tcBorders>
          </w:tcPr>
          <w:p w:rsidR="00775A0C" w:rsidRPr="00626D32" w:rsidRDefault="00775A0C" w:rsidP="004C1549">
            <w:pPr>
              <w:pStyle w:val="BoxSpaceBelow"/>
            </w:pPr>
          </w:p>
        </w:tc>
      </w:tr>
    </w:tbl>
    <w:p w:rsidR="008A7A4F" w:rsidRPr="00CE0F34" w:rsidRDefault="008A7A4F" w:rsidP="006471FC">
      <w:pPr>
        <w:pStyle w:val="Heading4"/>
        <w:keepNext w:val="0"/>
        <w:widowControl w:val="0"/>
      </w:pPr>
      <w:r w:rsidRPr="00CE0F34">
        <w:t xml:space="preserve">Participation in education </w:t>
      </w:r>
      <w:r w:rsidR="00853633" w:rsidRPr="00CE0F34">
        <w:t>and training by level of study</w:t>
      </w:r>
    </w:p>
    <w:p w:rsidR="007D2E1A" w:rsidRPr="00CE0F34" w:rsidRDefault="007D2E1A" w:rsidP="000832E4">
      <w:pPr>
        <w:pStyle w:val="BodyText"/>
      </w:pPr>
      <w:r w:rsidRPr="00CE0F34">
        <w:t xml:space="preserve">Nationally in 2015, 62.2 per cent of 15–24 year olds were enrolled in education and training (83.2 per cent of 15–19 year olds and 43.6 per cent of 20–24 year olds) </w:t>
      </w:r>
      <w:r w:rsidR="00DB3EF3" w:rsidRPr="00CE0F34">
        <w:br/>
      </w:r>
      <w:r w:rsidRPr="00CE0F34">
        <w:t xml:space="preserve">(table </w:t>
      </w:r>
      <w:proofErr w:type="spellStart"/>
      <w:r w:rsidRPr="00CE0F34">
        <w:t>BA.11</w:t>
      </w:r>
      <w:proofErr w:type="spellEnd"/>
      <w:r w:rsidRPr="00CE0F34">
        <w:t xml:space="preserve">). Participation by level of study is shown in figure </w:t>
      </w:r>
      <w:proofErr w:type="spellStart"/>
      <w:r w:rsidRPr="00CE0F34">
        <w:t>B.5</w:t>
      </w:r>
      <w:proofErr w:type="spellEnd"/>
      <w:r w:rsidRPr="00CE0F34">
        <w:t>.</w:t>
      </w:r>
    </w:p>
    <w:p w:rsidR="00C859CE" w:rsidRPr="00CE0F34" w:rsidRDefault="00C859CE" w:rsidP="00C859C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859CE" w:rsidRPr="00CE0F34" w:rsidTr="00183EB2">
        <w:tc>
          <w:tcPr>
            <w:tcW w:w="8771" w:type="dxa"/>
            <w:tcBorders>
              <w:top w:val="single" w:sz="6" w:space="0" w:color="78A22F"/>
              <w:left w:val="nil"/>
              <w:bottom w:val="nil"/>
              <w:right w:val="nil"/>
            </w:tcBorders>
            <w:shd w:val="clear" w:color="auto" w:fill="auto"/>
          </w:tcPr>
          <w:p w:rsidR="00C859CE" w:rsidRPr="00CE0F34" w:rsidRDefault="00C859CE" w:rsidP="00183EB2">
            <w:pPr>
              <w:pStyle w:val="FigureTitle"/>
            </w:pPr>
            <w:r w:rsidRPr="00CE0F34">
              <w:rPr>
                <w:b w:val="0"/>
              </w:rPr>
              <w:t xml:space="preserve">Figure </w:t>
            </w:r>
            <w:proofErr w:type="spellStart"/>
            <w:r w:rsidRPr="00CE0F34">
              <w:rPr>
                <w:b w:val="0"/>
              </w:rPr>
              <w:t>B.</w:t>
            </w:r>
            <w:r w:rsidR="001564B9">
              <w:rPr>
                <w:b w:val="0"/>
                <w:noProof/>
              </w:rPr>
              <w:t>5</w:t>
            </w:r>
            <w:proofErr w:type="spellEnd"/>
            <w:r w:rsidRPr="00CE0F34">
              <w:tab/>
              <w:t>Participation in education and training by level of study, by age groups, 2015</w:t>
            </w:r>
            <w:r w:rsidRPr="00CE0F34">
              <w:rPr>
                <w:rStyle w:val="NoteLabel"/>
                <w:b/>
              </w:rPr>
              <w:t>a</w:t>
            </w:r>
          </w:p>
        </w:tc>
      </w:tr>
      <w:tr w:rsidR="0041454D" w:rsidRPr="00CE0F34" w:rsidTr="000832E4">
        <w:tc>
          <w:tcPr>
            <w:tcW w:w="8771" w:type="dxa"/>
            <w:tcBorders>
              <w:top w:val="nil"/>
              <w:left w:val="nil"/>
              <w:bottom w:val="nil"/>
              <w:right w:val="nil"/>
            </w:tcBorders>
            <w:shd w:val="clear" w:color="auto" w:fill="auto"/>
            <w:tcMar>
              <w:top w:w="28" w:type="dxa"/>
              <w:bottom w:w="28" w:type="dxa"/>
            </w:tcMar>
          </w:tcPr>
          <w:tbl>
            <w:tblPr>
              <w:tblW w:w="8504" w:type="dxa"/>
              <w:jc w:val="center"/>
              <w:tblLayout w:type="fixed"/>
              <w:tblCellMar>
                <w:top w:w="28" w:type="dxa"/>
              </w:tblCellMar>
              <w:tblLook w:val="0000" w:firstRow="0" w:lastRow="0" w:firstColumn="0" w:lastColumn="0" w:noHBand="0" w:noVBand="0"/>
            </w:tblPr>
            <w:tblGrid>
              <w:gridCol w:w="8504"/>
            </w:tblGrid>
            <w:tr w:rsidR="0041454D" w:rsidRPr="00CE0F34" w:rsidTr="00800D95">
              <w:trPr>
                <w:jc w:val="center"/>
              </w:trPr>
              <w:tc>
                <w:tcPr>
                  <w:tcW w:w="8504" w:type="dxa"/>
                </w:tcPr>
                <w:p w:rsidR="0041454D" w:rsidRPr="00CE0F34" w:rsidRDefault="0041454D" w:rsidP="00651D5A">
                  <w:pPr>
                    <w:pStyle w:val="Figure"/>
                    <w:spacing w:before="60" w:after="60"/>
                    <w:rPr>
                      <w:rFonts w:ascii="Arial" w:hAnsi="Arial" w:cs="Arial"/>
                      <w:b/>
                      <w:sz w:val="20"/>
                    </w:rPr>
                  </w:pPr>
                  <w:r w:rsidRPr="00CE0F34">
                    <w:rPr>
                      <w:rFonts w:ascii="Arial" w:hAnsi="Arial" w:cs="Arial"/>
                      <w:b/>
                      <w:sz w:val="20"/>
                    </w:rPr>
                    <w:t>15–19 year olds</w:t>
                  </w:r>
                </w:p>
                <w:p w:rsidR="0041454D" w:rsidRPr="00CE0F34" w:rsidRDefault="00D06686" w:rsidP="00651D5A">
                  <w:pPr>
                    <w:pStyle w:val="Figure"/>
                    <w:spacing w:before="60" w:after="60"/>
                    <w:rPr>
                      <w:rFonts w:ascii="Arial" w:hAnsi="Arial" w:cs="Arial"/>
                      <w:b/>
                      <w:sz w:val="20"/>
                    </w:rPr>
                  </w:pPr>
                  <w:r>
                    <w:rPr>
                      <w:noProof/>
                    </w:rPr>
                    <w:drawing>
                      <wp:inline distT="0" distB="0" distL="0" distR="0" wp14:anchorId="22FA61F5" wp14:editId="7A8CC167">
                        <wp:extent cx="5400000" cy="2340000"/>
                        <wp:effectExtent l="0" t="0" r="0" b="3175"/>
                        <wp:docPr id="12" name="Chart 12" descr="Figure B.5 Participation in education and training by level of study, by age groups, 2015&#10;&#10;15-19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1454D" w:rsidRPr="00CE0F34" w:rsidRDefault="0041454D" w:rsidP="00651D5A">
                  <w:pPr>
                    <w:pStyle w:val="Figure"/>
                    <w:spacing w:before="60" w:after="60"/>
                    <w:rPr>
                      <w:rFonts w:ascii="Arial" w:hAnsi="Arial" w:cs="Arial"/>
                      <w:b/>
                      <w:sz w:val="20"/>
                    </w:rPr>
                  </w:pPr>
                  <w:r w:rsidRPr="00CE0F34">
                    <w:rPr>
                      <w:rFonts w:ascii="Arial" w:hAnsi="Arial" w:cs="Arial"/>
                      <w:b/>
                      <w:sz w:val="20"/>
                    </w:rPr>
                    <w:t>20–24 year olds</w:t>
                  </w:r>
                </w:p>
                <w:p w:rsidR="0041454D" w:rsidRPr="00CE0F34" w:rsidRDefault="00D06686" w:rsidP="00651D5A">
                  <w:pPr>
                    <w:pStyle w:val="Figure"/>
                    <w:spacing w:before="60" w:after="60"/>
                    <w:rPr>
                      <w:rFonts w:ascii="Arial" w:hAnsi="Arial" w:cs="Arial"/>
                      <w:b/>
                      <w:sz w:val="20"/>
                    </w:rPr>
                  </w:pPr>
                  <w:r>
                    <w:rPr>
                      <w:noProof/>
                    </w:rPr>
                    <w:drawing>
                      <wp:inline distT="0" distB="0" distL="0" distR="0" wp14:anchorId="04E47E9D" wp14:editId="4CD9F99E">
                        <wp:extent cx="5400000" cy="3060000"/>
                        <wp:effectExtent l="0" t="0" r="0" b="7620"/>
                        <wp:docPr id="15" name="Chart 15" descr="Figure B.5 Participation in education and training by level of study, by age groups, 2015&#10;&#10;20-24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41454D" w:rsidRPr="00CE0F34" w:rsidRDefault="0041454D" w:rsidP="00651D5A">
            <w:pPr>
              <w:pStyle w:val="Figure"/>
            </w:pPr>
          </w:p>
        </w:tc>
      </w:tr>
      <w:tr w:rsidR="0041454D" w:rsidRPr="00CE0F34" w:rsidTr="00651D5A">
        <w:tc>
          <w:tcPr>
            <w:tcW w:w="8771" w:type="dxa"/>
            <w:tcBorders>
              <w:top w:val="nil"/>
              <w:left w:val="nil"/>
              <w:bottom w:val="nil"/>
              <w:right w:val="nil"/>
            </w:tcBorders>
            <w:shd w:val="clear" w:color="auto" w:fill="auto"/>
          </w:tcPr>
          <w:p w:rsidR="0041454D" w:rsidRPr="00CE0F34" w:rsidRDefault="0041454D" w:rsidP="00651D5A">
            <w:pPr>
              <w:pStyle w:val="Note"/>
            </w:pPr>
            <w:proofErr w:type="spellStart"/>
            <w:r w:rsidRPr="00CE0F34">
              <w:t>nfd</w:t>
            </w:r>
            <w:proofErr w:type="spellEnd"/>
            <w:r w:rsidRPr="00CE0F34">
              <w:t xml:space="preserve"> = not further defined.</w:t>
            </w:r>
            <w:r w:rsidRPr="00CE0F34">
              <w:rPr>
                <w:rStyle w:val="NoteLabel"/>
              </w:rPr>
              <w:t xml:space="preserve"> a</w:t>
            </w:r>
            <w:r w:rsidRPr="00CE0F34">
              <w:t xml:space="preserve"> See box </w:t>
            </w:r>
            <w:proofErr w:type="spellStart"/>
            <w:r w:rsidRPr="00CE0F34">
              <w:t>B.4</w:t>
            </w:r>
            <w:proofErr w:type="spellEnd"/>
            <w:r w:rsidRPr="00CE0F34">
              <w:t xml:space="preserve"> and table </w:t>
            </w:r>
            <w:proofErr w:type="spellStart"/>
            <w:r w:rsidRPr="00CE0F34">
              <w:t>BA.11</w:t>
            </w:r>
            <w:proofErr w:type="spellEnd"/>
            <w:r w:rsidRPr="00CE0F34">
              <w:t xml:space="preserve"> for detailed definitions, footnotes and caveats.</w:t>
            </w:r>
          </w:p>
        </w:tc>
      </w:tr>
      <w:tr w:rsidR="0041454D" w:rsidRPr="00CE0F34" w:rsidTr="00651D5A">
        <w:tc>
          <w:tcPr>
            <w:tcW w:w="8771" w:type="dxa"/>
            <w:tcBorders>
              <w:top w:val="nil"/>
              <w:left w:val="nil"/>
              <w:bottom w:val="nil"/>
              <w:right w:val="nil"/>
            </w:tcBorders>
            <w:shd w:val="clear" w:color="auto" w:fill="auto"/>
          </w:tcPr>
          <w:p w:rsidR="0041454D" w:rsidRPr="00CE0F34" w:rsidRDefault="0041454D" w:rsidP="00651D5A">
            <w:pPr>
              <w:pStyle w:val="Source"/>
            </w:pPr>
            <w:r w:rsidRPr="00CE0F34">
              <w:rPr>
                <w:i/>
              </w:rPr>
              <w:t>Source</w:t>
            </w:r>
            <w:r w:rsidRPr="00CE0F34">
              <w:t xml:space="preserve">: ABS (unpublished) </w:t>
            </w:r>
            <w:r w:rsidRPr="00CE0F34">
              <w:rPr>
                <w:i/>
              </w:rPr>
              <w:t>Microdata:</w:t>
            </w:r>
            <w:r w:rsidRPr="00CE0F34">
              <w:t xml:space="preserve"> </w:t>
            </w:r>
            <w:r w:rsidRPr="00CE0F34">
              <w:rPr>
                <w:i/>
              </w:rPr>
              <w:t xml:space="preserve">Education and Work, Australia, May 2015, </w:t>
            </w:r>
            <w:r w:rsidRPr="00CE0F34">
              <w:t xml:space="preserve">Cat. no. 6227.0.30.001; table </w:t>
            </w:r>
            <w:proofErr w:type="spellStart"/>
            <w:r w:rsidRPr="00CE0F34">
              <w:t>BA.11</w:t>
            </w:r>
            <w:proofErr w:type="spellEnd"/>
            <w:r w:rsidRPr="00CE0F34">
              <w:t>.</w:t>
            </w:r>
          </w:p>
        </w:tc>
      </w:tr>
      <w:tr w:rsidR="0041454D" w:rsidRPr="00CE0F34" w:rsidTr="00651D5A">
        <w:tc>
          <w:tcPr>
            <w:tcW w:w="8771" w:type="dxa"/>
            <w:tcBorders>
              <w:top w:val="nil"/>
              <w:left w:val="nil"/>
              <w:bottom w:val="single" w:sz="6" w:space="0" w:color="78A22F"/>
              <w:right w:val="nil"/>
            </w:tcBorders>
            <w:shd w:val="clear" w:color="auto" w:fill="auto"/>
          </w:tcPr>
          <w:p w:rsidR="0041454D" w:rsidRPr="00CE0F34" w:rsidRDefault="0041454D" w:rsidP="00651D5A">
            <w:pPr>
              <w:pStyle w:val="Figurespace"/>
            </w:pPr>
          </w:p>
        </w:tc>
      </w:tr>
      <w:tr w:rsidR="0041454D" w:rsidRPr="00CE0F34" w:rsidTr="00651D5A">
        <w:tc>
          <w:tcPr>
            <w:tcW w:w="8771" w:type="dxa"/>
            <w:tcBorders>
              <w:top w:val="single" w:sz="6" w:space="0" w:color="78A22F"/>
              <w:left w:val="nil"/>
              <w:bottom w:val="nil"/>
              <w:right w:val="nil"/>
            </w:tcBorders>
          </w:tcPr>
          <w:p w:rsidR="0041454D" w:rsidRPr="00CE0F34" w:rsidRDefault="0041454D" w:rsidP="00651D5A">
            <w:pPr>
              <w:pStyle w:val="BoxSpaceBelow"/>
            </w:pPr>
          </w:p>
        </w:tc>
      </w:tr>
    </w:tbl>
    <w:p w:rsidR="00453CE3" w:rsidRPr="00F368E9" w:rsidRDefault="00453CE3" w:rsidP="00453CE3">
      <w:pPr>
        <w:pStyle w:val="BodyText"/>
      </w:pPr>
      <w:r w:rsidRPr="00CE0F34">
        <w:t xml:space="preserve">Participation rates for the 17–24, 25–29 and 15–64 year age groups are </w:t>
      </w:r>
      <w:r w:rsidR="007D2E1A" w:rsidRPr="00CE0F34">
        <w:rPr>
          <w:shd w:val="clear" w:color="auto" w:fill="FFFFFF" w:themeFill="background1"/>
        </w:rPr>
        <w:t xml:space="preserve">reported </w:t>
      </w:r>
      <w:r w:rsidRPr="00CE0F34">
        <w:t xml:space="preserve">in </w:t>
      </w:r>
      <w:r w:rsidR="00775A0C" w:rsidRPr="00CE0F34">
        <w:br/>
      </w:r>
      <w:r w:rsidRPr="00CE0F34">
        <w:t xml:space="preserve">table </w:t>
      </w:r>
      <w:proofErr w:type="spellStart"/>
      <w:r w:rsidRPr="00CE0F34">
        <w:t>BA.11</w:t>
      </w:r>
      <w:proofErr w:type="spellEnd"/>
      <w:r w:rsidRPr="00CE0F34">
        <w:t xml:space="preserve">. National data on participation in education and training by level of study are </w:t>
      </w:r>
      <w:r w:rsidR="007D2E1A" w:rsidRPr="00CE0F34">
        <w:rPr>
          <w:shd w:val="clear" w:color="auto" w:fill="FFFFFF" w:themeFill="background1"/>
        </w:rPr>
        <w:t>reported</w:t>
      </w:r>
      <w:r w:rsidRPr="00CE0F34">
        <w:t xml:space="preserve"> for single year ages from 15 to 24 years in table </w:t>
      </w:r>
      <w:proofErr w:type="spellStart"/>
      <w:r w:rsidRPr="00CE0F34">
        <w:t>BA.12</w:t>
      </w:r>
      <w:proofErr w:type="spellEnd"/>
      <w:r w:rsidRPr="00CE0F34">
        <w:t>. A five year time series for various age groups</w:t>
      </w:r>
      <w:r w:rsidRPr="00F368E9">
        <w:t xml:space="preserve"> is </w:t>
      </w:r>
      <w:r w:rsidR="007D2E1A" w:rsidRPr="00C10DB3">
        <w:rPr>
          <w:shd w:val="clear" w:color="auto" w:fill="FFFFFF" w:themeFill="background1"/>
        </w:rPr>
        <w:t>reported</w:t>
      </w:r>
      <w:r w:rsidRPr="00F368E9">
        <w:t xml:space="preserve"> in table </w:t>
      </w:r>
      <w:proofErr w:type="spellStart"/>
      <w:r w:rsidRPr="00F368E9">
        <w:t>BA.13</w:t>
      </w:r>
      <w:proofErr w:type="spellEnd"/>
      <w:r w:rsidRPr="00F368E9">
        <w:t xml:space="preserve">. Data on applications to enrol in an educational institution are </w:t>
      </w:r>
      <w:r w:rsidR="007D2E1A" w:rsidRPr="00C10DB3">
        <w:rPr>
          <w:shd w:val="clear" w:color="auto" w:fill="FFFFFF" w:themeFill="background1"/>
        </w:rPr>
        <w:t>reported</w:t>
      </w:r>
      <w:r w:rsidRPr="00F368E9">
        <w:t xml:space="preserve"> in table </w:t>
      </w:r>
      <w:proofErr w:type="spellStart"/>
      <w:r w:rsidRPr="00F368E9">
        <w:t>BA.14</w:t>
      </w:r>
      <w:proofErr w:type="spellEnd"/>
      <w:r w:rsidR="00A3136D" w:rsidRPr="00F368E9">
        <w:t>.</w:t>
      </w:r>
    </w:p>
    <w:p w:rsidR="00853633" w:rsidRDefault="00853633" w:rsidP="007D2E1A">
      <w:pPr>
        <w:pStyle w:val="Heading4"/>
        <w:keepNext w:val="0"/>
        <w:widowControl w:val="0"/>
      </w:pPr>
      <w:r w:rsidRPr="00F368E9">
        <w:lastRenderedPageBreak/>
        <w:t>Full time participation in education</w:t>
      </w:r>
      <w:r w:rsidR="00FD1EEE" w:rsidRPr="00F368E9">
        <w:t xml:space="preserve"> and training and/or employment</w:t>
      </w:r>
    </w:p>
    <w:p w:rsidR="00453CE3" w:rsidRPr="00F368E9" w:rsidRDefault="004D257B" w:rsidP="000832E4">
      <w:pPr>
        <w:pStyle w:val="BodyText"/>
      </w:pPr>
      <w:r w:rsidRPr="004D257B">
        <w:t xml:space="preserve">Nationally in 2015, 64.3 per cent of 15–64 year olds were in full time education, training and/or employment. Results for selected age groups are in figure </w:t>
      </w:r>
      <w:proofErr w:type="spellStart"/>
      <w:r w:rsidRPr="004D257B">
        <w:t>B.6</w:t>
      </w:r>
      <w:proofErr w:type="spellEnd"/>
      <w:r w:rsidRPr="004D257B">
        <w:t>.</w:t>
      </w:r>
    </w:p>
    <w:p w:rsidR="00453CE3" w:rsidRPr="00F368E9" w:rsidRDefault="00453CE3" w:rsidP="00453C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53CE3" w:rsidRPr="00F368E9" w:rsidTr="008D1883">
        <w:tc>
          <w:tcPr>
            <w:tcW w:w="8771" w:type="dxa"/>
            <w:tcBorders>
              <w:top w:val="single" w:sz="4" w:space="0" w:color="78A22F"/>
              <w:left w:val="nil"/>
              <w:bottom w:val="nil"/>
              <w:right w:val="nil"/>
            </w:tcBorders>
            <w:shd w:val="clear" w:color="auto" w:fill="auto"/>
          </w:tcPr>
          <w:p w:rsidR="00453CE3" w:rsidRPr="00F368E9" w:rsidRDefault="00453CE3" w:rsidP="00651D5A">
            <w:pPr>
              <w:pStyle w:val="FigureTitle"/>
            </w:pPr>
            <w:r w:rsidRPr="00F368E9">
              <w:rPr>
                <w:b w:val="0"/>
              </w:rPr>
              <w:t xml:space="preserve">Figure </w:t>
            </w:r>
            <w:proofErr w:type="spellStart"/>
            <w:r w:rsidRPr="00F368E9">
              <w:rPr>
                <w:b w:val="0"/>
              </w:rPr>
              <w:t>B.</w:t>
            </w:r>
            <w:r w:rsidR="001564B9">
              <w:rPr>
                <w:b w:val="0"/>
                <w:noProof/>
              </w:rPr>
              <w:t>6</w:t>
            </w:r>
            <w:proofErr w:type="spellEnd"/>
            <w:r w:rsidRPr="00F368E9">
              <w:tab/>
              <w:t>Full time participation in education and training and/or employment, by age groups, 2015</w:t>
            </w:r>
            <w:r w:rsidRPr="00F368E9">
              <w:rPr>
                <w:rStyle w:val="NoteLabel"/>
                <w:b/>
              </w:rPr>
              <w:t>a</w:t>
            </w:r>
          </w:p>
        </w:tc>
      </w:tr>
      <w:tr w:rsidR="00453CE3" w:rsidRPr="00F368E9" w:rsidTr="000832E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53CE3" w:rsidRPr="00F368E9" w:rsidTr="009C7204">
              <w:trPr>
                <w:jc w:val="center"/>
              </w:trPr>
              <w:tc>
                <w:tcPr>
                  <w:tcW w:w="8504" w:type="dxa"/>
                  <w:tcBorders>
                    <w:top w:val="nil"/>
                    <w:bottom w:val="nil"/>
                  </w:tcBorders>
                </w:tcPr>
                <w:p w:rsidR="00453CE3" w:rsidRPr="00F368E9" w:rsidRDefault="009C7204" w:rsidP="00651D5A">
                  <w:pPr>
                    <w:pStyle w:val="Figure"/>
                    <w:spacing w:before="60" w:after="60"/>
                  </w:pPr>
                  <w:r>
                    <w:rPr>
                      <w:noProof/>
                    </w:rPr>
                    <w:drawing>
                      <wp:inline distT="0" distB="0" distL="0" distR="0" wp14:anchorId="38D54E5C" wp14:editId="6A2BFE0E">
                        <wp:extent cx="5400000" cy="2700000"/>
                        <wp:effectExtent l="0" t="0" r="0" b="5715"/>
                        <wp:docPr id="10" name="Chart 10" descr="Figure B.6 Full time participation in education and training and/or employment, by age groups,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453CE3" w:rsidRPr="00F368E9" w:rsidRDefault="00453CE3" w:rsidP="00651D5A">
            <w:pPr>
              <w:pStyle w:val="Figure"/>
            </w:pPr>
          </w:p>
        </w:tc>
      </w:tr>
      <w:tr w:rsidR="00453CE3" w:rsidRPr="00F368E9" w:rsidTr="00651D5A">
        <w:tc>
          <w:tcPr>
            <w:tcW w:w="8771" w:type="dxa"/>
            <w:tcBorders>
              <w:top w:val="nil"/>
              <w:left w:val="nil"/>
              <w:bottom w:val="nil"/>
              <w:right w:val="nil"/>
            </w:tcBorders>
            <w:shd w:val="clear" w:color="auto" w:fill="auto"/>
          </w:tcPr>
          <w:p w:rsidR="00453CE3" w:rsidRPr="00F368E9" w:rsidRDefault="00453CE3" w:rsidP="00651D5A">
            <w:pPr>
              <w:pStyle w:val="Note"/>
            </w:pPr>
            <w:r w:rsidRPr="00F368E9">
              <w:rPr>
                <w:rStyle w:val="NoteLabel"/>
              </w:rPr>
              <w:t>a</w:t>
            </w:r>
            <w:r w:rsidRPr="00F368E9">
              <w:t xml:space="preserve"> See box </w:t>
            </w:r>
            <w:proofErr w:type="spellStart"/>
            <w:r w:rsidRPr="00F368E9">
              <w:t>B.4</w:t>
            </w:r>
            <w:proofErr w:type="spellEnd"/>
            <w:r w:rsidRPr="00F368E9">
              <w:t xml:space="preserve"> and table </w:t>
            </w:r>
            <w:proofErr w:type="spellStart"/>
            <w:r w:rsidRPr="00F368E9">
              <w:t>BA.15</w:t>
            </w:r>
            <w:proofErr w:type="spellEnd"/>
            <w:r w:rsidRPr="00F368E9">
              <w:t xml:space="preserve"> for detailed definitions, footnotes and caveats.</w:t>
            </w:r>
          </w:p>
        </w:tc>
      </w:tr>
      <w:tr w:rsidR="00453CE3" w:rsidRPr="00F368E9" w:rsidTr="00651D5A">
        <w:tc>
          <w:tcPr>
            <w:tcW w:w="8771" w:type="dxa"/>
            <w:tcBorders>
              <w:top w:val="nil"/>
              <w:left w:val="nil"/>
              <w:bottom w:val="nil"/>
              <w:right w:val="nil"/>
            </w:tcBorders>
            <w:shd w:val="clear" w:color="auto" w:fill="auto"/>
          </w:tcPr>
          <w:p w:rsidR="00453CE3" w:rsidRPr="00F368E9" w:rsidRDefault="00453CE3" w:rsidP="00651D5A">
            <w:pPr>
              <w:pStyle w:val="Source"/>
            </w:pPr>
            <w:r w:rsidRPr="00F368E9">
              <w:rPr>
                <w:i/>
              </w:rPr>
              <w:t>Source</w:t>
            </w:r>
            <w:r w:rsidRPr="00F368E9">
              <w:t xml:space="preserve">: ABS (unpublished) </w:t>
            </w:r>
            <w:r w:rsidRPr="00F368E9">
              <w:rPr>
                <w:i/>
              </w:rPr>
              <w:t>Microdata:</w:t>
            </w:r>
            <w:r w:rsidRPr="00F368E9">
              <w:t xml:space="preserve"> </w:t>
            </w:r>
            <w:r w:rsidRPr="00F368E9">
              <w:rPr>
                <w:i/>
              </w:rPr>
              <w:t>Education and Work, Australia, May 2014</w:t>
            </w:r>
            <w:r w:rsidRPr="00F368E9">
              <w:t xml:space="preserve">, Cat. no. 6227.0.30.001; table </w:t>
            </w:r>
            <w:proofErr w:type="spellStart"/>
            <w:r w:rsidRPr="00F368E9">
              <w:t>BA.15</w:t>
            </w:r>
            <w:proofErr w:type="spellEnd"/>
            <w:r w:rsidRPr="00F368E9">
              <w:t>.</w:t>
            </w:r>
          </w:p>
        </w:tc>
      </w:tr>
      <w:tr w:rsidR="00453CE3" w:rsidRPr="00F368E9" w:rsidTr="00651D5A">
        <w:tc>
          <w:tcPr>
            <w:tcW w:w="8771" w:type="dxa"/>
            <w:tcBorders>
              <w:top w:val="nil"/>
              <w:left w:val="nil"/>
              <w:bottom w:val="single" w:sz="6" w:space="0" w:color="78A22F"/>
              <w:right w:val="nil"/>
            </w:tcBorders>
            <w:shd w:val="clear" w:color="auto" w:fill="auto"/>
          </w:tcPr>
          <w:p w:rsidR="00453CE3" w:rsidRPr="00F368E9" w:rsidRDefault="00453CE3" w:rsidP="00651D5A">
            <w:pPr>
              <w:pStyle w:val="Figurespace"/>
            </w:pPr>
          </w:p>
        </w:tc>
      </w:tr>
      <w:tr w:rsidR="00453CE3" w:rsidRPr="00F368E9" w:rsidTr="00651D5A">
        <w:tc>
          <w:tcPr>
            <w:tcW w:w="8771" w:type="dxa"/>
            <w:tcBorders>
              <w:top w:val="single" w:sz="6" w:space="0" w:color="78A22F"/>
              <w:left w:val="nil"/>
              <w:bottom w:val="nil"/>
              <w:right w:val="nil"/>
            </w:tcBorders>
          </w:tcPr>
          <w:p w:rsidR="00453CE3" w:rsidRPr="00F368E9" w:rsidRDefault="00453CE3" w:rsidP="00651D5A">
            <w:pPr>
              <w:pStyle w:val="BoxSpaceBelow"/>
            </w:pPr>
          </w:p>
        </w:tc>
      </w:tr>
    </w:tbl>
    <w:p w:rsidR="00453CE3" w:rsidRPr="00F368E9" w:rsidRDefault="00453CE3" w:rsidP="00453CE3">
      <w:pPr>
        <w:pStyle w:val="BodyText"/>
      </w:pPr>
      <w:r w:rsidRPr="00F368E9">
        <w:t xml:space="preserve">Participation rates in full time education and training at or above Certificate III level and/or employment are presented for various age groups in table </w:t>
      </w:r>
      <w:proofErr w:type="spellStart"/>
      <w:r w:rsidRPr="00F368E9">
        <w:t>BA.16</w:t>
      </w:r>
      <w:proofErr w:type="spellEnd"/>
      <w:r w:rsidRPr="00F368E9">
        <w:t xml:space="preserve">, with data presented by SES in tables </w:t>
      </w:r>
      <w:proofErr w:type="spellStart"/>
      <w:r w:rsidRPr="00F368E9">
        <w:t>BA.17</w:t>
      </w:r>
      <w:proofErr w:type="spellEnd"/>
      <w:r w:rsidRPr="00F368E9">
        <w:t>–18.</w:t>
      </w:r>
    </w:p>
    <w:p w:rsidR="006618F2" w:rsidRPr="00F368E9" w:rsidRDefault="006618F2" w:rsidP="007D2E1A">
      <w:pPr>
        <w:pStyle w:val="Heading4"/>
        <w:keepNext w:val="0"/>
        <w:widowControl w:val="0"/>
      </w:pPr>
      <w:r w:rsidRPr="00F368E9">
        <w:t xml:space="preserve">School leaver </w:t>
      </w:r>
      <w:r w:rsidR="00221EA0" w:rsidRPr="00F368E9">
        <w:t>full time participation in</w:t>
      </w:r>
      <w:r w:rsidRPr="00F368E9">
        <w:t xml:space="preserve"> education and training</w:t>
      </w:r>
      <w:r w:rsidR="00853633" w:rsidRPr="00F368E9">
        <w:t xml:space="preserve"> and/or employment</w:t>
      </w:r>
    </w:p>
    <w:p w:rsidR="00453CE3" w:rsidRPr="00F368E9" w:rsidRDefault="003F67C6" w:rsidP="00A3136D">
      <w:pPr>
        <w:pStyle w:val="BodyText"/>
      </w:pPr>
      <w:r w:rsidRPr="00F368E9">
        <w:t>Nation</w:t>
      </w:r>
      <w:r w:rsidRPr="00BC7602">
        <w:t xml:space="preserve">ally in 2015, 73.0 per cent </w:t>
      </w:r>
      <w:r w:rsidRPr="00F368E9">
        <w:t>of 17–24 year old school leavers were full</w:t>
      </w:r>
      <w:r>
        <w:t xml:space="preserve">y participating </w:t>
      </w:r>
      <w:r w:rsidRPr="003409D7">
        <w:t>in education, training</w:t>
      </w:r>
      <w:r w:rsidRPr="00F368E9">
        <w:t xml:space="preserve"> and/or employment (figure </w:t>
      </w:r>
      <w:proofErr w:type="spellStart"/>
      <w:r w:rsidRPr="00F368E9">
        <w:t>B.7</w:t>
      </w:r>
      <w:proofErr w:type="spellEnd"/>
      <w:r w:rsidRPr="00F368E9">
        <w:t>).</w:t>
      </w:r>
    </w:p>
    <w:p w:rsidR="00453CE3" w:rsidRPr="003C6267" w:rsidRDefault="00453CE3" w:rsidP="00453C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53CE3" w:rsidRPr="003C6267" w:rsidTr="00B258A7">
        <w:tc>
          <w:tcPr>
            <w:tcW w:w="8771" w:type="dxa"/>
            <w:tcBorders>
              <w:top w:val="single" w:sz="4" w:space="0" w:color="78A22F"/>
              <w:left w:val="nil"/>
              <w:bottom w:val="nil"/>
              <w:right w:val="nil"/>
            </w:tcBorders>
            <w:shd w:val="clear" w:color="auto" w:fill="auto"/>
          </w:tcPr>
          <w:p w:rsidR="00453CE3" w:rsidRPr="003C6267" w:rsidRDefault="00453CE3" w:rsidP="00651D5A">
            <w:pPr>
              <w:pStyle w:val="FigureTitle"/>
            </w:pPr>
            <w:r w:rsidRPr="003C6267">
              <w:rPr>
                <w:b w:val="0"/>
              </w:rPr>
              <w:t xml:space="preserve">Figure </w:t>
            </w:r>
            <w:proofErr w:type="spellStart"/>
            <w:r w:rsidRPr="003C6267">
              <w:rPr>
                <w:b w:val="0"/>
              </w:rPr>
              <w:t>B.</w:t>
            </w:r>
            <w:r w:rsidR="001564B9">
              <w:rPr>
                <w:b w:val="0"/>
                <w:noProof/>
              </w:rPr>
              <w:t>7</w:t>
            </w:r>
            <w:proofErr w:type="spellEnd"/>
            <w:r w:rsidRPr="003C6267">
              <w:tab/>
              <w:t>Proportion of 17–24 year old school leavers participating in full time education and training and/or employment</w:t>
            </w:r>
            <w:r w:rsidRPr="003C6267">
              <w:rPr>
                <w:rStyle w:val="NoteLabel"/>
                <w:b/>
              </w:rPr>
              <w:t>a</w:t>
            </w:r>
          </w:p>
        </w:tc>
      </w:tr>
      <w:tr w:rsidR="00453CE3" w:rsidRPr="003C6267" w:rsidTr="000832E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53CE3" w:rsidRPr="003C6267" w:rsidTr="00026067">
              <w:trPr>
                <w:jc w:val="center"/>
              </w:trPr>
              <w:tc>
                <w:tcPr>
                  <w:tcW w:w="8504" w:type="dxa"/>
                  <w:tcBorders>
                    <w:top w:val="nil"/>
                    <w:bottom w:val="nil"/>
                  </w:tcBorders>
                </w:tcPr>
                <w:p w:rsidR="00453CE3" w:rsidRPr="003C6267" w:rsidRDefault="00026067" w:rsidP="00651D5A">
                  <w:pPr>
                    <w:pStyle w:val="Figure"/>
                    <w:spacing w:before="60" w:after="60"/>
                  </w:pPr>
                  <w:r>
                    <w:rPr>
                      <w:noProof/>
                    </w:rPr>
                    <w:drawing>
                      <wp:inline distT="0" distB="0" distL="0" distR="0" wp14:anchorId="28C15BD3" wp14:editId="1CEC8386">
                        <wp:extent cx="5400000" cy="2700000"/>
                        <wp:effectExtent l="0" t="0" r="0" b="5715"/>
                        <wp:docPr id="6" name="Chart 6" descr="Figure B.7 Proportion of 17–24 year old school leavers participating in full time education and training and/or employment&#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453CE3" w:rsidRPr="003C6267" w:rsidRDefault="00453CE3" w:rsidP="00651D5A">
            <w:pPr>
              <w:pStyle w:val="Figure"/>
            </w:pPr>
          </w:p>
        </w:tc>
      </w:tr>
      <w:tr w:rsidR="00453CE3" w:rsidRPr="003C6267" w:rsidTr="003C6267">
        <w:tc>
          <w:tcPr>
            <w:tcW w:w="8771" w:type="dxa"/>
            <w:tcBorders>
              <w:top w:val="nil"/>
              <w:left w:val="nil"/>
              <w:bottom w:val="nil"/>
              <w:right w:val="nil"/>
            </w:tcBorders>
            <w:shd w:val="clear" w:color="auto" w:fill="auto"/>
          </w:tcPr>
          <w:p w:rsidR="00453CE3" w:rsidRPr="003C6267" w:rsidRDefault="00453CE3" w:rsidP="00651D5A">
            <w:pPr>
              <w:pStyle w:val="Note"/>
            </w:pPr>
            <w:r w:rsidRPr="003C6267">
              <w:rPr>
                <w:rStyle w:val="NoteLabel"/>
              </w:rPr>
              <w:t>a</w:t>
            </w:r>
            <w:r w:rsidRPr="003C6267">
              <w:t xml:space="preserve"> See box </w:t>
            </w:r>
            <w:proofErr w:type="spellStart"/>
            <w:r w:rsidRPr="003C6267">
              <w:t>B.4</w:t>
            </w:r>
            <w:proofErr w:type="spellEnd"/>
            <w:r w:rsidRPr="003C6267">
              <w:t xml:space="preserve"> and table </w:t>
            </w:r>
            <w:proofErr w:type="spellStart"/>
            <w:r w:rsidRPr="003C6267">
              <w:t>BA.19</w:t>
            </w:r>
            <w:proofErr w:type="spellEnd"/>
            <w:r w:rsidRPr="003C6267">
              <w:t xml:space="preserve"> for detailed definitions, footnotes and caveats.</w:t>
            </w:r>
          </w:p>
        </w:tc>
      </w:tr>
      <w:tr w:rsidR="00453CE3" w:rsidRPr="003C6267" w:rsidTr="003C6267">
        <w:tc>
          <w:tcPr>
            <w:tcW w:w="8771" w:type="dxa"/>
            <w:tcBorders>
              <w:top w:val="nil"/>
              <w:left w:val="nil"/>
              <w:bottom w:val="nil"/>
              <w:right w:val="nil"/>
            </w:tcBorders>
            <w:shd w:val="clear" w:color="auto" w:fill="auto"/>
          </w:tcPr>
          <w:p w:rsidR="00453CE3" w:rsidRPr="003C6267" w:rsidRDefault="00453CE3" w:rsidP="00651D5A">
            <w:pPr>
              <w:pStyle w:val="Source"/>
            </w:pPr>
            <w:r w:rsidRPr="003C6267">
              <w:rPr>
                <w:i/>
              </w:rPr>
              <w:t>Source</w:t>
            </w:r>
            <w:r w:rsidRPr="003C6267">
              <w:t xml:space="preserve">: ABS (unpublished) </w:t>
            </w:r>
            <w:r w:rsidRPr="003C6267">
              <w:rPr>
                <w:i/>
              </w:rPr>
              <w:t>Microdata:</w:t>
            </w:r>
            <w:r w:rsidRPr="003C6267">
              <w:t xml:space="preserve"> </w:t>
            </w:r>
            <w:r w:rsidRPr="003C6267">
              <w:rPr>
                <w:i/>
              </w:rPr>
              <w:t>Education and Work, Australia, May 2011, 2012, 2013</w:t>
            </w:r>
            <w:r w:rsidR="00E76F15" w:rsidRPr="003C6267">
              <w:rPr>
                <w:i/>
              </w:rPr>
              <w:t>, 2014 and 2015</w:t>
            </w:r>
            <w:r w:rsidRPr="003C6267">
              <w:rPr>
                <w:i/>
              </w:rPr>
              <w:t>,</w:t>
            </w:r>
            <w:r w:rsidRPr="003C6267">
              <w:t xml:space="preserve"> Cat. no. 6227.0.30.001; table </w:t>
            </w:r>
            <w:proofErr w:type="spellStart"/>
            <w:r w:rsidRPr="003C6267">
              <w:t>BA.19</w:t>
            </w:r>
            <w:proofErr w:type="spellEnd"/>
            <w:r w:rsidRPr="003C6267">
              <w:t>.</w:t>
            </w:r>
          </w:p>
        </w:tc>
      </w:tr>
      <w:tr w:rsidR="00453CE3" w:rsidRPr="003C6267" w:rsidTr="00651D5A">
        <w:tc>
          <w:tcPr>
            <w:tcW w:w="8771" w:type="dxa"/>
            <w:tcBorders>
              <w:top w:val="nil"/>
              <w:left w:val="nil"/>
              <w:bottom w:val="single" w:sz="6" w:space="0" w:color="78A22F"/>
              <w:right w:val="nil"/>
            </w:tcBorders>
            <w:shd w:val="clear" w:color="auto" w:fill="auto"/>
          </w:tcPr>
          <w:p w:rsidR="00453CE3" w:rsidRPr="003C6267" w:rsidRDefault="00453CE3" w:rsidP="00651D5A">
            <w:pPr>
              <w:pStyle w:val="Figurespace"/>
            </w:pPr>
          </w:p>
        </w:tc>
      </w:tr>
      <w:tr w:rsidR="00453CE3" w:rsidRPr="00F368E9" w:rsidTr="00651D5A">
        <w:tc>
          <w:tcPr>
            <w:tcW w:w="8771" w:type="dxa"/>
            <w:tcBorders>
              <w:top w:val="single" w:sz="6" w:space="0" w:color="78A22F"/>
              <w:left w:val="nil"/>
              <w:bottom w:val="nil"/>
              <w:right w:val="nil"/>
            </w:tcBorders>
          </w:tcPr>
          <w:p w:rsidR="00453CE3" w:rsidRPr="00F368E9" w:rsidRDefault="00453CE3" w:rsidP="00651D5A">
            <w:pPr>
              <w:pStyle w:val="BoxSpaceBelow"/>
            </w:pPr>
          </w:p>
        </w:tc>
      </w:tr>
    </w:tbl>
    <w:p w:rsidR="00453CE3" w:rsidRPr="00F368E9" w:rsidRDefault="007D2E1A" w:rsidP="000832E4">
      <w:pPr>
        <w:pStyle w:val="BodyText"/>
      </w:pPr>
      <w:r>
        <w:t xml:space="preserve">The most recent available Census data are for 2011, with data available disaggregated by Indigenous status. </w:t>
      </w:r>
      <w:r w:rsidR="00453CE3" w:rsidRPr="00F368E9">
        <w:t>Nationally in 2011, a larger proportion of non</w:t>
      </w:r>
      <w:r w:rsidR="00490B08">
        <w:noBreakHyphen/>
      </w:r>
      <w:r w:rsidR="00453CE3" w:rsidRPr="00F368E9">
        <w:t xml:space="preserve">Indigenous 17–24 year old school leavers were in full time education and training and/or employment </w:t>
      </w:r>
      <w:r w:rsidR="00294BC1">
        <w:br/>
      </w:r>
      <w:r w:rsidR="00453CE3" w:rsidRPr="00F368E9">
        <w:t xml:space="preserve">(74.0 per cent) than Aboriginal and Torres Strait Islander 17–24 year old school leavers (39.4 per cent) (table </w:t>
      </w:r>
      <w:proofErr w:type="spellStart"/>
      <w:r w:rsidR="00453CE3" w:rsidRPr="00F368E9">
        <w:t>BA.21</w:t>
      </w:r>
      <w:proofErr w:type="spellEnd"/>
      <w:r w:rsidR="00453CE3" w:rsidRPr="00F368E9">
        <w:t>).</w:t>
      </w:r>
    </w:p>
    <w:p w:rsidR="004F545B" w:rsidRPr="00F368E9" w:rsidRDefault="00122D6F" w:rsidP="000832E4">
      <w:pPr>
        <w:pStyle w:val="BodyText"/>
      </w:pPr>
      <w:r w:rsidRPr="00F368E9">
        <w:t xml:space="preserve">Additional data on school leaver participation in education and training and/or employment by </w:t>
      </w:r>
      <w:r w:rsidR="0094309F" w:rsidRPr="00F368E9">
        <w:t xml:space="preserve">SES are presented in table </w:t>
      </w:r>
      <w:proofErr w:type="spellStart"/>
      <w:r w:rsidR="0094309F" w:rsidRPr="00F368E9">
        <w:t>BA.22</w:t>
      </w:r>
      <w:proofErr w:type="spellEnd"/>
      <w:r w:rsidRPr="00F368E9">
        <w:t xml:space="preserve"> (</w:t>
      </w:r>
      <w:r w:rsidR="004F545B" w:rsidRPr="00F368E9">
        <w:t>s</w:t>
      </w:r>
      <w:r w:rsidRPr="00F368E9">
        <w:t xml:space="preserve">urvey </w:t>
      </w:r>
      <w:r w:rsidR="0094309F" w:rsidRPr="00F368E9">
        <w:t xml:space="preserve">data) and </w:t>
      </w:r>
      <w:proofErr w:type="spellStart"/>
      <w:r w:rsidR="0094309F" w:rsidRPr="00F368E9">
        <w:t>BA.23</w:t>
      </w:r>
      <w:proofErr w:type="spellEnd"/>
      <w:r w:rsidRPr="00F368E9">
        <w:t xml:space="preserve"> (Census data).</w:t>
      </w:r>
    </w:p>
    <w:p w:rsidR="004F545B" w:rsidRPr="00F368E9" w:rsidRDefault="004F545B" w:rsidP="007D2E1A">
      <w:pPr>
        <w:pStyle w:val="Heading4"/>
        <w:keepNext w:val="0"/>
        <w:widowControl w:val="0"/>
      </w:pPr>
      <w:r w:rsidRPr="00F368E9">
        <w:t>Participation in higher education by selected groups</w:t>
      </w:r>
    </w:p>
    <w:p w:rsidR="00453CE3" w:rsidRPr="00F368E9" w:rsidRDefault="00453CE3" w:rsidP="00453CE3">
      <w:pPr>
        <w:pStyle w:val="BodyText"/>
      </w:pPr>
      <w:r w:rsidRPr="00F368E9">
        <w:t>In higher education, there is an under</w:t>
      </w:r>
      <w:r w:rsidRPr="00F368E9">
        <w:noBreakHyphen/>
        <w:t xml:space="preserve">representation of people from regional and remote areas of Australia, people with disability, Aboriginal and Torres Strait Islander people, and people from low SES backgrounds, compared with their representation in the community (figure </w:t>
      </w:r>
      <w:proofErr w:type="spellStart"/>
      <w:r w:rsidRPr="00F368E9">
        <w:t>B.8</w:t>
      </w:r>
      <w:proofErr w:type="spellEnd"/>
      <w:r w:rsidRPr="00F368E9">
        <w:t>).</w:t>
      </w:r>
    </w:p>
    <w:p w:rsidR="00453CE3" w:rsidRPr="00F368E9" w:rsidRDefault="00453CE3" w:rsidP="00453CE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53CE3" w:rsidRPr="00F368E9" w:rsidTr="00651D5A">
        <w:tc>
          <w:tcPr>
            <w:tcW w:w="8771" w:type="dxa"/>
            <w:tcBorders>
              <w:top w:val="single" w:sz="6" w:space="0" w:color="78A22F"/>
              <w:left w:val="nil"/>
              <w:bottom w:val="nil"/>
              <w:right w:val="nil"/>
            </w:tcBorders>
            <w:shd w:val="clear" w:color="auto" w:fill="auto"/>
          </w:tcPr>
          <w:p w:rsidR="00453CE3" w:rsidRPr="00F368E9" w:rsidRDefault="00453CE3" w:rsidP="00651D5A">
            <w:pPr>
              <w:pStyle w:val="FigureTitle"/>
            </w:pPr>
            <w:r w:rsidRPr="00F368E9">
              <w:rPr>
                <w:b w:val="0"/>
              </w:rPr>
              <w:t xml:space="preserve">Figure </w:t>
            </w:r>
            <w:proofErr w:type="spellStart"/>
            <w:r w:rsidRPr="00F368E9">
              <w:rPr>
                <w:b w:val="0"/>
              </w:rPr>
              <w:t>B.</w:t>
            </w:r>
            <w:r w:rsidR="001564B9">
              <w:rPr>
                <w:b w:val="0"/>
                <w:noProof/>
              </w:rPr>
              <w:t>8</w:t>
            </w:r>
            <w:proofErr w:type="spellEnd"/>
            <w:r w:rsidRPr="00F368E9">
              <w:tab/>
              <w:t>Participation in higher education by selected groups, compared with their representation in the community, 2015</w:t>
            </w:r>
            <w:r w:rsidRPr="00F368E9">
              <w:rPr>
                <w:rStyle w:val="NoteLabel"/>
                <w:b/>
              </w:rPr>
              <w:t>a</w:t>
            </w:r>
          </w:p>
        </w:tc>
      </w:tr>
      <w:tr w:rsidR="00453CE3" w:rsidRPr="00F368E9" w:rsidTr="00651D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53CE3" w:rsidRPr="00F368E9" w:rsidTr="00E55658">
              <w:trPr>
                <w:jc w:val="center"/>
              </w:trPr>
              <w:tc>
                <w:tcPr>
                  <w:tcW w:w="8504" w:type="dxa"/>
                  <w:tcBorders>
                    <w:top w:val="nil"/>
                    <w:bottom w:val="nil"/>
                  </w:tcBorders>
                </w:tcPr>
                <w:p w:rsidR="00453CE3" w:rsidRPr="00F368E9" w:rsidRDefault="00E55658" w:rsidP="00651D5A">
                  <w:pPr>
                    <w:pStyle w:val="Figure"/>
                    <w:spacing w:before="60" w:after="60"/>
                  </w:pPr>
                  <w:r w:rsidRPr="00F368E9">
                    <w:rPr>
                      <w:noProof/>
                    </w:rPr>
                    <w:drawing>
                      <wp:inline distT="0" distB="0" distL="0" distR="0" wp14:anchorId="2E753D7F" wp14:editId="62C4F133">
                        <wp:extent cx="5400000" cy="2700000"/>
                        <wp:effectExtent l="0" t="0" r="0" b="5715"/>
                        <wp:docPr id="3" name="Chart 3" descr="Figure B.8 Participation in higher education by selected groups, compared with their representation in the community, 2015&#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453CE3" w:rsidRPr="00F368E9" w:rsidRDefault="00453CE3" w:rsidP="00651D5A">
            <w:pPr>
              <w:pStyle w:val="Figure"/>
            </w:pPr>
          </w:p>
        </w:tc>
      </w:tr>
      <w:tr w:rsidR="00453CE3" w:rsidRPr="00F368E9" w:rsidTr="00651D5A">
        <w:tc>
          <w:tcPr>
            <w:tcW w:w="8771" w:type="dxa"/>
            <w:tcBorders>
              <w:top w:val="nil"/>
              <w:left w:val="nil"/>
              <w:bottom w:val="nil"/>
              <w:right w:val="nil"/>
            </w:tcBorders>
            <w:shd w:val="clear" w:color="auto" w:fill="auto"/>
          </w:tcPr>
          <w:p w:rsidR="00453CE3" w:rsidRPr="00F368E9" w:rsidRDefault="00453CE3" w:rsidP="00651D5A">
            <w:pPr>
              <w:pStyle w:val="Note"/>
            </w:pPr>
            <w:r w:rsidRPr="00F368E9">
              <w:rPr>
                <w:rStyle w:val="NoteLabel"/>
              </w:rPr>
              <w:t>a</w:t>
            </w:r>
            <w:r w:rsidRPr="00F368E9">
              <w:t xml:space="preserve"> See box </w:t>
            </w:r>
            <w:proofErr w:type="spellStart"/>
            <w:r w:rsidRPr="00F368E9">
              <w:t>B.4</w:t>
            </w:r>
            <w:proofErr w:type="spellEnd"/>
            <w:r w:rsidRPr="00F368E9">
              <w:t xml:space="preserve"> and table </w:t>
            </w:r>
            <w:proofErr w:type="spellStart"/>
            <w:r w:rsidRPr="00F368E9">
              <w:t>BA.24</w:t>
            </w:r>
            <w:proofErr w:type="spellEnd"/>
            <w:r w:rsidRPr="00F368E9">
              <w:t xml:space="preserve"> for detailed definitions, footnotes and caveats.</w:t>
            </w:r>
          </w:p>
        </w:tc>
      </w:tr>
      <w:tr w:rsidR="00453CE3" w:rsidRPr="00F368E9" w:rsidTr="00651D5A">
        <w:tc>
          <w:tcPr>
            <w:tcW w:w="8771" w:type="dxa"/>
            <w:tcBorders>
              <w:top w:val="nil"/>
              <w:left w:val="nil"/>
              <w:bottom w:val="nil"/>
              <w:right w:val="nil"/>
            </w:tcBorders>
            <w:shd w:val="clear" w:color="auto" w:fill="auto"/>
          </w:tcPr>
          <w:p w:rsidR="00453CE3" w:rsidRPr="00F368E9" w:rsidRDefault="00453CE3" w:rsidP="00311FED">
            <w:pPr>
              <w:pStyle w:val="Source"/>
            </w:pPr>
            <w:r w:rsidRPr="00F368E9">
              <w:rPr>
                <w:i/>
              </w:rPr>
              <w:t>Source</w:t>
            </w:r>
            <w:r w:rsidRPr="00F368E9">
              <w:t>: Australian Government Department of Education and Training (201</w:t>
            </w:r>
            <w:r w:rsidR="00311FED" w:rsidRPr="00F368E9">
              <w:t>6</w:t>
            </w:r>
            <w:r w:rsidRPr="00F368E9">
              <w:t>)</w:t>
            </w:r>
            <w:r w:rsidRPr="00F368E9">
              <w:rPr>
                <w:i/>
              </w:rPr>
              <w:t xml:space="preserve"> Higher Education Statistics Collection, 201</w:t>
            </w:r>
            <w:r w:rsidR="00311FED" w:rsidRPr="00F368E9">
              <w:rPr>
                <w:i/>
              </w:rPr>
              <w:t>5</w:t>
            </w:r>
            <w:r w:rsidRPr="00F368E9">
              <w:rPr>
                <w:i/>
              </w:rPr>
              <w:t xml:space="preserve"> Student data</w:t>
            </w:r>
            <w:r w:rsidRPr="00F368E9">
              <w:t>; ABS (201</w:t>
            </w:r>
            <w:r w:rsidR="00311FED" w:rsidRPr="00F368E9">
              <w:t>6</w:t>
            </w:r>
            <w:r w:rsidRPr="00F368E9">
              <w:t xml:space="preserve">) </w:t>
            </w:r>
            <w:r w:rsidRPr="00F368E9">
              <w:rPr>
                <w:i/>
              </w:rPr>
              <w:t>Disability, Ageing and Carers, Australia, 201</w:t>
            </w:r>
            <w:r w:rsidR="00311FED" w:rsidRPr="00F368E9">
              <w:rPr>
                <w:i/>
              </w:rPr>
              <w:t>5</w:t>
            </w:r>
            <w:r w:rsidRPr="00F368E9">
              <w:rPr>
                <w:i/>
              </w:rPr>
              <w:t xml:space="preserve">, </w:t>
            </w:r>
            <w:r w:rsidRPr="00F368E9">
              <w:t>Cat. no 4430.0; ABS (201</w:t>
            </w:r>
            <w:r w:rsidR="00311FED" w:rsidRPr="00F368E9">
              <w:t>6</w:t>
            </w:r>
            <w:r w:rsidRPr="00F368E9">
              <w:t xml:space="preserve">) </w:t>
            </w:r>
            <w:r w:rsidRPr="00F368E9">
              <w:rPr>
                <w:i/>
              </w:rPr>
              <w:t>Regional Population Growth, Australia, 201</w:t>
            </w:r>
            <w:r w:rsidR="00311FED" w:rsidRPr="00F368E9">
              <w:rPr>
                <w:i/>
              </w:rPr>
              <w:t>4</w:t>
            </w:r>
            <w:r w:rsidRPr="00F368E9">
              <w:rPr>
                <w:i/>
              </w:rPr>
              <w:noBreakHyphen/>
              <w:t>1</w:t>
            </w:r>
            <w:r w:rsidR="00311FED" w:rsidRPr="00F368E9">
              <w:rPr>
                <w:i/>
              </w:rPr>
              <w:t>5</w:t>
            </w:r>
            <w:r w:rsidRPr="00F368E9">
              <w:t>, Cat. no. 3218.0; ABS (201</w:t>
            </w:r>
            <w:r w:rsidR="00311FED" w:rsidRPr="00F368E9">
              <w:t>5</w:t>
            </w:r>
            <w:r w:rsidRPr="00F368E9">
              <w:t xml:space="preserve">) </w:t>
            </w:r>
            <w:r w:rsidRPr="00F368E9">
              <w:rPr>
                <w:i/>
              </w:rPr>
              <w:t>Australian Demographic Statistics, Jun 201</w:t>
            </w:r>
            <w:r w:rsidR="00311FED" w:rsidRPr="00F368E9">
              <w:rPr>
                <w:i/>
              </w:rPr>
              <w:t>5</w:t>
            </w:r>
            <w:r w:rsidRPr="00F368E9">
              <w:rPr>
                <w:i/>
              </w:rPr>
              <w:t>,</w:t>
            </w:r>
            <w:r w:rsidRPr="00F368E9">
              <w:t xml:space="preserve"> Cat. no. 3101.0; ABS (2014) </w:t>
            </w:r>
            <w:r w:rsidRPr="00F368E9">
              <w:rPr>
                <w:i/>
              </w:rPr>
              <w:t xml:space="preserve">Estimates and Projections, Aboriginal and Torres Strait Islander Australians, 2011 to 2026, </w:t>
            </w:r>
            <w:r w:rsidRPr="00F368E9">
              <w:t xml:space="preserve">Cat. no. 3238.0; table </w:t>
            </w:r>
            <w:proofErr w:type="spellStart"/>
            <w:r w:rsidRPr="00F368E9">
              <w:t>BA.24</w:t>
            </w:r>
            <w:proofErr w:type="spellEnd"/>
            <w:r w:rsidRPr="00F368E9">
              <w:t>.</w:t>
            </w:r>
          </w:p>
        </w:tc>
      </w:tr>
      <w:tr w:rsidR="00453CE3" w:rsidRPr="00F368E9" w:rsidTr="00651D5A">
        <w:tc>
          <w:tcPr>
            <w:tcW w:w="8771" w:type="dxa"/>
            <w:tcBorders>
              <w:top w:val="nil"/>
              <w:left w:val="nil"/>
              <w:bottom w:val="single" w:sz="6" w:space="0" w:color="78A22F"/>
              <w:right w:val="nil"/>
            </w:tcBorders>
            <w:shd w:val="clear" w:color="auto" w:fill="auto"/>
          </w:tcPr>
          <w:p w:rsidR="00453CE3" w:rsidRPr="00F368E9" w:rsidRDefault="00453CE3" w:rsidP="00651D5A">
            <w:pPr>
              <w:pStyle w:val="Figurespace"/>
            </w:pPr>
          </w:p>
        </w:tc>
      </w:tr>
      <w:tr w:rsidR="00453CE3" w:rsidRPr="00F368E9" w:rsidTr="00651D5A">
        <w:tc>
          <w:tcPr>
            <w:tcW w:w="8771" w:type="dxa"/>
            <w:tcBorders>
              <w:top w:val="single" w:sz="6" w:space="0" w:color="78A22F"/>
              <w:left w:val="nil"/>
              <w:bottom w:val="nil"/>
              <w:right w:val="nil"/>
            </w:tcBorders>
          </w:tcPr>
          <w:p w:rsidR="00453CE3" w:rsidRPr="00F368E9" w:rsidRDefault="00453CE3" w:rsidP="00651D5A">
            <w:pPr>
              <w:pStyle w:val="BoxSpaceBelow"/>
            </w:pPr>
          </w:p>
        </w:tc>
      </w:tr>
    </w:tbl>
    <w:p w:rsidR="00207ABE" w:rsidRPr="00F368E9" w:rsidRDefault="00207ABE" w:rsidP="007D2E1A">
      <w:pPr>
        <w:pStyle w:val="Heading3"/>
      </w:pPr>
      <w:r w:rsidRPr="00F368E9">
        <w:t>Attainment</w:t>
      </w:r>
    </w:p>
    <w:p w:rsidR="006471FC" w:rsidRDefault="007D2E1A" w:rsidP="000832E4">
      <w:pPr>
        <w:pStyle w:val="BodyText"/>
        <w:widowControl w:val="0"/>
      </w:pPr>
      <w:r w:rsidRPr="00FD1EEE">
        <w:t xml:space="preserve">‘Attainment’ is an indicator of governments’ objective for people to possess adequate skills to enable them to contribute to society and the economy (box </w:t>
      </w:r>
      <w:proofErr w:type="spellStart"/>
      <w:r w:rsidRPr="00FD1EEE">
        <w:t>B.</w:t>
      </w:r>
      <w:r>
        <w:t>5</w:t>
      </w:r>
      <w:proofErr w:type="spellEnd"/>
      <w:r w:rsidR="00F13DAD">
        <w:t>).</w:t>
      </w:r>
    </w:p>
    <w:p w:rsidR="00765137" w:rsidRDefault="0076513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65137" w:rsidTr="000F07D9">
        <w:tc>
          <w:tcPr>
            <w:tcW w:w="8771" w:type="dxa"/>
            <w:tcBorders>
              <w:top w:val="single" w:sz="6" w:space="0" w:color="78A22F"/>
              <w:left w:val="nil"/>
              <w:bottom w:val="nil"/>
              <w:right w:val="nil"/>
            </w:tcBorders>
            <w:shd w:val="clear" w:color="auto" w:fill="F2F2F2"/>
          </w:tcPr>
          <w:p w:rsidR="00765137" w:rsidRDefault="00765137">
            <w:pPr>
              <w:pStyle w:val="BoxTitle"/>
            </w:pPr>
            <w:r w:rsidRPr="00765137">
              <w:rPr>
                <w:b w:val="0"/>
              </w:rPr>
              <w:t xml:space="preserve">Box </w:t>
            </w:r>
            <w:proofErr w:type="spellStart"/>
            <w:r w:rsidRPr="00F368E9">
              <w:rPr>
                <w:b w:val="0"/>
              </w:rPr>
              <w:t>B.</w:t>
            </w:r>
            <w:r w:rsidR="001564B9">
              <w:rPr>
                <w:b w:val="0"/>
                <w:noProof/>
              </w:rPr>
              <w:t>5</w:t>
            </w:r>
            <w:proofErr w:type="spellEnd"/>
            <w:r w:rsidRPr="00765137">
              <w:rPr>
                <w:b w:val="0"/>
              </w:rPr>
              <w:tab/>
            </w:r>
            <w:r w:rsidRPr="0058025C">
              <w:t>Attainment</w:t>
            </w:r>
          </w:p>
        </w:tc>
      </w:tr>
      <w:tr w:rsidR="00765137" w:rsidTr="00BE5F3A">
        <w:tc>
          <w:tcPr>
            <w:tcW w:w="8771" w:type="dxa"/>
            <w:tcBorders>
              <w:top w:val="nil"/>
              <w:left w:val="nil"/>
              <w:bottom w:val="nil"/>
              <w:right w:val="nil"/>
            </w:tcBorders>
            <w:shd w:val="clear" w:color="auto" w:fill="F2F2F2"/>
          </w:tcPr>
          <w:p w:rsidR="00765137" w:rsidRDefault="00765137" w:rsidP="00765137">
            <w:pPr>
              <w:pStyle w:val="Box"/>
            </w:pPr>
            <w:r>
              <w:t>‘Attainment’ is defined by six measures:</w:t>
            </w:r>
          </w:p>
          <w:p w:rsidR="00765137" w:rsidRDefault="00765137" w:rsidP="007143C5">
            <w:pPr>
              <w:pStyle w:val="BoxListBullet"/>
            </w:pPr>
            <w:r>
              <w:t>Level of highest non</w:t>
            </w:r>
            <w:r w:rsidR="00490B08">
              <w:noBreakHyphen/>
            </w:r>
            <w:r>
              <w:t>school qualification completed —</w:t>
            </w:r>
            <w:r w:rsidR="00490B08">
              <w:t xml:space="preserve"> </w:t>
            </w:r>
            <w:r>
              <w:t>proportion of 15–64 year olds with a non</w:t>
            </w:r>
            <w:r w:rsidR="00490B08">
              <w:noBreakHyphen/>
            </w:r>
            <w:r>
              <w:t xml:space="preserve">school qualification. </w:t>
            </w:r>
          </w:p>
          <w:p w:rsidR="00765137" w:rsidRDefault="00765137" w:rsidP="007143C5">
            <w:pPr>
              <w:pStyle w:val="BoxListBullet"/>
            </w:pPr>
            <w:r>
              <w:t>Population with or working towards a non</w:t>
            </w:r>
            <w:r w:rsidR="00490B08">
              <w:noBreakHyphen/>
            </w:r>
            <w:r>
              <w:t>school qualification —</w:t>
            </w:r>
            <w:r w:rsidR="00490B08">
              <w:t xml:space="preserve"> </w:t>
            </w:r>
            <w:r>
              <w:t>proportion of 20–64 year olds with or working towards a non</w:t>
            </w:r>
            <w:r w:rsidR="00490B08">
              <w:noBreakHyphen/>
            </w:r>
            <w:r>
              <w:t xml:space="preserve">school qualification. [This aligns with an indicator in the </w:t>
            </w:r>
            <w:r w:rsidRPr="007143C5">
              <w:rPr>
                <w:i/>
              </w:rPr>
              <w:t>National Agreement for Skills and Workforce Development (</w:t>
            </w:r>
            <w:proofErr w:type="spellStart"/>
            <w:r w:rsidRPr="007143C5">
              <w:rPr>
                <w:i/>
              </w:rPr>
              <w:t>NASWD</w:t>
            </w:r>
            <w:proofErr w:type="spellEnd"/>
            <w:r w:rsidRPr="007143C5">
              <w:rPr>
                <w:i/>
              </w:rPr>
              <w:t>)</w:t>
            </w:r>
            <w:r>
              <w:t>.]</w:t>
            </w:r>
          </w:p>
          <w:p w:rsidR="00765137" w:rsidRDefault="00765137" w:rsidP="007143C5">
            <w:pPr>
              <w:pStyle w:val="BoxListBullet"/>
            </w:pPr>
            <w:r>
              <w:t>Completion of year 12 (or equivalent) or Certificate II level or above —</w:t>
            </w:r>
            <w:r w:rsidR="00490B08">
              <w:t xml:space="preserve"> </w:t>
            </w:r>
            <w:r>
              <w:t xml:space="preserve">proportion of 20–24 and 20–64 year olds who have completed year 12 (or equivalent) or Certificate II level or above. [This aligns with an indicator for 20–24 year olds in the </w:t>
            </w:r>
            <w:r w:rsidRPr="007143C5">
              <w:rPr>
                <w:i/>
              </w:rPr>
              <w:t>National Education Agreement (NEA)</w:t>
            </w:r>
            <w:r>
              <w:t>.]</w:t>
            </w:r>
          </w:p>
          <w:p w:rsidR="00765137" w:rsidRDefault="00765137" w:rsidP="007143C5">
            <w:pPr>
              <w:pStyle w:val="BoxListBullet"/>
            </w:pPr>
            <w:r>
              <w:t>Completion of year 12 (or equivalent) or Certificate III level or above —</w:t>
            </w:r>
            <w:r w:rsidR="00490B08">
              <w:t xml:space="preserve"> </w:t>
            </w:r>
            <w:r>
              <w:t>proportion of 20–24 year olds who have completed year 12 (or equivalent) or Certificate III level or above. [This aligns with an indicator in the NEA.]</w:t>
            </w:r>
          </w:p>
          <w:p w:rsidR="00765137" w:rsidRDefault="00765137" w:rsidP="007143C5">
            <w:pPr>
              <w:pStyle w:val="BoxListBullet"/>
            </w:pPr>
            <w:r>
              <w:t>Population with qualifications at Certificate III level or above —</w:t>
            </w:r>
            <w:r w:rsidR="00490B08">
              <w:t xml:space="preserve"> </w:t>
            </w:r>
            <w:r>
              <w:t>proportion of 20–64 year olds with qualifications at Certificate III level or above. [This aligns with an indicator in the</w:t>
            </w:r>
            <w:r w:rsidR="003175F5">
              <w:t xml:space="preserve"> </w:t>
            </w:r>
            <w:proofErr w:type="spellStart"/>
            <w:r w:rsidR="003175F5">
              <w:t>NASWD</w:t>
            </w:r>
            <w:proofErr w:type="spellEnd"/>
            <w:r>
              <w:t>]</w:t>
            </w:r>
          </w:p>
          <w:p w:rsidR="00765137" w:rsidRDefault="00765137" w:rsidP="007143C5">
            <w:pPr>
              <w:pStyle w:val="BoxListBullet"/>
            </w:pPr>
            <w:r>
              <w:t>Achievement of foundation skills (literacy, numeracy and problem solving in technology</w:t>
            </w:r>
            <w:r w:rsidR="00490B08">
              <w:noBreakHyphen/>
            </w:r>
            <w:r>
              <w:t>rich environments [</w:t>
            </w:r>
            <w:proofErr w:type="spellStart"/>
            <w:r>
              <w:t>PSTRE</w:t>
            </w:r>
            <w:proofErr w:type="spellEnd"/>
            <w:r>
              <w:t xml:space="preserve">]) — proportion of 20–64 year olds who have achieved literacy, numeracy and </w:t>
            </w:r>
            <w:proofErr w:type="spellStart"/>
            <w:r>
              <w:t>PSTRE</w:t>
            </w:r>
            <w:proofErr w:type="spellEnd"/>
            <w:r>
              <w:t xml:space="preserve"> competencies. [This aligns with an indicator for literacy and numeracy in the </w:t>
            </w:r>
            <w:proofErr w:type="spellStart"/>
            <w:r>
              <w:t>NASWD</w:t>
            </w:r>
            <w:proofErr w:type="spellEnd"/>
            <w:r>
              <w:t>].</w:t>
            </w:r>
          </w:p>
          <w:p w:rsidR="00765137" w:rsidRDefault="00765137" w:rsidP="00765137">
            <w:pPr>
              <w:pStyle w:val="Box"/>
            </w:pPr>
            <w:r>
              <w:t>Educational attainment is used as a proxy indicator for the stock of skills. Holding other factors constant, a higher or increasing attainment level indicates an improvement in educational outcomes, leading to additional contributions to society and the economy.</w:t>
            </w:r>
          </w:p>
          <w:p w:rsidR="00765137" w:rsidRDefault="00765137" w:rsidP="00765137">
            <w:pPr>
              <w:pStyle w:val="Box"/>
            </w:pPr>
            <w:r>
              <w:t>However, attainment should be interpreted with caution. It understates the skill base because it does not capture skills acquired through partially completed courses, courses not leading to a formal qualification, and informal learning. Industry endorsed skill sets are also an important consideration for industry in course design. Skill sets recognise part qualifications and groups of competencies, but data on skill sets are not available for this Report.</w:t>
            </w:r>
          </w:p>
          <w:p w:rsidR="00765137" w:rsidRDefault="00765137" w:rsidP="00765137">
            <w:pPr>
              <w:pStyle w:val="Box"/>
            </w:pPr>
            <w:r>
              <w:t>Data reported for these measures are:</w:t>
            </w:r>
          </w:p>
          <w:p w:rsidR="007143C5" w:rsidRDefault="00765137" w:rsidP="007143C5">
            <w:pPr>
              <w:pStyle w:val="BoxListBullet"/>
            </w:pPr>
            <w:r>
              <w:t>comparable (subject to caveats) within jurisdictions over time and across jurisdictions</w:t>
            </w:r>
          </w:p>
          <w:p w:rsidR="00765137" w:rsidRDefault="00765137" w:rsidP="007143C5">
            <w:pPr>
              <w:pStyle w:val="BoxListBullet"/>
            </w:pPr>
            <w:r>
              <w:t>complete (subject to caveats) for the current reporting period. All required data are available for all jurisdictions.</w:t>
            </w:r>
          </w:p>
        </w:tc>
      </w:tr>
      <w:tr w:rsidR="00765137" w:rsidTr="00BE5F3A">
        <w:tc>
          <w:tcPr>
            <w:tcW w:w="8771" w:type="dxa"/>
            <w:tcBorders>
              <w:top w:val="nil"/>
              <w:left w:val="nil"/>
              <w:bottom w:val="single" w:sz="6" w:space="0" w:color="78A22F"/>
              <w:right w:val="nil"/>
            </w:tcBorders>
            <w:shd w:val="clear" w:color="auto" w:fill="F2F2F2"/>
          </w:tcPr>
          <w:p w:rsidR="00765137" w:rsidRDefault="00765137">
            <w:pPr>
              <w:pStyle w:val="Box"/>
              <w:spacing w:before="0" w:line="120" w:lineRule="exact"/>
            </w:pPr>
          </w:p>
        </w:tc>
      </w:tr>
      <w:tr w:rsidR="00765137" w:rsidRPr="000863A5" w:rsidTr="00BE5F3A">
        <w:tc>
          <w:tcPr>
            <w:tcW w:w="8771" w:type="dxa"/>
            <w:tcBorders>
              <w:top w:val="single" w:sz="6" w:space="0" w:color="78A22F"/>
              <w:left w:val="nil"/>
              <w:bottom w:val="nil"/>
              <w:right w:val="nil"/>
            </w:tcBorders>
          </w:tcPr>
          <w:p w:rsidR="00765137" w:rsidRPr="00626D32" w:rsidRDefault="00765137" w:rsidP="00537BB4">
            <w:pPr>
              <w:pStyle w:val="BoxSpaceBelow"/>
            </w:pPr>
          </w:p>
        </w:tc>
      </w:tr>
    </w:tbl>
    <w:p w:rsidR="001173A5" w:rsidRPr="00F368E9" w:rsidRDefault="001173A5" w:rsidP="00A86C63">
      <w:pPr>
        <w:pStyle w:val="Heading4"/>
        <w:keepNext w:val="0"/>
        <w:widowControl w:val="0"/>
      </w:pPr>
      <w:r w:rsidRPr="00F368E9">
        <w:t>Level of highest non</w:t>
      </w:r>
      <w:r w:rsidRPr="00F368E9">
        <w:noBreakHyphen/>
        <w:t>school qualification completed</w:t>
      </w:r>
    </w:p>
    <w:p w:rsidR="00A86C63" w:rsidRPr="005533EB" w:rsidRDefault="00A86C63" w:rsidP="00A86C63">
      <w:pPr>
        <w:pStyle w:val="BodyText"/>
        <w:widowControl w:val="0"/>
      </w:pPr>
      <w:r w:rsidRPr="000832E4">
        <w:t>Nationally in 2015, 60.4 per cent of people aged 15–64 years had a non</w:t>
      </w:r>
      <w:r w:rsidR="00490B08">
        <w:noBreakHyphen/>
      </w:r>
      <w:r w:rsidRPr="000832E4">
        <w:t xml:space="preserve">school qualification, with </w:t>
      </w:r>
      <w:r w:rsidR="00A2354B" w:rsidRPr="000832E4">
        <w:t xml:space="preserve">over one quarter </w:t>
      </w:r>
      <w:r w:rsidRPr="000832E4">
        <w:t>having a bachelor degree or above (</w:t>
      </w:r>
      <w:r w:rsidR="00A2354B" w:rsidRPr="000832E4">
        <w:t>26.6</w:t>
      </w:r>
      <w:r w:rsidRPr="000832E4">
        <w:t xml:space="preserve"> per cent) (figure </w:t>
      </w:r>
      <w:proofErr w:type="spellStart"/>
      <w:r w:rsidRPr="000832E4">
        <w:t>B.9</w:t>
      </w:r>
      <w:proofErr w:type="spellEnd"/>
      <w:r w:rsidRPr="000832E4">
        <w:t>).</w:t>
      </w:r>
    </w:p>
    <w:p w:rsidR="00264A34" w:rsidRPr="00F368E9" w:rsidRDefault="00264A34" w:rsidP="00264A3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3A5" w:rsidRPr="00F368E9" w:rsidTr="00C37D11">
        <w:tc>
          <w:tcPr>
            <w:tcW w:w="8771" w:type="dxa"/>
            <w:tcBorders>
              <w:top w:val="single" w:sz="4" w:space="0" w:color="78A22F"/>
              <w:left w:val="nil"/>
              <w:bottom w:val="nil"/>
              <w:right w:val="nil"/>
            </w:tcBorders>
            <w:shd w:val="clear" w:color="auto" w:fill="auto"/>
          </w:tcPr>
          <w:p w:rsidR="001173A5" w:rsidRPr="00F368E9" w:rsidRDefault="001173A5" w:rsidP="00651D5A">
            <w:pPr>
              <w:pStyle w:val="FigureTitle"/>
            </w:pPr>
            <w:r w:rsidRPr="00F368E9">
              <w:rPr>
                <w:b w:val="0"/>
              </w:rPr>
              <w:t xml:space="preserve">Figure </w:t>
            </w:r>
            <w:proofErr w:type="spellStart"/>
            <w:r w:rsidRPr="00F368E9">
              <w:rPr>
                <w:b w:val="0"/>
              </w:rPr>
              <w:t>B.</w:t>
            </w:r>
            <w:r w:rsidR="001564B9">
              <w:rPr>
                <w:b w:val="0"/>
                <w:noProof/>
              </w:rPr>
              <w:t>9</w:t>
            </w:r>
            <w:proofErr w:type="spellEnd"/>
            <w:r w:rsidRPr="00F368E9">
              <w:tab/>
              <w:t>Level of highest non</w:t>
            </w:r>
            <w:r w:rsidRPr="00F368E9">
              <w:noBreakHyphen/>
              <w:t>school qualification completed, 15–64 year olds, 2015</w:t>
            </w:r>
            <w:r w:rsidRPr="00F368E9">
              <w:rPr>
                <w:rStyle w:val="NoteLabel"/>
                <w:b/>
              </w:rPr>
              <w:t>a</w:t>
            </w:r>
          </w:p>
        </w:tc>
      </w:tr>
      <w:tr w:rsidR="001173A5" w:rsidRPr="00F368E9" w:rsidTr="000832E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173A5" w:rsidRPr="00F368E9" w:rsidTr="00B35D72">
              <w:trPr>
                <w:jc w:val="center"/>
              </w:trPr>
              <w:tc>
                <w:tcPr>
                  <w:tcW w:w="8504" w:type="dxa"/>
                  <w:tcBorders>
                    <w:top w:val="nil"/>
                    <w:bottom w:val="nil"/>
                  </w:tcBorders>
                </w:tcPr>
                <w:p w:rsidR="001173A5" w:rsidRPr="00F368E9" w:rsidRDefault="005A6954" w:rsidP="00651D5A">
                  <w:r>
                    <w:rPr>
                      <w:noProof/>
                    </w:rPr>
                    <w:drawing>
                      <wp:inline distT="0" distB="0" distL="0" distR="0">
                        <wp:extent cx="5229225" cy="2333625"/>
                        <wp:effectExtent l="0" t="0" r="9525" b="9525"/>
                        <wp:docPr id="17" name="Picture 17" descr="Figure B.9 Level of highest non-school qualification completed, 15–64 year olds, 201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29225" cy="2333625"/>
                                </a:xfrm>
                                <a:prstGeom prst="rect">
                                  <a:avLst/>
                                </a:prstGeom>
                                <a:noFill/>
                                <a:ln>
                                  <a:noFill/>
                                </a:ln>
                              </pic:spPr>
                            </pic:pic>
                          </a:graphicData>
                        </a:graphic>
                      </wp:inline>
                    </w:drawing>
                  </w:r>
                </w:p>
              </w:tc>
            </w:tr>
          </w:tbl>
          <w:p w:rsidR="001173A5" w:rsidRPr="00F368E9" w:rsidRDefault="001173A5" w:rsidP="00651D5A">
            <w:pPr>
              <w:pStyle w:val="Figure"/>
            </w:pPr>
          </w:p>
        </w:tc>
      </w:tr>
      <w:tr w:rsidR="001173A5" w:rsidRPr="00F368E9" w:rsidTr="00B35D72">
        <w:tc>
          <w:tcPr>
            <w:tcW w:w="8771" w:type="dxa"/>
            <w:tcBorders>
              <w:top w:val="nil"/>
              <w:left w:val="nil"/>
              <w:bottom w:val="nil"/>
              <w:right w:val="nil"/>
            </w:tcBorders>
            <w:shd w:val="clear" w:color="auto" w:fill="auto"/>
          </w:tcPr>
          <w:p w:rsidR="001173A5" w:rsidRPr="00F368E9" w:rsidRDefault="001173A5" w:rsidP="00651D5A">
            <w:pPr>
              <w:pStyle w:val="Note"/>
              <w:rPr>
                <w:i/>
              </w:rPr>
            </w:pPr>
            <w:r w:rsidRPr="00F368E9">
              <w:rPr>
                <w:rStyle w:val="NoteLabel"/>
              </w:rPr>
              <w:t>a</w:t>
            </w:r>
            <w:r w:rsidRPr="00F368E9">
              <w:t xml:space="preserve"> See box </w:t>
            </w:r>
            <w:proofErr w:type="spellStart"/>
            <w:r w:rsidRPr="00F368E9">
              <w:t>B.5</w:t>
            </w:r>
            <w:proofErr w:type="spellEnd"/>
            <w:r w:rsidRPr="00F368E9">
              <w:t xml:space="preserve"> and table </w:t>
            </w:r>
            <w:proofErr w:type="spellStart"/>
            <w:r w:rsidRPr="00F368E9">
              <w:t>BA.25</w:t>
            </w:r>
            <w:proofErr w:type="spellEnd"/>
            <w:r w:rsidRPr="00F368E9">
              <w:t xml:space="preserve"> for detailed definitions, footnotes and caveats.</w:t>
            </w:r>
          </w:p>
        </w:tc>
      </w:tr>
      <w:tr w:rsidR="001173A5" w:rsidRPr="00F368E9" w:rsidTr="00B35D72">
        <w:tc>
          <w:tcPr>
            <w:tcW w:w="8771" w:type="dxa"/>
            <w:tcBorders>
              <w:top w:val="nil"/>
              <w:left w:val="nil"/>
              <w:bottom w:val="nil"/>
              <w:right w:val="nil"/>
            </w:tcBorders>
            <w:shd w:val="clear" w:color="auto" w:fill="auto"/>
          </w:tcPr>
          <w:p w:rsidR="001173A5" w:rsidRPr="00F368E9" w:rsidRDefault="001173A5" w:rsidP="00651D5A">
            <w:pPr>
              <w:pStyle w:val="Source"/>
            </w:pPr>
            <w:r w:rsidRPr="00F368E9">
              <w:rPr>
                <w:i/>
              </w:rPr>
              <w:t>Source</w:t>
            </w:r>
            <w:r w:rsidRPr="00F368E9">
              <w:t xml:space="preserve">: ABS (unpublished) </w:t>
            </w:r>
            <w:r w:rsidRPr="00F368E9">
              <w:rPr>
                <w:i/>
              </w:rPr>
              <w:t>Microdata:</w:t>
            </w:r>
            <w:r w:rsidRPr="00F368E9">
              <w:t xml:space="preserve"> </w:t>
            </w:r>
            <w:r w:rsidRPr="00F368E9">
              <w:rPr>
                <w:i/>
              </w:rPr>
              <w:t>Education and Work, Australia, May 2015</w:t>
            </w:r>
            <w:r w:rsidRPr="00F368E9">
              <w:t xml:space="preserve">, Cat. no. 6227.0.30.001; table </w:t>
            </w:r>
            <w:proofErr w:type="spellStart"/>
            <w:r w:rsidRPr="00F368E9">
              <w:t>BA.25</w:t>
            </w:r>
            <w:proofErr w:type="spellEnd"/>
            <w:r w:rsidRPr="00F368E9">
              <w:t>.</w:t>
            </w:r>
          </w:p>
        </w:tc>
      </w:tr>
      <w:tr w:rsidR="001173A5" w:rsidRPr="00F368E9" w:rsidTr="00651D5A">
        <w:tc>
          <w:tcPr>
            <w:tcW w:w="8771" w:type="dxa"/>
            <w:tcBorders>
              <w:top w:val="nil"/>
              <w:left w:val="nil"/>
              <w:bottom w:val="single" w:sz="6" w:space="0" w:color="78A22F"/>
              <w:right w:val="nil"/>
            </w:tcBorders>
            <w:shd w:val="clear" w:color="auto" w:fill="auto"/>
          </w:tcPr>
          <w:p w:rsidR="001173A5" w:rsidRPr="00F368E9" w:rsidRDefault="001173A5" w:rsidP="00651D5A">
            <w:pPr>
              <w:pStyle w:val="Figurespace"/>
            </w:pPr>
          </w:p>
        </w:tc>
      </w:tr>
      <w:tr w:rsidR="001173A5" w:rsidRPr="00F368E9" w:rsidTr="00651D5A">
        <w:tc>
          <w:tcPr>
            <w:tcW w:w="8771" w:type="dxa"/>
            <w:tcBorders>
              <w:top w:val="single" w:sz="6" w:space="0" w:color="78A22F"/>
              <w:left w:val="nil"/>
              <w:bottom w:val="nil"/>
              <w:right w:val="nil"/>
            </w:tcBorders>
          </w:tcPr>
          <w:p w:rsidR="001173A5" w:rsidRPr="00F368E9" w:rsidRDefault="001173A5" w:rsidP="00651D5A">
            <w:pPr>
              <w:pStyle w:val="BoxSpaceBelow"/>
            </w:pPr>
          </w:p>
        </w:tc>
      </w:tr>
    </w:tbl>
    <w:p w:rsidR="001173A5" w:rsidRPr="00F368E9" w:rsidRDefault="001173A5" w:rsidP="00CD44B0">
      <w:pPr>
        <w:pStyle w:val="Heading4"/>
        <w:keepNext w:val="0"/>
        <w:widowControl w:val="0"/>
        <w:spacing w:before="240"/>
      </w:pPr>
      <w:r w:rsidRPr="00F368E9">
        <w:t>Population with or working towards a non</w:t>
      </w:r>
      <w:r w:rsidR="00490B08">
        <w:noBreakHyphen/>
      </w:r>
      <w:r w:rsidRPr="00F368E9">
        <w:t>school qualification</w:t>
      </w:r>
    </w:p>
    <w:p w:rsidR="001173A5" w:rsidRPr="00F368E9" w:rsidRDefault="001173A5" w:rsidP="001173A5">
      <w:pPr>
        <w:pStyle w:val="BodyText"/>
      </w:pPr>
      <w:r w:rsidRPr="00F368E9">
        <w:t>Nationally in 2015, 70.3 per cent of 20–64 year olds had or were working towards a non</w:t>
      </w:r>
      <w:r w:rsidRPr="00F368E9">
        <w:noBreakHyphen/>
        <w:t xml:space="preserve">school qualification — an </w:t>
      </w:r>
      <w:r w:rsidR="00FE58B0" w:rsidRPr="002301F1">
        <w:t>increase from 6</w:t>
      </w:r>
      <w:r w:rsidR="00FE58B0">
        <w:t>6</w:t>
      </w:r>
      <w:r w:rsidR="00FE58B0" w:rsidRPr="002301F1">
        <w:t>.</w:t>
      </w:r>
      <w:r w:rsidR="00FE58B0">
        <w:t>9</w:t>
      </w:r>
      <w:r w:rsidR="00FE58B0" w:rsidRPr="002301F1">
        <w:t xml:space="preserve"> per cent in </w:t>
      </w:r>
      <w:r w:rsidR="00FE58B0" w:rsidRPr="000832E4">
        <w:t>2011</w:t>
      </w:r>
      <w:r w:rsidR="00FE58B0" w:rsidRPr="002301F1">
        <w:t xml:space="preserve"> (figure </w:t>
      </w:r>
      <w:proofErr w:type="spellStart"/>
      <w:r w:rsidR="00FE58B0" w:rsidRPr="002301F1">
        <w:t>B.1</w:t>
      </w:r>
      <w:r w:rsidR="00FE58B0">
        <w:t>0</w:t>
      </w:r>
      <w:proofErr w:type="spellEnd"/>
      <w:r w:rsidR="00FE58B0" w:rsidRPr="002301F1">
        <w:t>).</w:t>
      </w:r>
    </w:p>
    <w:p w:rsidR="001173A5" w:rsidRPr="00F368E9" w:rsidRDefault="001173A5" w:rsidP="00257731">
      <w:pPr>
        <w:pStyle w:val="BoxSpaceAbove"/>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3A5" w:rsidRPr="00F368E9" w:rsidTr="00651D5A">
        <w:tc>
          <w:tcPr>
            <w:tcW w:w="8771" w:type="dxa"/>
            <w:tcBorders>
              <w:top w:val="single" w:sz="6" w:space="0" w:color="78A22F"/>
              <w:left w:val="nil"/>
              <w:bottom w:val="nil"/>
              <w:right w:val="nil"/>
            </w:tcBorders>
            <w:shd w:val="clear" w:color="auto" w:fill="auto"/>
          </w:tcPr>
          <w:p w:rsidR="001173A5" w:rsidRPr="00F368E9" w:rsidRDefault="001173A5" w:rsidP="00651D5A">
            <w:pPr>
              <w:pStyle w:val="FigureTitle"/>
            </w:pPr>
            <w:r w:rsidRPr="00F368E9">
              <w:rPr>
                <w:b w:val="0"/>
              </w:rPr>
              <w:t xml:space="preserve">Figure </w:t>
            </w:r>
            <w:proofErr w:type="spellStart"/>
            <w:r w:rsidRPr="00F368E9">
              <w:rPr>
                <w:b w:val="0"/>
              </w:rPr>
              <w:t>B.</w:t>
            </w:r>
            <w:r w:rsidR="001564B9">
              <w:rPr>
                <w:b w:val="0"/>
                <w:noProof/>
              </w:rPr>
              <w:t>10</w:t>
            </w:r>
            <w:proofErr w:type="spellEnd"/>
            <w:r w:rsidRPr="00F368E9">
              <w:tab/>
              <w:t>Proportion of 20–64 year olds with or working towards a non</w:t>
            </w:r>
            <w:r w:rsidRPr="00F368E9">
              <w:noBreakHyphen/>
              <w:t>school qualification</w:t>
            </w:r>
            <w:r w:rsidRPr="00F368E9">
              <w:rPr>
                <w:rStyle w:val="NoteLabel"/>
                <w:b/>
              </w:rPr>
              <w:t>a</w:t>
            </w:r>
          </w:p>
        </w:tc>
      </w:tr>
      <w:tr w:rsidR="001173A5" w:rsidRPr="00F368E9" w:rsidTr="00CD44B0">
        <w:trPr>
          <w:trHeight w:val="3934"/>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173A5" w:rsidRPr="00F368E9" w:rsidTr="00C6766B">
              <w:trPr>
                <w:jc w:val="center"/>
              </w:trPr>
              <w:tc>
                <w:tcPr>
                  <w:tcW w:w="8504" w:type="dxa"/>
                  <w:tcBorders>
                    <w:top w:val="nil"/>
                    <w:bottom w:val="nil"/>
                  </w:tcBorders>
                </w:tcPr>
                <w:p w:rsidR="001173A5" w:rsidRPr="00F368E9" w:rsidRDefault="00C6766B" w:rsidP="00651D5A">
                  <w:pPr>
                    <w:pStyle w:val="Figure"/>
                    <w:spacing w:before="60" w:after="60"/>
                  </w:pPr>
                  <w:r w:rsidRPr="00F368E9">
                    <w:rPr>
                      <w:noProof/>
                    </w:rPr>
                    <w:drawing>
                      <wp:inline distT="0" distB="0" distL="0" distR="0" wp14:anchorId="7268ADCF" wp14:editId="34E0D377">
                        <wp:extent cx="5229225" cy="2409825"/>
                        <wp:effectExtent l="0" t="0" r="0" b="0"/>
                        <wp:docPr id="2" name="Chart 2" descr="Figure B.10 Proportion of 20–64 year olds with or working towards a non-school qualification&#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1173A5" w:rsidRPr="00F368E9" w:rsidRDefault="001173A5" w:rsidP="00651D5A">
            <w:pPr>
              <w:pStyle w:val="Figure"/>
            </w:pPr>
          </w:p>
        </w:tc>
      </w:tr>
      <w:tr w:rsidR="001173A5" w:rsidRPr="00F368E9" w:rsidTr="00651D5A">
        <w:tc>
          <w:tcPr>
            <w:tcW w:w="8771" w:type="dxa"/>
            <w:tcBorders>
              <w:top w:val="nil"/>
              <w:left w:val="nil"/>
              <w:bottom w:val="nil"/>
              <w:right w:val="nil"/>
            </w:tcBorders>
            <w:shd w:val="clear" w:color="auto" w:fill="auto"/>
          </w:tcPr>
          <w:p w:rsidR="001173A5" w:rsidRPr="00F368E9" w:rsidRDefault="001173A5" w:rsidP="00651D5A">
            <w:pPr>
              <w:pStyle w:val="Note"/>
            </w:pPr>
            <w:r w:rsidRPr="00F368E9">
              <w:rPr>
                <w:rStyle w:val="NoteLabel"/>
              </w:rPr>
              <w:t>a</w:t>
            </w:r>
            <w:r w:rsidRPr="00F368E9">
              <w:t xml:space="preserve"> See box </w:t>
            </w:r>
            <w:proofErr w:type="spellStart"/>
            <w:r w:rsidRPr="00F368E9">
              <w:t>B.5</w:t>
            </w:r>
            <w:proofErr w:type="spellEnd"/>
            <w:r w:rsidRPr="00F368E9">
              <w:t xml:space="preserve"> and table </w:t>
            </w:r>
            <w:proofErr w:type="spellStart"/>
            <w:r w:rsidRPr="00F368E9">
              <w:t>BA.26</w:t>
            </w:r>
            <w:proofErr w:type="spellEnd"/>
            <w:r w:rsidRPr="00F368E9">
              <w:t xml:space="preserve"> for detailed definitions, footnotes and caveats.</w:t>
            </w:r>
          </w:p>
        </w:tc>
      </w:tr>
      <w:tr w:rsidR="001173A5" w:rsidRPr="00F368E9" w:rsidTr="00651D5A">
        <w:tc>
          <w:tcPr>
            <w:tcW w:w="8771" w:type="dxa"/>
            <w:tcBorders>
              <w:top w:val="nil"/>
              <w:left w:val="nil"/>
              <w:bottom w:val="nil"/>
              <w:right w:val="nil"/>
            </w:tcBorders>
            <w:shd w:val="clear" w:color="auto" w:fill="auto"/>
          </w:tcPr>
          <w:p w:rsidR="001173A5" w:rsidRPr="00F368E9" w:rsidRDefault="001173A5" w:rsidP="009E7697">
            <w:pPr>
              <w:pStyle w:val="Source"/>
            </w:pPr>
            <w:r w:rsidRPr="00F368E9">
              <w:rPr>
                <w:i/>
              </w:rPr>
              <w:t>Source</w:t>
            </w:r>
            <w:r w:rsidRPr="00F368E9">
              <w:t xml:space="preserve">: ABS (2015) </w:t>
            </w:r>
            <w:r w:rsidRPr="00F368E9">
              <w:rPr>
                <w:i/>
              </w:rPr>
              <w:t>Education and Work, Australia, May 2015</w:t>
            </w:r>
            <w:r w:rsidRPr="00F368E9">
              <w:t xml:space="preserve">, Cat. no. 6227.0, Canberra; </w:t>
            </w:r>
            <w:r w:rsidR="009E7697">
              <w:br/>
            </w:r>
            <w:r w:rsidRPr="00F368E9">
              <w:t xml:space="preserve">ABS (unpublished) </w:t>
            </w:r>
            <w:r w:rsidRPr="00F368E9">
              <w:rPr>
                <w:i/>
              </w:rPr>
              <w:t>Education and Work, Australia, May</w:t>
            </w:r>
            <w:r w:rsidR="00C6766B" w:rsidRPr="00F368E9">
              <w:rPr>
                <w:i/>
              </w:rPr>
              <w:t xml:space="preserve"> 2011</w:t>
            </w:r>
            <w:r w:rsidR="009E7697">
              <w:rPr>
                <w:rFonts w:cs="Arial"/>
                <w:i/>
              </w:rPr>
              <w:t>−</w:t>
            </w:r>
            <w:r w:rsidRPr="00F368E9">
              <w:rPr>
                <w:i/>
              </w:rPr>
              <w:t>2014</w:t>
            </w:r>
            <w:r w:rsidRPr="00F368E9">
              <w:t xml:space="preserve">, Cat. no. 6227.0; table </w:t>
            </w:r>
            <w:proofErr w:type="spellStart"/>
            <w:r w:rsidRPr="00F368E9">
              <w:t>BA.26</w:t>
            </w:r>
            <w:proofErr w:type="spellEnd"/>
            <w:r w:rsidRPr="00F368E9">
              <w:t>.</w:t>
            </w:r>
          </w:p>
        </w:tc>
      </w:tr>
      <w:tr w:rsidR="001173A5" w:rsidRPr="00F368E9" w:rsidTr="00651D5A">
        <w:tc>
          <w:tcPr>
            <w:tcW w:w="8771" w:type="dxa"/>
            <w:tcBorders>
              <w:top w:val="nil"/>
              <w:left w:val="nil"/>
              <w:bottom w:val="single" w:sz="6" w:space="0" w:color="78A22F"/>
              <w:right w:val="nil"/>
            </w:tcBorders>
            <w:shd w:val="clear" w:color="auto" w:fill="auto"/>
          </w:tcPr>
          <w:p w:rsidR="001173A5" w:rsidRPr="00F368E9" w:rsidRDefault="001173A5" w:rsidP="00651D5A">
            <w:pPr>
              <w:pStyle w:val="Figurespace"/>
            </w:pPr>
          </w:p>
        </w:tc>
      </w:tr>
      <w:tr w:rsidR="001173A5" w:rsidRPr="00F368E9" w:rsidTr="00651D5A">
        <w:tc>
          <w:tcPr>
            <w:tcW w:w="8771" w:type="dxa"/>
            <w:tcBorders>
              <w:top w:val="single" w:sz="6" w:space="0" w:color="78A22F"/>
              <w:left w:val="nil"/>
              <w:bottom w:val="nil"/>
              <w:right w:val="nil"/>
            </w:tcBorders>
          </w:tcPr>
          <w:p w:rsidR="001173A5" w:rsidRPr="00F368E9" w:rsidRDefault="001173A5" w:rsidP="00651D5A">
            <w:pPr>
              <w:pStyle w:val="BoxSpaceBelow"/>
            </w:pPr>
          </w:p>
        </w:tc>
      </w:tr>
    </w:tbl>
    <w:p w:rsidR="00FE58B0" w:rsidRDefault="00FE58B0" w:rsidP="000832E4">
      <w:pPr>
        <w:pStyle w:val="BodyText"/>
      </w:pPr>
      <w:r>
        <w:lastRenderedPageBreak/>
        <w:t>Census data are available for the total population and by Indigenous status. The most recent available data are for 2011 and are repor</w:t>
      </w:r>
      <w:r w:rsidR="001056EF">
        <w:t xml:space="preserve">ted in tables </w:t>
      </w:r>
      <w:proofErr w:type="spellStart"/>
      <w:r w:rsidR="001056EF">
        <w:t>BA.27</w:t>
      </w:r>
      <w:proofErr w:type="spellEnd"/>
      <w:r w:rsidR="00490B08">
        <w:noBreakHyphen/>
      </w:r>
      <w:r w:rsidR="001056EF">
        <w:t>28.</w:t>
      </w:r>
    </w:p>
    <w:p w:rsidR="00155D09" w:rsidRPr="00F368E9" w:rsidRDefault="00155D09" w:rsidP="00CD44B0">
      <w:pPr>
        <w:pStyle w:val="Heading4"/>
        <w:keepNext w:val="0"/>
        <w:widowControl w:val="0"/>
        <w:spacing w:before="360"/>
      </w:pPr>
      <w:r w:rsidRPr="00F368E9">
        <w:t>Completion of year 12 (or equivalent) or C</w:t>
      </w:r>
      <w:r w:rsidR="00A3185C" w:rsidRPr="00F368E9">
        <w:t xml:space="preserve">ertificate </w:t>
      </w:r>
      <w:r w:rsidR="00B6482D" w:rsidRPr="00F368E9">
        <w:t xml:space="preserve">II </w:t>
      </w:r>
      <w:r w:rsidR="00A3185C" w:rsidRPr="00F368E9">
        <w:t xml:space="preserve">level </w:t>
      </w:r>
      <w:r w:rsidR="00B6482D" w:rsidRPr="00F368E9">
        <w:t>or above</w:t>
      </w:r>
    </w:p>
    <w:p w:rsidR="001173A5" w:rsidRPr="00F368E9" w:rsidRDefault="001173A5" w:rsidP="001173A5">
      <w:pPr>
        <w:pStyle w:val="BodyText"/>
      </w:pPr>
      <w:r w:rsidRPr="00F368E9">
        <w:t xml:space="preserve">Nationally </w:t>
      </w:r>
      <w:r w:rsidRPr="000832E4">
        <w:t>in 2015, 88.4 per cent of 20–24 year olds and 80.5 per cent of 20–64 year olds had completed year 12 (or equivalent) or Certificate II level or above (figure</w:t>
      </w:r>
      <w:r w:rsidRPr="00F368E9">
        <w:t xml:space="preserve"> </w:t>
      </w:r>
      <w:proofErr w:type="spellStart"/>
      <w:r w:rsidRPr="00F368E9">
        <w:t>B.11</w:t>
      </w:r>
      <w:proofErr w:type="spellEnd"/>
      <w:r w:rsidRPr="00F368E9">
        <w:t>).</w:t>
      </w:r>
    </w:p>
    <w:p w:rsidR="001173A5" w:rsidRPr="00F368E9" w:rsidRDefault="001173A5" w:rsidP="001173A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173A5" w:rsidRPr="00F368E9" w:rsidTr="00651D5A">
        <w:tc>
          <w:tcPr>
            <w:tcW w:w="8771" w:type="dxa"/>
            <w:tcBorders>
              <w:top w:val="single" w:sz="6" w:space="0" w:color="78A22F"/>
              <w:left w:val="nil"/>
              <w:bottom w:val="nil"/>
              <w:right w:val="nil"/>
            </w:tcBorders>
            <w:shd w:val="clear" w:color="auto" w:fill="auto"/>
          </w:tcPr>
          <w:p w:rsidR="001173A5" w:rsidRPr="00F368E9" w:rsidRDefault="001173A5" w:rsidP="00651D5A">
            <w:pPr>
              <w:pStyle w:val="FigureTitle"/>
            </w:pPr>
            <w:r w:rsidRPr="00F368E9">
              <w:rPr>
                <w:b w:val="0"/>
              </w:rPr>
              <w:t xml:space="preserve">Figure </w:t>
            </w:r>
            <w:proofErr w:type="spellStart"/>
            <w:r w:rsidRPr="00F368E9">
              <w:rPr>
                <w:b w:val="0"/>
              </w:rPr>
              <w:t>B.</w:t>
            </w:r>
            <w:r w:rsidR="001564B9">
              <w:rPr>
                <w:b w:val="0"/>
                <w:noProof/>
              </w:rPr>
              <w:t>11</w:t>
            </w:r>
            <w:proofErr w:type="spellEnd"/>
            <w:r w:rsidRPr="00F368E9">
              <w:tab/>
              <w:t>Completion of year 12 (or equivalent) or Certificate II level or above, by age groups</w:t>
            </w:r>
            <w:r w:rsidRPr="00F368E9">
              <w:rPr>
                <w:rStyle w:val="NoteLabel"/>
                <w:b/>
              </w:rPr>
              <w:t>a</w:t>
            </w:r>
          </w:p>
        </w:tc>
      </w:tr>
      <w:tr w:rsidR="001173A5" w:rsidRPr="00F368E9" w:rsidTr="00651D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1173A5" w:rsidRPr="00F368E9" w:rsidTr="00651D5A">
              <w:trPr>
                <w:trHeight w:val="312"/>
                <w:jc w:val="center"/>
              </w:trPr>
              <w:tc>
                <w:tcPr>
                  <w:tcW w:w="5000" w:type="pct"/>
                  <w:tcBorders>
                    <w:top w:val="nil"/>
                    <w:bottom w:val="nil"/>
                  </w:tcBorders>
                </w:tcPr>
                <w:p w:rsidR="001173A5" w:rsidRPr="00F368E9" w:rsidRDefault="001173A5" w:rsidP="00651D5A">
                  <w:pPr>
                    <w:pStyle w:val="Figure"/>
                    <w:spacing w:before="60" w:after="60"/>
                    <w:rPr>
                      <w:rFonts w:ascii="Arial" w:hAnsi="Arial" w:cs="Arial"/>
                      <w:b/>
                      <w:sz w:val="20"/>
                    </w:rPr>
                  </w:pPr>
                  <w:r w:rsidRPr="00F368E9">
                    <w:rPr>
                      <w:rFonts w:ascii="Arial" w:hAnsi="Arial" w:cs="Arial"/>
                      <w:b/>
                      <w:sz w:val="20"/>
                    </w:rPr>
                    <w:t>20–24 year olds</w:t>
                  </w:r>
                </w:p>
              </w:tc>
            </w:tr>
            <w:tr w:rsidR="001173A5" w:rsidRPr="00F368E9" w:rsidTr="00AA3793">
              <w:tblPrEx>
                <w:tblCellMar>
                  <w:left w:w="108" w:type="dxa"/>
                  <w:right w:w="108" w:type="dxa"/>
                </w:tblCellMar>
              </w:tblPrEx>
              <w:trPr>
                <w:jc w:val="center"/>
              </w:trPr>
              <w:tc>
                <w:tcPr>
                  <w:tcW w:w="5000" w:type="pct"/>
                  <w:tcBorders>
                    <w:top w:val="nil"/>
                    <w:bottom w:val="nil"/>
                  </w:tcBorders>
                </w:tcPr>
                <w:p w:rsidR="001173A5" w:rsidRPr="00F368E9" w:rsidRDefault="00AA3793" w:rsidP="00651D5A">
                  <w:pPr>
                    <w:pStyle w:val="Figure"/>
                    <w:spacing w:before="60" w:after="60"/>
                  </w:pPr>
                  <w:r w:rsidRPr="00F368E9">
                    <w:rPr>
                      <w:noProof/>
                    </w:rPr>
                    <w:drawing>
                      <wp:inline distT="0" distB="0" distL="0" distR="0" wp14:anchorId="619B79C1" wp14:editId="249ABFF9">
                        <wp:extent cx="5400000" cy="2340000"/>
                        <wp:effectExtent l="0" t="0" r="0" b="3175"/>
                        <wp:docPr id="5" name="Chart 5" descr="Figure B.11 Completion of year 12 (or equivalent) or Certificate II level or above, by age groups&#10;&#10;20-24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1173A5" w:rsidRPr="00F368E9" w:rsidTr="00651D5A">
              <w:trPr>
                <w:jc w:val="center"/>
              </w:trPr>
              <w:tc>
                <w:tcPr>
                  <w:tcW w:w="5000" w:type="pct"/>
                  <w:tcBorders>
                    <w:top w:val="nil"/>
                    <w:bottom w:val="nil"/>
                  </w:tcBorders>
                </w:tcPr>
                <w:p w:rsidR="001173A5" w:rsidRPr="00F368E9" w:rsidRDefault="001173A5" w:rsidP="00651D5A">
                  <w:pPr>
                    <w:pStyle w:val="Figure"/>
                    <w:tabs>
                      <w:tab w:val="left" w:pos="4930"/>
                    </w:tabs>
                    <w:spacing w:before="60" w:after="60"/>
                    <w:rPr>
                      <w:rFonts w:ascii="Arial" w:hAnsi="Arial" w:cs="Arial"/>
                      <w:b/>
                      <w:sz w:val="20"/>
                    </w:rPr>
                  </w:pPr>
                  <w:r w:rsidRPr="00F368E9">
                    <w:rPr>
                      <w:rFonts w:ascii="Arial" w:hAnsi="Arial" w:cs="Arial"/>
                      <w:b/>
                      <w:sz w:val="20"/>
                    </w:rPr>
                    <w:t>20–64 year olds</w:t>
                  </w:r>
                </w:p>
              </w:tc>
            </w:tr>
            <w:tr w:rsidR="001173A5" w:rsidRPr="00F368E9" w:rsidTr="00AA3793">
              <w:tblPrEx>
                <w:tblCellMar>
                  <w:left w:w="108" w:type="dxa"/>
                  <w:right w:w="108" w:type="dxa"/>
                </w:tblCellMar>
              </w:tblPrEx>
              <w:trPr>
                <w:jc w:val="center"/>
              </w:trPr>
              <w:tc>
                <w:tcPr>
                  <w:tcW w:w="5000" w:type="pct"/>
                  <w:tcBorders>
                    <w:top w:val="nil"/>
                    <w:bottom w:val="nil"/>
                  </w:tcBorders>
                </w:tcPr>
                <w:p w:rsidR="001173A5" w:rsidRPr="00F368E9" w:rsidRDefault="00AA3793" w:rsidP="00651D5A">
                  <w:pPr>
                    <w:pStyle w:val="Figure"/>
                    <w:spacing w:before="60" w:after="60"/>
                  </w:pPr>
                  <w:r w:rsidRPr="00F368E9">
                    <w:rPr>
                      <w:noProof/>
                    </w:rPr>
                    <w:drawing>
                      <wp:inline distT="0" distB="0" distL="0" distR="0" wp14:anchorId="5FC38BA5" wp14:editId="6BD13120">
                        <wp:extent cx="5400000" cy="2340000"/>
                        <wp:effectExtent l="0" t="0" r="0" b="3175"/>
                        <wp:docPr id="7" name="Chart 7" descr="Figure B.11 Completion of year 12 (or equivalent) or Certificate II level or above, by age groups&#10;&#10;20-64 year old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1173A5" w:rsidRPr="00F368E9" w:rsidRDefault="001173A5" w:rsidP="00651D5A">
            <w:pPr>
              <w:pStyle w:val="Figure"/>
            </w:pPr>
          </w:p>
        </w:tc>
      </w:tr>
      <w:tr w:rsidR="001173A5" w:rsidRPr="00F368E9" w:rsidTr="00651D5A">
        <w:tc>
          <w:tcPr>
            <w:tcW w:w="8771" w:type="dxa"/>
            <w:tcBorders>
              <w:top w:val="nil"/>
              <w:left w:val="nil"/>
              <w:bottom w:val="nil"/>
              <w:right w:val="nil"/>
            </w:tcBorders>
            <w:shd w:val="clear" w:color="auto" w:fill="auto"/>
          </w:tcPr>
          <w:p w:rsidR="001173A5" w:rsidRPr="00F368E9" w:rsidRDefault="001173A5" w:rsidP="00651D5A">
            <w:pPr>
              <w:pStyle w:val="Note"/>
            </w:pPr>
            <w:r w:rsidRPr="00F368E9">
              <w:rPr>
                <w:rStyle w:val="NoteLabel"/>
              </w:rPr>
              <w:t>a</w:t>
            </w:r>
            <w:r w:rsidRPr="00F368E9">
              <w:t xml:space="preserve"> See box </w:t>
            </w:r>
            <w:proofErr w:type="spellStart"/>
            <w:r w:rsidRPr="00F368E9">
              <w:t>B.5</w:t>
            </w:r>
            <w:proofErr w:type="spellEnd"/>
            <w:r w:rsidRPr="00F368E9">
              <w:t xml:space="preserve"> and table </w:t>
            </w:r>
            <w:proofErr w:type="spellStart"/>
            <w:r w:rsidRPr="00F368E9">
              <w:t>BA.29</w:t>
            </w:r>
            <w:proofErr w:type="spellEnd"/>
            <w:r w:rsidRPr="00F368E9">
              <w:t xml:space="preserve"> for detailed definitions, footnotes and caveats.</w:t>
            </w:r>
          </w:p>
        </w:tc>
      </w:tr>
      <w:tr w:rsidR="001173A5" w:rsidRPr="00F368E9" w:rsidTr="00651D5A">
        <w:tc>
          <w:tcPr>
            <w:tcW w:w="8771" w:type="dxa"/>
            <w:tcBorders>
              <w:top w:val="nil"/>
              <w:left w:val="nil"/>
              <w:bottom w:val="nil"/>
              <w:right w:val="nil"/>
            </w:tcBorders>
            <w:shd w:val="clear" w:color="auto" w:fill="auto"/>
          </w:tcPr>
          <w:p w:rsidR="001173A5" w:rsidRPr="00F368E9" w:rsidRDefault="001173A5" w:rsidP="00651D5A">
            <w:pPr>
              <w:pStyle w:val="Source"/>
            </w:pPr>
            <w:r w:rsidRPr="00F368E9">
              <w:rPr>
                <w:i/>
              </w:rPr>
              <w:t>Source</w:t>
            </w:r>
            <w:r w:rsidRPr="00F368E9">
              <w:t xml:space="preserve">: ABS (2015) </w:t>
            </w:r>
            <w:r w:rsidRPr="00F368E9">
              <w:rPr>
                <w:i/>
              </w:rPr>
              <w:t>Education and Work, Australia, May 2015</w:t>
            </w:r>
            <w:r w:rsidRPr="00F368E9">
              <w:t xml:space="preserve">, Cat. no. 6227.0, Canberra; ABS (various years) </w:t>
            </w:r>
            <w:r w:rsidRPr="00F368E9">
              <w:rPr>
                <w:i/>
              </w:rPr>
              <w:t>Education and Work</w:t>
            </w:r>
            <w:r w:rsidRPr="00F368E9">
              <w:t xml:space="preserve">, </w:t>
            </w:r>
            <w:r w:rsidRPr="00F368E9">
              <w:rPr>
                <w:i/>
              </w:rPr>
              <w:t>Australia</w:t>
            </w:r>
            <w:r w:rsidRPr="00F368E9">
              <w:t xml:space="preserve"> </w:t>
            </w:r>
            <w:r w:rsidRPr="00F368E9">
              <w:rPr>
                <w:rFonts w:ascii="Verdana" w:hAnsi="Verdana"/>
                <w:i/>
              </w:rPr>
              <w:t>—</w:t>
            </w:r>
            <w:r w:rsidRPr="00F368E9">
              <w:rPr>
                <w:i/>
              </w:rPr>
              <w:t xml:space="preserve"> Additional data cubes, May 2011, 2012 and 2013,</w:t>
            </w:r>
            <w:r w:rsidRPr="00F368E9">
              <w:t xml:space="preserve"> </w:t>
            </w:r>
            <w:r w:rsidR="000238B4" w:rsidRPr="00F368E9">
              <w:br/>
            </w:r>
            <w:r w:rsidRPr="00F368E9">
              <w:t xml:space="preserve">Cat. no. 6227.0.55.003, Canberra; ABS (unpublished) </w:t>
            </w:r>
            <w:r w:rsidRPr="00F368E9">
              <w:rPr>
                <w:i/>
              </w:rPr>
              <w:t xml:space="preserve">Education and Work, Australia, May 2014, </w:t>
            </w:r>
            <w:r w:rsidR="000238B4" w:rsidRPr="00F368E9">
              <w:rPr>
                <w:i/>
              </w:rPr>
              <w:br/>
            </w:r>
            <w:r w:rsidRPr="00F368E9">
              <w:t>Cat. no. 6227.0,</w:t>
            </w:r>
            <w:r w:rsidRPr="00F368E9">
              <w:rPr>
                <w:i/>
              </w:rPr>
              <w:t xml:space="preserve"> </w:t>
            </w:r>
            <w:r w:rsidRPr="00F368E9">
              <w:t xml:space="preserve">Canberra; table </w:t>
            </w:r>
            <w:proofErr w:type="spellStart"/>
            <w:r w:rsidRPr="00F368E9">
              <w:t>BA.29</w:t>
            </w:r>
            <w:proofErr w:type="spellEnd"/>
            <w:r w:rsidRPr="00F368E9">
              <w:t>.</w:t>
            </w:r>
          </w:p>
        </w:tc>
      </w:tr>
      <w:tr w:rsidR="001173A5" w:rsidRPr="00F368E9" w:rsidTr="00651D5A">
        <w:tc>
          <w:tcPr>
            <w:tcW w:w="8771" w:type="dxa"/>
            <w:tcBorders>
              <w:top w:val="nil"/>
              <w:left w:val="nil"/>
              <w:bottom w:val="single" w:sz="6" w:space="0" w:color="78A22F"/>
              <w:right w:val="nil"/>
            </w:tcBorders>
            <w:shd w:val="clear" w:color="auto" w:fill="auto"/>
          </w:tcPr>
          <w:p w:rsidR="001173A5" w:rsidRPr="00F368E9" w:rsidRDefault="001173A5" w:rsidP="00651D5A">
            <w:pPr>
              <w:pStyle w:val="Figurespace"/>
            </w:pPr>
          </w:p>
        </w:tc>
      </w:tr>
      <w:tr w:rsidR="001173A5" w:rsidRPr="00F368E9" w:rsidTr="00651D5A">
        <w:tc>
          <w:tcPr>
            <w:tcW w:w="8771" w:type="dxa"/>
            <w:tcBorders>
              <w:top w:val="single" w:sz="6" w:space="0" w:color="78A22F"/>
              <w:left w:val="nil"/>
              <w:bottom w:val="nil"/>
              <w:right w:val="nil"/>
            </w:tcBorders>
          </w:tcPr>
          <w:p w:rsidR="001173A5" w:rsidRPr="00F368E9" w:rsidRDefault="001173A5" w:rsidP="00651D5A">
            <w:pPr>
              <w:pStyle w:val="BoxSpaceBelow"/>
            </w:pPr>
          </w:p>
        </w:tc>
      </w:tr>
    </w:tbl>
    <w:p w:rsidR="00FE58B0" w:rsidRPr="00ED48D5" w:rsidRDefault="00FE58B0" w:rsidP="00FE58B0">
      <w:pPr>
        <w:pStyle w:val="BodyText"/>
      </w:pPr>
      <w:r w:rsidRPr="000832E4">
        <w:lastRenderedPageBreak/>
        <w:t xml:space="preserve">Census data are available for the total population and by Indigenous status, remoteness area and SES. The most recent available data are for 2011 and are reported in tables </w:t>
      </w:r>
      <w:proofErr w:type="spellStart"/>
      <w:r w:rsidRPr="000832E4">
        <w:t>BA.30</w:t>
      </w:r>
      <w:proofErr w:type="spellEnd"/>
      <w:r w:rsidR="00FC187A">
        <w:t>–</w:t>
      </w:r>
      <w:r w:rsidRPr="000832E4">
        <w:t xml:space="preserve">31 and </w:t>
      </w:r>
      <w:proofErr w:type="spellStart"/>
      <w:r w:rsidRPr="000832E4">
        <w:t>BA.33</w:t>
      </w:r>
      <w:proofErr w:type="spellEnd"/>
      <w:r w:rsidRPr="000832E4">
        <w:t>.</w:t>
      </w:r>
      <w:r w:rsidRPr="000832E4" w:rsidDel="00B52369">
        <w:t xml:space="preserve"> </w:t>
      </w:r>
      <w:r w:rsidRPr="000832E4">
        <w:t>Additional survey data by SES are presented</w:t>
      </w:r>
      <w:r w:rsidRPr="00172D4B">
        <w:t xml:space="preserve"> in table </w:t>
      </w:r>
      <w:proofErr w:type="spellStart"/>
      <w:r w:rsidRPr="00172D4B">
        <w:t>BA.32</w:t>
      </w:r>
      <w:proofErr w:type="spellEnd"/>
      <w:r w:rsidRPr="00172D4B">
        <w:t>.</w:t>
      </w:r>
    </w:p>
    <w:p w:rsidR="001069B8" w:rsidRPr="00991B75" w:rsidRDefault="001069B8" w:rsidP="00006400">
      <w:pPr>
        <w:pStyle w:val="Heading4"/>
        <w:keepNext w:val="0"/>
        <w:widowControl w:val="0"/>
      </w:pPr>
      <w:r w:rsidRPr="00991B75">
        <w:t>Completion of year 12 (or eq</w:t>
      </w:r>
      <w:r w:rsidR="00184300" w:rsidRPr="00991B75">
        <w:t xml:space="preserve">uivalent) or </w:t>
      </w:r>
      <w:r w:rsidR="00A3185C" w:rsidRPr="00991B75">
        <w:t xml:space="preserve">Certificate </w:t>
      </w:r>
      <w:r w:rsidRPr="00991B75">
        <w:t>III</w:t>
      </w:r>
      <w:r w:rsidR="00A3185C" w:rsidRPr="00991B75">
        <w:t xml:space="preserve"> level</w:t>
      </w:r>
      <w:r w:rsidRPr="00991B75">
        <w:t xml:space="preserve"> or above</w:t>
      </w:r>
    </w:p>
    <w:p w:rsidR="00651D5A" w:rsidRPr="00991B75" w:rsidRDefault="00651D5A" w:rsidP="00651D5A">
      <w:pPr>
        <w:pStyle w:val="BodyText"/>
      </w:pPr>
      <w:r w:rsidRPr="00991B75">
        <w:t xml:space="preserve">Nationally in 2015, 87.1 per cent of 20–24 year olds had completed year 12 (or equivalent) </w:t>
      </w:r>
      <w:r w:rsidRPr="000832E4">
        <w:t>or Certificate III</w:t>
      </w:r>
      <w:r w:rsidRPr="00991B75">
        <w:t xml:space="preserve"> level or above (figure </w:t>
      </w:r>
      <w:proofErr w:type="spellStart"/>
      <w:r w:rsidRPr="00991B75">
        <w:t>B.12</w:t>
      </w:r>
      <w:proofErr w:type="spellEnd"/>
      <w:r w:rsidRPr="00991B75">
        <w:t>).</w:t>
      </w:r>
    </w:p>
    <w:p w:rsidR="00651D5A" w:rsidRPr="00991B75" w:rsidRDefault="00651D5A" w:rsidP="00651D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1D5A" w:rsidRPr="00991B75" w:rsidTr="00651D5A">
        <w:tc>
          <w:tcPr>
            <w:tcW w:w="8771" w:type="dxa"/>
            <w:tcBorders>
              <w:top w:val="single" w:sz="6" w:space="0" w:color="78A22F"/>
              <w:left w:val="nil"/>
              <w:bottom w:val="nil"/>
              <w:right w:val="nil"/>
            </w:tcBorders>
            <w:shd w:val="clear" w:color="auto" w:fill="auto"/>
          </w:tcPr>
          <w:p w:rsidR="00651D5A" w:rsidRPr="00991B75" w:rsidRDefault="00651D5A" w:rsidP="00651D5A">
            <w:pPr>
              <w:pStyle w:val="FigureTitle"/>
            </w:pPr>
            <w:r w:rsidRPr="00991B75">
              <w:rPr>
                <w:b w:val="0"/>
              </w:rPr>
              <w:t xml:space="preserve">Figure </w:t>
            </w:r>
            <w:proofErr w:type="spellStart"/>
            <w:r w:rsidRPr="00991B75">
              <w:rPr>
                <w:b w:val="0"/>
              </w:rPr>
              <w:t>B.</w:t>
            </w:r>
            <w:r w:rsidR="001564B9">
              <w:rPr>
                <w:b w:val="0"/>
                <w:noProof/>
              </w:rPr>
              <w:t>12</w:t>
            </w:r>
            <w:proofErr w:type="spellEnd"/>
            <w:r w:rsidRPr="00991B75">
              <w:tab/>
              <w:t>Proportion of 20–24 year olds who have completed year 12 (or equivalent) or Certificate III level or above</w:t>
            </w:r>
            <w:r w:rsidRPr="00991B75">
              <w:rPr>
                <w:rStyle w:val="NoteLabel"/>
                <w:b/>
              </w:rPr>
              <w:t>a</w:t>
            </w:r>
          </w:p>
        </w:tc>
      </w:tr>
      <w:tr w:rsidR="00651D5A" w:rsidRPr="00991B75" w:rsidTr="00651D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651D5A" w:rsidRPr="00991B75" w:rsidTr="00AA3793">
              <w:trPr>
                <w:jc w:val="center"/>
              </w:trPr>
              <w:tc>
                <w:tcPr>
                  <w:tcW w:w="8504" w:type="dxa"/>
                  <w:tcBorders>
                    <w:top w:val="nil"/>
                    <w:bottom w:val="nil"/>
                  </w:tcBorders>
                </w:tcPr>
                <w:p w:rsidR="00651D5A" w:rsidRPr="00991B75" w:rsidRDefault="00AA3793" w:rsidP="00651D5A">
                  <w:pPr>
                    <w:pStyle w:val="Figure"/>
                    <w:spacing w:before="60" w:after="60"/>
                  </w:pPr>
                  <w:r w:rsidRPr="00991B75">
                    <w:rPr>
                      <w:noProof/>
                    </w:rPr>
                    <w:drawing>
                      <wp:inline distT="0" distB="0" distL="0" distR="0" wp14:anchorId="17B0DC5E" wp14:editId="7702CDC0">
                        <wp:extent cx="5400000" cy="2700000"/>
                        <wp:effectExtent l="0" t="0" r="0" b="5715"/>
                        <wp:docPr id="9" name="Chart 9" descr="Figure B.12 Proportion of 20–24 year olds who have completed year 12 (or equivalent) or Certificate III level or abov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651D5A" w:rsidRPr="00991B75" w:rsidRDefault="00651D5A" w:rsidP="00651D5A">
            <w:pPr>
              <w:pStyle w:val="Figure"/>
            </w:pPr>
          </w:p>
        </w:tc>
      </w:tr>
      <w:tr w:rsidR="00651D5A" w:rsidRPr="00991B75" w:rsidTr="00651D5A">
        <w:tc>
          <w:tcPr>
            <w:tcW w:w="8771" w:type="dxa"/>
            <w:tcBorders>
              <w:top w:val="nil"/>
              <w:left w:val="nil"/>
              <w:bottom w:val="nil"/>
              <w:right w:val="nil"/>
            </w:tcBorders>
            <w:shd w:val="clear" w:color="auto" w:fill="auto"/>
          </w:tcPr>
          <w:p w:rsidR="00651D5A" w:rsidRPr="00991B75" w:rsidRDefault="00651D5A" w:rsidP="00651D5A">
            <w:pPr>
              <w:pStyle w:val="Note"/>
            </w:pPr>
            <w:r w:rsidRPr="00991B75">
              <w:rPr>
                <w:rStyle w:val="NoteLabel"/>
              </w:rPr>
              <w:t>a</w:t>
            </w:r>
            <w:r w:rsidRPr="00991B75">
              <w:t xml:space="preserve"> See box </w:t>
            </w:r>
            <w:proofErr w:type="spellStart"/>
            <w:r w:rsidRPr="00991B75">
              <w:t>B.5</w:t>
            </w:r>
            <w:proofErr w:type="spellEnd"/>
            <w:r w:rsidRPr="00991B75">
              <w:t xml:space="preserve"> and table </w:t>
            </w:r>
            <w:proofErr w:type="spellStart"/>
            <w:r w:rsidRPr="00991B75">
              <w:t>BA.34</w:t>
            </w:r>
            <w:proofErr w:type="spellEnd"/>
            <w:r w:rsidRPr="00991B75">
              <w:t xml:space="preserve"> for detailed definitions, footnotes and caveats.</w:t>
            </w:r>
          </w:p>
        </w:tc>
      </w:tr>
      <w:tr w:rsidR="00651D5A" w:rsidRPr="00991B75" w:rsidTr="00651D5A">
        <w:tc>
          <w:tcPr>
            <w:tcW w:w="8771" w:type="dxa"/>
            <w:tcBorders>
              <w:top w:val="nil"/>
              <w:left w:val="nil"/>
              <w:bottom w:val="nil"/>
              <w:right w:val="nil"/>
            </w:tcBorders>
            <w:shd w:val="clear" w:color="auto" w:fill="auto"/>
          </w:tcPr>
          <w:p w:rsidR="00651D5A" w:rsidRPr="00991B75" w:rsidRDefault="00651D5A" w:rsidP="00487D15">
            <w:pPr>
              <w:pStyle w:val="Source"/>
            </w:pPr>
            <w:r w:rsidRPr="00991B75">
              <w:rPr>
                <w:i/>
              </w:rPr>
              <w:t>Source</w:t>
            </w:r>
            <w:r w:rsidRPr="00991B75">
              <w:t xml:space="preserve">: ABS (2015) </w:t>
            </w:r>
            <w:r w:rsidRPr="00991B75">
              <w:rPr>
                <w:i/>
              </w:rPr>
              <w:t>Education and Work, Australia, May 2015</w:t>
            </w:r>
            <w:r w:rsidRPr="00991B75">
              <w:t xml:space="preserve">, Cat. no. 6227.0, Canberra; ABS (various years) </w:t>
            </w:r>
            <w:r w:rsidRPr="00991B75">
              <w:rPr>
                <w:i/>
              </w:rPr>
              <w:t>Education and Work</w:t>
            </w:r>
            <w:r w:rsidRPr="00991B75">
              <w:t xml:space="preserve">, </w:t>
            </w:r>
            <w:r w:rsidRPr="00991B75">
              <w:rPr>
                <w:i/>
              </w:rPr>
              <w:t>Australia</w:t>
            </w:r>
            <w:r w:rsidRPr="00991B75">
              <w:t xml:space="preserve"> </w:t>
            </w:r>
            <w:r w:rsidR="00487D15">
              <w:rPr>
                <w:i/>
              </w:rPr>
              <w:t>—</w:t>
            </w:r>
            <w:r w:rsidRPr="00991B75">
              <w:rPr>
                <w:i/>
              </w:rPr>
              <w:t xml:space="preserve"> Additional data cubes, May 2011, 2012 and 2013,</w:t>
            </w:r>
            <w:r w:rsidRPr="00991B75">
              <w:t xml:space="preserve"> </w:t>
            </w:r>
            <w:r w:rsidR="000238B4" w:rsidRPr="00991B75">
              <w:br/>
            </w:r>
            <w:r w:rsidRPr="00991B75">
              <w:t xml:space="preserve">Cat. no. 6227.0.55.003, Canberra; ABS (unpublished) </w:t>
            </w:r>
            <w:r w:rsidRPr="00991B75">
              <w:rPr>
                <w:i/>
              </w:rPr>
              <w:t xml:space="preserve">Education and Work, Australia, May 2014, </w:t>
            </w:r>
            <w:r w:rsidR="000238B4" w:rsidRPr="00991B75">
              <w:rPr>
                <w:i/>
              </w:rPr>
              <w:br/>
            </w:r>
            <w:r w:rsidRPr="00991B75">
              <w:t>Cat. no. 6227.0,</w:t>
            </w:r>
            <w:r w:rsidRPr="00991B75">
              <w:rPr>
                <w:i/>
              </w:rPr>
              <w:t xml:space="preserve"> </w:t>
            </w:r>
            <w:r w:rsidRPr="00991B75">
              <w:t xml:space="preserve">Canberra; table </w:t>
            </w:r>
            <w:proofErr w:type="spellStart"/>
            <w:r w:rsidRPr="00991B75">
              <w:t>BA.34</w:t>
            </w:r>
            <w:proofErr w:type="spellEnd"/>
            <w:r w:rsidRPr="00991B75">
              <w:t>.</w:t>
            </w:r>
          </w:p>
        </w:tc>
      </w:tr>
      <w:tr w:rsidR="00651D5A" w:rsidRPr="00991B75" w:rsidTr="00651D5A">
        <w:tc>
          <w:tcPr>
            <w:tcW w:w="8771" w:type="dxa"/>
            <w:tcBorders>
              <w:top w:val="nil"/>
              <w:left w:val="nil"/>
              <w:bottom w:val="single" w:sz="6" w:space="0" w:color="78A22F"/>
              <w:right w:val="nil"/>
            </w:tcBorders>
            <w:shd w:val="clear" w:color="auto" w:fill="auto"/>
          </w:tcPr>
          <w:p w:rsidR="00651D5A" w:rsidRPr="00991B75" w:rsidRDefault="00651D5A" w:rsidP="00651D5A">
            <w:pPr>
              <w:pStyle w:val="Figurespace"/>
            </w:pPr>
          </w:p>
        </w:tc>
      </w:tr>
      <w:tr w:rsidR="00651D5A" w:rsidRPr="00991B75" w:rsidTr="00651D5A">
        <w:tc>
          <w:tcPr>
            <w:tcW w:w="8771" w:type="dxa"/>
            <w:tcBorders>
              <w:top w:val="single" w:sz="6" w:space="0" w:color="78A22F"/>
              <w:left w:val="nil"/>
              <w:bottom w:val="nil"/>
              <w:right w:val="nil"/>
            </w:tcBorders>
          </w:tcPr>
          <w:p w:rsidR="00651D5A" w:rsidRPr="00991B75" w:rsidRDefault="00651D5A" w:rsidP="00651D5A">
            <w:pPr>
              <w:pStyle w:val="BoxSpaceBelow"/>
            </w:pPr>
          </w:p>
        </w:tc>
      </w:tr>
    </w:tbl>
    <w:p w:rsidR="00EE483D" w:rsidRDefault="00EE483D" w:rsidP="000832E4">
      <w:pPr>
        <w:pStyle w:val="BodyText"/>
      </w:pPr>
      <w:r>
        <w:t xml:space="preserve">Census data are also available for this indicator. The most recent available data </w:t>
      </w:r>
      <w:r w:rsidR="00433946">
        <w:t>are</w:t>
      </w:r>
      <w:r>
        <w:t xml:space="preserve"> for 2011 and </w:t>
      </w:r>
      <w:r w:rsidR="00433946">
        <w:t>are</w:t>
      </w:r>
      <w:r>
        <w:t xml:space="preserve"> reported in table </w:t>
      </w:r>
      <w:proofErr w:type="spellStart"/>
      <w:r>
        <w:t>BA.35</w:t>
      </w:r>
      <w:proofErr w:type="spellEnd"/>
      <w:r>
        <w:t xml:space="preserve">. Additional survey data by SES are reported in </w:t>
      </w:r>
      <w:r w:rsidR="001056EF">
        <w:br/>
      </w:r>
      <w:r>
        <w:t xml:space="preserve">table </w:t>
      </w:r>
      <w:proofErr w:type="spellStart"/>
      <w:r>
        <w:t>BA.36</w:t>
      </w:r>
      <w:proofErr w:type="spellEnd"/>
      <w:r>
        <w:t>.</w:t>
      </w:r>
    </w:p>
    <w:p w:rsidR="001069B8" w:rsidRPr="00991B75" w:rsidRDefault="001069B8" w:rsidP="00EE483D">
      <w:pPr>
        <w:pStyle w:val="Heading4"/>
        <w:keepNext w:val="0"/>
        <w:widowControl w:val="0"/>
      </w:pPr>
      <w:r w:rsidRPr="00991B75">
        <w:t xml:space="preserve">Population </w:t>
      </w:r>
      <w:r w:rsidR="00F94901" w:rsidRPr="00991B75">
        <w:t xml:space="preserve">with qualifications at </w:t>
      </w:r>
      <w:r w:rsidRPr="00991B75">
        <w:t xml:space="preserve">Certificate </w:t>
      </w:r>
      <w:r w:rsidR="00672E67" w:rsidRPr="00991B75">
        <w:t>II</w:t>
      </w:r>
      <w:r w:rsidR="003851AA" w:rsidRPr="00991B75">
        <w:t>I level or above</w:t>
      </w:r>
    </w:p>
    <w:p w:rsidR="00FB45AB" w:rsidRPr="00490B08" w:rsidRDefault="00651D5A" w:rsidP="00C10DB3">
      <w:pPr>
        <w:pStyle w:val="BodyText"/>
        <w:shd w:val="clear" w:color="auto" w:fill="FFFFFF" w:themeFill="background1"/>
      </w:pPr>
      <w:r w:rsidRPr="00991B75">
        <w:t>Nationally in 201</w:t>
      </w:r>
      <w:r w:rsidR="002063BD" w:rsidRPr="00991B75">
        <w:t>5</w:t>
      </w:r>
      <w:r w:rsidRPr="00991B75">
        <w:t xml:space="preserve">, </w:t>
      </w:r>
      <w:r w:rsidR="00991B75" w:rsidRPr="00991B75">
        <w:t>60.0</w:t>
      </w:r>
      <w:r w:rsidRPr="00991B75">
        <w:t xml:space="preserve"> per cent of 20–64 year olds had a qualification at Certificate III level or above (figure </w:t>
      </w:r>
      <w:proofErr w:type="spellStart"/>
      <w:r w:rsidRPr="00991B75">
        <w:t>B.13</w:t>
      </w:r>
      <w:proofErr w:type="spellEnd"/>
      <w:r w:rsidRPr="00991B75">
        <w:t>).</w:t>
      </w:r>
      <w:r w:rsidR="00FB45AB" w:rsidRPr="00FB45AB">
        <w:t xml:space="preserve"> </w:t>
      </w:r>
      <w:r w:rsidR="00FB45AB" w:rsidRPr="00EE11D1">
        <w:t xml:space="preserve">The proportion of 20–64 year olds with qualifications at Certificate III level or above by </w:t>
      </w:r>
      <w:r w:rsidR="00FB45AB" w:rsidRPr="00DC3F92">
        <w:t>SE</w:t>
      </w:r>
      <w:r w:rsidR="00EE5966">
        <w:t xml:space="preserve">S are presented in table </w:t>
      </w:r>
      <w:proofErr w:type="spellStart"/>
      <w:r w:rsidR="00EE5966">
        <w:t>BA.40</w:t>
      </w:r>
      <w:proofErr w:type="spellEnd"/>
      <w:r w:rsidR="00EE5966">
        <w:t>.</w:t>
      </w:r>
    </w:p>
    <w:p w:rsidR="00651D5A" w:rsidRPr="00991B75" w:rsidRDefault="00651D5A" w:rsidP="00651D5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51D5A" w:rsidRPr="00991B75" w:rsidTr="00651D5A">
        <w:tc>
          <w:tcPr>
            <w:tcW w:w="8771" w:type="dxa"/>
            <w:tcBorders>
              <w:top w:val="single" w:sz="6" w:space="0" w:color="78A22F"/>
              <w:left w:val="nil"/>
              <w:bottom w:val="nil"/>
              <w:right w:val="nil"/>
            </w:tcBorders>
            <w:shd w:val="clear" w:color="auto" w:fill="auto"/>
          </w:tcPr>
          <w:p w:rsidR="00651D5A" w:rsidRPr="00991B75" w:rsidRDefault="00651D5A" w:rsidP="00651D5A">
            <w:pPr>
              <w:pStyle w:val="FigureTitle"/>
            </w:pPr>
            <w:r w:rsidRPr="00991B75">
              <w:rPr>
                <w:b w:val="0"/>
              </w:rPr>
              <w:t xml:space="preserve">Figure </w:t>
            </w:r>
            <w:proofErr w:type="spellStart"/>
            <w:r w:rsidRPr="00991B75">
              <w:rPr>
                <w:b w:val="0"/>
              </w:rPr>
              <w:t>B.</w:t>
            </w:r>
            <w:r w:rsidR="001564B9">
              <w:rPr>
                <w:b w:val="0"/>
                <w:noProof/>
              </w:rPr>
              <w:t>13</w:t>
            </w:r>
            <w:proofErr w:type="spellEnd"/>
            <w:r w:rsidRPr="00991B75">
              <w:tab/>
              <w:t>Proportion of 20–64 year olds with qualifications at Certificate III level or above</w:t>
            </w:r>
            <w:r w:rsidRPr="00991B75">
              <w:rPr>
                <w:rStyle w:val="NoteLabel"/>
                <w:b/>
              </w:rPr>
              <w:t xml:space="preserve">a </w:t>
            </w:r>
          </w:p>
        </w:tc>
      </w:tr>
      <w:tr w:rsidR="00651D5A" w:rsidRPr="00991B75" w:rsidTr="00651D5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651D5A" w:rsidRPr="00991B75" w:rsidTr="003E1695">
              <w:trPr>
                <w:jc w:val="center"/>
              </w:trPr>
              <w:tc>
                <w:tcPr>
                  <w:tcW w:w="8504" w:type="dxa"/>
                  <w:tcBorders>
                    <w:top w:val="nil"/>
                    <w:bottom w:val="nil"/>
                  </w:tcBorders>
                </w:tcPr>
                <w:p w:rsidR="00651D5A" w:rsidRPr="00991B75" w:rsidRDefault="003E1695" w:rsidP="00651D5A">
                  <w:pPr>
                    <w:pStyle w:val="Figure"/>
                    <w:spacing w:before="60" w:after="60"/>
                  </w:pPr>
                  <w:r w:rsidRPr="00991B75">
                    <w:rPr>
                      <w:noProof/>
                    </w:rPr>
                    <w:drawing>
                      <wp:inline distT="0" distB="0" distL="0" distR="0" wp14:anchorId="1A393E14" wp14:editId="210F415C">
                        <wp:extent cx="5400000" cy="2700000"/>
                        <wp:effectExtent l="0" t="0" r="0" b="5715"/>
                        <wp:docPr id="8" name="Chart 8" descr="Figure B.13 Proportion of 20–64 year olds with qualifications at Certificate III level or abov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651D5A" w:rsidRPr="00991B75" w:rsidRDefault="00651D5A" w:rsidP="00651D5A">
            <w:pPr>
              <w:pStyle w:val="Figure"/>
            </w:pPr>
          </w:p>
        </w:tc>
      </w:tr>
      <w:tr w:rsidR="00651D5A" w:rsidRPr="00991B75" w:rsidTr="00651D5A">
        <w:tc>
          <w:tcPr>
            <w:tcW w:w="8771" w:type="dxa"/>
            <w:tcBorders>
              <w:top w:val="nil"/>
              <w:left w:val="nil"/>
              <w:bottom w:val="nil"/>
              <w:right w:val="nil"/>
            </w:tcBorders>
            <w:shd w:val="clear" w:color="auto" w:fill="auto"/>
          </w:tcPr>
          <w:p w:rsidR="00651D5A" w:rsidRPr="00991B75" w:rsidRDefault="00651D5A" w:rsidP="00651D5A">
            <w:pPr>
              <w:pStyle w:val="Note"/>
            </w:pPr>
            <w:r w:rsidRPr="00991B75">
              <w:rPr>
                <w:rStyle w:val="NoteLabel"/>
              </w:rPr>
              <w:t>a</w:t>
            </w:r>
            <w:r w:rsidRPr="00991B75">
              <w:t xml:space="preserve"> See box </w:t>
            </w:r>
            <w:proofErr w:type="spellStart"/>
            <w:r w:rsidRPr="00991B75">
              <w:t>B.5</w:t>
            </w:r>
            <w:proofErr w:type="spellEnd"/>
            <w:r w:rsidRPr="00991B75">
              <w:t xml:space="preserve"> and table </w:t>
            </w:r>
            <w:proofErr w:type="spellStart"/>
            <w:r w:rsidRPr="00991B75">
              <w:t>BA.37</w:t>
            </w:r>
            <w:proofErr w:type="spellEnd"/>
            <w:r w:rsidRPr="00991B75">
              <w:t xml:space="preserve"> for detailed definitions, footnotes and caveats.</w:t>
            </w:r>
          </w:p>
        </w:tc>
      </w:tr>
      <w:tr w:rsidR="00651D5A" w:rsidRPr="00991B75" w:rsidTr="00651D5A">
        <w:tc>
          <w:tcPr>
            <w:tcW w:w="8771" w:type="dxa"/>
            <w:tcBorders>
              <w:top w:val="nil"/>
              <w:left w:val="nil"/>
              <w:bottom w:val="nil"/>
              <w:right w:val="nil"/>
            </w:tcBorders>
            <w:shd w:val="clear" w:color="auto" w:fill="auto"/>
          </w:tcPr>
          <w:p w:rsidR="00651D5A" w:rsidRPr="00991B75" w:rsidRDefault="00651D5A" w:rsidP="00487D15">
            <w:pPr>
              <w:pStyle w:val="Source"/>
            </w:pPr>
            <w:r w:rsidRPr="00991B75">
              <w:rPr>
                <w:i/>
              </w:rPr>
              <w:t>Source</w:t>
            </w:r>
            <w:r w:rsidRPr="00991B75">
              <w:t xml:space="preserve">: ABS (2015) </w:t>
            </w:r>
            <w:r w:rsidRPr="00991B75">
              <w:rPr>
                <w:i/>
              </w:rPr>
              <w:t>Education and Work, Australia, May 2015</w:t>
            </w:r>
            <w:r w:rsidRPr="00991B75">
              <w:t xml:space="preserve">, Cat. no. 6227.0, Canberra; ABS (various years) </w:t>
            </w:r>
            <w:r w:rsidRPr="00991B75">
              <w:rPr>
                <w:i/>
              </w:rPr>
              <w:t>Education and Work</w:t>
            </w:r>
            <w:r w:rsidRPr="00991B75">
              <w:t xml:space="preserve">, </w:t>
            </w:r>
            <w:r w:rsidRPr="00991B75">
              <w:rPr>
                <w:i/>
              </w:rPr>
              <w:t>Australia</w:t>
            </w:r>
            <w:r w:rsidRPr="00991B75">
              <w:t xml:space="preserve"> </w:t>
            </w:r>
            <w:r w:rsidR="00487D15">
              <w:rPr>
                <w:i/>
              </w:rPr>
              <w:t>—</w:t>
            </w:r>
            <w:r w:rsidRPr="00991B75">
              <w:rPr>
                <w:i/>
              </w:rPr>
              <w:t xml:space="preserve"> Additional data cubes, May 2011, 2012 and 2013,</w:t>
            </w:r>
            <w:r w:rsidRPr="00991B75">
              <w:t xml:space="preserve"> </w:t>
            </w:r>
            <w:r w:rsidR="000238B4" w:rsidRPr="00991B75">
              <w:br/>
            </w:r>
            <w:r w:rsidRPr="00991B75">
              <w:t xml:space="preserve">Cat. no. 6227.0.55.003, Canberra; ABS (unpublished) </w:t>
            </w:r>
            <w:r w:rsidRPr="00991B75">
              <w:rPr>
                <w:i/>
              </w:rPr>
              <w:t xml:space="preserve">Education and Work, Australia, May 2014, </w:t>
            </w:r>
            <w:r w:rsidR="000238B4" w:rsidRPr="00991B75">
              <w:rPr>
                <w:i/>
              </w:rPr>
              <w:br/>
            </w:r>
            <w:r w:rsidRPr="00991B75">
              <w:t>Cat. no. 6227.0,</w:t>
            </w:r>
            <w:r w:rsidRPr="00991B75">
              <w:rPr>
                <w:i/>
              </w:rPr>
              <w:t xml:space="preserve"> </w:t>
            </w:r>
            <w:r w:rsidRPr="00991B75">
              <w:t xml:space="preserve">Canberra; table </w:t>
            </w:r>
            <w:proofErr w:type="spellStart"/>
            <w:r w:rsidRPr="00991B75">
              <w:t>BA.37</w:t>
            </w:r>
            <w:proofErr w:type="spellEnd"/>
            <w:r w:rsidRPr="00991B75">
              <w:t>.</w:t>
            </w:r>
          </w:p>
        </w:tc>
      </w:tr>
      <w:tr w:rsidR="00651D5A" w:rsidRPr="00991B75" w:rsidTr="00651D5A">
        <w:tc>
          <w:tcPr>
            <w:tcW w:w="8771" w:type="dxa"/>
            <w:tcBorders>
              <w:top w:val="nil"/>
              <w:left w:val="nil"/>
              <w:bottom w:val="single" w:sz="6" w:space="0" w:color="78A22F"/>
              <w:right w:val="nil"/>
            </w:tcBorders>
            <w:shd w:val="clear" w:color="auto" w:fill="auto"/>
          </w:tcPr>
          <w:p w:rsidR="00651D5A" w:rsidRPr="00991B75" w:rsidRDefault="00651D5A" w:rsidP="00651D5A">
            <w:pPr>
              <w:pStyle w:val="Figurespace"/>
            </w:pPr>
          </w:p>
        </w:tc>
      </w:tr>
      <w:tr w:rsidR="00651D5A" w:rsidRPr="00991B75" w:rsidTr="00651D5A">
        <w:tc>
          <w:tcPr>
            <w:tcW w:w="8771" w:type="dxa"/>
            <w:tcBorders>
              <w:top w:val="single" w:sz="6" w:space="0" w:color="78A22F"/>
              <w:left w:val="nil"/>
              <w:bottom w:val="nil"/>
              <w:right w:val="nil"/>
            </w:tcBorders>
          </w:tcPr>
          <w:p w:rsidR="00651D5A" w:rsidRPr="00991B75" w:rsidRDefault="00651D5A" w:rsidP="00651D5A">
            <w:pPr>
              <w:pStyle w:val="BoxSpaceBelow"/>
            </w:pPr>
          </w:p>
        </w:tc>
      </w:tr>
    </w:tbl>
    <w:p w:rsidR="00EE483D" w:rsidRPr="007D1ACC" w:rsidRDefault="00EE483D" w:rsidP="000832E4">
      <w:pPr>
        <w:pStyle w:val="BodyText"/>
      </w:pPr>
      <w:r w:rsidRPr="007D1ACC">
        <w:t xml:space="preserve">Census data </w:t>
      </w:r>
      <w:r>
        <w:t xml:space="preserve">are available for the total population and by Indigenous status and SES. The most recent available data are for 2011 and are reported in tables </w:t>
      </w:r>
      <w:proofErr w:type="spellStart"/>
      <w:r>
        <w:t>BA.38</w:t>
      </w:r>
      <w:proofErr w:type="spellEnd"/>
      <w:r>
        <w:t xml:space="preserve">, </w:t>
      </w:r>
      <w:proofErr w:type="spellStart"/>
      <w:r>
        <w:t>BA.39</w:t>
      </w:r>
      <w:proofErr w:type="spellEnd"/>
      <w:r>
        <w:t xml:space="preserve"> and </w:t>
      </w:r>
      <w:proofErr w:type="spellStart"/>
      <w:r>
        <w:t>BA.41</w:t>
      </w:r>
      <w:proofErr w:type="spellEnd"/>
      <w:r>
        <w:t>.</w:t>
      </w:r>
      <w:r w:rsidRPr="007D1ACC">
        <w:t xml:space="preserve"> </w:t>
      </w:r>
    </w:p>
    <w:p w:rsidR="00BF5D77" w:rsidRPr="00F368E9" w:rsidRDefault="00BF5D77" w:rsidP="00EE483D">
      <w:pPr>
        <w:pStyle w:val="Heading4"/>
        <w:keepNext w:val="0"/>
        <w:widowControl w:val="0"/>
      </w:pPr>
      <w:r w:rsidRPr="00F368E9">
        <w:t>Achievement of foundation skills (l</w:t>
      </w:r>
      <w:r w:rsidR="007471EA" w:rsidRPr="00F368E9">
        <w:t xml:space="preserve">iteracy, numeracy and </w:t>
      </w:r>
      <w:r w:rsidR="008C6808" w:rsidRPr="00F368E9">
        <w:t>problem solving in te</w:t>
      </w:r>
      <w:r w:rsidR="002C04C2" w:rsidRPr="00F368E9">
        <w:t>chnology</w:t>
      </w:r>
      <w:r w:rsidR="002C04C2" w:rsidRPr="00F368E9">
        <w:noBreakHyphen/>
      </w:r>
      <w:r w:rsidR="008C6808" w:rsidRPr="00F368E9">
        <w:t>rich environments [</w:t>
      </w:r>
      <w:proofErr w:type="spellStart"/>
      <w:r w:rsidR="007471EA" w:rsidRPr="00F368E9">
        <w:t>PSTRE</w:t>
      </w:r>
      <w:proofErr w:type="spellEnd"/>
      <w:r w:rsidR="008C6808" w:rsidRPr="00F368E9">
        <w:t>]</w:t>
      </w:r>
      <w:r w:rsidRPr="00F368E9">
        <w:t>)</w:t>
      </w:r>
    </w:p>
    <w:p w:rsidR="00EE483D" w:rsidRDefault="00EE483D" w:rsidP="00EE483D">
      <w:pPr>
        <w:pStyle w:val="BodyText"/>
      </w:pPr>
      <w:r w:rsidRPr="00840B79">
        <w:t>Data for 2011</w:t>
      </w:r>
      <w:r w:rsidR="00490B08">
        <w:noBreakHyphen/>
      </w:r>
      <w:r w:rsidRPr="00840B79">
        <w:t xml:space="preserve">12 for this measure are sourced from the </w:t>
      </w:r>
      <w:proofErr w:type="spellStart"/>
      <w:r w:rsidRPr="00840B79">
        <w:t>Programme</w:t>
      </w:r>
      <w:proofErr w:type="spellEnd"/>
      <w:r w:rsidRPr="00840B79">
        <w:t xml:space="preserve"> for the International Assessment of Adult Competencies (</w:t>
      </w:r>
      <w:proofErr w:type="spellStart"/>
      <w:r w:rsidRPr="00840B79">
        <w:t>PIAAC</w:t>
      </w:r>
      <w:proofErr w:type="spellEnd"/>
      <w:r w:rsidRPr="00840B79">
        <w:t>)</w:t>
      </w:r>
      <w:r>
        <w:t xml:space="preserve"> </w:t>
      </w:r>
      <w:r w:rsidRPr="000832E4">
        <w:t>which is an OECD survey that measures adult skills and competencies.</w:t>
      </w:r>
      <w:r w:rsidRPr="00EE483D">
        <w:rPr>
          <w:shd w:val="clear" w:color="auto" w:fill="BFBFBF" w:themeFill="background1" w:themeFillShade="BF"/>
        </w:rPr>
        <w:t xml:space="preserve"> </w:t>
      </w:r>
    </w:p>
    <w:p w:rsidR="00123191" w:rsidRPr="00F368E9" w:rsidRDefault="00123191" w:rsidP="00123191">
      <w:pPr>
        <w:pStyle w:val="BodyText"/>
      </w:pPr>
      <w:r w:rsidRPr="00F368E9">
        <w:t xml:space="preserve">Data are available for all skill levels for literacy, numeracy and </w:t>
      </w:r>
      <w:proofErr w:type="spellStart"/>
      <w:r w:rsidRPr="00F368E9">
        <w:t>PSTRE</w:t>
      </w:r>
      <w:proofErr w:type="spellEnd"/>
      <w:r w:rsidRPr="00F368E9">
        <w:t xml:space="preserve"> competencies (where below level 1 represents the poorest level of skill attainment and level 5 the highest level of skill attainment for literacy and numeracy; level 3 represents the highest level of skill attainment for </w:t>
      </w:r>
      <w:proofErr w:type="spellStart"/>
      <w:r w:rsidRPr="00F368E9">
        <w:t>PSTRE</w:t>
      </w:r>
      <w:proofErr w:type="spellEnd"/>
      <w:r w:rsidRPr="00F368E9">
        <w:t>).</w:t>
      </w:r>
    </w:p>
    <w:p w:rsidR="00123191" w:rsidRPr="00F368E9" w:rsidRDefault="00123191" w:rsidP="00123191">
      <w:pPr>
        <w:pStyle w:val="BodyText"/>
      </w:pPr>
      <w:r w:rsidRPr="00F368E9">
        <w:t xml:space="preserve">The proportions of the population aged 20–64 years across all </w:t>
      </w:r>
      <w:proofErr w:type="spellStart"/>
      <w:r w:rsidRPr="00F368E9">
        <w:t>PIAAC</w:t>
      </w:r>
      <w:proofErr w:type="spellEnd"/>
      <w:r w:rsidRPr="00F368E9">
        <w:t xml:space="preserve"> literacy, numeracy, and </w:t>
      </w:r>
      <w:proofErr w:type="spellStart"/>
      <w:r w:rsidRPr="00F368E9">
        <w:t>PSTRE</w:t>
      </w:r>
      <w:proofErr w:type="spellEnd"/>
      <w:r w:rsidRPr="00F368E9">
        <w:t xml:space="preserve"> skill levels in 2011</w:t>
      </w:r>
      <w:r w:rsidR="00490B08">
        <w:noBreakHyphen/>
      </w:r>
      <w:r w:rsidRPr="00F368E9">
        <w:t xml:space="preserve">12 are in tables </w:t>
      </w:r>
      <w:proofErr w:type="spellStart"/>
      <w:r w:rsidR="00EE483D" w:rsidRPr="00D3276F">
        <w:t>BA.42</w:t>
      </w:r>
      <w:proofErr w:type="spellEnd"/>
      <w:r w:rsidR="00EE483D" w:rsidRPr="00D3276F">
        <w:t>–44</w:t>
      </w:r>
      <w:r w:rsidR="00EE483D" w:rsidRPr="003439FB">
        <w:t>.</w:t>
      </w:r>
    </w:p>
    <w:p w:rsidR="00123191" w:rsidRPr="00F368E9" w:rsidRDefault="00123191" w:rsidP="00123191">
      <w:pPr>
        <w:pStyle w:val="BodyText"/>
      </w:pPr>
      <w:r w:rsidRPr="00F368E9">
        <w:lastRenderedPageBreak/>
        <w:t xml:space="preserve">Additional data on the proportions of the population aged 15–74 years across all </w:t>
      </w:r>
      <w:proofErr w:type="spellStart"/>
      <w:r w:rsidRPr="00F368E9">
        <w:t>PIAAC</w:t>
      </w:r>
      <w:proofErr w:type="spellEnd"/>
      <w:r w:rsidRPr="00F368E9">
        <w:t xml:space="preserve"> literacy, numeracy, and </w:t>
      </w:r>
      <w:proofErr w:type="spellStart"/>
      <w:r w:rsidRPr="00F368E9">
        <w:t>PSTRE</w:t>
      </w:r>
      <w:proofErr w:type="spellEnd"/>
      <w:r w:rsidRPr="00F368E9">
        <w:t xml:space="preserve"> skill levels in 2011</w:t>
      </w:r>
      <w:r w:rsidR="00490B08">
        <w:noBreakHyphen/>
      </w:r>
      <w:r w:rsidRPr="00F368E9">
        <w:t xml:space="preserve">12 are also reported in </w:t>
      </w:r>
      <w:r w:rsidRPr="00F368E9">
        <w:br/>
        <w:t xml:space="preserve">tables </w:t>
      </w:r>
      <w:proofErr w:type="spellStart"/>
      <w:r w:rsidR="00EE483D" w:rsidRPr="003439FB">
        <w:t>BA.42</w:t>
      </w:r>
      <w:proofErr w:type="spellEnd"/>
      <w:r w:rsidR="00EE483D" w:rsidRPr="003439FB">
        <w:t>–44</w:t>
      </w:r>
      <w:r w:rsidRPr="00F368E9">
        <w:t>.</w:t>
      </w:r>
    </w:p>
    <w:p w:rsidR="00123191" w:rsidRPr="00F368E9" w:rsidRDefault="00264A34" w:rsidP="00123191">
      <w:pPr>
        <w:pStyle w:val="Heading2"/>
      </w:pPr>
      <w:bookmarkStart w:id="25" w:name="_Toc463245141"/>
      <w:proofErr w:type="spellStart"/>
      <w:r w:rsidRPr="00F368E9">
        <w:t>B.</w:t>
      </w:r>
      <w:r w:rsidR="001564B9">
        <w:rPr>
          <w:noProof/>
        </w:rPr>
        <w:t>3</w:t>
      </w:r>
      <w:proofErr w:type="spellEnd"/>
      <w:r w:rsidR="00123191" w:rsidRPr="00F368E9">
        <w:tab/>
        <w:t>Cross</w:t>
      </w:r>
      <w:r w:rsidR="00123191" w:rsidRPr="00F368E9">
        <w:noBreakHyphen/>
        <w:t>cutting and interface issues</w:t>
      </w:r>
      <w:bookmarkEnd w:id="25"/>
    </w:p>
    <w:p w:rsidR="00EE483D" w:rsidRPr="00EC6947" w:rsidRDefault="00EE483D" w:rsidP="00EE483D">
      <w:pPr>
        <w:pStyle w:val="BodyText"/>
      </w:pPr>
      <w:r w:rsidRPr="00EC6947">
        <w:t xml:space="preserve">Although this Report addresses three areas of education in separate chapters, </w:t>
      </w:r>
      <w:r>
        <w:t>research shows</w:t>
      </w:r>
      <w:r w:rsidRPr="00EC6947">
        <w:t xml:space="preserve"> many linkages between these services</w:t>
      </w:r>
      <w:r>
        <w:t xml:space="preserve"> </w:t>
      </w:r>
      <w:r w:rsidRPr="00EC6947">
        <w:t>across the lifespan.</w:t>
      </w:r>
    </w:p>
    <w:p w:rsidR="00EE483D" w:rsidRPr="00EC6947" w:rsidRDefault="00EE483D" w:rsidP="00EE483D">
      <w:pPr>
        <w:pStyle w:val="ListBullet"/>
      </w:pPr>
      <w:r>
        <w:t>P</w:t>
      </w:r>
      <w:r w:rsidRPr="00EC6947">
        <w:t xml:space="preserve">articipation in quality </w:t>
      </w:r>
      <w:proofErr w:type="spellStart"/>
      <w:r w:rsidRPr="00EC6947">
        <w:t>ECEC</w:t>
      </w:r>
      <w:proofErr w:type="spellEnd"/>
      <w:r w:rsidRPr="00EC6947">
        <w:t xml:space="preserve"> impacts beneficially upon children’s educational and social development (Ramey et al. 2012; Tayler et al. 2013).</w:t>
      </w:r>
    </w:p>
    <w:p w:rsidR="00EE483D" w:rsidRPr="00EC6947" w:rsidRDefault="00EE483D" w:rsidP="00EE483D">
      <w:pPr>
        <w:pStyle w:val="ListBullet"/>
      </w:pPr>
      <w:r w:rsidRPr="00EC6947">
        <w:t xml:space="preserve">Engagement in school influences a child’s prospects of educational and occupational success, over and above his or her academic attainment and socioeconomic background. </w:t>
      </w:r>
      <w:r>
        <w:t>T</w:t>
      </w:r>
      <w:r w:rsidRPr="00EC6947">
        <w:t>he more children felt connected to their school community and felt engaged, the greater their likelihood of achieving a higher educational qualification and going on to a professional career</w:t>
      </w:r>
      <w:r w:rsidRPr="001B1E86">
        <w:t xml:space="preserve"> </w:t>
      </w:r>
      <w:r>
        <w:t>(</w:t>
      </w:r>
      <w:r w:rsidRPr="00EC6947">
        <w:t>Abbott</w:t>
      </w:r>
      <w:r w:rsidRPr="00EC6947">
        <w:noBreakHyphen/>
        <w:t>Chapman et al. 2013).</w:t>
      </w:r>
    </w:p>
    <w:p w:rsidR="00EE483D" w:rsidRPr="00EC6947" w:rsidRDefault="00EE483D" w:rsidP="00EE483D">
      <w:pPr>
        <w:pStyle w:val="ListBullet"/>
      </w:pPr>
      <w:r w:rsidRPr="00EC6947">
        <w:t xml:space="preserve">Completion of </w:t>
      </w:r>
      <w:r w:rsidRPr="00C10DB3">
        <w:rPr>
          <w:shd w:val="clear" w:color="auto" w:fill="FFFFFF" w:themeFill="background1"/>
        </w:rPr>
        <w:t>school is a predicator</w:t>
      </w:r>
      <w:r w:rsidRPr="00EC6947">
        <w:t xml:space="preserve"> of positive life outcomes. On average, young people who complete Year 12 tend to have more successful transitions from education to work than those who do not. Completion of senior secondary schooling </w:t>
      </w:r>
      <w:r>
        <w:t>provides</w:t>
      </w:r>
      <w:r w:rsidRPr="00EC6947">
        <w:t xml:space="preserve"> the best labour market outcomes, relative to other vocational education paths (Ryan 2011).</w:t>
      </w:r>
    </w:p>
    <w:p w:rsidR="00EE483D" w:rsidRPr="00EC6947" w:rsidRDefault="00EE483D" w:rsidP="00EE483D">
      <w:pPr>
        <w:pStyle w:val="ListBullet"/>
      </w:pPr>
      <w:r>
        <w:t>There are also</w:t>
      </w:r>
      <w:r w:rsidRPr="00EC6947">
        <w:t xml:space="preserve"> benefits of completing a VET qualification, compared to withdrawing before completion, </w:t>
      </w:r>
      <w:r>
        <w:t xml:space="preserve">in terms of </w:t>
      </w:r>
      <w:r w:rsidRPr="00EC6947">
        <w:t>students’ future employment prospects, occupational status, salary and further study options</w:t>
      </w:r>
      <w:r>
        <w:t xml:space="preserve"> (</w:t>
      </w:r>
      <w:proofErr w:type="spellStart"/>
      <w:r>
        <w:t>Karmel</w:t>
      </w:r>
      <w:proofErr w:type="spellEnd"/>
      <w:r>
        <w:t xml:space="preserve"> and Fieger </w:t>
      </w:r>
      <w:r w:rsidRPr="00EC6947">
        <w:t>2012).</w:t>
      </w:r>
    </w:p>
    <w:p w:rsidR="00123191" w:rsidRPr="00F368E9" w:rsidRDefault="00123191" w:rsidP="00123191">
      <w:pPr>
        <w:pStyle w:val="BodyText"/>
      </w:pPr>
      <w:r w:rsidRPr="00F368E9">
        <w:t>Research also identifies interrelationships between education and other government services.</w:t>
      </w:r>
    </w:p>
    <w:p w:rsidR="00123191" w:rsidRPr="00F368E9" w:rsidRDefault="00123191" w:rsidP="00123191">
      <w:pPr>
        <w:pStyle w:val="ListBullet"/>
      </w:pPr>
      <w:r w:rsidRPr="00F368E9">
        <w:t xml:space="preserve">The value of investment in </w:t>
      </w:r>
      <w:proofErr w:type="spellStart"/>
      <w:r w:rsidRPr="00F368E9">
        <w:t>ECEC</w:t>
      </w:r>
      <w:proofErr w:type="spellEnd"/>
      <w:r w:rsidRPr="00F368E9">
        <w:t xml:space="preserve"> shows sustained benefits beyond childhood, including government savings in the justice system (Reynolds et al. 2009).</w:t>
      </w:r>
    </w:p>
    <w:p w:rsidR="00EE483D" w:rsidRPr="00EE483D" w:rsidRDefault="00EE483D" w:rsidP="000832E4">
      <w:pPr>
        <w:pStyle w:val="ListBullet"/>
      </w:pPr>
      <w:r w:rsidRPr="00EE483D">
        <w:t xml:space="preserve">Higher levels of education are associated with health benefits. Cutler and </w:t>
      </w:r>
      <w:proofErr w:type="spellStart"/>
      <w:r w:rsidRPr="00EE483D">
        <w:t>Lleras</w:t>
      </w:r>
      <w:proofErr w:type="spellEnd"/>
      <w:r w:rsidRPr="00EE483D">
        <w:t xml:space="preserve"> </w:t>
      </w:r>
      <w:proofErr w:type="spellStart"/>
      <w:r w:rsidRPr="00EE483D">
        <w:t>Muney</w:t>
      </w:r>
      <w:proofErr w:type="spellEnd"/>
      <w:r w:rsidRPr="00EE483D">
        <w:t xml:space="preserve"> (2007) found a clear association between education and health. Whilst the mechanisms by which education influences health are likely to be complex, there is a direct relationship</w:t>
      </w:r>
      <w:r w:rsidR="009F6D26">
        <w:t xml:space="preserve"> </w:t>
      </w:r>
      <w:r w:rsidRPr="00EE483D">
        <w:t>— better educated individuals have more positive health outcomes. This association remains significant even after controlling for other factors.</w:t>
      </w:r>
    </w:p>
    <w:p w:rsidR="00123191" w:rsidRPr="00F368E9" w:rsidRDefault="00123191" w:rsidP="00123191">
      <w:pPr>
        <w:pStyle w:val="ListBullet"/>
      </w:pPr>
      <w:r w:rsidRPr="00F368E9">
        <w:t>Education can also reduce the likelihood of social exclusion, and thus reduce reliance on government and community services. Social exclusion comprises a lack of material resources, unemployment, poor health and disability, and limited social connections and interactions. Early school leavers, and people who have Certificate II level as their highest qualification, suffer from social exclusion to a greater degree than those with higher levels of educational attainment (</w:t>
      </w:r>
      <w:proofErr w:type="spellStart"/>
      <w:r w:rsidRPr="00F368E9">
        <w:t>Buddelmeyer</w:t>
      </w:r>
      <w:proofErr w:type="spellEnd"/>
      <w:r w:rsidRPr="00F368E9">
        <w:t xml:space="preserve"> et al. 2012).</w:t>
      </w:r>
    </w:p>
    <w:p w:rsidR="008B55A6" w:rsidRPr="00F368E9" w:rsidRDefault="00264A34" w:rsidP="008B55A6">
      <w:pPr>
        <w:pStyle w:val="Heading2"/>
      </w:pPr>
      <w:bookmarkStart w:id="26" w:name="_Toc443391283"/>
      <w:bookmarkStart w:id="27" w:name="_Toc450729660"/>
      <w:bookmarkStart w:id="28" w:name="_Toc456775996"/>
      <w:bookmarkStart w:id="29" w:name="_Toc456776026"/>
      <w:bookmarkStart w:id="30" w:name="_Toc463245142"/>
      <w:proofErr w:type="spellStart"/>
      <w:r w:rsidRPr="00F368E9">
        <w:lastRenderedPageBreak/>
        <w:t>B.</w:t>
      </w:r>
      <w:r w:rsidR="001564B9">
        <w:rPr>
          <w:noProof/>
        </w:rPr>
        <w:t>4</w:t>
      </w:r>
      <w:proofErr w:type="spellEnd"/>
      <w:r w:rsidR="00FF27ED" w:rsidRPr="00F368E9">
        <w:tab/>
      </w:r>
      <w:bookmarkEnd w:id="26"/>
      <w:bookmarkEnd w:id="27"/>
      <w:bookmarkEnd w:id="28"/>
      <w:bookmarkEnd w:id="29"/>
      <w:r w:rsidR="00D33DB6" w:rsidRPr="00F368E9">
        <w:t>References</w:t>
      </w:r>
      <w:bookmarkEnd w:id="30"/>
    </w:p>
    <w:p w:rsidR="00AA7159" w:rsidRPr="000E36BA" w:rsidRDefault="00AA7159" w:rsidP="00103233">
      <w:pPr>
        <w:pStyle w:val="Reference"/>
      </w:pPr>
      <w:r w:rsidRPr="000E36BA">
        <w:t>Abbott</w:t>
      </w:r>
      <w:r w:rsidR="000117A0" w:rsidRPr="000E36BA">
        <w:noBreakHyphen/>
      </w:r>
      <w:r w:rsidRPr="000E36BA">
        <w:t xml:space="preserve">Chapman, J., Martin, K., </w:t>
      </w:r>
      <w:proofErr w:type="spellStart"/>
      <w:r w:rsidRPr="000E36BA">
        <w:t>Ol</w:t>
      </w:r>
      <w:r w:rsidR="00EE7717" w:rsidRPr="000E36BA">
        <w:t>lington</w:t>
      </w:r>
      <w:proofErr w:type="spellEnd"/>
      <w:r w:rsidR="00EE7717" w:rsidRPr="000E36BA">
        <w:t xml:space="preserve">, N. Venn, A. Dwyer, T. and </w:t>
      </w:r>
      <w:r w:rsidRPr="000E36BA">
        <w:t>Gall, S. 2013</w:t>
      </w:r>
      <w:r w:rsidR="00664FBD" w:rsidRPr="000E36BA">
        <w:t>, ‘T</w:t>
      </w:r>
      <w:r w:rsidRPr="000E36BA">
        <w:t>he longitudinal association of childhood school engagement with adult educational and occupational achievement: findings from an Australian national study</w:t>
      </w:r>
      <w:r w:rsidR="00664FBD" w:rsidRPr="000E36BA">
        <w:t>’</w:t>
      </w:r>
      <w:r w:rsidRPr="000E36BA">
        <w:t xml:space="preserve">, </w:t>
      </w:r>
      <w:r w:rsidR="00A51A5F" w:rsidRPr="000E36BA">
        <w:rPr>
          <w:i/>
        </w:rPr>
        <w:t>British Educational Research Journal</w:t>
      </w:r>
      <w:r w:rsidR="00C615B2" w:rsidRPr="000E36BA">
        <w:rPr>
          <w:i/>
        </w:rPr>
        <w:t>,</w:t>
      </w:r>
      <w:r w:rsidR="00355F63" w:rsidRPr="000E36BA">
        <w:rPr>
          <w:i/>
        </w:rPr>
        <w:t xml:space="preserve"> </w:t>
      </w:r>
      <w:r w:rsidR="00355F63" w:rsidRPr="000E36BA">
        <w:t>viewed 18</w:t>
      </w:r>
      <w:r w:rsidR="00490B08">
        <w:t> </w:t>
      </w:r>
      <w:r w:rsidR="00355F63" w:rsidRPr="000E36BA">
        <w:t>October 2013,</w:t>
      </w:r>
      <w:r w:rsidR="00103233" w:rsidRPr="000E36BA">
        <w:rPr>
          <w:i/>
        </w:rPr>
        <w:t xml:space="preserve"> </w:t>
      </w:r>
      <w:r w:rsidR="00355F63" w:rsidRPr="000E36BA">
        <w:rPr>
          <w:i/>
        </w:rPr>
        <w:t>&lt;</w:t>
      </w:r>
      <w:proofErr w:type="spellStart"/>
      <w:r w:rsidR="0063552A" w:rsidRPr="000E36BA">
        <w:t>www.</w:t>
      </w:r>
      <w:r w:rsidR="00C615B2" w:rsidRPr="000E36BA">
        <w:t>onlinelibrary.wiley.com</w:t>
      </w:r>
      <w:proofErr w:type="spellEnd"/>
      <w:r w:rsidR="00C615B2" w:rsidRPr="000E36BA">
        <w:t>/</w:t>
      </w:r>
      <w:proofErr w:type="spellStart"/>
      <w:r w:rsidR="00C615B2" w:rsidRPr="000E36BA">
        <w:t>doi</w:t>
      </w:r>
      <w:proofErr w:type="spellEnd"/>
      <w:r w:rsidR="000324BD" w:rsidRPr="000E36BA">
        <w:t>/</w:t>
      </w:r>
      <w:r w:rsidR="00103233" w:rsidRPr="000E36BA">
        <w:t>10.1002/</w:t>
      </w:r>
      <w:proofErr w:type="spellStart"/>
      <w:r w:rsidR="00103233" w:rsidRPr="000E36BA">
        <w:t>berj.3031</w:t>
      </w:r>
      <w:proofErr w:type="spellEnd"/>
      <w:r w:rsidR="00103233" w:rsidRPr="000E36BA">
        <w:t>/</w:t>
      </w:r>
      <w:r w:rsidR="00355F63" w:rsidRPr="000E36BA">
        <w:t>abstract&gt;.</w:t>
      </w:r>
    </w:p>
    <w:p w:rsidR="00AA7159" w:rsidRPr="000E36BA" w:rsidRDefault="00AA7159" w:rsidP="00103233">
      <w:pPr>
        <w:pStyle w:val="Reference"/>
      </w:pPr>
      <w:r w:rsidRPr="000E36BA">
        <w:t>Abbott</w:t>
      </w:r>
      <w:r w:rsidR="000117A0" w:rsidRPr="000E36BA">
        <w:noBreakHyphen/>
      </w:r>
      <w:r w:rsidRPr="000E36BA">
        <w:t>Chapman, J</w:t>
      </w:r>
      <w:r w:rsidR="00EE7717" w:rsidRPr="000E36BA">
        <w:t>.</w:t>
      </w:r>
      <w:r w:rsidRPr="000E36BA">
        <w:t xml:space="preserve"> 2011, </w:t>
      </w:r>
      <w:r w:rsidRPr="000E36BA">
        <w:rPr>
          <w:i/>
        </w:rPr>
        <w:t>Making the most of the mosaic: facilitating post</w:t>
      </w:r>
      <w:r w:rsidR="000117A0" w:rsidRPr="000E36BA">
        <w:rPr>
          <w:i/>
        </w:rPr>
        <w:noBreakHyphen/>
      </w:r>
      <w:r w:rsidRPr="000E36BA">
        <w:rPr>
          <w:i/>
        </w:rPr>
        <w:t xml:space="preserve">school transitions to higher education of disadvantaged students, </w:t>
      </w:r>
      <w:r w:rsidRPr="000E36BA">
        <w:t>The Australian Association for Research in Education</w:t>
      </w:r>
      <w:r w:rsidR="007D0F96" w:rsidRPr="000E36BA">
        <w:t>, vol.</w:t>
      </w:r>
      <w:r w:rsidR="00FD2320" w:rsidRPr="000E36BA">
        <w:t xml:space="preserve"> </w:t>
      </w:r>
      <w:r w:rsidRPr="000E36BA">
        <w:t>38</w:t>
      </w:r>
      <w:r w:rsidR="007D0F96" w:rsidRPr="000E36BA">
        <w:t>, pp.</w:t>
      </w:r>
      <w:r w:rsidR="00490B08">
        <w:t> </w:t>
      </w:r>
      <w:r w:rsidR="007D0F96" w:rsidRPr="000E36BA">
        <w:t>5</w:t>
      </w:r>
      <w:r w:rsidRPr="000E36BA">
        <w:t>7</w:t>
      </w:r>
      <w:r w:rsidR="009001F2" w:rsidRPr="000E36BA">
        <w:t>–</w:t>
      </w:r>
      <w:r w:rsidRPr="000E36BA">
        <w:t>71.</w:t>
      </w:r>
    </w:p>
    <w:p w:rsidR="00356B03" w:rsidRPr="00DB3EF3" w:rsidRDefault="00C14CA6" w:rsidP="00103233">
      <w:pPr>
        <w:pStyle w:val="Reference"/>
      </w:pPr>
      <w:r w:rsidRPr="00DB3EF3">
        <w:t>ABS (Australian Bureau of Statistics)</w:t>
      </w:r>
      <w:r w:rsidR="00FD2320" w:rsidRPr="00DB3EF3">
        <w:t> </w:t>
      </w:r>
      <w:proofErr w:type="spellStart"/>
      <w:r w:rsidR="00356B03" w:rsidRPr="00DB3EF3">
        <w:t>201</w:t>
      </w:r>
      <w:r w:rsidR="00C747F9" w:rsidRPr="00DB3EF3">
        <w:t>6</w:t>
      </w:r>
      <w:r w:rsidR="005B3E30" w:rsidRPr="00DB3EF3">
        <w:t>a</w:t>
      </w:r>
      <w:proofErr w:type="spellEnd"/>
      <w:r w:rsidR="0027418A" w:rsidRPr="00DB3EF3">
        <w:t xml:space="preserve">, </w:t>
      </w:r>
      <w:r w:rsidR="0027418A" w:rsidRPr="00DB3EF3">
        <w:rPr>
          <w:i/>
        </w:rPr>
        <w:t xml:space="preserve">Australian National Accounts: National Income, Expenditure and Product, Jun </w:t>
      </w:r>
      <w:r w:rsidR="00C747F9" w:rsidRPr="00DB3EF3">
        <w:rPr>
          <w:i/>
        </w:rPr>
        <w:t>6</w:t>
      </w:r>
      <w:r w:rsidR="00103233" w:rsidRPr="00DB3EF3">
        <w:t xml:space="preserve"> Cat. </w:t>
      </w:r>
      <w:r w:rsidR="0027418A" w:rsidRPr="00DB3EF3">
        <w:t>no.</w:t>
      </w:r>
      <w:r w:rsidR="00103233" w:rsidRPr="00DB3EF3">
        <w:t> </w:t>
      </w:r>
      <w:r w:rsidR="0027418A" w:rsidRPr="00DB3EF3">
        <w:t>5206.0, Canberra.</w:t>
      </w:r>
    </w:p>
    <w:p w:rsidR="00EA48A7" w:rsidRPr="000E36BA" w:rsidRDefault="005B3E30" w:rsidP="00103233">
      <w:pPr>
        <w:pStyle w:val="Reference"/>
      </w:pPr>
      <w:r w:rsidRPr="000E36BA">
        <w:t>—— </w:t>
      </w:r>
      <w:proofErr w:type="spellStart"/>
      <w:r w:rsidRPr="000E36BA">
        <w:t>201</w:t>
      </w:r>
      <w:r w:rsidR="006D4455" w:rsidRPr="000E36BA">
        <w:t>6</w:t>
      </w:r>
      <w:r w:rsidRPr="000E36BA">
        <w:t>b</w:t>
      </w:r>
      <w:proofErr w:type="spellEnd"/>
      <w:r w:rsidR="00EA48A7" w:rsidRPr="000E36BA">
        <w:t xml:space="preserve">, </w:t>
      </w:r>
      <w:r w:rsidR="00EA48A7" w:rsidRPr="000E36BA">
        <w:rPr>
          <w:i/>
        </w:rPr>
        <w:t xml:space="preserve">Labour Force, Australia, Detailed, Quarterly, May 2015, </w:t>
      </w:r>
      <w:r w:rsidR="00EA48A7" w:rsidRPr="000E36BA">
        <w:t>Cat. no. 6291.0.55.003, Canberra.</w:t>
      </w:r>
    </w:p>
    <w:p w:rsidR="0043098B" w:rsidRPr="00DB3EF3" w:rsidRDefault="00986D1A" w:rsidP="0043098B">
      <w:pPr>
        <w:pStyle w:val="Reference"/>
      </w:pPr>
      <w:proofErr w:type="spellStart"/>
      <w:r w:rsidRPr="00DB3EF3">
        <w:t>AIHW</w:t>
      </w:r>
      <w:proofErr w:type="spellEnd"/>
      <w:r w:rsidRPr="00DB3EF3">
        <w:t xml:space="preserve"> (Australian Institu</w:t>
      </w:r>
      <w:r w:rsidR="003F72D0" w:rsidRPr="00DB3EF3">
        <w:t>te of Health and Welfare)</w:t>
      </w:r>
      <w:r w:rsidR="00FD2320" w:rsidRPr="00DB3EF3">
        <w:t> </w:t>
      </w:r>
      <w:r w:rsidR="0043098B" w:rsidRPr="00DB3EF3">
        <w:t xml:space="preserve">2011, </w:t>
      </w:r>
      <w:r w:rsidR="0043098B" w:rsidRPr="00DB3EF3">
        <w:rPr>
          <w:i/>
        </w:rPr>
        <w:t xml:space="preserve">National outcome measures for early childhood development: development of an indicator based reporting framework, </w:t>
      </w:r>
      <w:r w:rsidR="00FD2320" w:rsidRPr="00DB3EF3">
        <w:t xml:space="preserve">Cat. no. </w:t>
      </w:r>
      <w:proofErr w:type="spellStart"/>
      <w:r w:rsidR="00FD2320" w:rsidRPr="00DB3EF3">
        <w:t>PHE</w:t>
      </w:r>
      <w:proofErr w:type="spellEnd"/>
      <w:r w:rsidR="00FD2320" w:rsidRPr="00DB3EF3">
        <w:t xml:space="preserve"> </w:t>
      </w:r>
      <w:r w:rsidR="0043098B" w:rsidRPr="00DB3EF3">
        <w:t>134, Canberra.</w:t>
      </w:r>
    </w:p>
    <w:p w:rsidR="004707BE" w:rsidRPr="000E36BA" w:rsidRDefault="004707BE" w:rsidP="00103233">
      <w:pPr>
        <w:pStyle w:val="Reference"/>
      </w:pPr>
      <w:r w:rsidRPr="000E36BA">
        <w:t>Australian Government Department of Education</w:t>
      </w:r>
      <w:r w:rsidR="00A82D34" w:rsidRPr="000E36BA">
        <w:t xml:space="preserve"> and Training </w:t>
      </w:r>
      <w:proofErr w:type="spellStart"/>
      <w:r w:rsidR="00A82D34" w:rsidRPr="000E36BA">
        <w:t>201</w:t>
      </w:r>
      <w:r w:rsidR="008B3ED8" w:rsidRPr="000E36BA">
        <w:t>6</w:t>
      </w:r>
      <w:r w:rsidR="00363167" w:rsidRPr="000E36BA">
        <w:t>a</w:t>
      </w:r>
      <w:proofErr w:type="spellEnd"/>
      <w:r w:rsidRPr="000E36BA">
        <w:t xml:space="preserve">, </w:t>
      </w:r>
      <w:r w:rsidR="00A25C36" w:rsidRPr="000E36BA">
        <w:t xml:space="preserve">Higher Education Statistics Collection, </w:t>
      </w:r>
      <w:r w:rsidRPr="000E36BA">
        <w:t>Higher Education Data Cube (</w:t>
      </w:r>
      <w:proofErr w:type="spellStart"/>
      <w:r w:rsidRPr="000E36BA">
        <w:t>uCube</w:t>
      </w:r>
      <w:proofErr w:type="spellEnd"/>
      <w:r w:rsidRPr="000E36BA">
        <w:t>)</w:t>
      </w:r>
      <w:r w:rsidR="008B3ED8" w:rsidRPr="000E36BA">
        <w:t>, viewed 15</w:t>
      </w:r>
      <w:r w:rsidR="00490B08">
        <w:t> </w:t>
      </w:r>
      <w:r w:rsidR="008B3ED8" w:rsidRPr="000E36BA">
        <w:t>September 2016</w:t>
      </w:r>
      <w:r w:rsidR="00077174" w:rsidRPr="000E36BA">
        <w:t>,</w:t>
      </w:r>
      <w:r w:rsidRPr="000E36BA">
        <w:t xml:space="preserve"> </w:t>
      </w:r>
      <w:r w:rsidR="00077174" w:rsidRPr="000E36BA">
        <w:t>&lt;</w:t>
      </w:r>
      <w:r w:rsidR="00A82D34" w:rsidRPr="000E36BA">
        <w:t>http://</w:t>
      </w:r>
      <w:proofErr w:type="spellStart"/>
      <w:r w:rsidRPr="000E36BA">
        <w:t>highereducationstatistics.</w:t>
      </w:r>
      <w:r w:rsidR="00CA06B7" w:rsidRPr="000E36BA">
        <w:t>education.gov.au</w:t>
      </w:r>
      <w:proofErr w:type="spellEnd"/>
      <w:r w:rsidR="00CA06B7" w:rsidRPr="000E36BA">
        <w:t>/</w:t>
      </w:r>
      <w:r w:rsidR="00077174" w:rsidRPr="000E36BA">
        <w:t>&gt;</w:t>
      </w:r>
      <w:r w:rsidRPr="000E36BA">
        <w:t>.</w:t>
      </w:r>
    </w:p>
    <w:p w:rsidR="0030358A" w:rsidRPr="000E36BA" w:rsidRDefault="0030358A" w:rsidP="0030358A">
      <w:pPr>
        <w:pStyle w:val="Reference"/>
      </w:pPr>
      <w:r w:rsidRPr="000E36BA">
        <w:t>—— </w:t>
      </w:r>
      <w:proofErr w:type="spellStart"/>
      <w:r w:rsidRPr="000E36BA">
        <w:t>201</w:t>
      </w:r>
      <w:r w:rsidR="00D20D12" w:rsidRPr="000E36BA">
        <w:t>6</w:t>
      </w:r>
      <w:r w:rsidRPr="000E36BA">
        <w:t>b</w:t>
      </w:r>
      <w:proofErr w:type="spellEnd"/>
      <w:r w:rsidRPr="000E36BA">
        <w:t xml:space="preserve">, </w:t>
      </w:r>
      <w:r w:rsidRPr="000E36BA">
        <w:rPr>
          <w:i/>
        </w:rPr>
        <w:t>Selected Higher Education Statistics</w:t>
      </w:r>
      <w:r w:rsidRPr="000E36BA">
        <w:t xml:space="preserve"> –</w:t>
      </w:r>
      <w:r w:rsidRPr="000E36BA">
        <w:rPr>
          <w:i/>
        </w:rPr>
        <w:t xml:space="preserve"> 2014 Staff Data,</w:t>
      </w:r>
      <w:r w:rsidRPr="000E36BA">
        <w:t xml:space="preserve"> Canberra.</w:t>
      </w:r>
    </w:p>
    <w:p w:rsidR="00AA7159" w:rsidRPr="00DB3EF3" w:rsidRDefault="00AA7159" w:rsidP="00103233">
      <w:pPr>
        <w:pStyle w:val="Reference"/>
      </w:pPr>
      <w:proofErr w:type="spellStart"/>
      <w:r w:rsidRPr="00DB3EF3">
        <w:t>Buddelmeyer</w:t>
      </w:r>
      <w:proofErr w:type="spellEnd"/>
      <w:r w:rsidRPr="00DB3EF3">
        <w:t>,</w:t>
      </w:r>
      <w:r w:rsidR="00EC15B7" w:rsidRPr="00DB3EF3">
        <w:t xml:space="preserve"> H.,</w:t>
      </w:r>
      <w:r w:rsidRPr="00DB3EF3">
        <w:t xml:space="preserve"> Leung,</w:t>
      </w:r>
      <w:r w:rsidR="00EC15B7" w:rsidRPr="00DB3EF3">
        <w:t xml:space="preserve"> F. and</w:t>
      </w:r>
      <w:r w:rsidRPr="00DB3EF3">
        <w:t xml:space="preserve"> Scutella</w:t>
      </w:r>
      <w:r w:rsidR="00EC15B7" w:rsidRPr="00DB3EF3">
        <w:t xml:space="preserve">, R. </w:t>
      </w:r>
      <w:r w:rsidRPr="00DB3EF3">
        <w:t>2012</w:t>
      </w:r>
      <w:r w:rsidR="00EC15B7" w:rsidRPr="00DB3EF3">
        <w:t xml:space="preserve">, </w:t>
      </w:r>
      <w:r w:rsidRPr="00DB3EF3">
        <w:rPr>
          <w:i/>
        </w:rPr>
        <w:t>Educating</w:t>
      </w:r>
      <w:r w:rsidR="00EC15B7" w:rsidRPr="00DB3EF3">
        <w:rPr>
          <w:i/>
        </w:rPr>
        <w:t xml:space="preserve"> oneself out of social exclusion</w:t>
      </w:r>
      <w:r w:rsidR="00EC15B7" w:rsidRPr="00DB3EF3">
        <w:t xml:space="preserve">, </w:t>
      </w:r>
      <w:proofErr w:type="spellStart"/>
      <w:r w:rsidR="00EC15B7" w:rsidRPr="00DB3EF3">
        <w:t>NCVER</w:t>
      </w:r>
      <w:proofErr w:type="spellEnd"/>
      <w:r w:rsidR="00EC15B7" w:rsidRPr="00DB3EF3">
        <w:t>, Adelaide.</w:t>
      </w:r>
    </w:p>
    <w:p w:rsidR="00AA7159" w:rsidRPr="00DB3EF3" w:rsidRDefault="00AA7159" w:rsidP="00103233">
      <w:pPr>
        <w:pStyle w:val="Reference"/>
      </w:pPr>
      <w:r w:rsidRPr="00DB3EF3">
        <w:t xml:space="preserve">Cutler, D. and </w:t>
      </w:r>
      <w:proofErr w:type="spellStart"/>
      <w:r w:rsidRPr="00DB3EF3">
        <w:t>Lleras</w:t>
      </w:r>
      <w:r w:rsidR="000117A0" w:rsidRPr="00DB3EF3">
        <w:noBreakHyphen/>
      </w:r>
      <w:r w:rsidRPr="00DB3EF3">
        <w:t>Muney</w:t>
      </w:r>
      <w:proofErr w:type="spellEnd"/>
      <w:r w:rsidRPr="00DB3EF3">
        <w:t>, A. 2007</w:t>
      </w:r>
      <w:r w:rsidR="00956E7B" w:rsidRPr="00DB3EF3">
        <w:t>,</w:t>
      </w:r>
      <w:r w:rsidRPr="00DB3EF3">
        <w:t xml:space="preserve"> </w:t>
      </w:r>
      <w:r w:rsidRPr="00DB3EF3">
        <w:rPr>
          <w:i/>
        </w:rPr>
        <w:t>Education and Health</w:t>
      </w:r>
      <w:r w:rsidR="00103233" w:rsidRPr="00DB3EF3">
        <w:t>, Policy Brief no. </w:t>
      </w:r>
      <w:r w:rsidRPr="00DB3EF3">
        <w:t>9, National Poverty Centre</w:t>
      </w:r>
      <w:r w:rsidR="00734300" w:rsidRPr="00DB3EF3">
        <w:t>, University of Michigan</w:t>
      </w:r>
      <w:r w:rsidR="006F41B0" w:rsidRPr="00DB3EF3">
        <w:t>.</w:t>
      </w:r>
    </w:p>
    <w:p w:rsidR="00D136E7" w:rsidRPr="000E36BA" w:rsidRDefault="00D136E7" w:rsidP="00103233">
      <w:pPr>
        <w:pStyle w:val="Reference"/>
      </w:pPr>
      <w:proofErr w:type="spellStart"/>
      <w:r w:rsidRPr="000E36BA">
        <w:t>Gemici</w:t>
      </w:r>
      <w:proofErr w:type="spellEnd"/>
      <w:r w:rsidRPr="000E36BA">
        <w:t xml:space="preserve">, S., </w:t>
      </w:r>
      <w:proofErr w:type="spellStart"/>
      <w:r w:rsidRPr="000E36BA">
        <w:t>Bednarz</w:t>
      </w:r>
      <w:proofErr w:type="spellEnd"/>
      <w:r w:rsidRPr="000E36BA">
        <w:t xml:space="preserve">, A., </w:t>
      </w:r>
      <w:proofErr w:type="spellStart"/>
      <w:r w:rsidRPr="000E36BA">
        <w:t>Karmel</w:t>
      </w:r>
      <w:proofErr w:type="spellEnd"/>
      <w:r w:rsidRPr="000E36BA">
        <w:t xml:space="preserve">, T. and Lim, P. 2014, </w:t>
      </w:r>
      <w:r w:rsidRPr="000E36BA">
        <w:rPr>
          <w:i/>
        </w:rPr>
        <w:t>The factors affecting the educational and occupational aspirations of young Australians,</w:t>
      </w:r>
      <w:r w:rsidRPr="000E36BA">
        <w:t xml:space="preserve"> </w:t>
      </w:r>
      <w:proofErr w:type="spellStart"/>
      <w:r w:rsidRPr="000E36BA">
        <w:t>NCVER</w:t>
      </w:r>
      <w:proofErr w:type="spellEnd"/>
      <w:r w:rsidRPr="000E36BA">
        <w:t>, Adelaide.</w:t>
      </w:r>
    </w:p>
    <w:p w:rsidR="00D136E7" w:rsidRPr="000E36BA" w:rsidRDefault="00D136E7" w:rsidP="00103233">
      <w:pPr>
        <w:pStyle w:val="Reference"/>
      </w:pPr>
      <w:proofErr w:type="spellStart"/>
      <w:r w:rsidRPr="000E36BA">
        <w:t>Homel</w:t>
      </w:r>
      <w:proofErr w:type="spellEnd"/>
      <w:r w:rsidRPr="000E36BA">
        <w:t xml:space="preserve">, J. and Ryan, C. 2014, </w:t>
      </w:r>
      <w:r w:rsidRPr="000E36BA">
        <w:rPr>
          <w:i/>
        </w:rPr>
        <w:t>Educational outcomes: the impact of aspirations and the role of student background characteristics,</w:t>
      </w:r>
      <w:r w:rsidRPr="000E36BA">
        <w:t xml:space="preserve"> </w:t>
      </w:r>
      <w:proofErr w:type="spellStart"/>
      <w:r w:rsidRPr="000E36BA">
        <w:t>NCVER</w:t>
      </w:r>
      <w:proofErr w:type="spellEnd"/>
      <w:r w:rsidRPr="000E36BA">
        <w:t>, Adelaide.</w:t>
      </w:r>
    </w:p>
    <w:p w:rsidR="007C5D9C" w:rsidRPr="000E36BA" w:rsidRDefault="007C5D9C" w:rsidP="00103233">
      <w:pPr>
        <w:pStyle w:val="Reference"/>
      </w:pPr>
      <w:proofErr w:type="spellStart"/>
      <w:r w:rsidRPr="000E36BA">
        <w:t>Jackiewicz</w:t>
      </w:r>
      <w:proofErr w:type="spellEnd"/>
      <w:r w:rsidRPr="000E36BA">
        <w:t xml:space="preserve">, S., </w:t>
      </w:r>
      <w:proofErr w:type="spellStart"/>
      <w:r w:rsidRPr="000E36BA">
        <w:t>Saggers</w:t>
      </w:r>
      <w:proofErr w:type="spellEnd"/>
      <w:r w:rsidRPr="000E36BA">
        <w:t>, S. and Frances, K. 2011, Equity of access: Requirements of Indigenous families and communities to ensure equitable access to government</w:t>
      </w:r>
      <w:r w:rsidR="000117A0" w:rsidRPr="000E36BA">
        <w:noBreakHyphen/>
      </w:r>
      <w:r w:rsidRPr="000E36BA">
        <w:t xml:space="preserve">approved childcare settings in Australia, </w:t>
      </w:r>
      <w:r w:rsidRPr="000E36BA">
        <w:rPr>
          <w:i/>
        </w:rPr>
        <w:t>Australasian Journal of Early Childhood</w:t>
      </w:r>
      <w:r w:rsidR="00103233" w:rsidRPr="000E36BA">
        <w:t>, vol. </w:t>
      </w:r>
      <w:r w:rsidRPr="000E36BA">
        <w:t>36, no.</w:t>
      </w:r>
      <w:r w:rsidR="00103233" w:rsidRPr="000E36BA">
        <w:t> </w:t>
      </w:r>
      <w:r w:rsidRPr="000E36BA">
        <w:t>3, pp.</w:t>
      </w:r>
      <w:r w:rsidR="009001F2" w:rsidRPr="000E36BA">
        <w:t> </w:t>
      </w:r>
      <w:r w:rsidRPr="000E36BA">
        <w:t>100</w:t>
      </w:r>
      <w:r w:rsidR="009001F2" w:rsidRPr="000E36BA">
        <w:t>–</w:t>
      </w:r>
      <w:r w:rsidRPr="000E36BA">
        <w:t>108.</w:t>
      </w:r>
    </w:p>
    <w:p w:rsidR="00AA7159" w:rsidRPr="00DB3EF3" w:rsidRDefault="00AA7159" w:rsidP="00103233">
      <w:pPr>
        <w:pStyle w:val="Reference"/>
      </w:pPr>
      <w:proofErr w:type="spellStart"/>
      <w:r w:rsidRPr="00DB3EF3">
        <w:t>Karmel</w:t>
      </w:r>
      <w:proofErr w:type="spellEnd"/>
      <w:r w:rsidRPr="00DB3EF3">
        <w:t>, T. and Fieger, P. 2012</w:t>
      </w:r>
      <w:r w:rsidR="005C0AF2" w:rsidRPr="00DB3EF3">
        <w:t>,</w:t>
      </w:r>
      <w:r w:rsidRPr="00DB3EF3">
        <w:t xml:space="preserve"> </w:t>
      </w:r>
      <w:r w:rsidRPr="00DB3EF3">
        <w:rPr>
          <w:i/>
        </w:rPr>
        <w:t>The value of completing a VET qualification</w:t>
      </w:r>
      <w:r w:rsidR="005C0AF2" w:rsidRPr="00DB3EF3">
        <w:rPr>
          <w:i/>
        </w:rPr>
        <w:t>,</w:t>
      </w:r>
      <w:r w:rsidR="000117A0" w:rsidRPr="00DB3EF3">
        <w:rPr>
          <w:i/>
        </w:rPr>
        <w:t xml:space="preserve"> </w:t>
      </w:r>
      <w:proofErr w:type="spellStart"/>
      <w:r w:rsidR="005C0AF2" w:rsidRPr="00DB3EF3">
        <w:t>NCVER</w:t>
      </w:r>
      <w:proofErr w:type="spellEnd"/>
      <w:r w:rsidR="005C0AF2" w:rsidRPr="00DB3EF3">
        <w:t>, Adelaide.</w:t>
      </w:r>
    </w:p>
    <w:p w:rsidR="003D2E27" w:rsidRPr="00DB3EF3" w:rsidRDefault="00D15368" w:rsidP="00103233">
      <w:pPr>
        <w:pStyle w:val="Reference"/>
      </w:pPr>
      <w:proofErr w:type="spellStart"/>
      <w:r w:rsidRPr="00DB3EF3">
        <w:t>McTurk</w:t>
      </w:r>
      <w:proofErr w:type="spellEnd"/>
      <w:r w:rsidRPr="00DB3EF3">
        <w:t xml:space="preserve">, </w:t>
      </w:r>
      <w:r w:rsidR="00961153" w:rsidRPr="00DB3EF3">
        <w:t xml:space="preserve">N., Tess, L., Robinson, G., </w:t>
      </w:r>
      <w:proofErr w:type="spellStart"/>
      <w:r w:rsidR="00961153" w:rsidRPr="00DB3EF3">
        <w:t>Nutton</w:t>
      </w:r>
      <w:proofErr w:type="spellEnd"/>
      <w:r w:rsidR="00961153" w:rsidRPr="00DB3EF3">
        <w:t>, G.</w:t>
      </w:r>
      <w:r w:rsidR="00D608E7" w:rsidRPr="00DB3EF3">
        <w:t xml:space="preserve"> and </w:t>
      </w:r>
      <w:proofErr w:type="spellStart"/>
      <w:r w:rsidR="00961153" w:rsidRPr="00DB3EF3">
        <w:t>Carapetis</w:t>
      </w:r>
      <w:proofErr w:type="spellEnd"/>
      <w:r w:rsidR="00D608E7" w:rsidRPr="00DB3EF3">
        <w:t xml:space="preserve"> J. R. </w:t>
      </w:r>
      <w:r w:rsidR="003D2E27" w:rsidRPr="00DB3EF3">
        <w:t xml:space="preserve">2011, </w:t>
      </w:r>
      <w:r w:rsidR="007D0F96" w:rsidRPr="00DB3EF3">
        <w:t>‘</w:t>
      </w:r>
      <w:r w:rsidR="003D2E27" w:rsidRPr="00DB3EF3">
        <w:t>Defining and assessing the school readiness of Indigenous Australian children</w:t>
      </w:r>
      <w:r w:rsidR="007D0F96" w:rsidRPr="00DB3EF3">
        <w:t>’</w:t>
      </w:r>
      <w:r w:rsidR="003D2E27" w:rsidRPr="00DB3EF3">
        <w:rPr>
          <w:i/>
        </w:rPr>
        <w:t>, Australasian Journal of Early Childhood</w:t>
      </w:r>
      <w:r w:rsidR="003D2E27" w:rsidRPr="00DB3EF3">
        <w:t xml:space="preserve">, </w:t>
      </w:r>
      <w:r w:rsidR="005C0AF2" w:rsidRPr="00DB3EF3">
        <w:t>vol.</w:t>
      </w:r>
      <w:r w:rsidR="00103233" w:rsidRPr="00DB3EF3">
        <w:t> </w:t>
      </w:r>
      <w:r w:rsidR="003D2E27" w:rsidRPr="00DB3EF3">
        <w:t>36</w:t>
      </w:r>
      <w:r w:rsidR="005C0AF2" w:rsidRPr="00DB3EF3">
        <w:t>, no.</w:t>
      </w:r>
      <w:r w:rsidR="00103233" w:rsidRPr="00DB3EF3">
        <w:t> </w:t>
      </w:r>
      <w:r w:rsidR="003D2E27" w:rsidRPr="00DB3EF3">
        <w:t>1</w:t>
      </w:r>
      <w:r w:rsidR="005C0AF2" w:rsidRPr="00DB3EF3">
        <w:t>, pp.</w:t>
      </w:r>
      <w:r w:rsidR="009001F2" w:rsidRPr="00DB3EF3">
        <w:t> </w:t>
      </w:r>
      <w:r w:rsidR="003D2E27" w:rsidRPr="00DB3EF3">
        <w:t>69</w:t>
      </w:r>
      <w:r w:rsidR="009001F2" w:rsidRPr="00DB3EF3">
        <w:t>–</w:t>
      </w:r>
      <w:r w:rsidR="003D2E27" w:rsidRPr="00DB3EF3">
        <w:t>76.</w:t>
      </w:r>
    </w:p>
    <w:p w:rsidR="008B2FBF" w:rsidRPr="000E36BA" w:rsidRDefault="00B206D4" w:rsidP="00103233">
      <w:pPr>
        <w:pStyle w:val="Reference"/>
      </w:pPr>
      <w:r w:rsidRPr="000E36BA">
        <w:lastRenderedPageBreak/>
        <w:t xml:space="preserve">Murray, </w:t>
      </w:r>
      <w:r w:rsidR="008B2FBF" w:rsidRPr="000E36BA">
        <w:t>J</w:t>
      </w:r>
      <w:r w:rsidR="00800D95">
        <w:t>.</w:t>
      </w:r>
      <w:r w:rsidR="008B2FBF" w:rsidRPr="000E36BA">
        <w:t xml:space="preserve"> 2009</w:t>
      </w:r>
      <w:r w:rsidR="008B2FBF" w:rsidRPr="000E36BA">
        <w:rPr>
          <w:i/>
        </w:rPr>
        <w:t xml:space="preserve"> </w:t>
      </w:r>
      <w:r w:rsidR="007D0F96" w:rsidRPr="000E36BA">
        <w:rPr>
          <w:i/>
        </w:rPr>
        <w:t>‘</w:t>
      </w:r>
      <w:r w:rsidR="008B2FBF" w:rsidRPr="000E36BA">
        <w:t>The wider social benefits of higher education: What do we know about them?</w:t>
      </w:r>
      <w:r w:rsidR="007D0F96" w:rsidRPr="000E36BA">
        <w:t>’</w:t>
      </w:r>
      <w:r w:rsidR="008B2FBF" w:rsidRPr="000E36BA">
        <w:t xml:space="preserve">, </w:t>
      </w:r>
      <w:r w:rsidR="008B2FBF" w:rsidRPr="000E36BA">
        <w:rPr>
          <w:i/>
        </w:rPr>
        <w:t>Australian Journal of Education</w:t>
      </w:r>
      <w:r w:rsidR="008B2FBF" w:rsidRPr="000E36BA">
        <w:t xml:space="preserve">, </w:t>
      </w:r>
      <w:r w:rsidR="00103233" w:rsidRPr="000E36BA">
        <w:t>vol. </w:t>
      </w:r>
      <w:r w:rsidR="008B2FBF" w:rsidRPr="000E36BA">
        <w:t>53</w:t>
      </w:r>
      <w:r w:rsidR="005C0AF2" w:rsidRPr="000E36BA">
        <w:t>, no.</w:t>
      </w:r>
      <w:r w:rsidR="00103233" w:rsidRPr="000E36BA">
        <w:t> </w:t>
      </w:r>
      <w:r w:rsidR="008B2FBF" w:rsidRPr="000E36BA">
        <w:t xml:space="preserve">3, </w:t>
      </w:r>
      <w:r w:rsidR="005C0AF2" w:rsidRPr="000E36BA">
        <w:t>pp.</w:t>
      </w:r>
      <w:r w:rsidR="009001F2" w:rsidRPr="000E36BA">
        <w:t> </w:t>
      </w:r>
      <w:r w:rsidR="008B2FBF" w:rsidRPr="000E36BA">
        <w:t>230</w:t>
      </w:r>
      <w:r w:rsidR="009001F2" w:rsidRPr="000E36BA">
        <w:t>–</w:t>
      </w:r>
      <w:r w:rsidR="00D77542" w:rsidRPr="000E36BA">
        <w:t>244.</w:t>
      </w:r>
    </w:p>
    <w:p w:rsidR="00192163" w:rsidRPr="00DB3EF3" w:rsidRDefault="00C14CA6" w:rsidP="00103233">
      <w:pPr>
        <w:pStyle w:val="Reference"/>
      </w:pPr>
      <w:r w:rsidRPr="00DB3EF3">
        <w:t>OECD (Organisation for Economic Co</w:t>
      </w:r>
      <w:r w:rsidR="000117A0" w:rsidRPr="00DB3EF3">
        <w:noBreakHyphen/>
      </w:r>
      <w:r w:rsidRPr="00DB3EF3">
        <w:t>operation and Development)</w:t>
      </w:r>
      <w:r w:rsidR="00490B08">
        <w:t xml:space="preserve"> </w:t>
      </w:r>
      <w:r w:rsidR="00192163" w:rsidRPr="00DB3EF3">
        <w:t xml:space="preserve">2013, </w:t>
      </w:r>
      <w:r w:rsidR="00192163" w:rsidRPr="00DB3EF3">
        <w:rPr>
          <w:i/>
        </w:rPr>
        <w:t>Education at a Glance: OECD indicators 2013</w:t>
      </w:r>
      <w:r w:rsidR="00192163" w:rsidRPr="00DB3EF3">
        <w:t>, France.</w:t>
      </w:r>
    </w:p>
    <w:p w:rsidR="000C7FE9" w:rsidRPr="000E36BA" w:rsidRDefault="000C7FE9" w:rsidP="00103233">
      <w:pPr>
        <w:pStyle w:val="Reference"/>
      </w:pPr>
      <w:r w:rsidRPr="000E36BA">
        <w:t>PC (Productivity Commission)</w:t>
      </w:r>
      <w:r w:rsidR="00FD2320" w:rsidRPr="000E36BA">
        <w:t> </w:t>
      </w:r>
      <w:r w:rsidRPr="000E36BA">
        <w:t xml:space="preserve">2011, </w:t>
      </w:r>
      <w:r w:rsidRPr="000E36BA">
        <w:rPr>
          <w:i/>
        </w:rPr>
        <w:t xml:space="preserve">Vocational Education and Training Workforce, </w:t>
      </w:r>
      <w:r w:rsidR="006F41B0" w:rsidRPr="000E36BA">
        <w:t>Research Report, Canberra.</w:t>
      </w:r>
    </w:p>
    <w:p w:rsidR="003F72D0" w:rsidRPr="000E36BA" w:rsidRDefault="003F72D0" w:rsidP="00445AEB">
      <w:pPr>
        <w:pStyle w:val="Reference"/>
      </w:pPr>
      <w:bookmarkStart w:id="31" w:name="OLE_LINK20"/>
      <w:r w:rsidRPr="000E36BA">
        <w:t xml:space="preserve">Purdie, N. and Buckley, S. 2010, </w:t>
      </w:r>
      <w:r w:rsidRPr="000E36BA">
        <w:rPr>
          <w:i/>
        </w:rPr>
        <w:t xml:space="preserve">School attendance and retention of Indigenous Australian students, </w:t>
      </w:r>
      <w:r w:rsidRPr="000E36BA">
        <w:t xml:space="preserve">Issues Paper No. 1 produced for the Closing the Gap Clearinghouse, Cat no. </w:t>
      </w:r>
      <w:proofErr w:type="spellStart"/>
      <w:r w:rsidRPr="000E36BA">
        <w:t>IHW</w:t>
      </w:r>
      <w:proofErr w:type="spellEnd"/>
      <w:r w:rsidRPr="000E36BA">
        <w:t xml:space="preserve"> 33 ISBN 979</w:t>
      </w:r>
      <w:r w:rsidR="00490B08">
        <w:noBreakHyphen/>
      </w:r>
      <w:r w:rsidRPr="000E36BA">
        <w:t>1</w:t>
      </w:r>
      <w:r w:rsidR="00490B08">
        <w:noBreakHyphen/>
      </w:r>
      <w:r w:rsidRPr="000E36BA">
        <w:t>74249</w:t>
      </w:r>
      <w:r w:rsidR="00490B08">
        <w:noBreakHyphen/>
      </w:r>
      <w:r w:rsidRPr="000E36BA">
        <w:t>060</w:t>
      </w:r>
      <w:r w:rsidR="00490B08">
        <w:noBreakHyphen/>
      </w:r>
      <w:r w:rsidRPr="000E36BA">
        <w:t>1, Canberra.</w:t>
      </w:r>
    </w:p>
    <w:p w:rsidR="00AA7159" w:rsidRPr="00DB3EF3" w:rsidRDefault="00AA7159" w:rsidP="00445AEB">
      <w:pPr>
        <w:pStyle w:val="Reference"/>
      </w:pPr>
      <w:r w:rsidRPr="00DB3EF3">
        <w:t>Ramey, C. T., Sparling, J. J.</w:t>
      </w:r>
      <w:r w:rsidR="005C0AF2" w:rsidRPr="00DB3EF3">
        <w:t xml:space="preserve"> and</w:t>
      </w:r>
      <w:r w:rsidRPr="00DB3EF3">
        <w:t xml:space="preserve"> Ramey, S. L. 2012</w:t>
      </w:r>
      <w:r w:rsidR="005C0AF2" w:rsidRPr="00DB3EF3">
        <w:t>,</w:t>
      </w:r>
      <w:r w:rsidRPr="00DB3EF3">
        <w:t xml:space="preserve"> </w:t>
      </w:r>
      <w:r w:rsidRPr="00DB3EF3">
        <w:rPr>
          <w:i/>
        </w:rPr>
        <w:t>Abecedarian: The ideas, the approach, and the findings</w:t>
      </w:r>
      <w:r w:rsidR="005C0AF2" w:rsidRPr="00DB3EF3">
        <w:rPr>
          <w:i/>
        </w:rPr>
        <w:t>,</w:t>
      </w:r>
      <w:r w:rsidRPr="00DB3EF3">
        <w:t xml:space="preserve"> Los Altos</w:t>
      </w:r>
      <w:r w:rsidR="005C0AF2" w:rsidRPr="00DB3EF3">
        <w:t xml:space="preserve">, CA: </w:t>
      </w:r>
      <w:proofErr w:type="spellStart"/>
      <w:r w:rsidR="005C0AF2" w:rsidRPr="00DB3EF3">
        <w:t>Sociometrics</w:t>
      </w:r>
      <w:proofErr w:type="spellEnd"/>
      <w:r w:rsidR="005C0AF2" w:rsidRPr="00DB3EF3">
        <w:t xml:space="preserve"> Corporation.</w:t>
      </w:r>
    </w:p>
    <w:p w:rsidR="00EE7717" w:rsidRPr="00DB3EF3" w:rsidRDefault="00EE7717" w:rsidP="00103233">
      <w:pPr>
        <w:pStyle w:val="Reference"/>
        <w:rPr>
          <w:i/>
        </w:rPr>
      </w:pPr>
      <w:r w:rsidRPr="00DB3EF3">
        <w:t xml:space="preserve">Reynolds, A. J., Temple, J. A., and White, B. A. 2009, </w:t>
      </w:r>
      <w:r w:rsidRPr="00DB3EF3">
        <w:rPr>
          <w:i/>
        </w:rPr>
        <w:t>Cost</w:t>
      </w:r>
      <w:r w:rsidR="000117A0" w:rsidRPr="00DB3EF3">
        <w:rPr>
          <w:i/>
        </w:rPr>
        <w:noBreakHyphen/>
      </w:r>
      <w:r w:rsidRPr="00DB3EF3">
        <w:rPr>
          <w:i/>
        </w:rPr>
        <w:t>Effective Early Childhood Development Programs: A Synthesis of Evidence in the First Decade of Life</w:t>
      </w:r>
      <w:r w:rsidRPr="00DB3EF3">
        <w:t>, Encyclopaedia of Education.</w:t>
      </w:r>
    </w:p>
    <w:p w:rsidR="00AA7159" w:rsidRPr="00DB3EF3" w:rsidRDefault="00AA7159" w:rsidP="00103233">
      <w:pPr>
        <w:pStyle w:val="Reference"/>
      </w:pPr>
      <w:r w:rsidRPr="00DB3EF3">
        <w:t>Ryan</w:t>
      </w:r>
      <w:r w:rsidR="007D0F96" w:rsidRPr="00DB3EF3">
        <w:t>, C.</w:t>
      </w:r>
      <w:r w:rsidRPr="00DB3EF3">
        <w:t xml:space="preserve"> 2011, </w:t>
      </w:r>
      <w:r w:rsidRPr="00DB3EF3">
        <w:rPr>
          <w:i/>
        </w:rPr>
        <w:t>Year 12 completion and youth transitions</w:t>
      </w:r>
      <w:r w:rsidRPr="00DB3EF3">
        <w:t xml:space="preserve">, </w:t>
      </w:r>
      <w:proofErr w:type="spellStart"/>
      <w:r w:rsidR="007D0F96" w:rsidRPr="00DB3EF3">
        <w:t>NCVER</w:t>
      </w:r>
      <w:proofErr w:type="spellEnd"/>
      <w:r w:rsidR="007D0F96" w:rsidRPr="00DB3EF3">
        <w:t>, Adelaide.</w:t>
      </w:r>
    </w:p>
    <w:bookmarkEnd w:id="31"/>
    <w:p w:rsidR="00BA59BA" w:rsidRPr="00DB3EF3" w:rsidRDefault="00BA59BA" w:rsidP="00BA59BA">
      <w:pPr>
        <w:pStyle w:val="Reference"/>
      </w:pPr>
      <w:proofErr w:type="spellStart"/>
      <w:r w:rsidRPr="00DB3EF3">
        <w:t>Shomos</w:t>
      </w:r>
      <w:proofErr w:type="spellEnd"/>
      <w:r w:rsidRPr="00DB3EF3">
        <w:t xml:space="preserve">, A. 2010, </w:t>
      </w:r>
      <w:r w:rsidRPr="00DB3EF3">
        <w:rPr>
          <w:i/>
        </w:rPr>
        <w:t xml:space="preserve">Links Between Literacy and Numeracy Skills and Labour Market Outcomes, </w:t>
      </w:r>
      <w:r w:rsidRPr="00DB3EF3">
        <w:t>Productivity Commission Staff Working Paper, Melbourne.</w:t>
      </w:r>
    </w:p>
    <w:p w:rsidR="00AA7159" w:rsidRPr="00DB3EF3" w:rsidRDefault="0049517D" w:rsidP="00103233">
      <w:pPr>
        <w:pStyle w:val="Reference"/>
      </w:pPr>
      <w:r w:rsidRPr="00DB3EF3">
        <w:t>Tayler, C</w:t>
      </w:r>
      <w:r w:rsidR="005C0AF2" w:rsidRPr="00DB3EF3">
        <w:t>.,</w:t>
      </w:r>
      <w:r w:rsidRPr="00DB3EF3">
        <w:t xml:space="preserve"> </w:t>
      </w:r>
      <w:proofErr w:type="spellStart"/>
      <w:r w:rsidRPr="00DB3EF3">
        <w:t>Ishimine</w:t>
      </w:r>
      <w:proofErr w:type="spellEnd"/>
      <w:r w:rsidRPr="00DB3EF3">
        <w:t>, K</w:t>
      </w:r>
      <w:r w:rsidR="005C0AF2" w:rsidRPr="00DB3EF3">
        <w:t>.,</w:t>
      </w:r>
      <w:r w:rsidRPr="00DB3EF3">
        <w:t xml:space="preserve"> </w:t>
      </w:r>
      <w:proofErr w:type="spellStart"/>
      <w:r w:rsidRPr="00DB3EF3">
        <w:t>Cloney</w:t>
      </w:r>
      <w:proofErr w:type="spellEnd"/>
      <w:r w:rsidRPr="00DB3EF3">
        <w:t>, D</w:t>
      </w:r>
      <w:r w:rsidR="005C0AF2" w:rsidRPr="00DB3EF3">
        <w:t>.,</w:t>
      </w:r>
      <w:r w:rsidRPr="00DB3EF3">
        <w:t xml:space="preserve"> Cleveland, G</w:t>
      </w:r>
      <w:r w:rsidR="005C0AF2" w:rsidRPr="00DB3EF3">
        <w:t>. and</w:t>
      </w:r>
      <w:r w:rsidRPr="00DB3EF3">
        <w:t xml:space="preserve"> Thorpe, K. 2013</w:t>
      </w:r>
      <w:r w:rsidR="005C0AF2" w:rsidRPr="00DB3EF3">
        <w:t>,</w:t>
      </w:r>
      <w:r w:rsidRPr="00DB3EF3">
        <w:t xml:space="preserve"> </w:t>
      </w:r>
      <w:r w:rsidR="00BA7C82" w:rsidRPr="00DB3EF3">
        <w:t xml:space="preserve">The </w:t>
      </w:r>
      <w:r w:rsidR="005C0AF2" w:rsidRPr="00DB3EF3">
        <w:t>q</w:t>
      </w:r>
      <w:r w:rsidR="00BA7C82" w:rsidRPr="00DB3EF3">
        <w:t xml:space="preserve">uality of </w:t>
      </w:r>
      <w:r w:rsidR="005C0AF2" w:rsidRPr="00DB3EF3">
        <w:t>e</w:t>
      </w:r>
      <w:r w:rsidR="00BA7C82" w:rsidRPr="00DB3EF3">
        <w:t xml:space="preserve">arly </w:t>
      </w:r>
      <w:r w:rsidR="005C0AF2" w:rsidRPr="00DB3EF3">
        <w:t>c</w:t>
      </w:r>
      <w:r w:rsidR="00BA7C82" w:rsidRPr="00DB3EF3">
        <w:t xml:space="preserve">hildhood </w:t>
      </w:r>
      <w:r w:rsidR="005C0AF2" w:rsidRPr="00DB3EF3">
        <w:t>e</w:t>
      </w:r>
      <w:r w:rsidR="00BA7C82" w:rsidRPr="00DB3EF3">
        <w:t xml:space="preserve">ducation and </w:t>
      </w:r>
      <w:r w:rsidR="005C0AF2" w:rsidRPr="00DB3EF3">
        <w:t>c</w:t>
      </w:r>
      <w:r w:rsidR="00BA7C82" w:rsidRPr="00DB3EF3">
        <w:t xml:space="preserve">are </w:t>
      </w:r>
      <w:r w:rsidR="005C0AF2" w:rsidRPr="00DB3EF3">
        <w:t>s</w:t>
      </w:r>
      <w:r w:rsidR="00BA7C82" w:rsidRPr="00DB3EF3">
        <w:t>ervices in Australia</w:t>
      </w:r>
      <w:r w:rsidRPr="00DB3EF3">
        <w:t xml:space="preserve">, </w:t>
      </w:r>
      <w:r w:rsidR="00BA7C82" w:rsidRPr="00DB3EF3">
        <w:rPr>
          <w:i/>
        </w:rPr>
        <w:t>Australasian Journal of Early Childhood</w:t>
      </w:r>
      <w:r w:rsidR="00BA7C82" w:rsidRPr="00DB3EF3">
        <w:t xml:space="preserve">, </w:t>
      </w:r>
      <w:r w:rsidRPr="00DB3EF3">
        <w:t>v</w:t>
      </w:r>
      <w:r w:rsidR="00BA7C82" w:rsidRPr="00DB3EF3">
        <w:t>ol.</w:t>
      </w:r>
      <w:r w:rsidR="00103233" w:rsidRPr="00DB3EF3">
        <w:t> </w:t>
      </w:r>
      <w:r w:rsidR="00BA7C82" w:rsidRPr="00DB3EF3">
        <w:t xml:space="preserve">38, </w:t>
      </w:r>
      <w:r w:rsidRPr="00DB3EF3">
        <w:t>no.</w:t>
      </w:r>
      <w:r w:rsidR="00103233" w:rsidRPr="00DB3EF3">
        <w:t> </w:t>
      </w:r>
      <w:r w:rsidRPr="00DB3EF3">
        <w:t>2, pp.</w:t>
      </w:r>
      <w:r w:rsidR="009001F2" w:rsidRPr="00DB3EF3">
        <w:t> </w:t>
      </w:r>
      <w:r w:rsidR="001D4399" w:rsidRPr="00DB3EF3">
        <w:t>13</w:t>
      </w:r>
      <w:r w:rsidR="009001F2" w:rsidRPr="00DB3EF3">
        <w:t>–</w:t>
      </w:r>
      <w:r w:rsidR="001D4399" w:rsidRPr="00DB3EF3">
        <w:t>21</w:t>
      </w:r>
      <w:r w:rsidRPr="00DB3EF3">
        <w:t>.</w:t>
      </w:r>
    </w:p>
    <w:p w:rsidR="00E17822" w:rsidRPr="001D4399" w:rsidRDefault="0030358A" w:rsidP="00FB28B3">
      <w:pPr>
        <w:pStyle w:val="Reference"/>
      </w:pPr>
      <w:r w:rsidRPr="000E36BA">
        <w:t xml:space="preserve">Webb, S., Black, R., Morton, R., Plowright, S. and Roy, R. 2015, </w:t>
      </w:r>
      <w:r w:rsidRPr="000E36BA">
        <w:rPr>
          <w:i/>
        </w:rPr>
        <w:t>Geographical and place dimensions of post</w:t>
      </w:r>
      <w:r w:rsidR="00490B08">
        <w:rPr>
          <w:i/>
        </w:rPr>
        <w:noBreakHyphen/>
      </w:r>
      <w:r w:rsidRPr="000E36BA">
        <w:rPr>
          <w:i/>
        </w:rPr>
        <w:t xml:space="preserve">school participation in education and work, </w:t>
      </w:r>
      <w:proofErr w:type="spellStart"/>
      <w:r w:rsidRPr="000E36BA">
        <w:t>NCVER</w:t>
      </w:r>
      <w:proofErr w:type="spellEnd"/>
      <w:r w:rsidRPr="000E36BA">
        <w:t>, Adelaide.</w:t>
      </w:r>
    </w:p>
    <w:sectPr w:rsidR="00E17822" w:rsidRPr="001D4399" w:rsidSect="00FB4374">
      <w:headerReference w:type="even" r:id="rId24"/>
      <w:headerReference w:type="default" r:id="rId25"/>
      <w:footerReference w:type="even" r:id="rId26"/>
      <w:footerReference w:type="default" r:id="rId27"/>
      <w:pgSz w:w="11907" w:h="16840" w:code="9"/>
      <w:pgMar w:top="1985" w:right="1304" w:bottom="1247" w:left="1814" w:header="1701" w:footer="397" w:gutter="0"/>
      <w:pgNumType w:start="1" w:chapStyle="1"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4AE" w:rsidRDefault="00B874AE">
      <w:r>
        <w:separator/>
      </w:r>
    </w:p>
  </w:endnote>
  <w:endnote w:type="continuationSeparator" w:id="0">
    <w:p w:rsidR="00B874AE" w:rsidRDefault="00B874AE">
      <w:r>
        <w:continuationSeparator/>
      </w:r>
    </w:p>
  </w:endnote>
  <w:endnote w:type="continuationNotice" w:id="1">
    <w:p w:rsidR="00B874AE" w:rsidRDefault="00B874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1"/>
    </w:tblGrid>
    <w:tr w:rsidR="00B874AE" w:rsidTr="00825EF8">
      <w:trPr>
        <w:trHeight w:hRule="exact" w:val="567"/>
      </w:trPr>
      <w:tc>
        <w:tcPr>
          <w:tcW w:w="510" w:type="dxa"/>
        </w:tcPr>
        <w:p w:rsidR="00B874AE" w:rsidRPr="00A24443" w:rsidRDefault="00B874AE" w:rsidP="00E33A19">
          <w:pPr>
            <w:pStyle w:val="Footer"/>
            <w:tabs>
              <w:tab w:val="left" w:pos="0"/>
            </w:tabs>
            <w:ind w:right="0"/>
            <w:rPr>
              <w:rStyle w:val="PageNumber"/>
              <w:caps w:val="0"/>
            </w:rPr>
          </w:pPr>
          <w:proofErr w:type="spellStart"/>
          <w:r>
            <w:rPr>
              <w:rStyle w:val="PageNumber"/>
              <w:caps w:val="0"/>
            </w:rPr>
            <w:t>B</w:t>
          </w:r>
          <w:r>
            <w:rPr>
              <w:rStyle w:val="PageNumber"/>
              <w:caps w:val="0"/>
            </w:rPr>
            <w:fldChar w:fldCharType="begin"/>
          </w:r>
          <w:r>
            <w:rPr>
              <w:rStyle w:val="PageNumber"/>
              <w:caps w:val="0"/>
            </w:rPr>
            <w:instrText xml:space="preserve"> COMMENTS  \* MERGEFORMAT </w:instrText>
          </w:r>
          <w:r>
            <w:rPr>
              <w:rStyle w:val="PageNumber"/>
              <w:caps w:val="0"/>
            </w:rPr>
            <w:fldChar w:fldCharType="end"/>
          </w:r>
          <w:r>
            <w:rPr>
              <w:rStyle w:val="PageNumber"/>
              <w:caps w:val="0"/>
            </w:rPr>
            <w:t>.</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52070">
            <w:rPr>
              <w:rStyle w:val="PageNumber"/>
              <w:caps w:val="0"/>
              <w:noProof/>
            </w:rPr>
            <w:t>24</w:t>
          </w:r>
          <w:r w:rsidRPr="00A24443">
            <w:rPr>
              <w:rStyle w:val="PageNumber"/>
              <w:caps w:val="0"/>
            </w:rPr>
            <w:fldChar w:fldCharType="end"/>
          </w:r>
        </w:p>
      </w:tc>
      <w:tc>
        <w:tcPr>
          <w:tcW w:w="7767" w:type="dxa"/>
        </w:tcPr>
        <w:p w:rsidR="00B874AE" w:rsidRPr="0013739A" w:rsidRDefault="00C803CE" w:rsidP="00E33A19">
          <w:pPr>
            <w:pStyle w:val="Footer"/>
            <w:rPr>
              <w:rFonts w:cs="Arial"/>
            </w:rPr>
          </w:pPr>
          <w:r>
            <w:rPr>
              <w:rFonts w:cs="Arial"/>
            </w:rPr>
            <w:t>Report on Gover</w:t>
          </w:r>
          <w:r w:rsidR="00BF64A5">
            <w:rPr>
              <w:rFonts w:cs="Arial"/>
            </w:rPr>
            <w:t>n</w:t>
          </w:r>
          <w:r>
            <w:rPr>
              <w:rFonts w:cs="Arial"/>
            </w:rPr>
            <w:t>ment Services 2017</w:t>
          </w:r>
          <w:r w:rsidR="00B874AE" w:rsidRPr="00BA5B14">
            <w:rPr>
              <w:rFonts w:cs="Arial"/>
            </w:rPr>
            <w:fldChar w:fldCharType="begin"/>
          </w:r>
          <w:r w:rsidR="00B874AE" w:rsidRPr="00BA5B14">
            <w:rPr>
              <w:rFonts w:cs="Arial"/>
            </w:rPr>
            <w:instrText xml:space="preserve"> SUBJECT  \* MERGEFORMAT </w:instrText>
          </w:r>
          <w:r w:rsidR="00B874AE" w:rsidRPr="00BA5B14">
            <w:rPr>
              <w:rFonts w:cs="Arial"/>
            </w:rPr>
            <w:fldChar w:fldCharType="end"/>
          </w:r>
          <w:bookmarkStart w:id="32" w:name="DraftReportEven"/>
          <w:bookmarkEnd w:id="32"/>
        </w:p>
      </w:tc>
      <w:tc>
        <w:tcPr>
          <w:tcW w:w="511" w:type="dxa"/>
        </w:tcPr>
        <w:p w:rsidR="00B874AE" w:rsidRDefault="00B874AE" w:rsidP="00E33A19">
          <w:pPr>
            <w:pStyle w:val="Footer"/>
          </w:pPr>
        </w:p>
      </w:tc>
    </w:tr>
  </w:tbl>
  <w:p w:rsidR="00B874AE" w:rsidRPr="00E9688D" w:rsidRDefault="00B874AE">
    <w:pPr>
      <w:pStyle w:val="FooterEnd"/>
      <w:rPr>
        <w:color w:val="0000FF"/>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8"/>
      <w:gridCol w:w="511"/>
    </w:tblGrid>
    <w:tr w:rsidR="00B874AE" w:rsidTr="00825EF8">
      <w:trPr>
        <w:trHeight w:hRule="exact" w:val="567"/>
      </w:trPr>
      <w:tc>
        <w:tcPr>
          <w:tcW w:w="510" w:type="dxa"/>
        </w:tcPr>
        <w:p w:rsidR="00B874AE" w:rsidRDefault="00B874AE" w:rsidP="00E33A19">
          <w:pPr>
            <w:pStyle w:val="Footer"/>
            <w:ind w:right="360" w:firstLine="360"/>
          </w:pPr>
        </w:p>
      </w:tc>
      <w:tc>
        <w:tcPr>
          <w:tcW w:w="7768" w:type="dxa"/>
        </w:tcPr>
        <w:p w:rsidR="00B874AE" w:rsidRPr="00BA5B14" w:rsidRDefault="00C85083" w:rsidP="00C803CE">
          <w:pPr>
            <w:pStyle w:val="Footer"/>
            <w:jc w:val="right"/>
            <w:rPr>
              <w:rFonts w:cs="Arial"/>
            </w:rPr>
          </w:pPr>
          <w:r>
            <w:rPr>
              <w:rFonts w:cs="Arial"/>
            </w:rPr>
            <w:t xml:space="preserve"> Child Care, Education and Training</w:t>
          </w:r>
          <w:r w:rsidR="00C803CE">
            <w:rPr>
              <w:rFonts w:cs="Arial"/>
            </w:rPr>
            <w:t xml:space="preserve"> Sector Overview</w:t>
          </w:r>
          <w:r>
            <w:rPr>
              <w:rFonts w:cs="Arial"/>
            </w:rPr>
            <w:t xml:space="preserve"> </w:t>
          </w:r>
        </w:p>
      </w:tc>
      <w:tc>
        <w:tcPr>
          <w:tcW w:w="511" w:type="dxa"/>
        </w:tcPr>
        <w:p w:rsidR="00B874AE" w:rsidRPr="00A24443" w:rsidRDefault="00B874AE" w:rsidP="00E33A19">
          <w:pPr>
            <w:pStyle w:val="Footer"/>
            <w:jc w:val="right"/>
            <w:rPr>
              <w:caps w:val="0"/>
            </w:rPr>
          </w:pPr>
          <w:proofErr w:type="spellStart"/>
          <w:r>
            <w:rPr>
              <w:rStyle w:val="PageNumber"/>
              <w:caps w:val="0"/>
            </w:rPr>
            <w:t>B</w:t>
          </w:r>
          <w:r>
            <w:rPr>
              <w:rStyle w:val="PageNumber"/>
              <w:caps w:val="0"/>
            </w:rPr>
            <w:fldChar w:fldCharType="begin"/>
          </w:r>
          <w:r>
            <w:rPr>
              <w:rStyle w:val="PageNumber"/>
              <w:caps w:val="0"/>
            </w:rPr>
            <w:instrText xml:space="preserve"> COMMENTS  \* MERGEFORMAT </w:instrText>
          </w:r>
          <w:r>
            <w:rPr>
              <w:rStyle w:val="PageNumber"/>
              <w:caps w:val="0"/>
            </w:rPr>
            <w:fldChar w:fldCharType="end"/>
          </w:r>
          <w:r>
            <w:rPr>
              <w:rStyle w:val="PageNumber"/>
              <w:caps w:val="0"/>
            </w:rPr>
            <w:t>.</w:t>
          </w:r>
          <w:proofErr w:type="spellEnd"/>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52070">
            <w:rPr>
              <w:rStyle w:val="PageNumber"/>
              <w:caps w:val="0"/>
              <w:noProof/>
            </w:rPr>
            <w:t>23</w:t>
          </w:r>
          <w:r w:rsidRPr="00A24443">
            <w:rPr>
              <w:rStyle w:val="PageNumber"/>
              <w:caps w:val="0"/>
            </w:rPr>
            <w:fldChar w:fldCharType="end"/>
          </w:r>
        </w:p>
      </w:tc>
    </w:tr>
  </w:tbl>
  <w:p w:rsidR="00B874AE" w:rsidRPr="00E9688D" w:rsidRDefault="00B874AE">
    <w:pPr>
      <w:pStyle w:val="FooterEnd"/>
      <w:rPr>
        <w:color w:val="0000FF"/>
      </w:rPr>
    </w:pPr>
    <w:bookmarkStart w:id="33" w:name="_AppendixByChapter"/>
    <w:bookmarkStart w:id="34" w:name="OLE_LINK18"/>
    <w:bookmarkEnd w:id="33"/>
    <w:bookmarkEnd w:id="3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4AE" w:rsidRDefault="00B874AE">
      <w:r>
        <w:separator/>
      </w:r>
    </w:p>
  </w:footnote>
  <w:footnote w:type="continuationSeparator" w:id="0">
    <w:p w:rsidR="00B874AE" w:rsidRDefault="00B874AE">
      <w:r>
        <w:continuationSeparator/>
      </w:r>
    </w:p>
  </w:footnote>
  <w:footnote w:type="continuationNotice" w:id="1">
    <w:p w:rsidR="00B874AE" w:rsidRDefault="00B874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843"/>
      <w:gridCol w:w="6946"/>
    </w:tblGrid>
    <w:tr w:rsidR="00B874AE" w:rsidRPr="00E9688D" w:rsidTr="00223670">
      <w:tc>
        <w:tcPr>
          <w:tcW w:w="1843" w:type="dxa"/>
          <w:tcBorders>
            <w:top w:val="single" w:sz="24" w:space="0" w:color="auto"/>
          </w:tcBorders>
        </w:tcPr>
        <w:p w:rsidR="00B874AE" w:rsidRDefault="00B874AE">
          <w:pPr>
            <w:pStyle w:val="HeaderEven"/>
          </w:pPr>
        </w:p>
      </w:tc>
      <w:tc>
        <w:tcPr>
          <w:tcW w:w="6946" w:type="dxa"/>
          <w:tcBorders>
            <w:top w:val="single" w:sz="6" w:space="0" w:color="auto"/>
          </w:tcBorders>
        </w:tcPr>
        <w:p w:rsidR="00B874AE" w:rsidRPr="00830675" w:rsidRDefault="00B874AE" w:rsidP="00825EF8">
          <w:pPr>
            <w:pStyle w:val="HeaderEven"/>
            <w:jc w:val="right"/>
            <w:rPr>
              <w:szCs w:val="24"/>
            </w:rPr>
          </w:pPr>
        </w:p>
      </w:tc>
    </w:tr>
  </w:tbl>
  <w:p w:rsidR="00B874AE" w:rsidRPr="00E9688D" w:rsidRDefault="00B874AE">
    <w:pPr>
      <w:pStyle w:val="HeaderEnd"/>
      <w:rPr>
        <w:color w:val="0000FF"/>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874AE" w:rsidTr="00E33A19">
      <w:tc>
        <w:tcPr>
          <w:tcW w:w="6634" w:type="dxa"/>
          <w:tcBorders>
            <w:top w:val="single" w:sz="6" w:space="0" w:color="auto"/>
          </w:tcBorders>
        </w:tcPr>
        <w:p w:rsidR="00B874AE" w:rsidRDefault="00B874AE" w:rsidP="00825EF8">
          <w:pPr>
            <w:pStyle w:val="HeaderOdd"/>
          </w:pPr>
        </w:p>
      </w:tc>
      <w:tc>
        <w:tcPr>
          <w:tcW w:w="2155" w:type="dxa"/>
          <w:tcBorders>
            <w:top w:val="single" w:sz="24" w:space="0" w:color="auto"/>
          </w:tcBorders>
        </w:tcPr>
        <w:p w:rsidR="00B874AE" w:rsidRDefault="00B874AE" w:rsidP="00E33A19">
          <w:pPr>
            <w:pStyle w:val="HeaderOdd"/>
          </w:pPr>
        </w:p>
      </w:tc>
    </w:tr>
  </w:tbl>
  <w:p w:rsidR="00B874AE" w:rsidRPr="00E9688D" w:rsidRDefault="00B874AE">
    <w:pPr>
      <w:pStyle w:val="HeaderEnd"/>
      <w:rPr>
        <w:color w:val="0000F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195B7C14"/>
    <w:multiLevelType w:val="hybridMultilevel"/>
    <w:tmpl w:val="7F8EDFC2"/>
    <w:lvl w:ilvl="0" w:tplc="B374175E">
      <w:start w:val="1"/>
      <w:numFmt w:val="bullet"/>
      <w:pStyle w:val="DQITable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892A65"/>
    <w:multiLevelType w:val="hybridMultilevel"/>
    <w:tmpl w:val="B7D01BD8"/>
    <w:lvl w:ilvl="0" w:tplc="A08CA6A6">
      <w:start w:val="1"/>
      <w:numFmt w:val="bullet"/>
      <w:pStyle w:val="DQITableBullet2"/>
      <w:lvlText w:val="–"/>
      <w:lvlJc w:val="left"/>
      <w:pPr>
        <w:ind w:left="890" w:hanging="360"/>
      </w:pPr>
      <w:rPr>
        <w:rFonts w:ascii="Lucida Sans" w:hAnsi="Lucida Sans" w:hint="default"/>
        <w:b w:val="0"/>
        <w:i w:val="0"/>
        <w:sz w:val="18"/>
      </w:rPr>
    </w:lvl>
    <w:lvl w:ilvl="1" w:tplc="0C090003" w:tentative="1">
      <w:start w:val="1"/>
      <w:numFmt w:val="bullet"/>
      <w:lvlText w:val="o"/>
      <w:lvlJc w:val="left"/>
      <w:pPr>
        <w:ind w:left="1610" w:hanging="360"/>
      </w:pPr>
      <w:rPr>
        <w:rFonts w:ascii="Courier New" w:hAnsi="Courier New" w:cs="Courier New" w:hint="default"/>
      </w:rPr>
    </w:lvl>
    <w:lvl w:ilvl="2" w:tplc="0C090005" w:tentative="1">
      <w:start w:val="1"/>
      <w:numFmt w:val="bullet"/>
      <w:lvlText w:val=""/>
      <w:lvlJc w:val="left"/>
      <w:pPr>
        <w:ind w:left="2330" w:hanging="360"/>
      </w:pPr>
      <w:rPr>
        <w:rFonts w:ascii="Wingdings" w:hAnsi="Wingdings" w:hint="default"/>
      </w:rPr>
    </w:lvl>
    <w:lvl w:ilvl="3" w:tplc="0C090001" w:tentative="1">
      <w:start w:val="1"/>
      <w:numFmt w:val="bullet"/>
      <w:lvlText w:val=""/>
      <w:lvlJc w:val="left"/>
      <w:pPr>
        <w:ind w:left="3050" w:hanging="360"/>
      </w:pPr>
      <w:rPr>
        <w:rFonts w:ascii="Symbol" w:hAnsi="Symbol" w:hint="default"/>
      </w:rPr>
    </w:lvl>
    <w:lvl w:ilvl="4" w:tplc="0C090003" w:tentative="1">
      <w:start w:val="1"/>
      <w:numFmt w:val="bullet"/>
      <w:lvlText w:val="o"/>
      <w:lvlJc w:val="left"/>
      <w:pPr>
        <w:ind w:left="3770" w:hanging="360"/>
      </w:pPr>
      <w:rPr>
        <w:rFonts w:ascii="Courier New" w:hAnsi="Courier New" w:cs="Courier New" w:hint="default"/>
      </w:rPr>
    </w:lvl>
    <w:lvl w:ilvl="5" w:tplc="0C090005" w:tentative="1">
      <w:start w:val="1"/>
      <w:numFmt w:val="bullet"/>
      <w:lvlText w:val=""/>
      <w:lvlJc w:val="left"/>
      <w:pPr>
        <w:ind w:left="4490" w:hanging="360"/>
      </w:pPr>
      <w:rPr>
        <w:rFonts w:ascii="Wingdings" w:hAnsi="Wingdings" w:hint="default"/>
      </w:rPr>
    </w:lvl>
    <w:lvl w:ilvl="6" w:tplc="0C090001" w:tentative="1">
      <w:start w:val="1"/>
      <w:numFmt w:val="bullet"/>
      <w:lvlText w:val=""/>
      <w:lvlJc w:val="left"/>
      <w:pPr>
        <w:ind w:left="5210" w:hanging="360"/>
      </w:pPr>
      <w:rPr>
        <w:rFonts w:ascii="Symbol" w:hAnsi="Symbol" w:hint="default"/>
      </w:rPr>
    </w:lvl>
    <w:lvl w:ilvl="7" w:tplc="0C090003" w:tentative="1">
      <w:start w:val="1"/>
      <w:numFmt w:val="bullet"/>
      <w:lvlText w:val="o"/>
      <w:lvlJc w:val="left"/>
      <w:pPr>
        <w:ind w:left="5930" w:hanging="360"/>
      </w:pPr>
      <w:rPr>
        <w:rFonts w:ascii="Courier New" w:hAnsi="Courier New" w:cs="Courier New" w:hint="default"/>
      </w:rPr>
    </w:lvl>
    <w:lvl w:ilvl="8" w:tplc="0C090005" w:tentative="1">
      <w:start w:val="1"/>
      <w:numFmt w:val="bullet"/>
      <w:lvlText w:val=""/>
      <w:lvlJc w:val="left"/>
      <w:pPr>
        <w:ind w:left="6650"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84D7C3D"/>
    <w:multiLevelType w:val="singleLevel"/>
    <w:tmpl w:val="D3A85F8C"/>
    <w:lvl w:ilvl="0">
      <w:start w:val="1"/>
      <w:numFmt w:val="bullet"/>
      <w:pStyle w:val="formattedparas"/>
      <w:lvlText w:val=""/>
      <w:lvlJc w:val="left"/>
      <w:pPr>
        <w:tabs>
          <w:tab w:val="num" w:pos="360"/>
        </w:tabs>
        <w:ind w:left="360" w:hanging="360"/>
      </w:pPr>
      <w:rPr>
        <w:rFonts w:ascii="Symbol" w:hAnsi="Symbol"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0"/>
  </w:num>
  <w:num w:numId="2">
    <w:abstractNumId w:val="3"/>
  </w:num>
  <w:num w:numId="3">
    <w:abstractNumId w:val="4"/>
  </w:num>
  <w:num w:numId="4">
    <w:abstractNumId w:val="7"/>
  </w:num>
  <w:num w:numId="5">
    <w:abstractNumId w:val="14"/>
  </w:num>
  <w:num w:numId="6">
    <w:abstractNumId w:val="12"/>
  </w:num>
  <w:num w:numId="7">
    <w:abstractNumId w:val="22"/>
  </w:num>
  <w:num w:numId="8">
    <w:abstractNumId w:val="23"/>
  </w:num>
  <w:num w:numId="9">
    <w:abstractNumId w:val="10"/>
  </w:num>
  <w:num w:numId="10">
    <w:abstractNumId w:val="15"/>
  </w:num>
  <w:num w:numId="11">
    <w:abstractNumId w:val="16"/>
  </w:num>
  <w:num w:numId="12">
    <w:abstractNumId w:val="2"/>
  </w:num>
  <w:num w:numId="13">
    <w:abstractNumId w:val="6"/>
  </w:num>
  <w:num w:numId="14">
    <w:abstractNumId w:val="5"/>
  </w:num>
  <w:num w:numId="15">
    <w:abstractNumId w:val="21"/>
  </w:num>
  <w:num w:numId="16">
    <w:abstractNumId w:val="11"/>
  </w:num>
  <w:num w:numId="17">
    <w:abstractNumId w:val="13"/>
  </w:num>
  <w:num w:numId="18">
    <w:abstractNumId w:val="17"/>
  </w:num>
  <w:num w:numId="19">
    <w:abstractNumId w:val="19"/>
  </w:num>
  <w:num w:numId="20">
    <w:abstractNumId w:val="8"/>
  </w:num>
  <w:num w:numId="21">
    <w:abstractNumId w:val="0"/>
  </w:num>
  <w:num w:numId="22">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3">
    <w:abstractNumId w:val="9"/>
  </w:num>
  <w:num w:numId="24">
    <w:abstractNumId w:val="18"/>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ersson, Catherine">
    <w15:presenceInfo w15:providerId="AD" w15:userId="S-1-5-21-4285900246-1529922971-1310196836-24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1"/>
  <w:activeWritingStyle w:appName="MSWord" w:lang="en-US" w:vendorID="64" w:dllVersion="131078" w:nlCheck="1" w:checkStyle="1"/>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4710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ILD CARE, EDUCATION AND TRAINING SECTOR OVERVIEW "/>
    <w:docVar w:name="ShortReportTitle" w:val="REPORT ON GOVERNMENT SERVICES 2017"/>
    <w:docVar w:name="SideNote" w:val="1"/>
    <w:docVar w:name="UseShortChapter" w:val="0"/>
    <w:docVar w:name="UseShortReport" w:val="0"/>
  </w:docVars>
  <w:rsids>
    <w:rsidRoot w:val="00193FB7"/>
    <w:rsid w:val="00000B4B"/>
    <w:rsid w:val="00000F7B"/>
    <w:rsid w:val="00002224"/>
    <w:rsid w:val="0000225C"/>
    <w:rsid w:val="000026EF"/>
    <w:rsid w:val="00002716"/>
    <w:rsid w:val="000028BC"/>
    <w:rsid w:val="000028F8"/>
    <w:rsid w:val="00002E45"/>
    <w:rsid w:val="00002EE5"/>
    <w:rsid w:val="00002F98"/>
    <w:rsid w:val="0000357F"/>
    <w:rsid w:val="000035B8"/>
    <w:rsid w:val="00004206"/>
    <w:rsid w:val="000043BD"/>
    <w:rsid w:val="000048AF"/>
    <w:rsid w:val="00004B04"/>
    <w:rsid w:val="00004EDD"/>
    <w:rsid w:val="000054FF"/>
    <w:rsid w:val="000057A1"/>
    <w:rsid w:val="00005A0A"/>
    <w:rsid w:val="00005DC2"/>
    <w:rsid w:val="00006400"/>
    <w:rsid w:val="00006544"/>
    <w:rsid w:val="0000665C"/>
    <w:rsid w:val="0000686F"/>
    <w:rsid w:val="00006D38"/>
    <w:rsid w:val="00006D4C"/>
    <w:rsid w:val="00006F55"/>
    <w:rsid w:val="0000704C"/>
    <w:rsid w:val="0000731E"/>
    <w:rsid w:val="000076A1"/>
    <w:rsid w:val="00007AB6"/>
    <w:rsid w:val="00010284"/>
    <w:rsid w:val="000103EB"/>
    <w:rsid w:val="0001078E"/>
    <w:rsid w:val="000108B7"/>
    <w:rsid w:val="00010D3C"/>
    <w:rsid w:val="00011377"/>
    <w:rsid w:val="000116CC"/>
    <w:rsid w:val="000117A0"/>
    <w:rsid w:val="00012D1B"/>
    <w:rsid w:val="00012F52"/>
    <w:rsid w:val="00012FC0"/>
    <w:rsid w:val="00013359"/>
    <w:rsid w:val="000138EF"/>
    <w:rsid w:val="00013A86"/>
    <w:rsid w:val="00013E92"/>
    <w:rsid w:val="000145AD"/>
    <w:rsid w:val="00015082"/>
    <w:rsid w:val="000158D4"/>
    <w:rsid w:val="00015CB2"/>
    <w:rsid w:val="000162C5"/>
    <w:rsid w:val="000164C7"/>
    <w:rsid w:val="000165C0"/>
    <w:rsid w:val="00016AF8"/>
    <w:rsid w:val="00016DE9"/>
    <w:rsid w:val="00016EAA"/>
    <w:rsid w:val="00017381"/>
    <w:rsid w:val="0001749F"/>
    <w:rsid w:val="0002037B"/>
    <w:rsid w:val="0002095F"/>
    <w:rsid w:val="00020AAB"/>
    <w:rsid w:val="0002143F"/>
    <w:rsid w:val="000214D6"/>
    <w:rsid w:val="000217CD"/>
    <w:rsid w:val="000218B9"/>
    <w:rsid w:val="00021BC1"/>
    <w:rsid w:val="00021EDF"/>
    <w:rsid w:val="000221F0"/>
    <w:rsid w:val="0002373F"/>
    <w:rsid w:val="000238B4"/>
    <w:rsid w:val="00023F4E"/>
    <w:rsid w:val="0002432F"/>
    <w:rsid w:val="000243A9"/>
    <w:rsid w:val="000253DB"/>
    <w:rsid w:val="00025649"/>
    <w:rsid w:val="00025DC2"/>
    <w:rsid w:val="00025E80"/>
    <w:rsid w:val="00026067"/>
    <w:rsid w:val="000264E9"/>
    <w:rsid w:val="00026547"/>
    <w:rsid w:val="00026C58"/>
    <w:rsid w:val="00026EC3"/>
    <w:rsid w:val="000272A3"/>
    <w:rsid w:val="00030228"/>
    <w:rsid w:val="00030447"/>
    <w:rsid w:val="00031287"/>
    <w:rsid w:val="000314D3"/>
    <w:rsid w:val="000324BD"/>
    <w:rsid w:val="0003267A"/>
    <w:rsid w:val="00032B0F"/>
    <w:rsid w:val="00032BEA"/>
    <w:rsid w:val="00032D11"/>
    <w:rsid w:val="00032E89"/>
    <w:rsid w:val="00033048"/>
    <w:rsid w:val="000337DB"/>
    <w:rsid w:val="000339BF"/>
    <w:rsid w:val="00034878"/>
    <w:rsid w:val="00034C41"/>
    <w:rsid w:val="00034E7F"/>
    <w:rsid w:val="00035A88"/>
    <w:rsid w:val="00036450"/>
    <w:rsid w:val="00036BE1"/>
    <w:rsid w:val="00036E39"/>
    <w:rsid w:val="000371E4"/>
    <w:rsid w:val="00037AEF"/>
    <w:rsid w:val="000402A1"/>
    <w:rsid w:val="000406B7"/>
    <w:rsid w:val="00040FFC"/>
    <w:rsid w:val="00041A9A"/>
    <w:rsid w:val="0004274D"/>
    <w:rsid w:val="00042A80"/>
    <w:rsid w:val="00042FE2"/>
    <w:rsid w:val="000434B0"/>
    <w:rsid w:val="000436C5"/>
    <w:rsid w:val="000437D9"/>
    <w:rsid w:val="00043DE7"/>
    <w:rsid w:val="00043FF3"/>
    <w:rsid w:val="00044505"/>
    <w:rsid w:val="0004577C"/>
    <w:rsid w:val="000460BC"/>
    <w:rsid w:val="000460FE"/>
    <w:rsid w:val="000464AC"/>
    <w:rsid w:val="000465E6"/>
    <w:rsid w:val="00046A9D"/>
    <w:rsid w:val="00046E19"/>
    <w:rsid w:val="00046E3F"/>
    <w:rsid w:val="000475E2"/>
    <w:rsid w:val="0004770D"/>
    <w:rsid w:val="00047944"/>
    <w:rsid w:val="0004797A"/>
    <w:rsid w:val="00047A8B"/>
    <w:rsid w:val="00047BF0"/>
    <w:rsid w:val="000530E2"/>
    <w:rsid w:val="00053157"/>
    <w:rsid w:val="0005320F"/>
    <w:rsid w:val="00053CAE"/>
    <w:rsid w:val="00053EFA"/>
    <w:rsid w:val="00053F2B"/>
    <w:rsid w:val="0005489F"/>
    <w:rsid w:val="00054B2A"/>
    <w:rsid w:val="00054DC3"/>
    <w:rsid w:val="00054EA2"/>
    <w:rsid w:val="00054F00"/>
    <w:rsid w:val="00055193"/>
    <w:rsid w:val="00055319"/>
    <w:rsid w:val="00055B74"/>
    <w:rsid w:val="00055D19"/>
    <w:rsid w:val="0005642F"/>
    <w:rsid w:val="0005665A"/>
    <w:rsid w:val="00056B8C"/>
    <w:rsid w:val="00056D6B"/>
    <w:rsid w:val="00057018"/>
    <w:rsid w:val="000573EB"/>
    <w:rsid w:val="00057607"/>
    <w:rsid w:val="0005779E"/>
    <w:rsid w:val="00057CAA"/>
    <w:rsid w:val="00061124"/>
    <w:rsid w:val="00061391"/>
    <w:rsid w:val="00061554"/>
    <w:rsid w:val="00061BEC"/>
    <w:rsid w:val="00061BFB"/>
    <w:rsid w:val="00061ECD"/>
    <w:rsid w:val="0006275C"/>
    <w:rsid w:val="000634FC"/>
    <w:rsid w:val="00063587"/>
    <w:rsid w:val="0006381F"/>
    <w:rsid w:val="00063DF0"/>
    <w:rsid w:val="000648D0"/>
    <w:rsid w:val="0006503F"/>
    <w:rsid w:val="00065A55"/>
    <w:rsid w:val="00065A95"/>
    <w:rsid w:val="00065D8C"/>
    <w:rsid w:val="00066835"/>
    <w:rsid w:val="000669EE"/>
    <w:rsid w:val="00066ED7"/>
    <w:rsid w:val="000677E0"/>
    <w:rsid w:val="00067B4B"/>
    <w:rsid w:val="00067C42"/>
    <w:rsid w:val="00067FBE"/>
    <w:rsid w:val="000700CF"/>
    <w:rsid w:val="000700D5"/>
    <w:rsid w:val="00070727"/>
    <w:rsid w:val="000709A8"/>
    <w:rsid w:val="00070A9D"/>
    <w:rsid w:val="00071358"/>
    <w:rsid w:val="000716D9"/>
    <w:rsid w:val="000719E2"/>
    <w:rsid w:val="00072352"/>
    <w:rsid w:val="0007254D"/>
    <w:rsid w:val="00072A62"/>
    <w:rsid w:val="00072E87"/>
    <w:rsid w:val="00073451"/>
    <w:rsid w:val="00073E38"/>
    <w:rsid w:val="00074300"/>
    <w:rsid w:val="0007485F"/>
    <w:rsid w:val="00074B4E"/>
    <w:rsid w:val="00075141"/>
    <w:rsid w:val="00075299"/>
    <w:rsid w:val="000756FE"/>
    <w:rsid w:val="0007591F"/>
    <w:rsid w:val="0007595B"/>
    <w:rsid w:val="00075A4E"/>
    <w:rsid w:val="000760EC"/>
    <w:rsid w:val="000761BC"/>
    <w:rsid w:val="000761D2"/>
    <w:rsid w:val="0007669C"/>
    <w:rsid w:val="00076FA0"/>
    <w:rsid w:val="00077174"/>
    <w:rsid w:val="0007720D"/>
    <w:rsid w:val="00077346"/>
    <w:rsid w:val="0008005A"/>
    <w:rsid w:val="00080710"/>
    <w:rsid w:val="00080AA9"/>
    <w:rsid w:val="00080B11"/>
    <w:rsid w:val="00080DF0"/>
    <w:rsid w:val="000810FA"/>
    <w:rsid w:val="000811F6"/>
    <w:rsid w:val="00081244"/>
    <w:rsid w:val="0008191B"/>
    <w:rsid w:val="00082006"/>
    <w:rsid w:val="000823DA"/>
    <w:rsid w:val="000825E9"/>
    <w:rsid w:val="00082FDE"/>
    <w:rsid w:val="0008306B"/>
    <w:rsid w:val="000832E4"/>
    <w:rsid w:val="00083A05"/>
    <w:rsid w:val="00083ED9"/>
    <w:rsid w:val="00083F64"/>
    <w:rsid w:val="000845A8"/>
    <w:rsid w:val="000847DE"/>
    <w:rsid w:val="000848B0"/>
    <w:rsid w:val="0008567C"/>
    <w:rsid w:val="00085912"/>
    <w:rsid w:val="00085F97"/>
    <w:rsid w:val="00086036"/>
    <w:rsid w:val="00086064"/>
    <w:rsid w:val="00086380"/>
    <w:rsid w:val="000866DE"/>
    <w:rsid w:val="00087175"/>
    <w:rsid w:val="000871D0"/>
    <w:rsid w:val="00087577"/>
    <w:rsid w:val="000877C4"/>
    <w:rsid w:val="00087F44"/>
    <w:rsid w:val="00090009"/>
    <w:rsid w:val="0009006F"/>
    <w:rsid w:val="000907E5"/>
    <w:rsid w:val="00091B08"/>
    <w:rsid w:val="00091C52"/>
    <w:rsid w:val="00091F37"/>
    <w:rsid w:val="000921A1"/>
    <w:rsid w:val="00092B91"/>
    <w:rsid w:val="00092E74"/>
    <w:rsid w:val="00093E01"/>
    <w:rsid w:val="0009450C"/>
    <w:rsid w:val="0009450E"/>
    <w:rsid w:val="0009490F"/>
    <w:rsid w:val="00094973"/>
    <w:rsid w:val="0009512C"/>
    <w:rsid w:val="000954F8"/>
    <w:rsid w:val="000959B3"/>
    <w:rsid w:val="00095F44"/>
    <w:rsid w:val="0009649C"/>
    <w:rsid w:val="000969D6"/>
    <w:rsid w:val="00096CC1"/>
    <w:rsid w:val="00096D15"/>
    <w:rsid w:val="00097182"/>
    <w:rsid w:val="00097712"/>
    <w:rsid w:val="000978CF"/>
    <w:rsid w:val="00097B1B"/>
    <w:rsid w:val="00097D9C"/>
    <w:rsid w:val="000A09A5"/>
    <w:rsid w:val="000A0AC1"/>
    <w:rsid w:val="000A1592"/>
    <w:rsid w:val="000A15BA"/>
    <w:rsid w:val="000A1F1C"/>
    <w:rsid w:val="000A27DD"/>
    <w:rsid w:val="000A2D14"/>
    <w:rsid w:val="000A2EE9"/>
    <w:rsid w:val="000A314F"/>
    <w:rsid w:val="000A3379"/>
    <w:rsid w:val="000A358B"/>
    <w:rsid w:val="000A3B1D"/>
    <w:rsid w:val="000A3C6C"/>
    <w:rsid w:val="000A4092"/>
    <w:rsid w:val="000A420E"/>
    <w:rsid w:val="000A4AAC"/>
    <w:rsid w:val="000A5275"/>
    <w:rsid w:val="000A58AB"/>
    <w:rsid w:val="000A58BE"/>
    <w:rsid w:val="000A593E"/>
    <w:rsid w:val="000A5A8B"/>
    <w:rsid w:val="000A6F01"/>
    <w:rsid w:val="000A6F48"/>
    <w:rsid w:val="000A6FF4"/>
    <w:rsid w:val="000A7065"/>
    <w:rsid w:val="000A7208"/>
    <w:rsid w:val="000A764B"/>
    <w:rsid w:val="000A784F"/>
    <w:rsid w:val="000A7A88"/>
    <w:rsid w:val="000A7F32"/>
    <w:rsid w:val="000B043E"/>
    <w:rsid w:val="000B04C8"/>
    <w:rsid w:val="000B0544"/>
    <w:rsid w:val="000B0786"/>
    <w:rsid w:val="000B0B7D"/>
    <w:rsid w:val="000B0CC9"/>
    <w:rsid w:val="000B1460"/>
    <w:rsid w:val="000B1BF6"/>
    <w:rsid w:val="000B1D08"/>
    <w:rsid w:val="000B213B"/>
    <w:rsid w:val="000B22D4"/>
    <w:rsid w:val="000B23CF"/>
    <w:rsid w:val="000B24FD"/>
    <w:rsid w:val="000B2D03"/>
    <w:rsid w:val="000B2D0D"/>
    <w:rsid w:val="000B2F91"/>
    <w:rsid w:val="000B2FE8"/>
    <w:rsid w:val="000B3300"/>
    <w:rsid w:val="000B33D2"/>
    <w:rsid w:val="000B3C20"/>
    <w:rsid w:val="000B45C2"/>
    <w:rsid w:val="000B4C34"/>
    <w:rsid w:val="000B52B9"/>
    <w:rsid w:val="000B5395"/>
    <w:rsid w:val="000B5D0A"/>
    <w:rsid w:val="000B6051"/>
    <w:rsid w:val="000B62E4"/>
    <w:rsid w:val="000B6370"/>
    <w:rsid w:val="000B63D7"/>
    <w:rsid w:val="000B6E18"/>
    <w:rsid w:val="000B6FB6"/>
    <w:rsid w:val="000B7975"/>
    <w:rsid w:val="000B7E6E"/>
    <w:rsid w:val="000C000B"/>
    <w:rsid w:val="000C050A"/>
    <w:rsid w:val="000C053D"/>
    <w:rsid w:val="000C05AB"/>
    <w:rsid w:val="000C05EA"/>
    <w:rsid w:val="000C0BBA"/>
    <w:rsid w:val="000C11EA"/>
    <w:rsid w:val="000C1858"/>
    <w:rsid w:val="000C1A27"/>
    <w:rsid w:val="000C232E"/>
    <w:rsid w:val="000C300D"/>
    <w:rsid w:val="000C34E8"/>
    <w:rsid w:val="000C350F"/>
    <w:rsid w:val="000C3759"/>
    <w:rsid w:val="000C3A04"/>
    <w:rsid w:val="000C3A95"/>
    <w:rsid w:val="000C3EC5"/>
    <w:rsid w:val="000C401E"/>
    <w:rsid w:val="000C4390"/>
    <w:rsid w:val="000C4463"/>
    <w:rsid w:val="000C4DB1"/>
    <w:rsid w:val="000C56F6"/>
    <w:rsid w:val="000C5EB7"/>
    <w:rsid w:val="000C5EEE"/>
    <w:rsid w:val="000C64ED"/>
    <w:rsid w:val="000C651E"/>
    <w:rsid w:val="000C6757"/>
    <w:rsid w:val="000C6949"/>
    <w:rsid w:val="000C6CF7"/>
    <w:rsid w:val="000C6DCB"/>
    <w:rsid w:val="000C6E0B"/>
    <w:rsid w:val="000C6EB6"/>
    <w:rsid w:val="000C76AF"/>
    <w:rsid w:val="000C7A3D"/>
    <w:rsid w:val="000C7BFC"/>
    <w:rsid w:val="000C7F89"/>
    <w:rsid w:val="000C7FE9"/>
    <w:rsid w:val="000D04A9"/>
    <w:rsid w:val="000D0A28"/>
    <w:rsid w:val="000D1D10"/>
    <w:rsid w:val="000D213C"/>
    <w:rsid w:val="000D2326"/>
    <w:rsid w:val="000D2B0C"/>
    <w:rsid w:val="000D2B66"/>
    <w:rsid w:val="000D2B91"/>
    <w:rsid w:val="000D2C2F"/>
    <w:rsid w:val="000D2CFE"/>
    <w:rsid w:val="000D3140"/>
    <w:rsid w:val="000D3385"/>
    <w:rsid w:val="000D36BA"/>
    <w:rsid w:val="000D3D20"/>
    <w:rsid w:val="000D47E3"/>
    <w:rsid w:val="000D4BD5"/>
    <w:rsid w:val="000D4BFA"/>
    <w:rsid w:val="000D5208"/>
    <w:rsid w:val="000D5304"/>
    <w:rsid w:val="000D5B16"/>
    <w:rsid w:val="000D5D55"/>
    <w:rsid w:val="000D5DDF"/>
    <w:rsid w:val="000D6F2E"/>
    <w:rsid w:val="000D7555"/>
    <w:rsid w:val="000D759B"/>
    <w:rsid w:val="000D7E71"/>
    <w:rsid w:val="000D7FCC"/>
    <w:rsid w:val="000E0757"/>
    <w:rsid w:val="000E0C6A"/>
    <w:rsid w:val="000E1BAD"/>
    <w:rsid w:val="000E20A9"/>
    <w:rsid w:val="000E20FF"/>
    <w:rsid w:val="000E2520"/>
    <w:rsid w:val="000E293E"/>
    <w:rsid w:val="000E2A48"/>
    <w:rsid w:val="000E2A69"/>
    <w:rsid w:val="000E2B0E"/>
    <w:rsid w:val="000E2BDD"/>
    <w:rsid w:val="000E318D"/>
    <w:rsid w:val="000E3539"/>
    <w:rsid w:val="000E35AB"/>
    <w:rsid w:val="000E36BA"/>
    <w:rsid w:val="000E3728"/>
    <w:rsid w:val="000E3A48"/>
    <w:rsid w:val="000E494A"/>
    <w:rsid w:val="000E5000"/>
    <w:rsid w:val="000E5225"/>
    <w:rsid w:val="000E5533"/>
    <w:rsid w:val="000E5CBC"/>
    <w:rsid w:val="000E5F6D"/>
    <w:rsid w:val="000E5FE6"/>
    <w:rsid w:val="000E6306"/>
    <w:rsid w:val="000E6D56"/>
    <w:rsid w:val="000E73C8"/>
    <w:rsid w:val="000F07CB"/>
    <w:rsid w:val="000F1E41"/>
    <w:rsid w:val="000F1FD9"/>
    <w:rsid w:val="000F2227"/>
    <w:rsid w:val="000F23DB"/>
    <w:rsid w:val="000F3145"/>
    <w:rsid w:val="000F41E5"/>
    <w:rsid w:val="000F4A5B"/>
    <w:rsid w:val="000F4D0F"/>
    <w:rsid w:val="000F53C5"/>
    <w:rsid w:val="000F5A26"/>
    <w:rsid w:val="000F5A5E"/>
    <w:rsid w:val="000F5AB5"/>
    <w:rsid w:val="000F668B"/>
    <w:rsid w:val="000F6D0C"/>
    <w:rsid w:val="000F7334"/>
    <w:rsid w:val="000F7D43"/>
    <w:rsid w:val="000F7E22"/>
    <w:rsid w:val="00100522"/>
    <w:rsid w:val="00100BA4"/>
    <w:rsid w:val="00100C65"/>
    <w:rsid w:val="00100CDF"/>
    <w:rsid w:val="0010135E"/>
    <w:rsid w:val="00101E3D"/>
    <w:rsid w:val="00101F23"/>
    <w:rsid w:val="00102031"/>
    <w:rsid w:val="00102B35"/>
    <w:rsid w:val="00102C30"/>
    <w:rsid w:val="00102E93"/>
    <w:rsid w:val="0010307E"/>
    <w:rsid w:val="00103233"/>
    <w:rsid w:val="00103277"/>
    <w:rsid w:val="00103290"/>
    <w:rsid w:val="0010383A"/>
    <w:rsid w:val="00103989"/>
    <w:rsid w:val="00103E0A"/>
    <w:rsid w:val="00104044"/>
    <w:rsid w:val="0010493F"/>
    <w:rsid w:val="00104B57"/>
    <w:rsid w:val="001056EF"/>
    <w:rsid w:val="00105924"/>
    <w:rsid w:val="00105BF2"/>
    <w:rsid w:val="00105D32"/>
    <w:rsid w:val="00106327"/>
    <w:rsid w:val="001064CD"/>
    <w:rsid w:val="001064E2"/>
    <w:rsid w:val="00106650"/>
    <w:rsid w:val="00106780"/>
    <w:rsid w:val="001069B8"/>
    <w:rsid w:val="001069DE"/>
    <w:rsid w:val="00106C04"/>
    <w:rsid w:val="00106DC5"/>
    <w:rsid w:val="00107670"/>
    <w:rsid w:val="00107AC8"/>
    <w:rsid w:val="00107D4F"/>
    <w:rsid w:val="00110327"/>
    <w:rsid w:val="0011040D"/>
    <w:rsid w:val="001107EE"/>
    <w:rsid w:val="00110943"/>
    <w:rsid w:val="00111261"/>
    <w:rsid w:val="0011144A"/>
    <w:rsid w:val="00111558"/>
    <w:rsid w:val="001117D4"/>
    <w:rsid w:val="00111E40"/>
    <w:rsid w:val="00111FB1"/>
    <w:rsid w:val="00112217"/>
    <w:rsid w:val="001129C9"/>
    <w:rsid w:val="00112D9E"/>
    <w:rsid w:val="00112EDC"/>
    <w:rsid w:val="00112F76"/>
    <w:rsid w:val="00113078"/>
    <w:rsid w:val="001130FF"/>
    <w:rsid w:val="00113AB2"/>
    <w:rsid w:val="00114052"/>
    <w:rsid w:val="00114337"/>
    <w:rsid w:val="0011449E"/>
    <w:rsid w:val="00114741"/>
    <w:rsid w:val="00114836"/>
    <w:rsid w:val="00114E9F"/>
    <w:rsid w:val="001156EA"/>
    <w:rsid w:val="00115AD5"/>
    <w:rsid w:val="00115AE6"/>
    <w:rsid w:val="00115AE8"/>
    <w:rsid w:val="00115C74"/>
    <w:rsid w:val="00115F17"/>
    <w:rsid w:val="001168BE"/>
    <w:rsid w:val="00116996"/>
    <w:rsid w:val="00116A7F"/>
    <w:rsid w:val="00116D2D"/>
    <w:rsid w:val="001173A5"/>
    <w:rsid w:val="0011752E"/>
    <w:rsid w:val="0011762B"/>
    <w:rsid w:val="00117773"/>
    <w:rsid w:val="001205F1"/>
    <w:rsid w:val="00120F49"/>
    <w:rsid w:val="00121181"/>
    <w:rsid w:val="00121D0C"/>
    <w:rsid w:val="0012214C"/>
    <w:rsid w:val="00122238"/>
    <w:rsid w:val="00122450"/>
    <w:rsid w:val="00122D26"/>
    <w:rsid w:val="00122D6F"/>
    <w:rsid w:val="00123191"/>
    <w:rsid w:val="001237E5"/>
    <w:rsid w:val="001238A3"/>
    <w:rsid w:val="00123B2E"/>
    <w:rsid w:val="00123D6B"/>
    <w:rsid w:val="00123E05"/>
    <w:rsid w:val="00123E6E"/>
    <w:rsid w:val="00124178"/>
    <w:rsid w:val="00124898"/>
    <w:rsid w:val="00124CB1"/>
    <w:rsid w:val="00124FC0"/>
    <w:rsid w:val="001254E4"/>
    <w:rsid w:val="0012599D"/>
    <w:rsid w:val="00125CE0"/>
    <w:rsid w:val="00125CEA"/>
    <w:rsid w:val="00125ECB"/>
    <w:rsid w:val="00126089"/>
    <w:rsid w:val="001263C5"/>
    <w:rsid w:val="00126FF4"/>
    <w:rsid w:val="001271C5"/>
    <w:rsid w:val="001273D6"/>
    <w:rsid w:val="0012765F"/>
    <w:rsid w:val="00127923"/>
    <w:rsid w:val="0012794F"/>
    <w:rsid w:val="001279A1"/>
    <w:rsid w:val="00127CF5"/>
    <w:rsid w:val="00127D62"/>
    <w:rsid w:val="00130113"/>
    <w:rsid w:val="001303E7"/>
    <w:rsid w:val="00130761"/>
    <w:rsid w:val="001308A6"/>
    <w:rsid w:val="001308E5"/>
    <w:rsid w:val="00131073"/>
    <w:rsid w:val="00131CB1"/>
    <w:rsid w:val="001323EC"/>
    <w:rsid w:val="001324A5"/>
    <w:rsid w:val="00132CF8"/>
    <w:rsid w:val="00132E9F"/>
    <w:rsid w:val="001332B0"/>
    <w:rsid w:val="00133751"/>
    <w:rsid w:val="00133B0A"/>
    <w:rsid w:val="00133DE3"/>
    <w:rsid w:val="00134A2B"/>
    <w:rsid w:val="00134BBE"/>
    <w:rsid w:val="00134BFA"/>
    <w:rsid w:val="001354A4"/>
    <w:rsid w:val="00135A8D"/>
    <w:rsid w:val="00136042"/>
    <w:rsid w:val="00136346"/>
    <w:rsid w:val="001365A1"/>
    <w:rsid w:val="001367E4"/>
    <w:rsid w:val="00136ECB"/>
    <w:rsid w:val="00137171"/>
    <w:rsid w:val="0013718B"/>
    <w:rsid w:val="0013743C"/>
    <w:rsid w:val="001400C4"/>
    <w:rsid w:val="00140883"/>
    <w:rsid w:val="00141509"/>
    <w:rsid w:val="00141C3F"/>
    <w:rsid w:val="00141EEC"/>
    <w:rsid w:val="001428EC"/>
    <w:rsid w:val="00142947"/>
    <w:rsid w:val="00142AFA"/>
    <w:rsid w:val="00142C83"/>
    <w:rsid w:val="001430B0"/>
    <w:rsid w:val="00143255"/>
    <w:rsid w:val="0014350B"/>
    <w:rsid w:val="0014392C"/>
    <w:rsid w:val="001439BF"/>
    <w:rsid w:val="001439E0"/>
    <w:rsid w:val="00143D8C"/>
    <w:rsid w:val="00143F3D"/>
    <w:rsid w:val="00143FB7"/>
    <w:rsid w:val="00144065"/>
    <w:rsid w:val="001442EA"/>
    <w:rsid w:val="001446B5"/>
    <w:rsid w:val="00144866"/>
    <w:rsid w:val="00144A3E"/>
    <w:rsid w:val="00144C7E"/>
    <w:rsid w:val="001453BC"/>
    <w:rsid w:val="00146323"/>
    <w:rsid w:val="00146551"/>
    <w:rsid w:val="0014691B"/>
    <w:rsid w:val="00146BD2"/>
    <w:rsid w:val="0014731E"/>
    <w:rsid w:val="00147D18"/>
    <w:rsid w:val="00150FEA"/>
    <w:rsid w:val="001513F5"/>
    <w:rsid w:val="0015151B"/>
    <w:rsid w:val="00151628"/>
    <w:rsid w:val="00151789"/>
    <w:rsid w:val="00151A61"/>
    <w:rsid w:val="00152081"/>
    <w:rsid w:val="00152788"/>
    <w:rsid w:val="00152B82"/>
    <w:rsid w:val="0015319B"/>
    <w:rsid w:val="001532AE"/>
    <w:rsid w:val="0015344E"/>
    <w:rsid w:val="00153558"/>
    <w:rsid w:val="001538B4"/>
    <w:rsid w:val="001538C9"/>
    <w:rsid w:val="001539B7"/>
    <w:rsid w:val="00153ABE"/>
    <w:rsid w:val="00153C46"/>
    <w:rsid w:val="0015496E"/>
    <w:rsid w:val="00154F26"/>
    <w:rsid w:val="001556DB"/>
    <w:rsid w:val="00155742"/>
    <w:rsid w:val="00155BB3"/>
    <w:rsid w:val="00155D09"/>
    <w:rsid w:val="00156121"/>
    <w:rsid w:val="00156222"/>
    <w:rsid w:val="001564B9"/>
    <w:rsid w:val="00156503"/>
    <w:rsid w:val="001566A4"/>
    <w:rsid w:val="00156D01"/>
    <w:rsid w:val="00156D63"/>
    <w:rsid w:val="001607DB"/>
    <w:rsid w:val="00160B02"/>
    <w:rsid w:val="00161104"/>
    <w:rsid w:val="00161368"/>
    <w:rsid w:val="001615D1"/>
    <w:rsid w:val="0016191F"/>
    <w:rsid w:val="00161A92"/>
    <w:rsid w:val="001622A5"/>
    <w:rsid w:val="001622B6"/>
    <w:rsid w:val="00162986"/>
    <w:rsid w:val="00162ED4"/>
    <w:rsid w:val="001631EC"/>
    <w:rsid w:val="0016400A"/>
    <w:rsid w:val="001640A3"/>
    <w:rsid w:val="001640FB"/>
    <w:rsid w:val="001645DA"/>
    <w:rsid w:val="0016482D"/>
    <w:rsid w:val="00164831"/>
    <w:rsid w:val="00164DC5"/>
    <w:rsid w:val="0016539C"/>
    <w:rsid w:val="001658B4"/>
    <w:rsid w:val="00165FFC"/>
    <w:rsid w:val="0016663D"/>
    <w:rsid w:val="001666EA"/>
    <w:rsid w:val="001668A6"/>
    <w:rsid w:val="00167314"/>
    <w:rsid w:val="001702AC"/>
    <w:rsid w:val="00170458"/>
    <w:rsid w:val="001707DD"/>
    <w:rsid w:val="001708F0"/>
    <w:rsid w:val="001714D5"/>
    <w:rsid w:val="001715B5"/>
    <w:rsid w:val="00171A36"/>
    <w:rsid w:val="00171E4C"/>
    <w:rsid w:val="0017206F"/>
    <w:rsid w:val="00172B32"/>
    <w:rsid w:val="00172D4B"/>
    <w:rsid w:val="00173507"/>
    <w:rsid w:val="00173B6F"/>
    <w:rsid w:val="001740A0"/>
    <w:rsid w:val="0017498B"/>
    <w:rsid w:val="00175D20"/>
    <w:rsid w:val="001764C7"/>
    <w:rsid w:val="001766D1"/>
    <w:rsid w:val="0017682E"/>
    <w:rsid w:val="00176902"/>
    <w:rsid w:val="001771BD"/>
    <w:rsid w:val="00177239"/>
    <w:rsid w:val="0017729C"/>
    <w:rsid w:val="00177D00"/>
    <w:rsid w:val="001802C6"/>
    <w:rsid w:val="00180CF4"/>
    <w:rsid w:val="00180CFD"/>
    <w:rsid w:val="00180EFF"/>
    <w:rsid w:val="001811CA"/>
    <w:rsid w:val="0018146A"/>
    <w:rsid w:val="0018189A"/>
    <w:rsid w:val="00181B2A"/>
    <w:rsid w:val="00181B8E"/>
    <w:rsid w:val="0018259F"/>
    <w:rsid w:val="00182938"/>
    <w:rsid w:val="00182B04"/>
    <w:rsid w:val="00182B4C"/>
    <w:rsid w:val="00182BF5"/>
    <w:rsid w:val="00182E38"/>
    <w:rsid w:val="001833EF"/>
    <w:rsid w:val="001838A5"/>
    <w:rsid w:val="00183EB2"/>
    <w:rsid w:val="001842A6"/>
    <w:rsid w:val="00184300"/>
    <w:rsid w:val="00184346"/>
    <w:rsid w:val="0018438A"/>
    <w:rsid w:val="001847DB"/>
    <w:rsid w:val="00185038"/>
    <w:rsid w:val="001853B0"/>
    <w:rsid w:val="00185AB2"/>
    <w:rsid w:val="00185D84"/>
    <w:rsid w:val="0018639B"/>
    <w:rsid w:val="001863AF"/>
    <w:rsid w:val="00186BE8"/>
    <w:rsid w:val="00186CD8"/>
    <w:rsid w:val="0018716F"/>
    <w:rsid w:val="0018768F"/>
    <w:rsid w:val="00187ACC"/>
    <w:rsid w:val="00187EE9"/>
    <w:rsid w:val="0019005D"/>
    <w:rsid w:val="00190382"/>
    <w:rsid w:val="00190B58"/>
    <w:rsid w:val="00190D60"/>
    <w:rsid w:val="00190E80"/>
    <w:rsid w:val="0019115E"/>
    <w:rsid w:val="00192163"/>
    <w:rsid w:val="001927A4"/>
    <w:rsid w:val="00192EED"/>
    <w:rsid w:val="00193392"/>
    <w:rsid w:val="00193669"/>
    <w:rsid w:val="00193870"/>
    <w:rsid w:val="00193CFB"/>
    <w:rsid w:val="00193FB7"/>
    <w:rsid w:val="00194983"/>
    <w:rsid w:val="001949EF"/>
    <w:rsid w:val="00195390"/>
    <w:rsid w:val="00195F94"/>
    <w:rsid w:val="0019632A"/>
    <w:rsid w:val="0019635E"/>
    <w:rsid w:val="001968E8"/>
    <w:rsid w:val="00196BF0"/>
    <w:rsid w:val="00196FCF"/>
    <w:rsid w:val="00197C3F"/>
    <w:rsid w:val="001A01CB"/>
    <w:rsid w:val="001A05DE"/>
    <w:rsid w:val="001A0610"/>
    <w:rsid w:val="001A07A9"/>
    <w:rsid w:val="001A0913"/>
    <w:rsid w:val="001A13A1"/>
    <w:rsid w:val="001A19CE"/>
    <w:rsid w:val="001A22F2"/>
    <w:rsid w:val="001A231A"/>
    <w:rsid w:val="001A2622"/>
    <w:rsid w:val="001A263A"/>
    <w:rsid w:val="001A27C6"/>
    <w:rsid w:val="001A28CC"/>
    <w:rsid w:val="001A2A8D"/>
    <w:rsid w:val="001A2FEE"/>
    <w:rsid w:val="001A33A1"/>
    <w:rsid w:val="001A3643"/>
    <w:rsid w:val="001A3A7C"/>
    <w:rsid w:val="001A3C91"/>
    <w:rsid w:val="001A3D9C"/>
    <w:rsid w:val="001A3E61"/>
    <w:rsid w:val="001A3F48"/>
    <w:rsid w:val="001A42F3"/>
    <w:rsid w:val="001A4470"/>
    <w:rsid w:val="001A460E"/>
    <w:rsid w:val="001A5359"/>
    <w:rsid w:val="001A58A8"/>
    <w:rsid w:val="001A5F10"/>
    <w:rsid w:val="001A6051"/>
    <w:rsid w:val="001A6115"/>
    <w:rsid w:val="001A66AD"/>
    <w:rsid w:val="001A6855"/>
    <w:rsid w:val="001A6E62"/>
    <w:rsid w:val="001A7090"/>
    <w:rsid w:val="001A70EE"/>
    <w:rsid w:val="001A7120"/>
    <w:rsid w:val="001A76BE"/>
    <w:rsid w:val="001B0119"/>
    <w:rsid w:val="001B0579"/>
    <w:rsid w:val="001B08BE"/>
    <w:rsid w:val="001B12A1"/>
    <w:rsid w:val="001B12D7"/>
    <w:rsid w:val="001B17A5"/>
    <w:rsid w:val="001B1C54"/>
    <w:rsid w:val="001B1CD7"/>
    <w:rsid w:val="001B1E5D"/>
    <w:rsid w:val="001B29AF"/>
    <w:rsid w:val="001B2B44"/>
    <w:rsid w:val="001B2BAC"/>
    <w:rsid w:val="001B31B2"/>
    <w:rsid w:val="001B3C24"/>
    <w:rsid w:val="001B3C51"/>
    <w:rsid w:val="001B3D37"/>
    <w:rsid w:val="001B3DAD"/>
    <w:rsid w:val="001B4413"/>
    <w:rsid w:val="001B49A2"/>
    <w:rsid w:val="001B4F5A"/>
    <w:rsid w:val="001B56AD"/>
    <w:rsid w:val="001B5883"/>
    <w:rsid w:val="001B6132"/>
    <w:rsid w:val="001B711C"/>
    <w:rsid w:val="001B7320"/>
    <w:rsid w:val="001B73B7"/>
    <w:rsid w:val="001B7BFD"/>
    <w:rsid w:val="001B7E46"/>
    <w:rsid w:val="001C00EF"/>
    <w:rsid w:val="001C0396"/>
    <w:rsid w:val="001C0475"/>
    <w:rsid w:val="001C04D5"/>
    <w:rsid w:val="001C055E"/>
    <w:rsid w:val="001C0B73"/>
    <w:rsid w:val="001C0C5A"/>
    <w:rsid w:val="001C0D21"/>
    <w:rsid w:val="001C101D"/>
    <w:rsid w:val="001C1248"/>
    <w:rsid w:val="001C13D8"/>
    <w:rsid w:val="001C14A8"/>
    <w:rsid w:val="001C1549"/>
    <w:rsid w:val="001C1589"/>
    <w:rsid w:val="001C178A"/>
    <w:rsid w:val="001C260D"/>
    <w:rsid w:val="001C2694"/>
    <w:rsid w:val="001C2D54"/>
    <w:rsid w:val="001C2D75"/>
    <w:rsid w:val="001C3176"/>
    <w:rsid w:val="001C37E8"/>
    <w:rsid w:val="001C3A07"/>
    <w:rsid w:val="001C42C3"/>
    <w:rsid w:val="001C4402"/>
    <w:rsid w:val="001C45DD"/>
    <w:rsid w:val="001C526C"/>
    <w:rsid w:val="001C539C"/>
    <w:rsid w:val="001C5932"/>
    <w:rsid w:val="001C5B16"/>
    <w:rsid w:val="001C5E6D"/>
    <w:rsid w:val="001C6450"/>
    <w:rsid w:val="001C6588"/>
    <w:rsid w:val="001C6900"/>
    <w:rsid w:val="001C7133"/>
    <w:rsid w:val="001C7A40"/>
    <w:rsid w:val="001C7DC6"/>
    <w:rsid w:val="001D01D2"/>
    <w:rsid w:val="001D02C0"/>
    <w:rsid w:val="001D0843"/>
    <w:rsid w:val="001D0F2E"/>
    <w:rsid w:val="001D211F"/>
    <w:rsid w:val="001D2486"/>
    <w:rsid w:val="001D2730"/>
    <w:rsid w:val="001D281F"/>
    <w:rsid w:val="001D2BDE"/>
    <w:rsid w:val="001D2ECF"/>
    <w:rsid w:val="001D4399"/>
    <w:rsid w:val="001D4607"/>
    <w:rsid w:val="001D491B"/>
    <w:rsid w:val="001D52DB"/>
    <w:rsid w:val="001D5485"/>
    <w:rsid w:val="001D5A46"/>
    <w:rsid w:val="001D608D"/>
    <w:rsid w:val="001D61EC"/>
    <w:rsid w:val="001D63B6"/>
    <w:rsid w:val="001D63BE"/>
    <w:rsid w:val="001D68C8"/>
    <w:rsid w:val="001D6B9D"/>
    <w:rsid w:val="001D6C7A"/>
    <w:rsid w:val="001D6C89"/>
    <w:rsid w:val="001D6C96"/>
    <w:rsid w:val="001D6EA8"/>
    <w:rsid w:val="001D7012"/>
    <w:rsid w:val="001D7F24"/>
    <w:rsid w:val="001E0096"/>
    <w:rsid w:val="001E0211"/>
    <w:rsid w:val="001E02DA"/>
    <w:rsid w:val="001E04A8"/>
    <w:rsid w:val="001E04E2"/>
    <w:rsid w:val="001E0A7A"/>
    <w:rsid w:val="001E0AB7"/>
    <w:rsid w:val="001E0FA7"/>
    <w:rsid w:val="001E117A"/>
    <w:rsid w:val="001E123A"/>
    <w:rsid w:val="001E1722"/>
    <w:rsid w:val="001E178C"/>
    <w:rsid w:val="001E19C8"/>
    <w:rsid w:val="001E1C3C"/>
    <w:rsid w:val="001E1DCF"/>
    <w:rsid w:val="001E1F1D"/>
    <w:rsid w:val="001E2152"/>
    <w:rsid w:val="001E2AE8"/>
    <w:rsid w:val="001E2E20"/>
    <w:rsid w:val="001E304E"/>
    <w:rsid w:val="001E35AA"/>
    <w:rsid w:val="001E381D"/>
    <w:rsid w:val="001E3AFA"/>
    <w:rsid w:val="001E3C31"/>
    <w:rsid w:val="001E4473"/>
    <w:rsid w:val="001E49EF"/>
    <w:rsid w:val="001E4FD1"/>
    <w:rsid w:val="001E54DF"/>
    <w:rsid w:val="001E5715"/>
    <w:rsid w:val="001E5768"/>
    <w:rsid w:val="001E59AB"/>
    <w:rsid w:val="001E6021"/>
    <w:rsid w:val="001E6038"/>
    <w:rsid w:val="001E6375"/>
    <w:rsid w:val="001E64CE"/>
    <w:rsid w:val="001E6920"/>
    <w:rsid w:val="001E6FF7"/>
    <w:rsid w:val="001E728F"/>
    <w:rsid w:val="001E7344"/>
    <w:rsid w:val="001E7356"/>
    <w:rsid w:val="001E74B2"/>
    <w:rsid w:val="001E7B8D"/>
    <w:rsid w:val="001F02B2"/>
    <w:rsid w:val="001F0406"/>
    <w:rsid w:val="001F0484"/>
    <w:rsid w:val="001F04A4"/>
    <w:rsid w:val="001F0910"/>
    <w:rsid w:val="001F15E8"/>
    <w:rsid w:val="001F1D75"/>
    <w:rsid w:val="001F204D"/>
    <w:rsid w:val="001F2598"/>
    <w:rsid w:val="001F2826"/>
    <w:rsid w:val="001F2D7B"/>
    <w:rsid w:val="001F2DAE"/>
    <w:rsid w:val="001F36ED"/>
    <w:rsid w:val="001F37D9"/>
    <w:rsid w:val="001F415D"/>
    <w:rsid w:val="001F4CDA"/>
    <w:rsid w:val="001F5419"/>
    <w:rsid w:val="001F543D"/>
    <w:rsid w:val="001F5480"/>
    <w:rsid w:val="001F572D"/>
    <w:rsid w:val="001F5C91"/>
    <w:rsid w:val="001F5F06"/>
    <w:rsid w:val="001F60E5"/>
    <w:rsid w:val="001F622E"/>
    <w:rsid w:val="001F6693"/>
    <w:rsid w:val="001F733F"/>
    <w:rsid w:val="001F7E72"/>
    <w:rsid w:val="002001C6"/>
    <w:rsid w:val="00200A18"/>
    <w:rsid w:val="00200F11"/>
    <w:rsid w:val="002011A9"/>
    <w:rsid w:val="0020144A"/>
    <w:rsid w:val="00201C93"/>
    <w:rsid w:val="00202092"/>
    <w:rsid w:val="00202687"/>
    <w:rsid w:val="00202C5D"/>
    <w:rsid w:val="00202D41"/>
    <w:rsid w:val="00203087"/>
    <w:rsid w:val="00204881"/>
    <w:rsid w:val="00204DD6"/>
    <w:rsid w:val="0020511C"/>
    <w:rsid w:val="002054C5"/>
    <w:rsid w:val="00205558"/>
    <w:rsid w:val="0020619D"/>
    <w:rsid w:val="002063BD"/>
    <w:rsid w:val="00206900"/>
    <w:rsid w:val="00206AA1"/>
    <w:rsid w:val="00207704"/>
    <w:rsid w:val="00207ABE"/>
    <w:rsid w:val="00207EF2"/>
    <w:rsid w:val="00210533"/>
    <w:rsid w:val="00210918"/>
    <w:rsid w:val="00210AAB"/>
    <w:rsid w:val="00210C83"/>
    <w:rsid w:val="002110C2"/>
    <w:rsid w:val="002114B2"/>
    <w:rsid w:val="00211551"/>
    <w:rsid w:val="00211716"/>
    <w:rsid w:val="0021199A"/>
    <w:rsid w:val="00211D26"/>
    <w:rsid w:val="002124F7"/>
    <w:rsid w:val="0021374A"/>
    <w:rsid w:val="00213912"/>
    <w:rsid w:val="00214014"/>
    <w:rsid w:val="002142EE"/>
    <w:rsid w:val="00214894"/>
    <w:rsid w:val="0021512F"/>
    <w:rsid w:val="002153BE"/>
    <w:rsid w:val="00215A88"/>
    <w:rsid w:val="002164DC"/>
    <w:rsid w:val="002169AE"/>
    <w:rsid w:val="00216F2A"/>
    <w:rsid w:val="00217047"/>
    <w:rsid w:val="00217164"/>
    <w:rsid w:val="002203A8"/>
    <w:rsid w:val="0022070C"/>
    <w:rsid w:val="00220869"/>
    <w:rsid w:val="00220874"/>
    <w:rsid w:val="00220A4C"/>
    <w:rsid w:val="00220D76"/>
    <w:rsid w:val="002210E2"/>
    <w:rsid w:val="0022130F"/>
    <w:rsid w:val="00221521"/>
    <w:rsid w:val="00221523"/>
    <w:rsid w:val="00221905"/>
    <w:rsid w:val="00221A78"/>
    <w:rsid w:val="00221BA3"/>
    <w:rsid w:val="00221EA0"/>
    <w:rsid w:val="00222B34"/>
    <w:rsid w:val="00222BE9"/>
    <w:rsid w:val="00222F2C"/>
    <w:rsid w:val="00223019"/>
    <w:rsid w:val="0022343C"/>
    <w:rsid w:val="002235C8"/>
    <w:rsid w:val="00223670"/>
    <w:rsid w:val="002238A1"/>
    <w:rsid w:val="00223B08"/>
    <w:rsid w:val="00223CB2"/>
    <w:rsid w:val="00223D02"/>
    <w:rsid w:val="00223ED7"/>
    <w:rsid w:val="00224096"/>
    <w:rsid w:val="00224388"/>
    <w:rsid w:val="002245D9"/>
    <w:rsid w:val="002245E2"/>
    <w:rsid w:val="00224B2E"/>
    <w:rsid w:val="00224EAB"/>
    <w:rsid w:val="002250A1"/>
    <w:rsid w:val="00225481"/>
    <w:rsid w:val="00225487"/>
    <w:rsid w:val="002257F4"/>
    <w:rsid w:val="00225A1C"/>
    <w:rsid w:val="00225A2B"/>
    <w:rsid w:val="00225EEE"/>
    <w:rsid w:val="0022613F"/>
    <w:rsid w:val="00226CF7"/>
    <w:rsid w:val="00227059"/>
    <w:rsid w:val="00227074"/>
    <w:rsid w:val="00227880"/>
    <w:rsid w:val="00227E82"/>
    <w:rsid w:val="00227FD4"/>
    <w:rsid w:val="00230158"/>
    <w:rsid w:val="002301F1"/>
    <w:rsid w:val="00230958"/>
    <w:rsid w:val="002309B6"/>
    <w:rsid w:val="0023102C"/>
    <w:rsid w:val="00231B1C"/>
    <w:rsid w:val="00232012"/>
    <w:rsid w:val="002325C5"/>
    <w:rsid w:val="002327D6"/>
    <w:rsid w:val="0023286A"/>
    <w:rsid w:val="00232C3F"/>
    <w:rsid w:val="00232CE2"/>
    <w:rsid w:val="00232DE5"/>
    <w:rsid w:val="002333D4"/>
    <w:rsid w:val="0023340C"/>
    <w:rsid w:val="00233780"/>
    <w:rsid w:val="00234225"/>
    <w:rsid w:val="002342E4"/>
    <w:rsid w:val="00234556"/>
    <w:rsid w:val="00234893"/>
    <w:rsid w:val="00234E0F"/>
    <w:rsid w:val="00234F85"/>
    <w:rsid w:val="00235116"/>
    <w:rsid w:val="002352B0"/>
    <w:rsid w:val="0023581A"/>
    <w:rsid w:val="00235C01"/>
    <w:rsid w:val="00235EA0"/>
    <w:rsid w:val="002361E3"/>
    <w:rsid w:val="00236205"/>
    <w:rsid w:val="00236C9F"/>
    <w:rsid w:val="00236D24"/>
    <w:rsid w:val="00236E72"/>
    <w:rsid w:val="0023705A"/>
    <w:rsid w:val="002370D0"/>
    <w:rsid w:val="00237323"/>
    <w:rsid w:val="0023732E"/>
    <w:rsid w:val="002375A1"/>
    <w:rsid w:val="002378BC"/>
    <w:rsid w:val="00237E60"/>
    <w:rsid w:val="00237F2E"/>
    <w:rsid w:val="00237FDC"/>
    <w:rsid w:val="002400D0"/>
    <w:rsid w:val="0024064C"/>
    <w:rsid w:val="00240873"/>
    <w:rsid w:val="00240C35"/>
    <w:rsid w:val="00240FF6"/>
    <w:rsid w:val="00241111"/>
    <w:rsid w:val="00241205"/>
    <w:rsid w:val="0024268B"/>
    <w:rsid w:val="00243C6D"/>
    <w:rsid w:val="002440C5"/>
    <w:rsid w:val="00244238"/>
    <w:rsid w:val="0024437B"/>
    <w:rsid w:val="0024525B"/>
    <w:rsid w:val="00245906"/>
    <w:rsid w:val="002459A4"/>
    <w:rsid w:val="00245A09"/>
    <w:rsid w:val="00245A69"/>
    <w:rsid w:val="0024618C"/>
    <w:rsid w:val="00246F8C"/>
    <w:rsid w:val="0024712E"/>
    <w:rsid w:val="0024721F"/>
    <w:rsid w:val="002473E7"/>
    <w:rsid w:val="002474B4"/>
    <w:rsid w:val="00247757"/>
    <w:rsid w:val="00247E3B"/>
    <w:rsid w:val="0025022E"/>
    <w:rsid w:val="0025030D"/>
    <w:rsid w:val="00250452"/>
    <w:rsid w:val="00251343"/>
    <w:rsid w:val="002516C1"/>
    <w:rsid w:val="002516E8"/>
    <w:rsid w:val="00251A87"/>
    <w:rsid w:val="00251E8A"/>
    <w:rsid w:val="002520C0"/>
    <w:rsid w:val="002520F4"/>
    <w:rsid w:val="00252F93"/>
    <w:rsid w:val="002533BD"/>
    <w:rsid w:val="0025342B"/>
    <w:rsid w:val="0025369F"/>
    <w:rsid w:val="00253A47"/>
    <w:rsid w:val="00253AB9"/>
    <w:rsid w:val="00253B66"/>
    <w:rsid w:val="00253DEB"/>
    <w:rsid w:val="00253FF1"/>
    <w:rsid w:val="002549BE"/>
    <w:rsid w:val="00254F85"/>
    <w:rsid w:val="0025516F"/>
    <w:rsid w:val="002553B1"/>
    <w:rsid w:val="002553CC"/>
    <w:rsid w:val="00255C07"/>
    <w:rsid w:val="00255F3E"/>
    <w:rsid w:val="002560BF"/>
    <w:rsid w:val="00256365"/>
    <w:rsid w:val="0025676B"/>
    <w:rsid w:val="00256A8A"/>
    <w:rsid w:val="00256EBE"/>
    <w:rsid w:val="00256F2C"/>
    <w:rsid w:val="002572A5"/>
    <w:rsid w:val="00257731"/>
    <w:rsid w:val="002577CA"/>
    <w:rsid w:val="00257825"/>
    <w:rsid w:val="002607F6"/>
    <w:rsid w:val="00260A82"/>
    <w:rsid w:val="00260A9A"/>
    <w:rsid w:val="00260B4F"/>
    <w:rsid w:val="002612A6"/>
    <w:rsid w:val="00261A18"/>
    <w:rsid w:val="00261C3D"/>
    <w:rsid w:val="00261CBF"/>
    <w:rsid w:val="00261D0B"/>
    <w:rsid w:val="00262223"/>
    <w:rsid w:val="00262508"/>
    <w:rsid w:val="002625E0"/>
    <w:rsid w:val="00262887"/>
    <w:rsid w:val="002629AC"/>
    <w:rsid w:val="00262D1C"/>
    <w:rsid w:val="002631D1"/>
    <w:rsid w:val="00263403"/>
    <w:rsid w:val="002634FA"/>
    <w:rsid w:val="0026354C"/>
    <w:rsid w:val="0026365C"/>
    <w:rsid w:val="002636C4"/>
    <w:rsid w:val="002637A6"/>
    <w:rsid w:val="00263ED4"/>
    <w:rsid w:val="0026426B"/>
    <w:rsid w:val="0026475C"/>
    <w:rsid w:val="00264A34"/>
    <w:rsid w:val="00264E04"/>
    <w:rsid w:val="00265327"/>
    <w:rsid w:val="002655AA"/>
    <w:rsid w:val="002657CC"/>
    <w:rsid w:val="00265BB2"/>
    <w:rsid w:val="00265F84"/>
    <w:rsid w:val="002662AC"/>
    <w:rsid w:val="002663F7"/>
    <w:rsid w:val="00266966"/>
    <w:rsid w:val="00266DF6"/>
    <w:rsid w:val="002672B9"/>
    <w:rsid w:val="00267449"/>
    <w:rsid w:val="002700DE"/>
    <w:rsid w:val="002706DF"/>
    <w:rsid w:val="002711AA"/>
    <w:rsid w:val="0027125E"/>
    <w:rsid w:val="00271701"/>
    <w:rsid w:val="00271B38"/>
    <w:rsid w:val="00271F5F"/>
    <w:rsid w:val="00272338"/>
    <w:rsid w:val="00272747"/>
    <w:rsid w:val="00272DE1"/>
    <w:rsid w:val="00272DE3"/>
    <w:rsid w:val="002732DF"/>
    <w:rsid w:val="00273ED7"/>
    <w:rsid w:val="0027411A"/>
    <w:rsid w:val="0027412E"/>
    <w:rsid w:val="0027418A"/>
    <w:rsid w:val="00274CB4"/>
    <w:rsid w:val="00274E2B"/>
    <w:rsid w:val="0027525D"/>
    <w:rsid w:val="002756DA"/>
    <w:rsid w:val="00275AB4"/>
    <w:rsid w:val="0027627D"/>
    <w:rsid w:val="00276AD7"/>
    <w:rsid w:val="00276EC7"/>
    <w:rsid w:val="00276F42"/>
    <w:rsid w:val="002770B4"/>
    <w:rsid w:val="002774AE"/>
    <w:rsid w:val="00277809"/>
    <w:rsid w:val="0028062E"/>
    <w:rsid w:val="00280D59"/>
    <w:rsid w:val="00281147"/>
    <w:rsid w:val="00281321"/>
    <w:rsid w:val="00281342"/>
    <w:rsid w:val="0028154F"/>
    <w:rsid w:val="00281729"/>
    <w:rsid w:val="002817E4"/>
    <w:rsid w:val="00281CD8"/>
    <w:rsid w:val="00281D6C"/>
    <w:rsid w:val="00281E24"/>
    <w:rsid w:val="00281FFA"/>
    <w:rsid w:val="002820AA"/>
    <w:rsid w:val="0028218B"/>
    <w:rsid w:val="0028279F"/>
    <w:rsid w:val="00283C0B"/>
    <w:rsid w:val="00284083"/>
    <w:rsid w:val="00284151"/>
    <w:rsid w:val="00284591"/>
    <w:rsid w:val="00284C0D"/>
    <w:rsid w:val="0028554C"/>
    <w:rsid w:val="0028588F"/>
    <w:rsid w:val="002859E3"/>
    <w:rsid w:val="002867A6"/>
    <w:rsid w:val="00286B42"/>
    <w:rsid w:val="00286D41"/>
    <w:rsid w:val="00287088"/>
    <w:rsid w:val="002901AA"/>
    <w:rsid w:val="00290627"/>
    <w:rsid w:val="00290C08"/>
    <w:rsid w:val="00290C1D"/>
    <w:rsid w:val="00290CCC"/>
    <w:rsid w:val="002911FD"/>
    <w:rsid w:val="00291733"/>
    <w:rsid w:val="002917F0"/>
    <w:rsid w:val="0029202E"/>
    <w:rsid w:val="00292570"/>
    <w:rsid w:val="00292640"/>
    <w:rsid w:val="0029281A"/>
    <w:rsid w:val="00292E25"/>
    <w:rsid w:val="00292F27"/>
    <w:rsid w:val="00293037"/>
    <w:rsid w:val="0029318D"/>
    <w:rsid w:val="0029347F"/>
    <w:rsid w:val="00293660"/>
    <w:rsid w:val="00293CF5"/>
    <w:rsid w:val="00293F11"/>
    <w:rsid w:val="00294532"/>
    <w:rsid w:val="00294689"/>
    <w:rsid w:val="00294BC1"/>
    <w:rsid w:val="00294C5E"/>
    <w:rsid w:val="00294C89"/>
    <w:rsid w:val="002953CF"/>
    <w:rsid w:val="0029552E"/>
    <w:rsid w:val="002957C3"/>
    <w:rsid w:val="0029593B"/>
    <w:rsid w:val="00295B4F"/>
    <w:rsid w:val="00295BCE"/>
    <w:rsid w:val="00296264"/>
    <w:rsid w:val="002962D2"/>
    <w:rsid w:val="0029658A"/>
    <w:rsid w:val="0029677E"/>
    <w:rsid w:val="0029692A"/>
    <w:rsid w:val="002969DE"/>
    <w:rsid w:val="00296B35"/>
    <w:rsid w:val="00296CB0"/>
    <w:rsid w:val="00296CF7"/>
    <w:rsid w:val="00296CFC"/>
    <w:rsid w:val="00297174"/>
    <w:rsid w:val="00297504"/>
    <w:rsid w:val="00297E50"/>
    <w:rsid w:val="002A0FDE"/>
    <w:rsid w:val="002A1B60"/>
    <w:rsid w:val="002A2282"/>
    <w:rsid w:val="002A304F"/>
    <w:rsid w:val="002A3990"/>
    <w:rsid w:val="002A3ABC"/>
    <w:rsid w:val="002A3CCE"/>
    <w:rsid w:val="002A3E50"/>
    <w:rsid w:val="002A4143"/>
    <w:rsid w:val="002A4324"/>
    <w:rsid w:val="002A43D5"/>
    <w:rsid w:val="002A4728"/>
    <w:rsid w:val="002A4757"/>
    <w:rsid w:val="002A4870"/>
    <w:rsid w:val="002A4E98"/>
    <w:rsid w:val="002A51A0"/>
    <w:rsid w:val="002A51F8"/>
    <w:rsid w:val="002A5781"/>
    <w:rsid w:val="002A5891"/>
    <w:rsid w:val="002A5AB2"/>
    <w:rsid w:val="002A61E6"/>
    <w:rsid w:val="002A68D6"/>
    <w:rsid w:val="002A6AEC"/>
    <w:rsid w:val="002A6DAA"/>
    <w:rsid w:val="002A6E78"/>
    <w:rsid w:val="002A6EBB"/>
    <w:rsid w:val="002A7150"/>
    <w:rsid w:val="002A74E5"/>
    <w:rsid w:val="002A7898"/>
    <w:rsid w:val="002A7AC8"/>
    <w:rsid w:val="002A7C85"/>
    <w:rsid w:val="002B04DD"/>
    <w:rsid w:val="002B07F0"/>
    <w:rsid w:val="002B0809"/>
    <w:rsid w:val="002B0858"/>
    <w:rsid w:val="002B08D6"/>
    <w:rsid w:val="002B0A8C"/>
    <w:rsid w:val="002B0AFE"/>
    <w:rsid w:val="002B0D39"/>
    <w:rsid w:val="002B11EC"/>
    <w:rsid w:val="002B154C"/>
    <w:rsid w:val="002B1953"/>
    <w:rsid w:val="002B1A89"/>
    <w:rsid w:val="002B2024"/>
    <w:rsid w:val="002B286A"/>
    <w:rsid w:val="002B2A1A"/>
    <w:rsid w:val="002B2B73"/>
    <w:rsid w:val="002B39B0"/>
    <w:rsid w:val="002B3BBD"/>
    <w:rsid w:val="002B3E11"/>
    <w:rsid w:val="002B48A3"/>
    <w:rsid w:val="002B5480"/>
    <w:rsid w:val="002B54E3"/>
    <w:rsid w:val="002B59DF"/>
    <w:rsid w:val="002B5CAA"/>
    <w:rsid w:val="002B5F1E"/>
    <w:rsid w:val="002B6158"/>
    <w:rsid w:val="002B63C2"/>
    <w:rsid w:val="002B67AD"/>
    <w:rsid w:val="002B6959"/>
    <w:rsid w:val="002B6ECC"/>
    <w:rsid w:val="002B6F29"/>
    <w:rsid w:val="002B75FE"/>
    <w:rsid w:val="002B76B0"/>
    <w:rsid w:val="002B7F33"/>
    <w:rsid w:val="002B7FAD"/>
    <w:rsid w:val="002C04C2"/>
    <w:rsid w:val="002C04F4"/>
    <w:rsid w:val="002C16B9"/>
    <w:rsid w:val="002C22A2"/>
    <w:rsid w:val="002C2310"/>
    <w:rsid w:val="002C25D4"/>
    <w:rsid w:val="002C2799"/>
    <w:rsid w:val="002C2D6F"/>
    <w:rsid w:val="002C3457"/>
    <w:rsid w:val="002C3683"/>
    <w:rsid w:val="002C38CE"/>
    <w:rsid w:val="002C3ADD"/>
    <w:rsid w:val="002C3BA5"/>
    <w:rsid w:val="002C3DF6"/>
    <w:rsid w:val="002C51BA"/>
    <w:rsid w:val="002C52CB"/>
    <w:rsid w:val="002C54ED"/>
    <w:rsid w:val="002C56B5"/>
    <w:rsid w:val="002C581A"/>
    <w:rsid w:val="002C5CA1"/>
    <w:rsid w:val="002C6926"/>
    <w:rsid w:val="002C6B78"/>
    <w:rsid w:val="002C71BC"/>
    <w:rsid w:val="002C7339"/>
    <w:rsid w:val="002C7751"/>
    <w:rsid w:val="002C7779"/>
    <w:rsid w:val="002C798C"/>
    <w:rsid w:val="002C7A16"/>
    <w:rsid w:val="002D0590"/>
    <w:rsid w:val="002D106F"/>
    <w:rsid w:val="002D1106"/>
    <w:rsid w:val="002D1BB5"/>
    <w:rsid w:val="002D2501"/>
    <w:rsid w:val="002D2924"/>
    <w:rsid w:val="002D336E"/>
    <w:rsid w:val="002D35E0"/>
    <w:rsid w:val="002D370D"/>
    <w:rsid w:val="002D371E"/>
    <w:rsid w:val="002D38C2"/>
    <w:rsid w:val="002D3B47"/>
    <w:rsid w:val="002D4120"/>
    <w:rsid w:val="002D453E"/>
    <w:rsid w:val="002D4CEF"/>
    <w:rsid w:val="002D5060"/>
    <w:rsid w:val="002D506A"/>
    <w:rsid w:val="002D5208"/>
    <w:rsid w:val="002D5257"/>
    <w:rsid w:val="002D58CB"/>
    <w:rsid w:val="002D58DF"/>
    <w:rsid w:val="002D5AB9"/>
    <w:rsid w:val="002D5F08"/>
    <w:rsid w:val="002D627D"/>
    <w:rsid w:val="002D6512"/>
    <w:rsid w:val="002D69A7"/>
    <w:rsid w:val="002D6D6A"/>
    <w:rsid w:val="002D73F4"/>
    <w:rsid w:val="002D7706"/>
    <w:rsid w:val="002D7D94"/>
    <w:rsid w:val="002E00C1"/>
    <w:rsid w:val="002E0E1C"/>
    <w:rsid w:val="002E117C"/>
    <w:rsid w:val="002E1374"/>
    <w:rsid w:val="002E1438"/>
    <w:rsid w:val="002E19A8"/>
    <w:rsid w:val="002E1B79"/>
    <w:rsid w:val="002E1BE0"/>
    <w:rsid w:val="002E1E9E"/>
    <w:rsid w:val="002E1F2B"/>
    <w:rsid w:val="002E1F4A"/>
    <w:rsid w:val="002E2044"/>
    <w:rsid w:val="002E2694"/>
    <w:rsid w:val="002E2CD9"/>
    <w:rsid w:val="002E2E20"/>
    <w:rsid w:val="002E2E57"/>
    <w:rsid w:val="002E2F9F"/>
    <w:rsid w:val="002E34E5"/>
    <w:rsid w:val="002E39AE"/>
    <w:rsid w:val="002E4005"/>
    <w:rsid w:val="002E413F"/>
    <w:rsid w:val="002E434D"/>
    <w:rsid w:val="002E43BA"/>
    <w:rsid w:val="002E466A"/>
    <w:rsid w:val="002E46FD"/>
    <w:rsid w:val="002E48AC"/>
    <w:rsid w:val="002E4BE6"/>
    <w:rsid w:val="002E4DFD"/>
    <w:rsid w:val="002E526F"/>
    <w:rsid w:val="002E53E0"/>
    <w:rsid w:val="002E5A43"/>
    <w:rsid w:val="002E6718"/>
    <w:rsid w:val="002E6E02"/>
    <w:rsid w:val="002E78B2"/>
    <w:rsid w:val="002E7AD7"/>
    <w:rsid w:val="002E7DFB"/>
    <w:rsid w:val="002E7F4B"/>
    <w:rsid w:val="002E7FDC"/>
    <w:rsid w:val="002F003B"/>
    <w:rsid w:val="002F023C"/>
    <w:rsid w:val="002F06BA"/>
    <w:rsid w:val="002F072F"/>
    <w:rsid w:val="002F0799"/>
    <w:rsid w:val="002F0824"/>
    <w:rsid w:val="002F1620"/>
    <w:rsid w:val="002F18ED"/>
    <w:rsid w:val="002F18F6"/>
    <w:rsid w:val="002F346C"/>
    <w:rsid w:val="002F3B02"/>
    <w:rsid w:val="002F4109"/>
    <w:rsid w:val="002F438D"/>
    <w:rsid w:val="002F45FA"/>
    <w:rsid w:val="002F4F29"/>
    <w:rsid w:val="002F544D"/>
    <w:rsid w:val="002F5C97"/>
    <w:rsid w:val="002F5D58"/>
    <w:rsid w:val="002F6346"/>
    <w:rsid w:val="002F69A4"/>
    <w:rsid w:val="002F6D36"/>
    <w:rsid w:val="002F6D86"/>
    <w:rsid w:val="002F71B7"/>
    <w:rsid w:val="002F7539"/>
    <w:rsid w:val="002F78BA"/>
    <w:rsid w:val="002F7A27"/>
    <w:rsid w:val="002F7A45"/>
    <w:rsid w:val="002F7BFD"/>
    <w:rsid w:val="002F7EF7"/>
    <w:rsid w:val="0030063F"/>
    <w:rsid w:val="00300895"/>
    <w:rsid w:val="00300DCF"/>
    <w:rsid w:val="00300EDA"/>
    <w:rsid w:val="0030209B"/>
    <w:rsid w:val="00302233"/>
    <w:rsid w:val="003026AC"/>
    <w:rsid w:val="00302C23"/>
    <w:rsid w:val="00302E11"/>
    <w:rsid w:val="00302E99"/>
    <w:rsid w:val="003030C6"/>
    <w:rsid w:val="003031BC"/>
    <w:rsid w:val="00303270"/>
    <w:rsid w:val="0030358A"/>
    <w:rsid w:val="0030375E"/>
    <w:rsid w:val="00303D13"/>
    <w:rsid w:val="00303FF8"/>
    <w:rsid w:val="00304143"/>
    <w:rsid w:val="00305114"/>
    <w:rsid w:val="0030521F"/>
    <w:rsid w:val="00305330"/>
    <w:rsid w:val="00305E25"/>
    <w:rsid w:val="003060DC"/>
    <w:rsid w:val="003064EA"/>
    <w:rsid w:val="00306A09"/>
    <w:rsid w:val="00306DF7"/>
    <w:rsid w:val="003076D1"/>
    <w:rsid w:val="00307852"/>
    <w:rsid w:val="00307930"/>
    <w:rsid w:val="00310602"/>
    <w:rsid w:val="00310732"/>
    <w:rsid w:val="00310806"/>
    <w:rsid w:val="0031136B"/>
    <w:rsid w:val="0031136C"/>
    <w:rsid w:val="003115F8"/>
    <w:rsid w:val="003118A5"/>
    <w:rsid w:val="00311B44"/>
    <w:rsid w:val="00311FED"/>
    <w:rsid w:val="00312417"/>
    <w:rsid w:val="00312553"/>
    <w:rsid w:val="003127E1"/>
    <w:rsid w:val="00314564"/>
    <w:rsid w:val="00314C60"/>
    <w:rsid w:val="0031529D"/>
    <w:rsid w:val="00315ACC"/>
    <w:rsid w:val="00315BF5"/>
    <w:rsid w:val="00315CC9"/>
    <w:rsid w:val="00315EA4"/>
    <w:rsid w:val="0031648C"/>
    <w:rsid w:val="00316928"/>
    <w:rsid w:val="003175F5"/>
    <w:rsid w:val="00317908"/>
    <w:rsid w:val="00317966"/>
    <w:rsid w:val="00317B45"/>
    <w:rsid w:val="0032048A"/>
    <w:rsid w:val="0032075B"/>
    <w:rsid w:val="00320841"/>
    <w:rsid w:val="00320D5A"/>
    <w:rsid w:val="00321BFE"/>
    <w:rsid w:val="00322260"/>
    <w:rsid w:val="003223FC"/>
    <w:rsid w:val="00322675"/>
    <w:rsid w:val="003232D8"/>
    <w:rsid w:val="00323690"/>
    <w:rsid w:val="0032386A"/>
    <w:rsid w:val="00323901"/>
    <w:rsid w:val="00323A2C"/>
    <w:rsid w:val="00323C30"/>
    <w:rsid w:val="00324453"/>
    <w:rsid w:val="00324873"/>
    <w:rsid w:val="00324887"/>
    <w:rsid w:val="003248BE"/>
    <w:rsid w:val="00324D39"/>
    <w:rsid w:val="00325111"/>
    <w:rsid w:val="0032530F"/>
    <w:rsid w:val="00325466"/>
    <w:rsid w:val="00325888"/>
    <w:rsid w:val="00325A6B"/>
    <w:rsid w:val="00325C90"/>
    <w:rsid w:val="00327572"/>
    <w:rsid w:val="00327604"/>
    <w:rsid w:val="00327852"/>
    <w:rsid w:val="00327867"/>
    <w:rsid w:val="00327B80"/>
    <w:rsid w:val="00327C90"/>
    <w:rsid w:val="00327D8D"/>
    <w:rsid w:val="003302D8"/>
    <w:rsid w:val="0033060D"/>
    <w:rsid w:val="003309CF"/>
    <w:rsid w:val="00330A99"/>
    <w:rsid w:val="00330E8D"/>
    <w:rsid w:val="0033104C"/>
    <w:rsid w:val="003316C6"/>
    <w:rsid w:val="00331C97"/>
    <w:rsid w:val="00331DF4"/>
    <w:rsid w:val="0033203B"/>
    <w:rsid w:val="00332321"/>
    <w:rsid w:val="003323DF"/>
    <w:rsid w:val="00332652"/>
    <w:rsid w:val="00332D6A"/>
    <w:rsid w:val="0033373B"/>
    <w:rsid w:val="00333803"/>
    <w:rsid w:val="003339CA"/>
    <w:rsid w:val="00333B63"/>
    <w:rsid w:val="00334765"/>
    <w:rsid w:val="00334960"/>
    <w:rsid w:val="00334A2F"/>
    <w:rsid w:val="00335257"/>
    <w:rsid w:val="0033546B"/>
    <w:rsid w:val="003359F2"/>
    <w:rsid w:val="00335A0F"/>
    <w:rsid w:val="00335E0D"/>
    <w:rsid w:val="00336057"/>
    <w:rsid w:val="00336503"/>
    <w:rsid w:val="00336909"/>
    <w:rsid w:val="00336B64"/>
    <w:rsid w:val="00336DF1"/>
    <w:rsid w:val="0033753B"/>
    <w:rsid w:val="00337D49"/>
    <w:rsid w:val="00340079"/>
    <w:rsid w:val="00340381"/>
    <w:rsid w:val="003405F7"/>
    <w:rsid w:val="00340849"/>
    <w:rsid w:val="003409D7"/>
    <w:rsid w:val="00340DF3"/>
    <w:rsid w:val="00340E11"/>
    <w:rsid w:val="0034112A"/>
    <w:rsid w:val="00342144"/>
    <w:rsid w:val="00342777"/>
    <w:rsid w:val="00342D8B"/>
    <w:rsid w:val="00343273"/>
    <w:rsid w:val="003439FB"/>
    <w:rsid w:val="00343AFB"/>
    <w:rsid w:val="00344169"/>
    <w:rsid w:val="00344640"/>
    <w:rsid w:val="003446C0"/>
    <w:rsid w:val="00344C61"/>
    <w:rsid w:val="00344F6C"/>
    <w:rsid w:val="003460B4"/>
    <w:rsid w:val="00346387"/>
    <w:rsid w:val="00346724"/>
    <w:rsid w:val="00346C28"/>
    <w:rsid w:val="00346C60"/>
    <w:rsid w:val="00346D3B"/>
    <w:rsid w:val="00346FA8"/>
    <w:rsid w:val="003470CA"/>
    <w:rsid w:val="0034732F"/>
    <w:rsid w:val="00347366"/>
    <w:rsid w:val="003507CE"/>
    <w:rsid w:val="00350B78"/>
    <w:rsid w:val="00350C28"/>
    <w:rsid w:val="00350D70"/>
    <w:rsid w:val="00350DDC"/>
    <w:rsid w:val="003513A8"/>
    <w:rsid w:val="003513B3"/>
    <w:rsid w:val="00351453"/>
    <w:rsid w:val="00352211"/>
    <w:rsid w:val="003522D2"/>
    <w:rsid w:val="0035347D"/>
    <w:rsid w:val="003543DD"/>
    <w:rsid w:val="00354AF8"/>
    <w:rsid w:val="00354E7B"/>
    <w:rsid w:val="00354FE0"/>
    <w:rsid w:val="00355311"/>
    <w:rsid w:val="00355F63"/>
    <w:rsid w:val="00355F65"/>
    <w:rsid w:val="00356223"/>
    <w:rsid w:val="00356525"/>
    <w:rsid w:val="00356A10"/>
    <w:rsid w:val="00356B03"/>
    <w:rsid w:val="00356F0E"/>
    <w:rsid w:val="00356FDB"/>
    <w:rsid w:val="00357189"/>
    <w:rsid w:val="003571B1"/>
    <w:rsid w:val="003571C0"/>
    <w:rsid w:val="003574F3"/>
    <w:rsid w:val="00357AB9"/>
    <w:rsid w:val="00357D12"/>
    <w:rsid w:val="003608FD"/>
    <w:rsid w:val="00361016"/>
    <w:rsid w:val="0036108D"/>
    <w:rsid w:val="00361784"/>
    <w:rsid w:val="00361986"/>
    <w:rsid w:val="00361D70"/>
    <w:rsid w:val="00361EFF"/>
    <w:rsid w:val="003623FC"/>
    <w:rsid w:val="00362572"/>
    <w:rsid w:val="00363167"/>
    <w:rsid w:val="00363518"/>
    <w:rsid w:val="00364016"/>
    <w:rsid w:val="00364272"/>
    <w:rsid w:val="00364695"/>
    <w:rsid w:val="00364717"/>
    <w:rsid w:val="00364B66"/>
    <w:rsid w:val="00364C18"/>
    <w:rsid w:val="00364E9F"/>
    <w:rsid w:val="003652F4"/>
    <w:rsid w:val="00365984"/>
    <w:rsid w:val="0036615C"/>
    <w:rsid w:val="0036661F"/>
    <w:rsid w:val="003666E0"/>
    <w:rsid w:val="0036688F"/>
    <w:rsid w:val="00366896"/>
    <w:rsid w:val="003668B8"/>
    <w:rsid w:val="00367169"/>
    <w:rsid w:val="00367189"/>
    <w:rsid w:val="00367260"/>
    <w:rsid w:val="00367360"/>
    <w:rsid w:val="003677AD"/>
    <w:rsid w:val="003706CC"/>
    <w:rsid w:val="00370911"/>
    <w:rsid w:val="00370A87"/>
    <w:rsid w:val="0037178A"/>
    <w:rsid w:val="00371807"/>
    <w:rsid w:val="00371988"/>
    <w:rsid w:val="00371D1B"/>
    <w:rsid w:val="003725D3"/>
    <w:rsid w:val="00372AF0"/>
    <w:rsid w:val="003737AF"/>
    <w:rsid w:val="00373B4D"/>
    <w:rsid w:val="003743B0"/>
    <w:rsid w:val="00374749"/>
    <w:rsid w:val="00374A53"/>
    <w:rsid w:val="00374AF8"/>
    <w:rsid w:val="003757FB"/>
    <w:rsid w:val="0037590F"/>
    <w:rsid w:val="003759A8"/>
    <w:rsid w:val="00375E14"/>
    <w:rsid w:val="00375E7B"/>
    <w:rsid w:val="003763EA"/>
    <w:rsid w:val="003765E9"/>
    <w:rsid w:val="00376824"/>
    <w:rsid w:val="00376BB2"/>
    <w:rsid w:val="00376EB6"/>
    <w:rsid w:val="00376FDB"/>
    <w:rsid w:val="003775F9"/>
    <w:rsid w:val="003778D9"/>
    <w:rsid w:val="003779E6"/>
    <w:rsid w:val="00377BA6"/>
    <w:rsid w:val="00377CF0"/>
    <w:rsid w:val="003802DC"/>
    <w:rsid w:val="00380B81"/>
    <w:rsid w:val="00380DE7"/>
    <w:rsid w:val="00380E0E"/>
    <w:rsid w:val="00380F47"/>
    <w:rsid w:val="003814FF"/>
    <w:rsid w:val="00381586"/>
    <w:rsid w:val="0038185D"/>
    <w:rsid w:val="003819DF"/>
    <w:rsid w:val="00381B3C"/>
    <w:rsid w:val="00381EBA"/>
    <w:rsid w:val="0038249A"/>
    <w:rsid w:val="00382B91"/>
    <w:rsid w:val="00382D9B"/>
    <w:rsid w:val="00382F2A"/>
    <w:rsid w:val="003831E5"/>
    <w:rsid w:val="0038389F"/>
    <w:rsid w:val="00383A8A"/>
    <w:rsid w:val="00383FE2"/>
    <w:rsid w:val="0038412D"/>
    <w:rsid w:val="00384B5D"/>
    <w:rsid w:val="00384DB0"/>
    <w:rsid w:val="003851AA"/>
    <w:rsid w:val="00385792"/>
    <w:rsid w:val="0038582B"/>
    <w:rsid w:val="00385A05"/>
    <w:rsid w:val="00385B75"/>
    <w:rsid w:val="0038659E"/>
    <w:rsid w:val="0038669D"/>
    <w:rsid w:val="003867DF"/>
    <w:rsid w:val="0038686B"/>
    <w:rsid w:val="0038703A"/>
    <w:rsid w:val="003879D4"/>
    <w:rsid w:val="00387A3F"/>
    <w:rsid w:val="00387CE0"/>
    <w:rsid w:val="003901C7"/>
    <w:rsid w:val="0039020F"/>
    <w:rsid w:val="00390313"/>
    <w:rsid w:val="00390B6F"/>
    <w:rsid w:val="00390D5F"/>
    <w:rsid w:val="0039172D"/>
    <w:rsid w:val="003927FD"/>
    <w:rsid w:val="003928ED"/>
    <w:rsid w:val="00392923"/>
    <w:rsid w:val="00392B6A"/>
    <w:rsid w:val="00392D75"/>
    <w:rsid w:val="00392DAB"/>
    <w:rsid w:val="003933FE"/>
    <w:rsid w:val="00393438"/>
    <w:rsid w:val="003936A8"/>
    <w:rsid w:val="00393C62"/>
    <w:rsid w:val="00393F52"/>
    <w:rsid w:val="00394011"/>
    <w:rsid w:val="003944F4"/>
    <w:rsid w:val="00394C61"/>
    <w:rsid w:val="00395295"/>
    <w:rsid w:val="0039597C"/>
    <w:rsid w:val="00395CE3"/>
    <w:rsid w:val="00395E7E"/>
    <w:rsid w:val="003967C4"/>
    <w:rsid w:val="00397694"/>
    <w:rsid w:val="003977EB"/>
    <w:rsid w:val="00397992"/>
    <w:rsid w:val="00397EC5"/>
    <w:rsid w:val="003A0237"/>
    <w:rsid w:val="003A0E72"/>
    <w:rsid w:val="003A0EA6"/>
    <w:rsid w:val="003A24D2"/>
    <w:rsid w:val="003A28CF"/>
    <w:rsid w:val="003A2E51"/>
    <w:rsid w:val="003A2EB1"/>
    <w:rsid w:val="003A2F65"/>
    <w:rsid w:val="003A3278"/>
    <w:rsid w:val="003A3602"/>
    <w:rsid w:val="003A42EE"/>
    <w:rsid w:val="003A4D64"/>
    <w:rsid w:val="003A5859"/>
    <w:rsid w:val="003A5F67"/>
    <w:rsid w:val="003A657E"/>
    <w:rsid w:val="003A684D"/>
    <w:rsid w:val="003A687E"/>
    <w:rsid w:val="003A715B"/>
    <w:rsid w:val="003A7BB1"/>
    <w:rsid w:val="003A7FF7"/>
    <w:rsid w:val="003B08D9"/>
    <w:rsid w:val="003B0951"/>
    <w:rsid w:val="003B0A49"/>
    <w:rsid w:val="003B0A7E"/>
    <w:rsid w:val="003B0CBF"/>
    <w:rsid w:val="003B0DEC"/>
    <w:rsid w:val="003B10A0"/>
    <w:rsid w:val="003B122B"/>
    <w:rsid w:val="003B1288"/>
    <w:rsid w:val="003B17A1"/>
    <w:rsid w:val="003B1FD7"/>
    <w:rsid w:val="003B203A"/>
    <w:rsid w:val="003B20EA"/>
    <w:rsid w:val="003B28DA"/>
    <w:rsid w:val="003B2DAA"/>
    <w:rsid w:val="003B3239"/>
    <w:rsid w:val="003B34E8"/>
    <w:rsid w:val="003B3694"/>
    <w:rsid w:val="003B370E"/>
    <w:rsid w:val="003B376A"/>
    <w:rsid w:val="003B38B7"/>
    <w:rsid w:val="003B3DCA"/>
    <w:rsid w:val="003B435B"/>
    <w:rsid w:val="003B4A70"/>
    <w:rsid w:val="003B5E06"/>
    <w:rsid w:val="003B5EEA"/>
    <w:rsid w:val="003B6036"/>
    <w:rsid w:val="003B6515"/>
    <w:rsid w:val="003B6C30"/>
    <w:rsid w:val="003B7AC4"/>
    <w:rsid w:val="003B7AF6"/>
    <w:rsid w:val="003B7EB8"/>
    <w:rsid w:val="003C00EF"/>
    <w:rsid w:val="003C05F2"/>
    <w:rsid w:val="003C0DD1"/>
    <w:rsid w:val="003C0FE6"/>
    <w:rsid w:val="003C13F5"/>
    <w:rsid w:val="003C145E"/>
    <w:rsid w:val="003C15F3"/>
    <w:rsid w:val="003C1B3D"/>
    <w:rsid w:val="003C1E80"/>
    <w:rsid w:val="003C21AC"/>
    <w:rsid w:val="003C2469"/>
    <w:rsid w:val="003C25B6"/>
    <w:rsid w:val="003C2BD5"/>
    <w:rsid w:val="003C2C62"/>
    <w:rsid w:val="003C30D4"/>
    <w:rsid w:val="003C33E3"/>
    <w:rsid w:val="003C3A2F"/>
    <w:rsid w:val="003C3EBD"/>
    <w:rsid w:val="003C4C3F"/>
    <w:rsid w:val="003C4C98"/>
    <w:rsid w:val="003C5140"/>
    <w:rsid w:val="003C53DD"/>
    <w:rsid w:val="003C58A0"/>
    <w:rsid w:val="003C594D"/>
    <w:rsid w:val="003C59E6"/>
    <w:rsid w:val="003C5C96"/>
    <w:rsid w:val="003C5F4C"/>
    <w:rsid w:val="003C6267"/>
    <w:rsid w:val="003C63D3"/>
    <w:rsid w:val="003C68A3"/>
    <w:rsid w:val="003C6983"/>
    <w:rsid w:val="003C6BC8"/>
    <w:rsid w:val="003C7367"/>
    <w:rsid w:val="003C7EF1"/>
    <w:rsid w:val="003D00C2"/>
    <w:rsid w:val="003D086F"/>
    <w:rsid w:val="003D0C8C"/>
    <w:rsid w:val="003D0D5F"/>
    <w:rsid w:val="003D10B2"/>
    <w:rsid w:val="003D1145"/>
    <w:rsid w:val="003D16AC"/>
    <w:rsid w:val="003D188A"/>
    <w:rsid w:val="003D1BC1"/>
    <w:rsid w:val="003D1C1F"/>
    <w:rsid w:val="003D2A7E"/>
    <w:rsid w:val="003D2E27"/>
    <w:rsid w:val="003D2EBC"/>
    <w:rsid w:val="003D3E84"/>
    <w:rsid w:val="003D3F90"/>
    <w:rsid w:val="003D535C"/>
    <w:rsid w:val="003D59B0"/>
    <w:rsid w:val="003D6318"/>
    <w:rsid w:val="003D65D6"/>
    <w:rsid w:val="003D69FB"/>
    <w:rsid w:val="003D6F32"/>
    <w:rsid w:val="003D761A"/>
    <w:rsid w:val="003D769B"/>
    <w:rsid w:val="003D7D1A"/>
    <w:rsid w:val="003D7D2F"/>
    <w:rsid w:val="003D7EC0"/>
    <w:rsid w:val="003E00D0"/>
    <w:rsid w:val="003E0304"/>
    <w:rsid w:val="003E0A49"/>
    <w:rsid w:val="003E0A78"/>
    <w:rsid w:val="003E0B52"/>
    <w:rsid w:val="003E0B85"/>
    <w:rsid w:val="003E141C"/>
    <w:rsid w:val="003E15C2"/>
    <w:rsid w:val="003E1695"/>
    <w:rsid w:val="003E1820"/>
    <w:rsid w:val="003E1BD0"/>
    <w:rsid w:val="003E1CA0"/>
    <w:rsid w:val="003E1F60"/>
    <w:rsid w:val="003E27F1"/>
    <w:rsid w:val="003E281F"/>
    <w:rsid w:val="003E2DFE"/>
    <w:rsid w:val="003E2E4F"/>
    <w:rsid w:val="003E3FF5"/>
    <w:rsid w:val="003E4BDF"/>
    <w:rsid w:val="003E4CEC"/>
    <w:rsid w:val="003E5692"/>
    <w:rsid w:val="003E5718"/>
    <w:rsid w:val="003E65E7"/>
    <w:rsid w:val="003E6BBB"/>
    <w:rsid w:val="003E6E7F"/>
    <w:rsid w:val="003E7268"/>
    <w:rsid w:val="003E781E"/>
    <w:rsid w:val="003F001C"/>
    <w:rsid w:val="003F0368"/>
    <w:rsid w:val="003F10FD"/>
    <w:rsid w:val="003F11B9"/>
    <w:rsid w:val="003F1200"/>
    <w:rsid w:val="003F1921"/>
    <w:rsid w:val="003F1CAC"/>
    <w:rsid w:val="003F2156"/>
    <w:rsid w:val="003F25A4"/>
    <w:rsid w:val="003F27F8"/>
    <w:rsid w:val="003F2E19"/>
    <w:rsid w:val="003F2EA9"/>
    <w:rsid w:val="003F3F35"/>
    <w:rsid w:val="003F43B1"/>
    <w:rsid w:val="003F4805"/>
    <w:rsid w:val="003F494A"/>
    <w:rsid w:val="003F4B04"/>
    <w:rsid w:val="003F4CFD"/>
    <w:rsid w:val="003F4DD3"/>
    <w:rsid w:val="003F4EC8"/>
    <w:rsid w:val="003F53EE"/>
    <w:rsid w:val="003F6133"/>
    <w:rsid w:val="003F6398"/>
    <w:rsid w:val="003F67C6"/>
    <w:rsid w:val="003F6AA7"/>
    <w:rsid w:val="003F6C13"/>
    <w:rsid w:val="003F7129"/>
    <w:rsid w:val="003F72D0"/>
    <w:rsid w:val="003F74DD"/>
    <w:rsid w:val="00400285"/>
    <w:rsid w:val="00400480"/>
    <w:rsid w:val="004004C5"/>
    <w:rsid w:val="00400AA3"/>
    <w:rsid w:val="00400C92"/>
    <w:rsid w:val="004016B3"/>
    <w:rsid w:val="00401B9D"/>
    <w:rsid w:val="0040216D"/>
    <w:rsid w:val="00402330"/>
    <w:rsid w:val="004028F9"/>
    <w:rsid w:val="0040315D"/>
    <w:rsid w:val="00403258"/>
    <w:rsid w:val="0040328B"/>
    <w:rsid w:val="00403A45"/>
    <w:rsid w:val="00404125"/>
    <w:rsid w:val="0040413B"/>
    <w:rsid w:val="0040415A"/>
    <w:rsid w:val="00404DD4"/>
    <w:rsid w:val="00404E97"/>
    <w:rsid w:val="00405C69"/>
    <w:rsid w:val="004060A1"/>
    <w:rsid w:val="0040621C"/>
    <w:rsid w:val="004066B0"/>
    <w:rsid w:val="004070C8"/>
    <w:rsid w:val="00407414"/>
    <w:rsid w:val="00407C24"/>
    <w:rsid w:val="00407D01"/>
    <w:rsid w:val="00407D03"/>
    <w:rsid w:val="0041022B"/>
    <w:rsid w:val="004106D7"/>
    <w:rsid w:val="004106F1"/>
    <w:rsid w:val="00410AC7"/>
    <w:rsid w:val="00410D52"/>
    <w:rsid w:val="00410E94"/>
    <w:rsid w:val="004112F7"/>
    <w:rsid w:val="004115C6"/>
    <w:rsid w:val="00411C3E"/>
    <w:rsid w:val="00411E81"/>
    <w:rsid w:val="00411FA7"/>
    <w:rsid w:val="0041225E"/>
    <w:rsid w:val="00412FEB"/>
    <w:rsid w:val="004130F3"/>
    <w:rsid w:val="00413495"/>
    <w:rsid w:val="004134CC"/>
    <w:rsid w:val="0041359E"/>
    <w:rsid w:val="00413601"/>
    <w:rsid w:val="00413910"/>
    <w:rsid w:val="00413D18"/>
    <w:rsid w:val="00413E4E"/>
    <w:rsid w:val="0041422C"/>
    <w:rsid w:val="0041454D"/>
    <w:rsid w:val="00414587"/>
    <w:rsid w:val="00414B20"/>
    <w:rsid w:val="00414F96"/>
    <w:rsid w:val="00414FD7"/>
    <w:rsid w:val="0041592B"/>
    <w:rsid w:val="00415DBB"/>
    <w:rsid w:val="00416077"/>
    <w:rsid w:val="004160D5"/>
    <w:rsid w:val="004167EB"/>
    <w:rsid w:val="00416A90"/>
    <w:rsid w:val="00416E99"/>
    <w:rsid w:val="00417177"/>
    <w:rsid w:val="00417959"/>
    <w:rsid w:val="00417AB3"/>
    <w:rsid w:val="00417BFA"/>
    <w:rsid w:val="00417CCC"/>
    <w:rsid w:val="00417F87"/>
    <w:rsid w:val="004201D7"/>
    <w:rsid w:val="0042029C"/>
    <w:rsid w:val="00420B15"/>
    <w:rsid w:val="00421062"/>
    <w:rsid w:val="004211A5"/>
    <w:rsid w:val="00421520"/>
    <w:rsid w:val="004215BC"/>
    <w:rsid w:val="004220D1"/>
    <w:rsid w:val="004221C1"/>
    <w:rsid w:val="0042251D"/>
    <w:rsid w:val="00422756"/>
    <w:rsid w:val="00422A9C"/>
    <w:rsid w:val="00422B26"/>
    <w:rsid w:val="00422BEA"/>
    <w:rsid w:val="00422E88"/>
    <w:rsid w:val="00423DF6"/>
    <w:rsid w:val="00424A02"/>
    <w:rsid w:val="00424E16"/>
    <w:rsid w:val="004251BE"/>
    <w:rsid w:val="004259D3"/>
    <w:rsid w:val="00425CE5"/>
    <w:rsid w:val="00425DB7"/>
    <w:rsid w:val="004268B1"/>
    <w:rsid w:val="00426CF4"/>
    <w:rsid w:val="00427B75"/>
    <w:rsid w:val="00427E86"/>
    <w:rsid w:val="0043009C"/>
    <w:rsid w:val="0043029E"/>
    <w:rsid w:val="004306AD"/>
    <w:rsid w:val="0043098B"/>
    <w:rsid w:val="00430BDA"/>
    <w:rsid w:val="00430F46"/>
    <w:rsid w:val="00431442"/>
    <w:rsid w:val="004321B3"/>
    <w:rsid w:val="004323C7"/>
    <w:rsid w:val="004326A5"/>
    <w:rsid w:val="004326D8"/>
    <w:rsid w:val="00433946"/>
    <w:rsid w:val="00433E19"/>
    <w:rsid w:val="00434106"/>
    <w:rsid w:val="0043449E"/>
    <w:rsid w:val="004344C6"/>
    <w:rsid w:val="00434537"/>
    <w:rsid w:val="00435192"/>
    <w:rsid w:val="004355A8"/>
    <w:rsid w:val="0043623D"/>
    <w:rsid w:val="00437223"/>
    <w:rsid w:val="00437780"/>
    <w:rsid w:val="0043799F"/>
    <w:rsid w:val="00437ED0"/>
    <w:rsid w:val="00437EE5"/>
    <w:rsid w:val="00440150"/>
    <w:rsid w:val="00440B96"/>
    <w:rsid w:val="00440C0F"/>
    <w:rsid w:val="00440C16"/>
    <w:rsid w:val="00440C9F"/>
    <w:rsid w:val="0044102B"/>
    <w:rsid w:val="004413BC"/>
    <w:rsid w:val="004419C7"/>
    <w:rsid w:val="00441AE6"/>
    <w:rsid w:val="00441C44"/>
    <w:rsid w:val="00441DF6"/>
    <w:rsid w:val="00441EE2"/>
    <w:rsid w:val="004426AD"/>
    <w:rsid w:val="004426EE"/>
    <w:rsid w:val="00442FDC"/>
    <w:rsid w:val="004438BD"/>
    <w:rsid w:val="004439A1"/>
    <w:rsid w:val="00443F49"/>
    <w:rsid w:val="00443FA8"/>
    <w:rsid w:val="00444220"/>
    <w:rsid w:val="0044460F"/>
    <w:rsid w:val="00444CDC"/>
    <w:rsid w:val="004450BB"/>
    <w:rsid w:val="0044513E"/>
    <w:rsid w:val="00445156"/>
    <w:rsid w:val="004453A9"/>
    <w:rsid w:val="00445AEB"/>
    <w:rsid w:val="00445B47"/>
    <w:rsid w:val="00446480"/>
    <w:rsid w:val="00446949"/>
    <w:rsid w:val="00446A9A"/>
    <w:rsid w:val="00446E64"/>
    <w:rsid w:val="0044705D"/>
    <w:rsid w:val="004502E0"/>
    <w:rsid w:val="00450471"/>
    <w:rsid w:val="0045090F"/>
    <w:rsid w:val="00450EBA"/>
    <w:rsid w:val="00451031"/>
    <w:rsid w:val="004515AC"/>
    <w:rsid w:val="0045188F"/>
    <w:rsid w:val="00452118"/>
    <w:rsid w:val="0045218D"/>
    <w:rsid w:val="00452439"/>
    <w:rsid w:val="00452EC5"/>
    <w:rsid w:val="00452EF4"/>
    <w:rsid w:val="00452FF4"/>
    <w:rsid w:val="00453501"/>
    <w:rsid w:val="004535AA"/>
    <w:rsid w:val="00453CE3"/>
    <w:rsid w:val="0045442F"/>
    <w:rsid w:val="004544F2"/>
    <w:rsid w:val="00455052"/>
    <w:rsid w:val="00455695"/>
    <w:rsid w:val="00455727"/>
    <w:rsid w:val="00455CF3"/>
    <w:rsid w:val="00456684"/>
    <w:rsid w:val="00457663"/>
    <w:rsid w:val="00457E64"/>
    <w:rsid w:val="00460351"/>
    <w:rsid w:val="0046061F"/>
    <w:rsid w:val="0046064F"/>
    <w:rsid w:val="0046068B"/>
    <w:rsid w:val="00461E97"/>
    <w:rsid w:val="00461FCE"/>
    <w:rsid w:val="0046229D"/>
    <w:rsid w:val="00462422"/>
    <w:rsid w:val="0046255F"/>
    <w:rsid w:val="004627C4"/>
    <w:rsid w:val="00462DF5"/>
    <w:rsid w:val="00463109"/>
    <w:rsid w:val="004632EF"/>
    <w:rsid w:val="00463513"/>
    <w:rsid w:val="00463CF6"/>
    <w:rsid w:val="00463D6C"/>
    <w:rsid w:val="00464072"/>
    <w:rsid w:val="00464172"/>
    <w:rsid w:val="00464C24"/>
    <w:rsid w:val="00464D60"/>
    <w:rsid w:val="004650D0"/>
    <w:rsid w:val="0046598A"/>
    <w:rsid w:val="00465A90"/>
    <w:rsid w:val="004662F7"/>
    <w:rsid w:val="00466792"/>
    <w:rsid w:val="00466B43"/>
    <w:rsid w:val="0046715D"/>
    <w:rsid w:val="0046719B"/>
    <w:rsid w:val="00467317"/>
    <w:rsid w:val="00467C57"/>
    <w:rsid w:val="00467F35"/>
    <w:rsid w:val="0047015E"/>
    <w:rsid w:val="004707BE"/>
    <w:rsid w:val="00470B74"/>
    <w:rsid w:val="00470F47"/>
    <w:rsid w:val="00471238"/>
    <w:rsid w:val="004715A5"/>
    <w:rsid w:val="00471788"/>
    <w:rsid w:val="00471C5D"/>
    <w:rsid w:val="00471CDF"/>
    <w:rsid w:val="00472AAE"/>
    <w:rsid w:val="00472C76"/>
    <w:rsid w:val="004739E1"/>
    <w:rsid w:val="004739E9"/>
    <w:rsid w:val="00474204"/>
    <w:rsid w:val="004744EE"/>
    <w:rsid w:val="00474BA3"/>
    <w:rsid w:val="00475552"/>
    <w:rsid w:val="004757B4"/>
    <w:rsid w:val="00475A22"/>
    <w:rsid w:val="00475B42"/>
    <w:rsid w:val="00475DBA"/>
    <w:rsid w:val="00475F94"/>
    <w:rsid w:val="0047630E"/>
    <w:rsid w:val="0047677D"/>
    <w:rsid w:val="00476834"/>
    <w:rsid w:val="00476B90"/>
    <w:rsid w:val="00476E60"/>
    <w:rsid w:val="00477435"/>
    <w:rsid w:val="004776B9"/>
    <w:rsid w:val="004801AD"/>
    <w:rsid w:val="004801B5"/>
    <w:rsid w:val="00480ADA"/>
    <w:rsid w:val="00480D89"/>
    <w:rsid w:val="004811D2"/>
    <w:rsid w:val="00481342"/>
    <w:rsid w:val="004814EF"/>
    <w:rsid w:val="00481DC3"/>
    <w:rsid w:val="00481E93"/>
    <w:rsid w:val="00481F62"/>
    <w:rsid w:val="00482624"/>
    <w:rsid w:val="00482B66"/>
    <w:rsid w:val="00482D39"/>
    <w:rsid w:val="004833BD"/>
    <w:rsid w:val="00483478"/>
    <w:rsid w:val="0048394B"/>
    <w:rsid w:val="00483A1D"/>
    <w:rsid w:val="00483C96"/>
    <w:rsid w:val="00484286"/>
    <w:rsid w:val="0048450E"/>
    <w:rsid w:val="0048456D"/>
    <w:rsid w:val="0048470F"/>
    <w:rsid w:val="00484763"/>
    <w:rsid w:val="00484821"/>
    <w:rsid w:val="00484A48"/>
    <w:rsid w:val="00484C4A"/>
    <w:rsid w:val="00484E95"/>
    <w:rsid w:val="004850F9"/>
    <w:rsid w:val="00485406"/>
    <w:rsid w:val="00485DDA"/>
    <w:rsid w:val="004863BC"/>
    <w:rsid w:val="004868C9"/>
    <w:rsid w:val="00486DF3"/>
    <w:rsid w:val="00486E68"/>
    <w:rsid w:val="00487139"/>
    <w:rsid w:val="004872E8"/>
    <w:rsid w:val="00487D15"/>
    <w:rsid w:val="00490172"/>
    <w:rsid w:val="00490570"/>
    <w:rsid w:val="00490578"/>
    <w:rsid w:val="0049067B"/>
    <w:rsid w:val="00490B08"/>
    <w:rsid w:val="00490DA9"/>
    <w:rsid w:val="00491323"/>
    <w:rsid w:val="00491C8F"/>
    <w:rsid w:val="00491E51"/>
    <w:rsid w:val="0049219E"/>
    <w:rsid w:val="004929D0"/>
    <w:rsid w:val="00492B3F"/>
    <w:rsid w:val="00493003"/>
    <w:rsid w:val="004932F4"/>
    <w:rsid w:val="004934C0"/>
    <w:rsid w:val="00493D7C"/>
    <w:rsid w:val="00493DBB"/>
    <w:rsid w:val="00493F3D"/>
    <w:rsid w:val="00493F5B"/>
    <w:rsid w:val="00494AEA"/>
    <w:rsid w:val="00494EF8"/>
    <w:rsid w:val="0049517D"/>
    <w:rsid w:val="004952BC"/>
    <w:rsid w:val="004952EC"/>
    <w:rsid w:val="0049586D"/>
    <w:rsid w:val="00495D40"/>
    <w:rsid w:val="00495F87"/>
    <w:rsid w:val="004962EC"/>
    <w:rsid w:val="00496BBA"/>
    <w:rsid w:val="0049752E"/>
    <w:rsid w:val="004976E2"/>
    <w:rsid w:val="0049774A"/>
    <w:rsid w:val="00497CED"/>
    <w:rsid w:val="00497FB3"/>
    <w:rsid w:val="004A009E"/>
    <w:rsid w:val="004A0A14"/>
    <w:rsid w:val="004A0F91"/>
    <w:rsid w:val="004A181D"/>
    <w:rsid w:val="004A1877"/>
    <w:rsid w:val="004A1A4B"/>
    <w:rsid w:val="004A1AB7"/>
    <w:rsid w:val="004A1B02"/>
    <w:rsid w:val="004A1CB8"/>
    <w:rsid w:val="004A256B"/>
    <w:rsid w:val="004A294B"/>
    <w:rsid w:val="004A2FE0"/>
    <w:rsid w:val="004A31F8"/>
    <w:rsid w:val="004A3281"/>
    <w:rsid w:val="004A3B6C"/>
    <w:rsid w:val="004A4089"/>
    <w:rsid w:val="004A40FB"/>
    <w:rsid w:val="004A47BF"/>
    <w:rsid w:val="004A4BE8"/>
    <w:rsid w:val="004A4CE0"/>
    <w:rsid w:val="004A4E9C"/>
    <w:rsid w:val="004A4FFF"/>
    <w:rsid w:val="004A59DC"/>
    <w:rsid w:val="004A59ED"/>
    <w:rsid w:val="004A6B5D"/>
    <w:rsid w:val="004A6BF0"/>
    <w:rsid w:val="004A6E2E"/>
    <w:rsid w:val="004A713E"/>
    <w:rsid w:val="004A78E2"/>
    <w:rsid w:val="004A7A77"/>
    <w:rsid w:val="004A7B30"/>
    <w:rsid w:val="004A7E00"/>
    <w:rsid w:val="004A7E41"/>
    <w:rsid w:val="004B04B9"/>
    <w:rsid w:val="004B09FC"/>
    <w:rsid w:val="004B1652"/>
    <w:rsid w:val="004B17DC"/>
    <w:rsid w:val="004B1BEA"/>
    <w:rsid w:val="004B20F0"/>
    <w:rsid w:val="004B22F1"/>
    <w:rsid w:val="004B2E06"/>
    <w:rsid w:val="004B3442"/>
    <w:rsid w:val="004B3B40"/>
    <w:rsid w:val="004B422D"/>
    <w:rsid w:val="004B45D9"/>
    <w:rsid w:val="004B47C7"/>
    <w:rsid w:val="004B4987"/>
    <w:rsid w:val="004B49A7"/>
    <w:rsid w:val="004B49BC"/>
    <w:rsid w:val="004B4A9C"/>
    <w:rsid w:val="004B51A8"/>
    <w:rsid w:val="004B52A3"/>
    <w:rsid w:val="004B5455"/>
    <w:rsid w:val="004B55EF"/>
    <w:rsid w:val="004B57C9"/>
    <w:rsid w:val="004B598F"/>
    <w:rsid w:val="004B5BED"/>
    <w:rsid w:val="004B5CBA"/>
    <w:rsid w:val="004B5CBF"/>
    <w:rsid w:val="004B5F4B"/>
    <w:rsid w:val="004B5F7A"/>
    <w:rsid w:val="004B6243"/>
    <w:rsid w:val="004B6317"/>
    <w:rsid w:val="004B64AF"/>
    <w:rsid w:val="004B64F0"/>
    <w:rsid w:val="004B6507"/>
    <w:rsid w:val="004B6BE7"/>
    <w:rsid w:val="004B7071"/>
    <w:rsid w:val="004B7319"/>
    <w:rsid w:val="004B73B7"/>
    <w:rsid w:val="004B73BE"/>
    <w:rsid w:val="004B74D4"/>
    <w:rsid w:val="004B7622"/>
    <w:rsid w:val="004C04F4"/>
    <w:rsid w:val="004C0DAB"/>
    <w:rsid w:val="004C0F79"/>
    <w:rsid w:val="004C11E9"/>
    <w:rsid w:val="004C1549"/>
    <w:rsid w:val="004C1B3D"/>
    <w:rsid w:val="004C1BF4"/>
    <w:rsid w:val="004C1C3F"/>
    <w:rsid w:val="004C1EE2"/>
    <w:rsid w:val="004C1FC3"/>
    <w:rsid w:val="004C26D9"/>
    <w:rsid w:val="004C2C4A"/>
    <w:rsid w:val="004C37FE"/>
    <w:rsid w:val="004C3A97"/>
    <w:rsid w:val="004C408F"/>
    <w:rsid w:val="004C43F5"/>
    <w:rsid w:val="004C444C"/>
    <w:rsid w:val="004C47E3"/>
    <w:rsid w:val="004C4AB9"/>
    <w:rsid w:val="004C559D"/>
    <w:rsid w:val="004C56CF"/>
    <w:rsid w:val="004C5795"/>
    <w:rsid w:val="004C5826"/>
    <w:rsid w:val="004C58E9"/>
    <w:rsid w:val="004C599D"/>
    <w:rsid w:val="004C5D40"/>
    <w:rsid w:val="004C5DBF"/>
    <w:rsid w:val="004C6115"/>
    <w:rsid w:val="004C6B85"/>
    <w:rsid w:val="004C6DC3"/>
    <w:rsid w:val="004C7098"/>
    <w:rsid w:val="004C751D"/>
    <w:rsid w:val="004C77D1"/>
    <w:rsid w:val="004D02A3"/>
    <w:rsid w:val="004D06F2"/>
    <w:rsid w:val="004D092F"/>
    <w:rsid w:val="004D0A1B"/>
    <w:rsid w:val="004D0E9A"/>
    <w:rsid w:val="004D149A"/>
    <w:rsid w:val="004D164B"/>
    <w:rsid w:val="004D1D1E"/>
    <w:rsid w:val="004D257B"/>
    <w:rsid w:val="004D2853"/>
    <w:rsid w:val="004D293C"/>
    <w:rsid w:val="004D2945"/>
    <w:rsid w:val="004D3163"/>
    <w:rsid w:val="004D37EC"/>
    <w:rsid w:val="004D3BAD"/>
    <w:rsid w:val="004D40FD"/>
    <w:rsid w:val="004D4A61"/>
    <w:rsid w:val="004D51D4"/>
    <w:rsid w:val="004D54D3"/>
    <w:rsid w:val="004D59B4"/>
    <w:rsid w:val="004D63F9"/>
    <w:rsid w:val="004D6667"/>
    <w:rsid w:val="004D67DA"/>
    <w:rsid w:val="004D6DFA"/>
    <w:rsid w:val="004D7FA2"/>
    <w:rsid w:val="004D7FBB"/>
    <w:rsid w:val="004E0113"/>
    <w:rsid w:val="004E03C1"/>
    <w:rsid w:val="004E0715"/>
    <w:rsid w:val="004E08B0"/>
    <w:rsid w:val="004E0C14"/>
    <w:rsid w:val="004E1105"/>
    <w:rsid w:val="004E1218"/>
    <w:rsid w:val="004E1379"/>
    <w:rsid w:val="004E1529"/>
    <w:rsid w:val="004E15CA"/>
    <w:rsid w:val="004E1BBF"/>
    <w:rsid w:val="004E205F"/>
    <w:rsid w:val="004E20B5"/>
    <w:rsid w:val="004E25BD"/>
    <w:rsid w:val="004E26E7"/>
    <w:rsid w:val="004E2757"/>
    <w:rsid w:val="004E2792"/>
    <w:rsid w:val="004E2D03"/>
    <w:rsid w:val="004E3047"/>
    <w:rsid w:val="004E325D"/>
    <w:rsid w:val="004E3907"/>
    <w:rsid w:val="004E3978"/>
    <w:rsid w:val="004E3B47"/>
    <w:rsid w:val="004E3B4D"/>
    <w:rsid w:val="004E3C2E"/>
    <w:rsid w:val="004E3CD2"/>
    <w:rsid w:val="004E3DF9"/>
    <w:rsid w:val="004E4A6E"/>
    <w:rsid w:val="004E4B83"/>
    <w:rsid w:val="004E4D82"/>
    <w:rsid w:val="004E5276"/>
    <w:rsid w:val="004E540D"/>
    <w:rsid w:val="004E5569"/>
    <w:rsid w:val="004E5A56"/>
    <w:rsid w:val="004E5DCF"/>
    <w:rsid w:val="004E5F8D"/>
    <w:rsid w:val="004E609C"/>
    <w:rsid w:val="004E61B8"/>
    <w:rsid w:val="004E6F92"/>
    <w:rsid w:val="004E72FF"/>
    <w:rsid w:val="004E73C7"/>
    <w:rsid w:val="004E7551"/>
    <w:rsid w:val="004E77A1"/>
    <w:rsid w:val="004E7D75"/>
    <w:rsid w:val="004F00D5"/>
    <w:rsid w:val="004F0299"/>
    <w:rsid w:val="004F0856"/>
    <w:rsid w:val="004F09CF"/>
    <w:rsid w:val="004F10B2"/>
    <w:rsid w:val="004F1C37"/>
    <w:rsid w:val="004F1DDA"/>
    <w:rsid w:val="004F1F88"/>
    <w:rsid w:val="004F22A8"/>
    <w:rsid w:val="004F234B"/>
    <w:rsid w:val="004F2D0F"/>
    <w:rsid w:val="004F2E44"/>
    <w:rsid w:val="004F2E9B"/>
    <w:rsid w:val="004F2FE4"/>
    <w:rsid w:val="004F3023"/>
    <w:rsid w:val="004F3731"/>
    <w:rsid w:val="004F3C02"/>
    <w:rsid w:val="004F3EBF"/>
    <w:rsid w:val="004F4415"/>
    <w:rsid w:val="004F473D"/>
    <w:rsid w:val="004F4F40"/>
    <w:rsid w:val="004F545B"/>
    <w:rsid w:val="004F5495"/>
    <w:rsid w:val="004F61F3"/>
    <w:rsid w:val="004F6C36"/>
    <w:rsid w:val="004F799A"/>
    <w:rsid w:val="004F7BED"/>
    <w:rsid w:val="0050034E"/>
    <w:rsid w:val="00500A52"/>
    <w:rsid w:val="00500D22"/>
    <w:rsid w:val="00500E59"/>
    <w:rsid w:val="00501A6E"/>
    <w:rsid w:val="00501F76"/>
    <w:rsid w:val="00501FB3"/>
    <w:rsid w:val="00502233"/>
    <w:rsid w:val="00502491"/>
    <w:rsid w:val="00502861"/>
    <w:rsid w:val="00502CD5"/>
    <w:rsid w:val="00502E6E"/>
    <w:rsid w:val="0050359D"/>
    <w:rsid w:val="00503605"/>
    <w:rsid w:val="005045F0"/>
    <w:rsid w:val="00504644"/>
    <w:rsid w:val="00505A54"/>
    <w:rsid w:val="00505D61"/>
    <w:rsid w:val="0050621E"/>
    <w:rsid w:val="005063C8"/>
    <w:rsid w:val="00506597"/>
    <w:rsid w:val="00506663"/>
    <w:rsid w:val="005071A1"/>
    <w:rsid w:val="00507454"/>
    <w:rsid w:val="005077B1"/>
    <w:rsid w:val="005079C6"/>
    <w:rsid w:val="00507F85"/>
    <w:rsid w:val="005100D5"/>
    <w:rsid w:val="005106AC"/>
    <w:rsid w:val="00511CE5"/>
    <w:rsid w:val="00511F7E"/>
    <w:rsid w:val="005123AA"/>
    <w:rsid w:val="005124AE"/>
    <w:rsid w:val="00513871"/>
    <w:rsid w:val="005138D7"/>
    <w:rsid w:val="005139F9"/>
    <w:rsid w:val="00513BED"/>
    <w:rsid w:val="00513FA0"/>
    <w:rsid w:val="00514292"/>
    <w:rsid w:val="00514751"/>
    <w:rsid w:val="00514972"/>
    <w:rsid w:val="0051558E"/>
    <w:rsid w:val="00515765"/>
    <w:rsid w:val="005157CD"/>
    <w:rsid w:val="00515A4C"/>
    <w:rsid w:val="00515E37"/>
    <w:rsid w:val="00515FB8"/>
    <w:rsid w:val="0051612A"/>
    <w:rsid w:val="00516382"/>
    <w:rsid w:val="0051671D"/>
    <w:rsid w:val="00516EFD"/>
    <w:rsid w:val="00517D1E"/>
    <w:rsid w:val="00517F8D"/>
    <w:rsid w:val="00520150"/>
    <w:rsid w:val="005206F4"/>
    <w:rsid w:val="00520837"/>
    <w:rsid w:val="005209A1"/>
    <w:rsid w:val="005209F2"/>
    <w:rsid w:val="00520E72"/>
    <w:rsid w:val="00521080"/>
    <w:rsid w:val="00521A59"/>
    <w:rsid w:val="00521D0C"/>
    <w:rsid w:val="005224EB"/>
    <w:rsid w:val="00522BC7"/>
    <w:rsid w:val="00523185"/>
    <w:rsid w:val="005231DD"/>
    <w:rsid w:val="005234B6"/>
    <w:rsid w:val="005235F4"/>
    <w:rsid w:val="0052366A"/>
    <w:rsid w:val="00523B5C"/>
    <w:rsid w:val="00523E30"/>
    <w:rsid w:val="00524648"/>
    <w:rsid w:val="00524766"/>
    <w:rsid w:val="005252E5"/>
    <w:rsid w:val="005253C9"/>
    <w:rsid w:val="005255CB"/>
    <w:rsid w:val="00525D8E"/>
    <w:rsid w:val="00525E94"/>
    <w:rsid w:val="00526660"/>
    <w:rsid w:val="0052695F"/>
    <w:rsid w:val="00526B8F"/>
    <w:rsid w:val="00526BA3"/>
    <w:rsid w:val="00527574"/>
    <w:rsid w:val="00527ED6"/>
    <w:rsid w:val="005308F3"/>
    <w:rsid w:val="00530E1A"/>
    <w:rsid w:val="00530E91"/>
    <w:rsid w:val="005318CC"/>
    <w:rsid w:val="00531DB5"/>
    <w:rsid w:val="00531F98"/>
    <w:rsid w:val="00532657"/>
    <w:rsid w:val="0053286C"/>
    <w:rsid w:val="0053296D"/>
    <w:rsid w:val="00532AB8"/>
    <w:rsid w:val="00532DD4"/>
    <w:rsid w:val="0053308E"/>
    <w:rsid w:val="005334D0"/>
    <w:rsid w:val="005340F6"/>
    <w:rsid w:val="005342D2"/>
    <w:rsid w:val="00534AA7"/>
    <w:rsid w:val="00535458"/>
    <w:rsid w:val="00535885"/>
    <w:rsid w:val="005363C9"/>
    <w:rsid w:val="005365DB"/>
    <w:rsid w:val="00536648"/>
    <w:rsid w:val="00536C67"/>
    <w:rsid w:val="00537681"/>
    <w:rsid w:val="0053794F"/>
    <w:rsid w:val="005379BE"/>
    <w:rsid w:val="00537E0E"/>
    <w:rsid w:val="00537EC0"/>
    <w:rsid w:val="00540057"/>
    <w:rsid w:val="0054007C"/>
    <w:rsid w:val="00540097"/>
    <w:rsid w:val="00540202"/>
    <w:rsid w:val="00540250"/>
    <w:rsid w:val="00540390"/>
    <w:rsid w:val="005403AB"/>
    <w:rsid w:val="00540B94"/>
    <w:rsid w:val="00540BC1"/>
    <w:rsid w:val="00540E3F"/>
    <w:rsid w:val="0054123D"/>
    <w:rsid w:val="00541372"/>
    <w:rsid w:val="00541533"/>
    <w:rsid w:val="00541C8D"/>
    <w:rsid w:val="0054209C"/>
    <w:rsid w:val="00542119"/>
    <w:rsid w:val="005424BE"/>
    <w:rsid w:val="00542F9B"/>
    <w:rsid w:val="005430CA"/>
    <w:rsid w:val="0054338F"/>
    <w:rsid w:val="005437A5"/>
    <w:rsid w:val="00543A33"/>
    <w:rsid w:val="00543ED8"/>
    <w:rsid w:val="005443D8"/>
    <w:rsid w:val="005446EC"/>
    <w:rsid w:val="00545456"/>
    <w:rsid w:val="005454E6"/>
    <w:rsid w:val="00545F88"/>
    <w:rsid w:val="005468DE"/>
    <w:rsid w:val="00546BB6"/>
    <w:rsid w:val="00547D13"/>
    <w:rsid w:val="00550F28"/>
    <w:rsid w:val="00551178"/>
    <w:rsid w:val="005514AD"/>
    <w:rsid w:val="00551DC6"/>
    <w:rsid w:val="00552070"/>
    <w:rsid w:val="005520A4"/>
    <w:rsid w:val="00552333"/>
    <w:rsid w:val="00552753"/>
    <w:rsid w:val="00552B0F"/>
    <w:rsid w:val="00552E03"/>
    <w:rsid w:val="005532C5"/>
    <w:rsid w:val="005533EB"/>
    <w:rsid w:val="0055374A"/>
    <w:rsid w:val="00553A44"/>
    <w:rsid w:val="00553EA8"/>
    <w:rsid w:val="00553EE5"/>
    <w:rsid w:val="00554747"/>
    <w:rsid w:val="00554F06"/>
    <w:rsid w:val="00554FAD"/>
    <w:rsid w:val="0055521B"/>
    <w:rsid w:val="00555928"/>
    <w:rsid w:val="00556182"/>
    <w:rsid w:val="00556635"/>
    <w:rsid w:val="00556804"/>
    <w:rsid w:val="00556A10"/>
    <w:rsid w:val="0055722A"/>
    <w:rsid w:val="00557303"/>
    <w:rsid w:val="00557A79"/>
    <w:rsid w:val="00557D01"/>
    <w:rsid w:val="00557F27"/>
    <w:rsid w:val="0056071B"/>
    <w:rsid w:val="0056091A"/>
    <w:rsid w:val="00562823"/>
    <w:rsid w:val="00562A8F"/>
    <w:rsid w:val="00562CBF"/>
    <w:rsid w:val="00562E40"/>
    <w:rsid w:val="0056316D"/>
    <w:rsid w:val="0056323C"/>
    <w:rsid w:val="005639FF"/>
    <w:rsid w:val="00563A96"/>
    <w:rsid w:val="00563B5C"/>
    <w:rsid w:val="00563B65"/>
    <w:rsid w:val="00564116"/>
    <w:rsid w:val="00564131"/>
    <w:rsid w:val="00564454"/>
    <w:rsid w:val="00564635"/>
    <w:rsid w:val="00565003"/>
    <w:rsid w:val="00565128"/>
    <w:rsid w:val="00565747"/>
    <w:rsid w:val="0056586D"/>
    <w:rsid w:val="00565D84"/>
    <w:rsid w:val="00565F79"/>
    <w:rsid w:val="0056637D"/>
    <w:rsid w:val="00566923"/>
    <w:rsid w:val="00566AAB"/>
    <w:rsid w:val="00566B6B"/>
    <w:rsid w:val="005670BB"/>
    <w:rsid w:val="005673E1"/>
    <w:rsid w:val="005675B2"/>
    <w:rsid w:val="0056763A"/>
    <w:rsid w:val="00570208"/>
    <w:rsid w:val="00570303"/>
    <w:rsid w:val="005703AB"/>
    <w:rsid w:val="00570816"/>
    <w:rsid w:val="00570C1D"/>
    <w:rsid w:val="00570E64"/>
    <w:rsid w:val="005710D7"/>
    <w:rsid w:val="00571120"/>
    <w:rsid w:val="00571139"/>
    <w:rsid w:val="00571559"/>
    <w:rsid w:val="0057274D"/>
    <w:rsid w:val="0057286D"/>
    <w:rsid w:val="00572A9B"/>
    <w:rsid w:val="00572CBE"/>
    <w:rsid w:val="005736F8"/>
    <w:rsid w:val="00573A7A"/>
    <w:rsid w:val="00573F15"/>
    <w:rsid w:val="0057448A"/>
    <w:rsid w:val="00574598"/>
    <w:rsid w:val="005748BF"/>
    <w:rsid w:val="00574A9D"/>
    <w:rsid w:val="00574B8E"/>
    <w:rsid w:val="00574C13"/>
    <w:rsid w:val="00574D03"/>
    <w:rsid w:val="00574E4A"/>
    <w:rsid w:val="005754E5"/>
    <w:rsid w:val="00575571"/>
    <w:rsid w:val="00575D89"/>
    <w:rsid w:val="00575E94"/>
    <w:rsid w:val="0057628B"/>
    <w:rsid w:val="0057632C"/>
    <w:rsid w:val="005763FF"/>
    <w:rsid w:val="0057666D"/>
    <w:rsid w:val="00576836"/>
    <w:rsid w:val="00576BF8"/>
    <w:rsid w:val="005770A8"/>
    <w:rsid w:val="00577824"/>
    <w:rsid w:val="0057797F"/>
    <w:rsid w:val="00577A70"/>
    <w:rsid w:val="00577BE7"/>
    <w:rsid w:val="00577E02"/>
    <w:rsid w:val="0058001B"/>
    <w:rsid w:val="00580138"/>
    <w:rsid w:val="0058025C"/>
    <w:rsid w:val="00580D37"/>
    <w:rsid w:val="00580F1A"/>
    <w:rsid w:val="00581AA3"/>
    <w:rsid w:val="00582027"/>
    <w:rsid w:val="0058212E"/>
    <w:rsid w:val="00582F44"/>
    <w:rsid w:val="005838E1"/>
    <w:rsid w:val="00583934"/>
    <w:rsid w:val="00583ED7"/>
    <w:rsid w:val="0058451A"/>
    <w:rsid w:val="00584B56"/>
    <w:rsid w:val="00584FF5"/>
    <w:rsid w:val="0058567F"/>
    <w:rsid w:val="005857F2"/>
    <w:rsid w:val="00585A99"/>
    <w:rsid w:val="00585F3B"/>
    <w:rsid w:val="00586414"/>
    <w:rsid w:val="0058692F"/>
    <w:rsid w:val="00586D8F"/>
    <w:rsid w:val="00586E49"/>
    <w:rsid w:val="0058705A"/>
    <w:rsid w:val="0058707F"/>
    <w:rsid w:val="005870B8"/>
    <w:rsid w:val="00587577"/>
    <w:rsid w:val="0059051D"/>
    <w:rsid w:val="005905E8"/>
    <w:rsid w:val="00590746"/>
    <w:rsid w:val="00590942"/>
    <w:rsid w:val="00590DA8"/>
    <w:rsid w:val="00590EE4"/>
    <w:rsid w:val="00590F63"/>
    <w:rsid w:val="005911A4"/>
    <w:rsid w:val="00592383"/>
    <w:rsid w:val="00592A8E"/>
    <w:rsid w:val="005933D3"/>
    <w:rsid w:val="005934B0"/>
    <w:rsid w:val="00593926"/>
    <w:rsid w:val="00593BB8"/>
    <w:rsid w:val="00593F38"/>
    <w:rsid w:val="00593FC2"/>
    <w:rsid w:val="00594D68"/>
    <w:rsid w:val="00594D96"/>
    <w:rsid w:val="00595690"/>
    <w:rsid w:val="00595701"/>
    <w:rsid w:val="00595C1D"/>
    <w:rsid w:val="0059626A"/>
    <w:rsid w:val="0059636D"/>
    <w:rsid w:val="00596606"/>
    <w:rsid w:val="0059676A"/>
    <w:rsid w:val="00596AF3"/>
    <w:rsid w:val="00596F5A"/>
    <w:rsid w:val="00597745"/>
    <w:rsid w:val="00597778"/>
    <w:rsid w:val="00597F31"/>
    <w:rsid w:val="005A0275"/>
    <w:rsid w:val="005A0990"/>
    <w:rsid w:val="005A1215"/>
    <w:rsid w:val="005A1281"/>
    <w:rsid w:val="005A19AB"/>
    <w:rsid w:val="005A1C4B"/>
    <w:rsid w:val="005A1D01"/>
    <w:rsid w:val="005A22D3"/>
    <w:rsid w:val="005A2444"/>
    <w:rsid w:val="005A2CE9"/>
    <w:rsid w:val="005A32E9"/>
    <w:rsid w:val="005A3418"/>
    <w:rsid w:val="005A354B"/>
    <w:rsid w:val="005A36B2"/>
    <w:rsid w:val="005A3C81"/>
    <w:rsid w:val="005A3D19"/>
    <w:rsid w:val="005A3FBF"/>
    <w:rsid w:val="005A4273"/>
    <w:rsid w:val="005A51BB"/>
    <w:rsid w:val="005A5261"/>
    <w:rsid w:val="005A57EF"/>
    <w:rsid w:val="005A58C2"/>
    <w:rsid w:val="005A5B31"/>
    <w:rsid w:val="005A5B47"/>
    <w:rsid w:val="005A5EEE"/>
    <w:rsid w:val="005A60F5"/>
    <w:rsid w:val="005A65A5"/>
    <w:rsid w:val="005A6954"/>
    <w:rsid w:val="005A69C8"/>
    <w:rsid w:val="005A6B27"/>
    <w:rsid w:val="005A6B95"/>
    <w:rsid w:val="005A6C89"/>
    <w:rsid w:val="005A6E35"/>
    <w:rsid w:val="005A72E4"/>
    <w:rsid w:val="005A746A"/>
    <w:rsid w:val="005A7A9D"/>
    <w:rsid w:val="005A7F69"/>
    <w:rsid w:val="005B0B18"/>
    <w:rsid w:val="005B0CF3"/>
    <w:rsid w:val="005B0DEB"/>
    <w:rsid w:val="005B0F63"/>
    <w:rsid w:val="005B104B"/>
    <w:rsid w:val="005B1170"/>
    <w:rsid w:val="005B1941"/>
    <w:rsid w:val="005B1ACE"/>
    <w:rsid w:val="005B1CB2"/>
    <w:rsid w:val="005B255C"/>
    <w:rsid w:val="005B27AA"/>
    <w:rsid w:val="005B298B"/>
    <w:rsid w:val="005B2CB7"/>
    <w:rsid w:val="005B2F22"/>
    <w:rsid w:val="005B35FF"/>
    <w:rsid w:val="005B3731"/>
    <w:rsid w:val="005B3E30"/>
    <w:rsid w:val="005B463B"/>
    <w:rsid w:val="005B470B"/>
    <w:rsid w:val="005B4A86"/>
    <w:rsid w:val="005B5557"/>
    <w:rsid w:val="005B5C3C"/>
    <w:rsid w:val="005B60C6"/>
    <w:rsid w:val="005B62E4"/>
    <w:rsid w:val="005B6483"/>
    <w:rsid w:val="005B688C"/>
    <w:rsid w:val="005B68DC"/>
    <w:rsid w:val="005B69CD"/>
    <w:rsid w:val="005B6EE8"/>
    <w:rsid w:val="005B71A9"/>
    <w:rsid w:val="005B7370"/>
    <w:rsid w:val="005B76F8"/>
    <w:rsid w:val="005B7759"/>
    <w:rsid w:val="005B776A"/>
    <w:rsid w:val="005B7C18"/>
    <w:rsid w:val="005B7E83"/>
    <w:rsid w:val="005B7EAC"/>
    <w:rsid w:val="005B7EE9"/>
    <w:rsid w:val="005C07AC"/>
    <w:rsid w:val="005C0AA8"/>
    <w:rsid w:val="005C0AF2"/>
    <w:rsid w:val="005C0C17"/>
    <w:rsid w:val="005C0D07"/>
    <w:rsid w:val="005C1E59"/>
    <w:rsid w:val="005C1FF7"/>
    <w:rsid w:val="005C22FF"/>
    <w:rsid w:val="005C2354"/>
    <w:rsid w:val="005C23AC"/>
    <w:rsid w:val="005C2996"/>
    <w:rsid w:val="005C29F4"/>
    <w:rsid w:val="005C2D95"/>
    <w:rsid w:val="005C3166"/>
    <w:rsid w:val="005C3170"/>
    <w:rsid w:val="005C3219"/>
    <w:rsid w:val="005C3385"/>
    <w:rsid w:val="005C3520"/>
    <w:rsid w:val="005C36E0"/>
    <w:rsid w:val="005C3A8A"/>
    <w:rsid w:val="005C3B19"/>
    <w:rsid w:val="005C3B1C"/>
    <w:rsid w:val="005C3B63"/>
    <w:rsid w:val="005C3DCF"/>
    <w:rsid w:val="005C4DA5"/>
    <w:rsid w:val="005C510D"/>
    <w:rsid w:val="005C53EB"/>
    <w:rsid w:val="005C5A53"/>
    <w:rsid w:val="005C5CC6"/>
    <w:rsid w:val="005C5CD9"/>
    <w:rsid w:val="005C6134"/>
    <w:rsid w:val="005C6152"/>
    <w:rsid w:val="005C6234"/>
    <w:rsid w:val="005C6303"/>
    <w:rsid w:val="005C646F"/>
    <w:rsid w:val="005C67D5"/>
    <w:rsid w:val="005C6A7B"/>
    <w:rsid w:val="005C6BD8"/>
    <w:rsid w:val="005C6D3F"/>
    <w:rsid w:val="005C75DA"/>
    <w:rsid w:val="005C771E"/>
    <w:rsid w:val="005C79D1"/>
    <w:rsid w:val="005C7B2D"/>
    <w:rsid w:val="005C7E96"/>
    <w:rsid w:val="005C7FE9"/>
    <w:rsid w:val="005D0585"/>
    <w:rsid w:val="005D0764"/>
    <w:rsid w:val="005D0EC3"/>
    <w:rsid w:val="005D142E"/>
    <w:rsid w:val="005D1F89"/>
    <w:rsid w:val="005D1F91"/>
    <w:rsid w:val="005D224C"/>
    <w:rsid w:val="005D2557"/>
    <w:rsid w:val="005D2C48"/>
    <w:rsid w:val="005D3C91"/>
    <w:rsid w:val="005D3EC6"/>
    <w:rsid w:val="005D4394"/>
    <w:rsid w:val="005D46A5"/>
    <w:rsid w:val="005D4E8E"/>
    <w:rsid w:val="005D4F87"/>
    <w:rsid w:val="005D527E"/>
    <w:rsid w:val="005D5685"/>
    <w:rsid w:val="005D58CC"/>
    <w:rsid w:val="005D5AC2"/>
    <w:rsid w:val="005D5D3B"/>
    <w:rsid w:val="005D6A0C"/>
    <w:rsid w:val="005D6C2A"/>
    <w:rsid w:val="005D6EEC"/>
    <w:rsid w:val="005D77EE"/>
    <w:rsid w:val="005D7AC0"/>
    <w:rsid w:val="005D7F31"/>
    <w:rsid w:val="005E011B"/>
    <w:rsid w:val="005E034C"/>
    <w:rsid w:val="005E057E"/>
    <w:rsid w:val="005E0927"/>
    <w:rsid w:val="005E0C90"/>
    <w:rsid w:val="005E0ED7"/>
    <w:rsid w:val="005E0F85"/>
    <w:rsid w:val="005E0FDB"/>
    <w:rsid w:val="005E1519"/>
    <w:rsid w:val="005E1643"/>
    <w:rsid w:val="005E1898"/>
    <w:rsid w:val="005E1A67"/>
    <w:rsid w:val="005E1AF3"/>
    <w:rsid w:val="005E1F7B"/>
    <w:rsid w:val="005E208F"/>
    <w:rsid w:val="005E23F9"/>
    <w:rsid w:val="005E24C1"/>
    <w:rsid w:val="005E2592"/>
    <w:rsid w:val="005E2675"/>
    <w:rsid w:val="005E2C6F"/>
    <w:rsid w:val="005E2C9A"/>
    <w:rsid w:val="005E2CED"/>
    <w:rsid w:val="005E2D57"/>
    <w:rsid w:val="005E2DFD"/>
    <w:rsid w:val="005E36BD"/>
    <w:rsid w:val="005E45C2"/>
    <w:rsid w:val="005E4849"/>
    <w:rsid w:val="005E506C"/>
    <w:rsid w:val="005E51A7"/>
    <w:rsid w:val="005E58A4"/>
    <w:rsid w:val="005E59A0"/>
    <w:rsid w:val="005E5C86"/>
    <w:rsid w:val="005E630C"/>
    <w:rsid w:val="005E6623"/>
    <w:rsid w:val="005E6CBC"/>
    <w:rsid w:val="005E6D30"/>
    <w:rsid w:val="005E7069"/>
    <w:rsid w:val="005E70F6"/>
    <w:rsid w:val="005E747F"/>
    <w:rsid w:val="005F071C"/>
    <w:rsid w:val="005F08B7"/>
    <w:rsid w:val="005F0AEC"/>
    <w:rsid w:val="005F0C59"/>
    <w:rsid w:val="005F10F9"/>
    <w:rsid w:val="005F112B"/>
    <w:rsid w:val="005F1157"/>
    <w:rsid w:val="005F1F8E"/>
    <w:rsid w:val="005F2010"/>
    <w:rsid w:val="005F2276"/>
    <w:rsid w:val="005F232C"/>
    <w:rsid w:val="005F2359"/>
    <w:rsid w:val="005F4093"/>
    <w:rsid w:val="005F425D"/>
    <w:rsid w:val="005F45E7"/>
    <w:rsid w:val="005F4710"/>
    <w:rsid w:val="005F4B70"/>
    <w:rsid w:val="005F4B79"/>
    <w:rsid w:val="005F5140"/>
    <w:rsid w:val="005F51BD"/>
    <w:rsid w:val="005F6130"/>
    <w:rsid w:val="005F649E"/>
    <w:rsid w:val="005F6FDB"/>
    <w:rsid w:val="005F739C"/>
    <w:rsid w:val="005F798A"/>
    <w:rsid w:val="005F7A5E"/>
    <w:rsid w:val="00600264"/>
    <w:rsid w:val="006002D1"/>
    <w:rsid w:val="006002E8"/>
    <w:rsid w:val="00600674"/>
    <w:rsid w:val="006019B4"/>
    <w:rsid w:val="00602528"/>
    <w:rsid w:val="006032B4"/>
    <w:rsid w:val="006037F3"/>
    <w:rsid w:val="00603B07"/>
    <w:rsid w:val="00603C6A"/>
    <w:rsid w:val="00603D2B"/>
    <w:rsid w:val="0060433C"/>
    <w:rsid w:val="006048C4"/>
    <w:rsid w:val="00604ACF"/>
    <w:rsid w:val="00604D1F"/>
    <w:rsid w:val="00604DCC"/>
    <w:rsid w:val="00604FDE"/>
    <w:rsid w:val="0060578C"/>
    <w:rsid w:val="00605A88"/>
    <w:rsid w:val="0060629F"/>
    <w:rsid w:val="00606397"/>
    <w:rsid w:val="006066BC"/>
    <w:rsid w:val="00606972"/>
    <w:rsid w:val="00606C30"/>
    <w:rsid w:val="00607158"/>
    <w:rsid w:val="00607A99"/>
    <w:rsid w:val="00610455"/>
    <w:rsid w:val="00610F3E"/>
    <w:rsid w:val="00611A06"/>
    <w:rsid w:val="00611FD2"/>
    <w:rsid w:val="006122CD"/>
    <w:rsid w:val="006122FA"/>
    <w:rsid w:val="006126AD"/>
    <w:rsid w:val="006127EA"/>
    <w:rsid w:val="00612F12"/>
    <w:rsid w:val="00613085"/>
    <w:rsid w:val="00613457"/>
    <w:rsid w:val="00613525"/>
    <w:rsid w:val="00613851"/>
    <w:rsid w:val="00613ADB"/>
    <w:rsid w:val="00614193"/>
    <w:rsid w:val="006142B7"/>
    <w:rsid w:val="0061443C"/>
    <w:rsid w:val="0061465A"/>
    <w:rsid w:val="00614BD4"/>
    <w:rsid w:val="00614C2B"/>
    <w:rsid w:val="00615246"/>
    <w:rsid w:val="0061528A"/>
    <w:rsid w:val="00615375"/>
    <w:rsid w:val="0061539C"/>
    <w:rsid w:val="006157CF"/>
    <w:rsid w:val="006158F6"/>
    <w:rsid w:val="00615984"/>
    <w:rsid w:val="006159DE"/>
    <w:rsid w:val="00615C19"/>
    <w:rsid w:val="0061678B"/>
    <w:rsid w:val="00616C4C"/>
    <w:rsid w:val="0061717E"/>
    <w:rsid w:val="00617400"/>
    <w:rsid w:val="0061792D"/>
    <w:rsid w:val="00617FA2"/>
    <w:rsid w:val="00620206"/>
    <w:rsid w:val="006209EA"/>
    <w:rsid w:val="00620ADA"/>
    <w:rsid w:val="00620AFB"/>
    <w:rsid w:val="006211F8"/>
    <w:rsid w:val="006213B4"/>
    <w:rsid w:val="00621633"/>
    <w:rsid w:val="00621B1B"/>
    <w:rsid w:val="00621CAB"/>
    <w:rsid w:val="00622155"/>
    <w:rsid w:val="00622437"/>
    <w:rsid w:val="00622A94"/>
    <w:rsid w:val="0062328A"/>
    <w:rsid w:val="0062329D"/>
    <w:rsid w:val="00623412"/>
    <w:rsid w:val="00623506"/>
    <w:rsid w:val="006239EC"/>
    <w:rsid w:val="00623EEF"/>
    <w:rsid w:val="0062408A"/>
    <w:rsid w:val="00624435"/>
    <w:rsid w:val="00624665"/>
    <w:rsid w:val="00624D0A"/>
    <w:rsid w:val="006253CA"/>
    <w:rsid w:val="006255D5"/>
    <w:rsid w:val="00625D7B"/>
    <w:rsid w:val="00626005"/>
    <w:rsid w:val="0062613B"/>
    <w:rsid w:val="00626182"/>
    <w:rsid w:val="00626882"/>
    <w:rsid w:val="00626A6D"/>
    <w:rsid w:val="00626A95"/>
    <w:rsid w:val="00626CFB"/>
    <w:rsid w:val="00626EC4"/>
    <w:rsid w:val="006270B6"/>
    <w:rsid w:val="0062726A"/>
    <w:rsid w:val="00627600"/>
    <w:rsid w:val="00627DA6"/>
    <w:rsid w:val="00627EBA"/>
    <w:rsid w:val="00630324"/>
    <w:rsid w:val="006303E9"/>
    <w:rsid w:val="00630C39"/>
    <w:rsid w:val="00630C9C"/>
    <w:rsid w:val="00630DA1"/>
    <w:rsid w:val="0063152A"/>
    <w:rsid w:val="00631782"/>
    <w:rsid w:val="006317B6"/>
    <w:rsid w:val="006319A7"/>
    <w:rsid w:val="00631BC6"/>
    <w:rsid w:val="00631D92"/>
    <w:rsid w:val="00631DC3"/>
    <w:rsid w:val="006321D7"/>
    <w:rsid w:val="00632790"/>
    <w:rsid w:val="00633474"/>
    <w:rsid w:val="00633BA4"/>
    <w:rsid w:val="006340F8"/>
    <w:rsid w:val="006342BB"/>
    <w:rsid w:val="006345C0"/>
    <w:rsid w:val="006346EF"/>
    <w:rsid w:val="00634733"/>
    <w:rsid w:val="00634EAD"/>
    <w:rsid w:val="0063552A"/>
    <w:rsid w:val="00635818"/>
    <w:rsid w:val="0063587F"/>
    <w:rsid w:val="006358A4"/>
    <w:rsid w:val="006358F9"/>
    <w:rsid w:val="00635A7B"/>
    <w:rsid w:val="00635E3E"/>
    <w:rsid w:val="006360DF"/>
    <w:rsid w:val="0063644B"/>
    <w:rsid w:val="0063683E"/>
    <w:rsid w:val="00636BE0"/>
    <w:rsid w:val="00636FF2"/>
    <w:rsid w:val="00637155"/>
    <w:rsid w:val="00637423"/>
    <w:rsid w:val="0063762F"/>
    <w:rsid w:val="00637CA4"/>
    <w:rsid w:val="00640798"/>
    <w:rsid w:val="0064100F"/>
    <w:rsid w:val="00641196"/>
    <w:rsid w:val="006417BE"/>
    <w:rsid w:val="0064185F"/>
    <w:rsid w:val="0064206F"/>
    <w:rsid w:val="006426D8"/>
    <w:rsid w:val="00642816"/>
    <w:rsid w:val="0064286F"/>
    <w:rsid w:val="006428E4"/>
    <w:rsid w:val="00642B74"/>
    <w:rsid w:val="00642EB8"/>
    <w:rsid w:val="00642F4B"/>
    <w:rsid w:val="006435A6"/>
    <w:rsid w:val="006437E3"/>
    <w:rsid w:val="0064380C"/>
    <w:rsid w:val="006440E6"/>
    <w:rsid w:val="0064429C"/>
    <w:rsid w:val="006443F5"/>
    <w:rsid w:val="00644B7D"/>
    <w:rsid w:val="00644BC6"/>
    <w:rsid w:val="00644C09"/>
    <w:rsid w:val="00644F26"/>
    <w:rsid w:val="00644F30"/>
    <w:rsid w:val="006453D3"/>
    <w:rsid w:val="00645965"/>
    <w:rsid w:val="00645E55"/>
    <w:rsid w:val="0064623C"/>
    <w:rsid w:val="0064644D"/>
    <w:rsid w:val="00646623"/>
    <w:rsid w:val="00646CC1"/>
    <w:rsid w:val="006471FC"/>
    <w:rsid w:val="0064739C"/>
    <w:rsid w:val="00647520"/>
    <w:rsid w:val="00647B2B"/>
    <w:rsid w:val="00647C0A"/>
    <w:rsid w:val="00647DA7"/>
    <w:rsid w:val="006506F3"/>
    <w:rsid w:val="00650CD4"/>
    <w:rsid w:val="00651D5A"/>
    <w:rsid w:val="00651EBB"/>
    <w:rsid w:val="00652309"/>
    <w:rsid w:val="006523C2"/>
    <w:rsid w:val="006527B4"/>
    <w:rsid w:val="00652AE1"/>
    <w:rsid w:val="00652C3B"/>
    <w:rsid w:val="00652E20"/>
    <w:rsid w:val="00653555"/>
    <w:rsid w:val="00653C24"/>
    <w:rsid w:val="00653D8B"/>
    <w:rsid w:val="0065426E"/>
    <w:rsid w:val="00654522"/>
    <w:rsid w:val="00654851"/>
    <w:rsid w:val="00654D0E"/>
    <w:rsid w:val="00655980"/>
    <w:rsid w:val="00655F88"/>
    <w:rsid w:val="00656589"/>
    <w:rsid w:val="006568AA"/>
    <w:rsid w:val="00656B81"/>
    <w:rsid w:val="00656E48"/>
    <w:rsid w:val="006575D0"/>
    <w:rsid w:val="00657778"/>
    <w:rsid w:val="0065779C"/>
    <w:rsid w:val="00657B66"/>
    <w:rsid w:val="00657E3D"/>
    <w:rsid w:val="00657F72"/>
    <w:rsid w:val="00660D03"/>
    <w:rsid w:val="00661094"/>
    <w:rsid w:val="006614AA"/>
    <w:rsid w:val="0066168D"/>
    <w:rsid w:val="006616E2"/>
    <w:rsid w:val="006618F2"/>
    <w:rsid w:val="0066196F"/>
    <w:rsid w:val="00662196"/>
    <w:rsid w:val="00662498"/>
    <w:rsid w:val="006625D0"/>
    <w:rsid w:val="00662F9C"/>
    <w:rsid w:val="006632AE"/>
    <w:rsid w:val="00663730"/>
    <w:rsid w:val="00663C3D"/>
    <w:rsid w:val="00664277"/>
    <w:rsid w:val="00664BB7"/>
    <w:rsid w:val="00664C39"/>
    <w:rsid w:val="00664FBD"/>
    <w:rsid w:val="00665688"/>
    <w:rsid w:val="0066578A"/>
    <w:rsid w:val="00665CF5"/>
    <w:rsid w:val="00665D6D"/>
    <w:rsid w:val="00665D92"/>
    <w:rsid w:val="00665E4C"/>
    <w:rsid w:val="00665E88"/>
    <w:rsid w:val="00666841"/>
    <w:rsid w:val="00666B70"/>
    <w:rsid w:val="00666BDE"/>
    <w:rsid w:val="00666DA7"/>
    <w:rsid w:val="006672C8"/>
    <w:rsid w:val="006673E8"/>
    <w:rsid w:val="006677FB"/>
    <w:rsid w:val="00667834"/>
    <w:rsid w:val="00667848"/>
    <w:rsid w:val="00667F95"/>
    <w:rsid w:val="006704D0"/>
    <w:rsid w:val="0067055C"/>
    <w:rsid w:val="00670DCE"/>
    <w:rsid w:val="00671107"/>
    <w:rsid w:val="006712D6"/>
    <w:rsid w:val="0067133F"/>
    <w:rsid w:val="0067176A"/>
    <w:rsid w:val="006717E0"/>
    <w:rsid w:val="006718E9"/>
    <w:rsid w:val="00672360"/>
    <w:rsid w:val="006723F2"/>
    <w:rsid w:val="00672D4F"/>
    <w:rsid w:val="00672E06"/>
    <w:rsid w:val="00672E50"/>
    <w:rsid w:val="00672E67"/>
    <w:rsid w:val="00673585"/>
    <w:rsid w:val="006736A1"/>
    <w:rsid w:val="00673D70"/>
    <w:rsid w:val="00673F51"/>
    <w:rsid w:val="006740B1"/>
    <w:rsid w:val="00674461"/>
    <w:rsid w:val="0067458E"/>
    <w:rsid w:val="00675025"/>
    <w:rsid w:val="00675861"/>
    <w:rsid w:val="00675B92"/>
    <w:rsid w:val="00675D18"/>
    <w:rsid w:val="006760A9"/>
    <w:rsid w:val="00676239"/>
    <w:rsid w:val="0067630B"/>
    <w:rsid w:val="0067690D"/>
    <w:rsid w:val="0067748E"/>
    <w:rsid w:val="0067796B"/>
    <w:rsid w:val="00677B21"/>
    <w:rsid w:val="00680514"/>
    <w:rsid w:val="00680676"/>
    <w:rsid w:val="00680BB3"/>
    <w:rsid w:val="00680D69"/>
    <w:rsid w:val="00681046"/>
    <w:rsid w:val="00681494"/>
    <w:rsid w:val="00681CB4"/>
    <w:rsid w:val="006829EF"/>
    <w:rsid w:val="00682F4A"/>
    <w:rsid w:val="006832F8"/>
    <w:rsid w:val="006836DE"/>
    <w:rsid w:val="00683B40"/>
    <w:rsid w:val="00683DC8"/>
    <w:rsid w:val="00683DE1"/>
    <w:rsid w:val="006842B9"/>
    <w:rsid w:val="006847B5"/>
    <w:rsid w:val="00684816"/>
    <w:rsid w:val="00684B0B"/>
    <w:rsid w:val="00684F8B"/>
    <w:rsid w:val="00684FEB"/>
    <w:rsid w:val="0068512D"/>
    <w:rsid w:val="00685540"/>
    <w:rsid w:val="00685582"/>
    <w:rsid w:val="00685799"/>
    <w:rsid w:val="00686419"/>
    <w:rsid w:val="0068663A"/>
    <w:rsid w:val="00686F63"/>
    <w:rsid w:val="006876E2"/>
    <w:rsid w:val="00687E25"/>
    <w:rsid w:val="00690251"/>
    <w:rsid w:val="006905ED"/>
    <w:rsid w:val="00690AE8"/>
    <w:rsid w:val="00690B16"/>
    <w:rsid w:val="00691443"/>
    <w:rsid w:val="00691611"/>
    <w:rsid w:val="006921C3"/>
    <w:rsid w:val="00692B1E"/>
    <w:rsid w:val="00692BAF"/>
    <w:rsid w:val="00692D37"/>
    <w:rsid w:val="0069305A"/>
    <w:rsid w:val="006930C5"/>
    <w:rsid w:val="006932CD"/>
    <w:rsid w:val="006937B2"/>
    <w:rsid w:val="0069383F"/>
    <w:rsid w:val="00693AA7"/>
    <w:rsid w:val="00693BBD"/>
    <w:rsid w:val="00693D1E"/>
    <w:rsid w:val="00694041"/>
    <w:rsid w:val="006941D1"/>
    <w:rsid w:val="00694D4C"/>
    <w:rsid w:val="00695133"/>
    <w:rsid w:val="006951A6"/>
    <w:rsid w:val="00695237"/>
    <w:rsid w:val="00695C81"/>
    <w:rsid w:val="00695F1A"/>
    <w:rsid w:val="00696478"/>
    <w:rsid w:val="00696951"/>
    <w:rsid w:val="006969D9"/>
    <w:rsid w:val="006971E3"/>
    <w:rsid w:val="006975FB"/>
    <w:rsid w:val="00697796"/>
    <w:rsid w:val="00697DFD"/>
    <w:rsid w:val="006A0064"/>
    <w:rsid w:val="006A0073"/>
    <w:rsid w:val="006A0AD9"/>
    <w:rsid w:val="006A10B2"/>
    <w:rsid w:val="006A11F7"/>
    <w:rsid w:val="006A1481"/>
    <w:rsid w:val="006A14A0"/>
    <w:rsid w:val="006A18D6"/>
    <w:rsid w:val="006A1B98"/>
    <w:rsid w:val="006A1D7B"/>
    <w:rsid w:val="006A208B"/>
    <w:rsid w:val="006A27E1"/>
    <w:rsid w:val="006A286E"/>
    <w:rsid w:val="006A2CE2"/>
    <w:rsid w:val="006A2EF7"/>
    <w:rsid w:val="006A35D1"/>
    <w:rsid w:val="006A38D3"/>
    <w:rsid w:val="006A39C2"/>
    <w:rsid w:val="006A3D3A"/>
    <w:rsid w:val="006A3E99"/>
    <w:rsid w:val="006A4D41"/>
    <w:rsid w:val="006A4F86"/>
    <w:rsid w:val="006A53B1"/>
    <w:rsid w:val="006A56CF"/>
    <w:rsid w:val="006A57A9"/>
    <w:rsid w:val="006A5E8B"/>
    <w:rsid w:val="006A600C"/>
    <w:rsid w:val="006A7574"/>
    <w:rsid w:val="006A7AC8"/>
    <w:rsid w:val="006A7F87"/>
    <w:rsid w:val="006B0A44"/>
    <w:rsid w:val="006B1B48"/>
    <w:rsid w:val="006B1BDA"/>
    <w:rsid w:val="006B1DE1"/>
    <w:rsid w:val="006B1E0B"/>
    <w:rsid w:val="006B225A"/>
    <w:rsid w:val="006B37B5"/>
    <w:rsid w:val="006B3913"/>
    <w:rsid w:val="006B3AE6"/>
    <w:rsid w:val="006B3D28"/>
    <w:rsid w:val="006B3E53"/>
    <w:rsid w:val="006B41C5"/>
    <w:rsid w:val="006B42A7"/>
    <w:rsid w:val="006B4556"/>
    <w:rsid w:val="006B45C6"/>
    <w:rsid w:val="006B45D4"/>
    <w:rsid w:val="006B63D1"/>
    <w:rsid w:val="006B6427"/>
    <w:rsid w:val="006B6D78"/>
    <w:rsid w:val="006B6FBB"/>
    <w:rsid w:val="006B6FCC"/>
    <w:rsid w:val="006B70ED"/>
    <w:rsid w:val="006B7BE4"/>
    <w:rsid w:val="006B7D66"/>
    <w:rsid w:val="006C02C3"/>
    <w:rsid w:val="006C03DB"/>
    <w:rsid w:val="006C08DE"/>
    <w:rsid w:val="006C0AC2"/>
    <w:rsid w:val="006C0E64"/>
    <w:rsid w:val="006C0EC9"/>
    <w:rsid w:val="006C15CE"/>
    <w:rsid w:val="006C1DBD"/>
    <w:rsid w:val="006C1FB7"/>
    <w:rsid w:val="006C1FE5"/>
    <w:rsid w:val="006C209C"/>
    <w:rsid w:val="006C22CB"/>
    <w:rsid w:val="006C23F2"/>
    <w:rsid w:val="006C2D96"/>
    <w:rsid w:val="006C31E4"/>
    <w:rsid w:val="006C360D"/>
    <w:rsid w:val="006C3A21"/>
    <w:rsid w:val="006C3BA7"/>
    <w:rsid w:val="006C40FF"/>
    <w:rsid w:val="006C4424"/>
    <w:rsid w:val="006C4552"/>
    <w:rsid w:val="006C4668"/>
    <w:rsid w:val="006C4C98"/>
    <w:rsid w:val="006C514B"/>
    <w:rsid w:val="006C55C8"/>
    <w:rsid w:val="006C5B9B"/>
    <w:rsid w:val="006C5C24"/>
    <w:rsid w:val="006C5FA4"/>
    <w:rsid w:val="006C6819"/>
    <w:rsid w:val="006C7380"/>
    <w:rsid w:val="006C7382"/>
    <w:rsid w:val="006C76B9"/>
    <w:rsid w:val="006C7A07"/>
    <w:rsid w:val="006C7B67"/>
    <w:rsid w:val="006D0656"/>
    <w:rsid w:val="006D0804"/>
    <w:rsid w:val="006D0C14"/>
    <w:rsid w:val="006D1401"/>
    <w:rsid w:val="006D1622"/>
    <w:rsid w:val="006D21FD"/>
    <w:rsid w:val="006D22CE"/>
    <w:rsid w:val="006D254E"/>
    <w:rsid w:val="006D2E8F"/>
    <w:rsid w:val="006D3E6C"/>
    <w:rsid w:val="006D4455"/>
    <w:rsid w:val="006D44B3"/>
    <w:rsid w:val="006D44E4"/>
    <w:rsid w:val="006D4709"/>
    <w:rsid w:val="006D4892"/>
    <w:rsid w:val="006D49C2"/>
    <w:rsid w:val="006D4BC2"/>
    <w:rsid w:val="006D4CF0"/>
    <w:rsid w:val="006D4DA4"/>
    <w:rsid w:val="006D4DE6"/>
    <w:rsid w:val="006D505C"/>
    <w:rsid w:val="006D59C1"/>
    <w:rsid w:val="006D6480"/>
    <w:rsid w:val="006D6646"/>
    <w:rsid w:val="006D68C6"/>
    <w:rsid w:val="006D6B27"/>
    <w:rsid w:val="006D6CFC"/>
    <w:rsid w:val="006D6E4A"/>
    <w:rsid w:val="006D71D0"/>
    <w:rsid w:val="006D7B2A"/>
    <w:rsid w:val="006D7CE6"/>
    <w:rsid w:val="006E0347"/>
    <w:rsid w:val="006E05A1"/>
    <w:rsid w:val="006E0660"/>
    <w:rsid w:val="006E09AC"/>
    <w:rsid w:val="006E0A2D"/>
    <w:rsid w:val="006E0DA1"/>
    <w:rsid w:val="006E1539"/>
    <w:rsid w:val="006E172D"/>
    <w:rsid w:val="006E2456"/>
    <w:rsid w:val="006E25A9"/>
    <w:rsid w:val="006E25DA"/>
    <w:rsid w:val="006E26DB"/>
    <w:rsid w:val="006E2877"/>
    <w:rsid w:val="006E2A6B"/>
    <w:rsid w:val="006E2A8D"/>
    <w:rsid w:val="006E329E"/>
    <w:rsid w:val="006E3310"/>
    <w:rsid w:val="006E3669"/>
    <w:rsid w:val="006E3ACF"/>
    <w:rsid w:val="006E3E5B"/>
    <w:rsid w:val="006E45AE"/>
    <w:rsid w:val="006E56B1"/>
    <w:rsid w:val="006E58D6"/>
    <w:rsid w:val="006E5971"/>
    <w:rsid w:val="006E5CDB"/>
    <w:rsid w:val="006E5EED"/>
    <w:rsid w:val="006E5EF4"/>
    <w:rsid w:val="006E6691"/>
    <w:rsid w:val="006E67DF"/>
    <w:rsid w:val="006E696C"/>
    <w:rsid w:val="006E6E2E"/>
    <w:rsid w:val="006E7598"/>
    <w:rsid w:val="006E7B30"/>
    <w:rsid w:val="006F02CB"/>
    <w:rsid w:val="006F0C2F"/>
    <w:rsid w:val="006F0E4D"/>
    <w:rsid w:val="006F1093"/>
    <w:rsid w:val="006F1175"/>
    <w:rsid w:val="006F122C"/>
    <w:rsid w:val="006F1565"/>
    <w:rsid w:val="006F1679"/>
    <w:rsid w:val="006F17B3"/>
    <w:rsid w:val="006F1881"/>
    <w:rsid w:val="006F1A02"/>
    <w:rsid w:val="006F1B30"/>
    <w:rsid w:val="006F1B66"/>
    <w:rsid w:val="006F1E06"/>
    <w:rsid w:val="006F2068"/>
    <w:rsid w:val="006F2175"/>
    <w:rsid w:val="006F274C"/>
    <w:rsid w:val="006F2765"/>
    <w:rsid w:val="006F32E7"/>
    <w:rsid w:val="006F330E"/>
    <w:rsid w:val="006F3ACF"/>
    <w:rsid w:val="006F3CAB"/>
    <w:rsid w:val="006F3D33"/>
    <w:rsid w:val="006F41B0"/>
    <w:rsid w:val="006F4376"/>
    <w:rsid w:val="006F44D1"/>
    <w:rsid w:val="006F4B46"/>
    <w:rsid w:val="006F4B98"/>
    <w:rsid w:val="006F4C5E"/>
    <w:rsid w:val="006F5ACB"/>
    <w:rsid w:val="006F5B3E"/>
    <w:rsid w:val="006F6118"/>
    <w:rsid w:val="006F6B8C"/>
    <w:rsid w:val="006F6F6C"/>
    <w:rsid w:val="006F7B62"/>
    <w:rsid w:val="006F7CAF"/>
    <w:rsid w:val="007003F8"/>
    <w:rsid w:val="00700480"/>
    <w:rsid w:val="00700833"/>
    <w:rsid w:val="00700A06"/>
    <w:rsid w:val="00700B57"/>
    <w:rsid w:val="00700BC3"/>
    <w:rsid w:val="0070126A"/>
    <w:rsid w:val="00701C12"/>
    <w:rsid w:val="00702B2B"/>
    <w:rsid w:val="007036A4"/>
    <w:rsid w:val="00703909"/>
    <w:rsid w:val="00703A70"/>
    <w:rsid w:val="00703ADC"/>
    <w:rsid w:val="00703AE3"/>
    <w:rsid w:val="00703DFE"/>
    <w:rsid w:val="00704598"/>
    <w:rsid w:val="007047F1"/>
    <w:rsid w:val="0070481A"/>
    <w:rsid w:val="00704BA7"/>
    <w:rsid w:val="00704F35"/>
    <w:rsid w:val="007050F6"/>
    <w:rsid w:val="007057C0"/>
    <w:rsid w:val="00705913"/>
    <w:rsid w:val="0070623D"/>
    <w:rsid w:val="007062C9"/>
    <w:rsid w:val="00706374"/>
    <w:rsid w:val="007067EF"/>
    <w:rsid w:val="00706995"/>
    <w:rsid w:val="00706BBD"/>
    <w:rsid w:val="00706EBD"/>
    <w:rsid w:val="00707AF0"/>
    <w:rsid w:val="00707B06"/>
    <w:rsid w:val="007105A0"/>
    <w:rsid w:val="0071062E"/>
    <w:rsid w:val="007108C5"/>
    <w:rsid w:val="00710A31"/>
    <w:rsid w:val="00710C8A"/>
    <w:rsid w:val="00710E6C"/>
    <w:rsid w:val="007110B5"/>
    <w:rsid w:val="007117E8"/>
    <w:rsid w:val="007121A2"/>
    <w:rsid w:val="00712258"/>
    <w:rsid w:val="007125E1"/>
    <w:rsid w:val="00712E2B"/>
    <w:rsid w:val="007135E6"/>
    <w:rsid w:val="00713694"/>
    <w:rsid w:val="00713BF3"/>
    <w:rsid w:val="00713F9E"/>
    <w:rsid w:val="00713FEE"/>
    <w:rsid w:val="007143C5"/>
    <w:rsid w:val="00714D1E"/>
    <w:rsid w:val="007153BA"/>
    <w:rsid w:val="007155F1"/>
    <w:rsid w:val="00715AE8"/>
    <w:rsid w:val="00715EEC"/>
    <w:rsid w:val="00716671"/>
    <w:rsid w:val="00716680"/>
    <w:rsid w:val="00716746"/>
    <w:rsid w:val="00716B10"/>
    <w:rsid w:val="00716D63"/>
    <w:rsid w:val="00716E3C"/>
    <w:rsid w:val="00717087"/>
    <w:rsid w:val="007171FE"/>
    <w:rsid w:val="00717423"/>
    <w:rsid w:val="00720181"/>
    <w:rsid w:val="007204CA"/>
    <w:rsid w:val="00720C94"/>
    <w:rsid w:val="00720FCE"/>
    <w:rsid w:val="00721026"/>
    <w:rsid w:val="007210AC"/>
    <w:rsid w:val="007211FC"/>
    <w:rsid w:val="00721330"/>
    <w:rsid w:val="0072139B"/>
    <w:rsid w:val="007215F1"/>
    <w:rsid w:val="00721829"/>
    <w:rsid w:val="007218FF"/>
    <w:rsid w:val="00721B24"/>
    <w:rsid w:val="00721DD0"/>
    <w:rsid w:val="0072235D"/>
    <w:rsid w:val="007223D6"/>
    <w:rsid w:val="00722938"/>
    <w:rsid w:val="0072294E"/>
    <w:rsid w:val="00722F08"/>
    <w:rsid w:val="0072389A"/>
    <w:rsid w:val="0072389E"/>
    <w:rsid w:val="00723A59"/>
    <w:rsid w:val="00723B47"/>
    <w:rsid w:val="00723EBD"/>
    <w:rsid w:val="00723EFB"/>
    <w:rsid w:val="007241AA"/>
    <w:rsid w:val="0072432D"/>
    <w:rsid w:val="00724457"/>
    <w:rsid w:val="007245EF"/>
    <w:rsid w:val="0072496E"/>
    <w:rsid w:val="00724A8A"/>
    <w:rsid w:val="00724CFC"/>
    <w:rsid w:val="007251A6"/>
    <w:rsid w:val="007251B8"/>
    <w:rsid w:val="00725A2C"/>
    <w:rsid w:val="00726ABB"/>
    <w:rsid w:val="00727E30"/>
    <w:rsid w:val="00730B2D"/>
    <w:rsid w:val="00730BD8"/>
    <w:rsid w:val="00730ECB"/>
    <w:rsid w:val="00731006"/>
    <w:rsid w:val="00731056"/>
    <w:rsid w:val="00731509"/>
    <w:rsid w:val="007322BC"/>
    <w:rsid w:val="007325BB"/>
    <w:rsid w:val="007327F7"/>
    <w:rsid w:val="00732C14"/>
    <w:rsid w:val="00733308"/>
    <w:rsid w:val="00733437"/>
    <w:rsid w:val="00733778"/>
    <w:rsid w:val="007338AB"/>
    <w:rsid w:val="00734300"/>
    <w:rsid w:val="007347A0"/>
    <w:rsid w:val="007347E6"/>
    <w:rsid w:val="007349F8"/>
    <w:rsid w:val="00734CCC"/>
    <w:rsid w:val="007354FC"/>
    <w:rsid w:val="00735D75"/>
    <w:rsid w:val="0073695B"/>
    <w:rsid w:val="00736B40"/>
    <w:rsid w:val="00736E02"/>
    <w:rsid w:val="00737415"/>
    <w:rsid w:val="00737457"/>
    <w:rsid w:val="00737965"/>
    <w:rsid w:val="00737CFD"/>
    <w:rsid w:val="00737E7A"/>
    <w:rsid w:val="00737FD0"/>
    <w:rsid w:val="0074014E"/>
    <w:rsid w:val="00740337"/>
    <w:rsid w:val="00740602"/>
    <w:rsid w:val="0074071F"/>
    <w:rsid w:val="00740869"/>
    <w:rsid w:val="00740C86"/>
    <w:rsid w:val="00740D02"/>
    <w:rsid w:val="00740D9D"/>
    <w:rsid w:val="00740F28"/>
    <w:rsid w:val="0074105B"/>
    <w:rsid w:val="00741665"/>
    <w:rsid w:val="007416EA"/>
    <w:rsid w:val="00741EFA"/>
    <w:rsid w:val="007424D2"/>
    <w:rsid w:val="00742641"/>
    <w:rsid w:val="00742B84"/>
    <w:rsid w:val="00742D0C"/>
    <w:rsid w:val="00743175"/>
    <w:rsid w:val="007431B2"/>
    <w:rsid w:val="007437E6"/>
    <w:rsid w:val="00743838"/>
    <w:rsid w:val="00743DF8"/>
    <w:rsid w:val="00743EB8"/>
    <w:rsid w:val="00744059"/>
    <w:rsid w:val="007442E3"/>
    <w:rsid w:val="00744A61"/>
    <w:rsid w:val="00744F32"/>
    <w:rsid w:val="00745087"/>
    <w:rsid w:val="00745999"/>
    <w:rsid w:val="007462B7"/>
    <w:rsid w:val="00746486"/>
    <w:rsid w:val="00746667"/>
    <w:rsid w:val="0074682F"/>
    <w:rsid w:val="00746931"/>
    <w:rsid w:val="00746A8C"/>
    <w:rsid w:val="00746B41"/>
    <w:rsid w:val="00746DDC"/>
    <w:rsid w:val="00746E6B"/>
    <w:rsid w:val="00746FE6"/>
    <w:rsid w:val="007470A7"/>
    <w:rsid w:val="007471EA"/>
    <w:rsid w:val="007476C8"/>
    <w:rsid w:val="00747C87"/>
    <w:rsid w:val="00747CFF"/>
    <w:rsid w:val="00750938"/>
    <w:rsid w:val="00750962"/>
    <w:rsid w:val="00750AB1"/>
    <w:rsid w:val="007510DB"/>
    <w:rsid w:val="0075124A"/>
    <w:rsid w:val="00751A91"/>
    <w:rsid w:val="00751CB0"/>
    <w:rsid w:val="00751F03"/>
    <w:rsid w:val="0075292C"/>
    <w:rsid w:val="00752ECC"/>
    <w:rsid w:val="0075335D"/>
    <w:rsid w:val="007534D6"/>
    <w:rsid w:val="00754149"/>
    <w:rsid w:val="007541A0"/>
    <w:rsid w:val="00754468"/>
    <w:rsid w:val="0075453A"/>
    <w:rsid w:val="0075491E"/>
    <w:rsid w:val="00754DAC"/>
    <w:rsid w:val="00754F3D"/>
    <w:rsid w:val="00755371"/>
    <w:rsid w:val="00755AC4"/>
    <w:rsid w:val="00755BF9"/>
    <w:rsid w:val="00755F79"/>
    <w:rsid w:val="007563F6"/>
    <w:rsid w:val="0075691E"/>
    <w:rsid w:val="00756A4B"/>
    <w:rsid w:val="00756EE2"/>
    <w:rsid w:val="007601D8"/>
    <w:rsid w:val="00760252"/>
    <w:rsid w:val="00760839"/>
    <w:rsid w:val="00760859"/>
    <w:rsid w:val="007612A1"/>
    <w:rsid w:val="00761362"/>
    <w:rsid w:val="0076240F"/>
    <w:rsid w:val="00762B44"/>
    <w:rsid w:val="00762E81"/>
    <w:rsid w:val="00762FE6"/>
    <w:rsid w:val="00763318"/>
    <w:rsid w:val="00763E81"/>
    <w:rsid w:val="007643D2"/>
    <w:rsid w:val="007646BA"/>
    <w:rsid w:val="00764731"/>
    <w:rsid w:val="00764CD8"/>
    <w:rsid w:val="00765137"/>
    <w:rsid w:val="007653A5"/>
    <w:rsid w:val="00765C0A"/>
    <w:rsid w:val="00765C70"/>
    <w:rsid w:val="0076601D"/>
    <w:rsid w:val="007670B5"/>
    <w:rsid w:val="007670F9"/>
    <w:rsid w:val="007673EA"/>
    <w:rsid w:val="00767696"/>
    <w:rsid w:val="00767760"/>
    <w:rsid w:val="0076776A"/>
    <w:rsid w:val="00767978"/>
    <w:rsid w:val="00767BBA"/>
    <w:rsid w:val="00767CB5"/>
    <w:rsid w:val="00767F07"/>
    <w:rsid w:val="007701AE"/>
    <w:rsid w:val="007701E6"/>
    <w:rsid w:val="00770366"/>
    <w:rsid w:val="00770776"/>
    <w:rsid w:val="00770F70"/>
    <w:rsid w:val="00770FF0"/>
    <w:rsid w:val="0077107B"/>
    <w:rsid w:val="00771783"/>
    <w:rsid w:val="00771B21"/>
    <w:rsid w:val="00771F3F"/>
    <w:rsid w:val="00772173"/>
    <w:rsid w:val="007725C0"/>
    <w:rsid w:val="00772990"/>
    <w:rsid w:val="00773110"/>
    <w:rsid w:val="0077373B"/>
    <w:rsid w:val="00773774"/>
    <w:rsid w:val="00773D8B"/>
    <w:rsid w:val="007740FB"/>
    <w:rsid w:val="0077453E"/>
    <w:rsid w:val="007756E0"/>
    <w:rsid w:val="00775A0C"/>
    <w:rsid w:val="00775AAE"/>
    <w:rsid w:val="007760FA"/>
    <w:rsid w:val="00776212"/>
    <w:rsid w:val="007765F9"/>
    <w:rsid w:val="007768F1"/>
    <w:rsid w:val="00777276"/>
    <w:rsid w:val="00777444"/>
    <w:rsid w:val="007776E4"/>
    <w:rsid w:val="00777EFA"/>
    <w:rsid w:val="00780089"/>
    <w:rsid w:val="00780222"/>
    <w:rsid w:val="007804E0"/>
    <w:rsid w:val="007808D5"/>
    <w:rsid w:val="00780B9F"/>
    <w:rsid w:val="0078103C"/>
    <w:rsid w:val="007811C1"/>
    <w:rsid w:val="00781D0C"/>
    <w:rsid w:val="00782076"/>
    <w:rsid w:val="00782DF6"/>
    <w:rsid w:val="00782FBF"/>
    <w:rsid w:val="0078350E"/>
    <w:rsid w:val="0078380F"/>
    <w:rsid w:val="007838CA"/>
    <w:rsid w:val="007839A9"/>
    <w:rsid w:val="0078535C"/>
    <w:rsid w:val="00785527"/>
    <w:rsid w:val="0078591E"/>
    <w:rsid w:val="00785E99"/>
    <w:rsid w:val="00785F49"/>
    <w:rsid w:val="007863D4"/>
    <w:rsid w:val="007867D7"/>
    <w:rsid w:val="00786CD5"/>
    <w:rsid w:val="007870B7"/>
    <w:rsid w:val="0078753A"/>
    <w:rsid w:val="00787EDA"/>
    <w:rsid w:val="007907DB"/>
    <w:rsid w:val="00790A6D"/>
    <w:rsid w:val="00790C76"/>
    <w:rsid w:val="00790DC3"/>
    <w:rsid w:val="0079119D"/>
    <w:rsid w:val="00791B63"/>
    <w:rsid w:val="00791C4A"/>
    <w:rsid w:val="00792632"/>
    <w:rsid w:val="0079264A"/>
    <w:rsid w:val="007932DF"/>
    <w:rsid w:val="007938AA"/>
    <w:rsid w:val="0079390D"/>
    <w:rsid w:val="00794341"/>
    <w:rsid w:val="007945B2"/>
    <w:rsid w:val="007946C8"/>
    <w:rsid w:val="00794BFF"/>
    <w:rsid w:val="00794FE8"/>
    <w:rsid w:val="00795061"/>
    <w:rsid w:val="00795077"/>
    <w:rsid w:val="0079527D"/>
    <w:rsid w:val="00795C1E"/>
    <w:rsid w:val="00795F4D"/>
    <w:rsid w:val="0079648A"/>
    <w:rsid w:val="00796775"/>
    <w:rsid w:val="00796A68"/>
    <w:rsid w:val="00796B6F"/>
    <w:rsid w:val="007974AB"/>
    <w:rsid w:val="00797B90"/>
    <w:rsid w:val="007A0405"/>
    <w:rsid w:val="007A0434"/>
    <w:rsid w:val="007A0475"/>
    <w:rsid w:val="007A0661"/>
    <w:rsid w:val="007A0F0E"/>
    <w:rsid w:val="007A17D5"/>
    <w:rsid w:val="007A1FD7"/>
    <w:rsid w:val="007A232A"/>
    <w:rsid w:val="007A2352"/>
    <w:rsid w:val="007A263B"/>
    <w:rsid w:val="007A31EC"/>
    <w:rsid w:val="007A38BB"/>
    <w:rsid w:val="007A3AE7"/>
    <w:rsid w:val="007A4402"/>
    <w:rsid w:val="007A46E0"/>
    <w:rsid w:val="007A4DEF"/>
    <w:rsid w:val="007A4E51"/>
    <w:rsid w:val="007A51DC"/>
    <w:rsid w:val="007A5508"/>
    <w:rsid w:val="007A5D7B"/>
    <w:rsid w:val="007A5F4D"/>
    <w:rsid w:val="007A61FC"/>
    <w:rsid w:val="007A6FB9"/>
    <w:rsid w:val="007A701F"/>
    <w:rsid w:val="007A74A3"/>
    <w:rsid w:val="007A74DF"/>
    <w:rsid w:val="007A7633"/>
    <w:rsid w:val="007A7A11"/>
    <w:rsid w:val="007A7A27"/>
    <w:rsid w:val="007B0777"/>
    <w:rsid w:val="007B0886"/>
    <w:rsid w:val="007B0B57"/>
    <w:rsid w:val="007B1915"/>
    <w:rsid w:val="007B1BEA"/>
    <w:rsid w:val="007B1E16"/>
    <w:rsid w:val="007B21CF"/>
    <w:rsid w:val="007B2970"/>
    <w:rsid w:val="007B2C63"/>
    <w:rsid w:val="007B2D82"/>
    <w:rsid w:val="007B2E6E"/>
    <w:rsid w:val="007B31E0"/>
    <w:rsid w:val="007B3338"/>
    <w:rsid w:val="007B3631"/>
    <w:rsid w:val="007B3F7D"/>
    <w:rsid w:val="007B4535"/>
    <w:rsid w:val="007B484A"/>
    <w:rsid w:val="007B49AC"/>
    <w:rsid w:val="007B5341"/>
    <w:rsid w:val="007B544E"/>
    <w:rsid w:val="007B630E"/>
    <w:rsid w:val="007B6AF6"/>
    <w:rsid w:val="007B6B38"/>
    <w:rsid w:val="007B6BBA"/>
    <w:rsid w:val="007B7002"/>
    <w:rsid w:val="007B7257"/>
    <w:rsid w:val="007B7573"/>
    <w:rsid w:val="007B76E3"/>
    <w:rsid w:val="007B78AE"/>
    <w:rsid w:val="007C103A"/>
    <w:rsid w:val="007C14F5"/>
    <w:rsid w:val="007C18AD"/>
    <w:rsid w:val="007C1984"/>
    <w:rsid w:val="007C239F"/>
    <w:rsid w:val="007C2A7B"/>
    <w:rsid w:val="007C318D"/>
    <w:rsid w:val="007C32E0"/>
    <w:rsid w:val="007C3549"/>
    <w:rsid w:val="007C3672"/>
    <w:rsid w:val="007C369E"/>
    <w:rsid w:val="007C3F9C"/>
    <w:rsid w:val="007C42D9"/>
    <w:rsid w:val="007C46BD"/>
    <w:rsid w:val="007C4908"/>
    <w:rsid w:val="007C4EB4"/>
    <w:rsid w:val="007C5242"/>
    <w:rsid w:val="007C5D9C"/>
    <w:rsid w:val="007C67BC"/>
    <w:rsid w:val="007C6C03"/>
    <w:rsid w:val="007C7A77"/>
    <w:rsid w:val="007C7E86"/>
    <w:rsid w:val="007D0629"/>
    <w:rsid w:val="007D06CA"/>
    <w:rsid w:val="007D0806"/>
    <w:rsid w:val="007D0AD1"/>
    <w:rsid w:val="007D0F96"/>
    <w:rsid w:val="007D13FC"/>
    <w:rsid w:val="007D16E5"/>
    <w:rsid w:val="007D1A39"/>
    <w:rsid w:val="007D1AA5"/>
    <w:rsid w:val="007D1ACC"/>
    <w:rsid w:val="007D1B39"/>
    <w:rsid w:val="007D1CDD"/>
    <w:rsid w:val="007D2006"/>
    <w:rsid w:val="007D24D0"/>
    <w:rsid w:val="007D2801"/>
    <w:rsid w:val="007D2DCD"/>
    <w:rsid w:val="007D2E1A"/>
    <w:rsid w:val="007D2EAC"/>
    <w:rsid w:val="007D33E6"/>
    <w:rsid w:val="007D3443"/>
    <w:rsid w:val="007D36A8"/>
    <w:rsid w:val="007D36ED"/>
    <w:rsid w:val="007D37BD"/>
    <w:rsid w:val="007D3923"/>
    <w:rsid w:val="007D39F5"/>
    <w:rsid w:val="007D4119"/>
    <w:rsid w:val="007D437D"/>
    <w:rsid w:val="007D43E0"/>
    <w:rsid w:val="007D4447"/>
    <w:rsid w:val="007D4493"/>
    <w:rsid w:val="007D486A"/>
    <w:rsid w:val="007D49BE"/>
    <w:rsid w:val="007D4AE6"/>
    <w:rsid w:val="007D4D70"/>
    <w:rsid w:val="007D4E0E"/>
    <w:rsid w:val="007D4F60"/>
    <w:rsid w:val="007D6AF9"/>
    <w:rsid w:val="007D6F0C"/>
    <w:rsid w:val="007D75DB"/>
    <w:rsid w:val="007D7DB2"/>
    <w:rsid w:val="007D7E7A"/>
    <w:rsid w:val="007D7F44"/>
    <w:rsid w:val="007E0183"/>
    <w:rsid w:val="007E0357"/>
    <w:rsid w:val="007E0AB3"/>
    <w:rsid w:val="007E0FD2"/>
    <w:rsid w:val="007E104C"/>
    <w:rsid w:val="007E12E2"/>
    <w:rsid w:val="007E13A1"/>
    <w:rsid w:val="007E189F"/>
    <w:rsid w:val="007E1A54"/>
    <w:rsid w:val="007E1B19"/>
    <w:rsid w:val="007E1E9F"/>
    <w:rsid w:val="007E2418"/>
    <w:rsid w:val="007E28BC"/>
    <w:rsid w:val="007E29AE"/>
    <w:rsid w:val="007E2B3A"/>
    <w:rsid w:val="007E2F64"/>
    <w:rsid w:val="007E3022"/>
    <w:rsid w:val="007E32D4"/>
    <w:rsid w:val="007E3A5B"/>
    <w:rsid w:val="007E3BAF"/>
    <w:rsid w:val="007E4E7C"/>
    <w:rsid w:val="007E4ED3"/>
    <w:rsid w:val="007E58A5"/>
    <w:rsid w:val="007E6290"/>
    <w:rsid w:val="007E66C0"/>
    <w:rsid w:val="007E6839"/>
    <w:rsid w:val="007E69A7"/>
    <w:rsid w:val="007E746E"/>
    <w:rsid w:val="007E7E5D"/>
    <w:rsid w:val="007E7F1E"/>
    <w:rsid w:val="007E7FBE"/>
    <w:rsid w:val="007F041F"/>
    <w:rsid w:val="007F0F1E"/>
    <w:rsid w:val="007F1104"/>
    <w:rsid w:val="007F1437"/>
    <w:rsid w:val="007F148E"/>
    <w:rsid w:val="007F15A9"/>
    <w:rsid w:val="007F1FA3"/>
    <w:rsid w:val="007F26D3"/>
    <w:rsid w:val="007F2774"/>
    <w:rsid w:val="007F2F6E"/>
    <w:rsid w:val="007F3216"/>
    <w:rsid w:val="007F331D"/>
    <w:rsid w:val="007F39EF"/>
    <w:rsid w:val="007F3C5C"/>
    <w:rsid w:val="007F3DFF"/>
    <w:rsid w:val="007F424C"/>
    <w:rsid w:val="007F453F"/>
    <w:rsid w:val="007F4650"/>
    <w:rsid w:val="007F47EB"/>
    <w:rsid w:val="007F48E4"/>
    <w:rsid w:val="007F4EBC"/>
    <w:rsid w:val="007F4ED2"/>
    <w:rsid w:val="007F4FB4"/>
    <w:rsid w:val="007F5570"/>
    <w:rsid w:val="007F5890"/>
    <w:rsid w:val="007F5A45"/>
    <w:rsid w:val="007F5BB0"/>
    <w:rsid w:val="007F5D2C"/>
    <w:rsid w:val="007F609A"/>
    <w:rsid w:val="007F6109"/>
    <w:rsid w:val="007F61C4"/>
    <w:rsid w:val="007F61DB"/>
    <w:rsid w:val="007F63C2"/>
    <w:rsid w:val="007F687B"/>
    <w:rsid w:val="007F6E14"/>
    <w:rsid w:val="007F7175"/>
    <w:rsid w:val="007F7C25"/>
    <w:rsid w:val="007F7C37"/>
    <w:rsid w:val="00800245"/>
    <w:rsid w:val="008002B4"/>
    <w:rsid w:val="00800A29"/>
    <w:rsid w:val="00800D95"/>
    <w:rsid w:val="00800DD3"/>
    <w:rsid w:val="0080112D"/>
    <w:rsid w:val="008012FC"/>
    <w:rsid w:val="00801710"/>
    <w:rsid w:val="0080171B"/>
    <w:rsid w:val="00801FC6"/>
    <w:rsid w:val="00802002"/>
    <w:rsid w:val="008020D9"/>
    <w:rsid w:val="0080251B"/>
    <w:rsid w:val="00802B69"/>
    <w:rsid w:val="00802C58"/>
    <w:rsid w:val="00802D40"/>
    <w:rsid w:val="008033D8"/>
    <w:rsid w:val="008036DA"/>
    <w:rsid w:val="00803A1E"/>
    <w:rsid w:val="00803BB1"/>
    <w:rsid w:val="0080417B"/>
    <w:rsid w:val="0080450C"/>
    <w:rsid w:val="00804EBF"/>
    <w:rsid w:val="008054AA"/>
    <w:rsid w:val="008054F6"/>
    <w:rsid w:val="00807EA5"/>
    <w:rsid w:val="00807EF9"/>
    <w:rsid w:val="008101B4"/>
    <w:rsid w:val="00810E30"/>
    <w:rsid w:val="00810E9B"/>
    <w:rsid w:val="00811C6E"/>
    <w:rsid w:val="0081203F"/>
    <w:rsid w:val="008125AE"/>
    <w:rsid w:val="00813323"/>
    <w:rsid w:val="00813DEE"/>
    <w:rsid w:val="00813E20"/>
    <w:rsid w:val="00814695"/>
    <w:rsid w:val="00814744"/>
    <w:rsid w:val="0081479A"/>
    <w:rsid w:val="008153C5"/>
    <w:rsid w:val="00815F68"/>
    <w:rsid w:val="008161F7"/>
    <w:rsid w:val="008162C2"/>
    <w:rsid w:val="008163DF"/>
    <w:rsid w:val="008163F4"/>
    <w:rsid w:val="008165D3"/>
    <w:rsid w:val="008166F7"/>
    <w:rsid w:val="00816AB9"/>
    <w:rsid w:val="00816C71"/>
    <w:rsid w:val="00817073"/>
    <w:rsid w:val="008172BA"/>
    <w:rsid w:val="00817CDD"/>
    <w:rsid w:val="00820831"/>
    <w:rsid w:val="00820C4A"/>
    <w:rsid w:val="00821700"/>
    <w:rsid w:val="0082191C"/>
    <w:rsid w:val="00821EB7"/>
    <w:rsid w:val="008223AF"/>
    <w:rsid w:val="0082299F"/>
    <w:rsid w:val="00822C11"/>
    <w:rsid w:val="00822DC7"/>
    <w:rsid w:val="008234DD"/>
    <w:rsid w:val="008237BC"/>
    <w:rsid w:val="008237C4"/>
    <w:rsid w:val="00823B83"/>
    <w:rsid w:val="00823C3F"/>
    <w:rsid w:val="00823D16"/>
    <w:rsid w:val="00823E87"/>
    <w:rsid w:val="008248CD"/>
    <w:rsid w:val="00824C62"/>
    <w:rsid w:val="00825808"/>
    <w:rsid w:val="00825967"/>
    <w:rsid w:val="00825E8B"/>
    <w:rsid w:val="00825EF8"/>
    <w:rsid w:val="00825FF5"/>
    <w:rsid w:val="008263DE"/>
    <w:rsid w:val="00826E76"/>
    <w:rsid w:val="00826F1F"/>
    <w:rsid w:val="008272EF"/>
    <w:rsid w:val="00827460"/>
    <w:rsid w:val="00830056"/>
    <w:rsid w:val="0083018C"/>
    <w:rsid w:val="0083030B"/>
    <w:rsid w:val="008303B6"/>
    <w:rsid w:val="00830559"/>
    <w:rsid w:val="0083056A"/>
    <w:rsid w:val="00830675"/>
    <w:rsid w:val="008306C1"/>
    <w:rsid w:val="0083079C"/>
    <w:rsid w:val="008308AF"/>
    <w:rsid w:val="00830DC8"/>
    <w:rsid w:val="00831496"/>
    <w:rsid w:val="0083152B"/>
    <w:rsid w:val="00831C20"/>
    <w:rsid w:val="00831D28"/>
    <w:rsid w:val="00831DE9"/>
    <w:rsid w:val="00831E63"/>
    <w:rsid w:val="008329E3"/>
    <w:rsid w:val="00832A14"/>
    <w:rsid w:val="00832A54"/>
    <w:rsid w:val="008335EF"/>
    <w:rsid w:val="00833CC2"/>
    <w:rsid w:val="00833F73"/>
    <w:rsid w:val="00833F9B"/>
    <w:rsid w:val="008345CA"/>
    <w:rsid w:val="00834606"/>
    <w:rsid w:val="00834650"/>
    <w:rsid w:val="00835229"/>
    <w:rsid w:val="00835CBB"/>
    <w:rsid w:val="00835F7A"/>
    <w:rsid w:val="0084008F"/>
    <w:rsid w:val="008401E0"/>
    <w:rsid w:val="0084048F"/>
    <w:rsid w:val="00840634"/>
    <w:rsid w:val="00840A2F"/>
    <w:rsid w:val="00840B79"/>
    <w:rsid w:val="00840D8E"/>
    <w:rsid w:val="00840E17"/>
    <w:rsid w:val="00841894"/>
    <w:rsid w:val="0084258E"/>
    <w:rsid w:val="0084270B"/>
    <w:rsid w:val="0084291E"/>
    <w:rsid w:val="008429F4"/>
    <w:rsid w:val="00843208"/>
    <w:rsid w:val="00843295"/>
    <w:rsid w:val="00843FE7"/>
    <w:rsid w:val="00844930"/>
    <w:rsid w:val="00844EA1"/>
    <w:rsid w:val="00844FCE"/>
    <w:rsid w:val="00845329"/>
    <w:rsid w:val="00845933"/>
    <w:rsid w:val="00845F3E"/>
    <w:rsid w:val="008461B5"/>
    <w:rsid w:val="0084623F"/>
    <w:rsid w:val="00846470"/>
    <w:rsid w:val="008466C0"/>
    <w:rsid w:val="00846D3E"/>
    <w:rsid w:val="00846DA6"/>
    <w:rsid w:val="00846F0D"/>
    <w:rsid w:val="0084769A"/>
    <w:rsid w:val="0084784F"/>
    <w:rsid w:val="00847DA0"/>
    <w:rsid w:val="00847F0C"/>
    <w:rsid w:val="00850A3A"/>
    <w:rsid w:val="008511C9"/>
    <w:rsid w:val="0085133E"/>
    <w:rsid w:val="00851A1C"/>
    <w:rsid w:val="00851C88"/>
    <w:rsid w:val="00852236"/>
    <w:rsid w:val="008523BA"/>
    <w:rsid w:val="008526AB"/>
    <w:rsid w:val="0085290A"/>
    <w:rsid w:val="00852B3D"/>
    <w:rsid w:val="00852C4C"/>
    <w:rsid w:val="00852C9C"/>
    <w:rsid w:val="00853179"/>
    <w:rsid w:val="008533B1"/>
    <w:rsid w:val="0085348A"/>
    <w:rsid w:val="00853633"/>
    <w:rsid w:val="00853813"/>
    <w:rsid w:val="00853D18"/>
    <w:rsid w:val="00853FE8"/>
    <w:rsid w:val="008543C7"/>
    <w:rsid w:val="0085460D"/>
    <w:rsid w:val="008548FD"/>
    <w:rsid w:val="00854F7C"/>
    <w:rsid w:val="008551C0"/>
    <w:rsid w:val="00855448"/>
    <w:rsid w:val="00855F43"/>
    <w:rsid w:val="008560A2"/>
    <w:rsid w:val="00856690"/>
    <w:rsid w:val="00856B29"/>
    <w:rsid w:val="00856C90"/>
    <w:rsid w:val="00856E9B"/>
    <w:rsid w:val="0085753F"/>
    <w:rsid w:val="0085758A"/>
    <w:rsid w:val="0085792C"/>
    <w:rsid w:val="008600DC"/>
    <w:rsid w:val="008605D7"/>
    <w:rsid w:val="0086065F"/>
    <w:rsid w:val="008608BB"/>
    <w:rsid w:val="00860AF6"/>
    <w:rsid w:val="008618DB"/>
    <w:rsid w:val="008619FC"/>
    <w:rsid w:val="00861B59"/>
    <w:rsid w:val="00862555"/>
    <w:rsid w:val="00862B45"/>
    <w:rsid w:val="00862B9E"/>
    <w:rsid w:val="00863319"/>
    <w:rsid w:val="0086338B"/>
    <w:rsid w:val="00863AD3"/>
    <w:rsid w:val="00863B6B"/>
    <w:rsid w:val="00863BA6"/>
    <w:rsid w:val="00863C3A"/>
    <w:rsid w:val="00863E5C"/>
    <w:rsid w:val="00864000"/>
    <w:rsid w:val="00864051"/>
    <w:rsid w:val="008642BE"/>
    <w:rsid w:val="0086453D"/>
    <w:rsid w:val="00864A5F"/>
    <w:rsid w:val="00865DCB"/>
    <w:rsid w:val="00866542"/>
    <w:rsid w:val="00866603"/>
    <w:rsid w:val="008668C2"/>
    <w:rsid w:val="008675FE"/>
    <w:rsid w:val="0086781D"/>
    <w:rsid w:val="00867A27"/>
    <w:rsid w:val="00867B2F"/>
    <w:rsid w:val="00867FAD"/>
    <w:rsid w:val="0087030C"/>
    <w:rsid w:val="00871A8C"/>
    <w:rsid w:val="00871EE9"/>
    <w:rsid w:val="0087203E"/>
    <w:rsid w:val="00872158"/>
    <w:rsid w:val="00872199"/>
    <w:rsid w:val="00872FE6"/>
    <w:rsid w:val="00873081"/>
    <w:rsid w:val="0087308F"/>
    <w:rsid w:val="0087395A"/>
    <w:rsid w:val="00873AE6"/>
    <w:rsid w:val="00874208"/>
    <w:rsid w:val="0087443A"/>
    <w:rsid w:val="00874BE6"/>
    <w:rsid w:val="00874E5C"/>
    <w:rsid w:val="00875450"/>
    <w:rsid w:val="00875608"/>
    <w:rsid w:val="00875ACB"/>
    <w:rsid w:val="00875EA8"/>
    <w:rsid w:val="00876536"/>
    <w:rsid w:val="00876621"/>
    <w:rsid w:val="00876AA6"/>
    <w:rsid w:val="00876B4F"/>
    <w:rsid w:val="00876C5D"/>
    <w:rsid w:val="00877625"/>
    <w:rsid w:val="00877947"/>
    <w:rsid w:val="00877A86"/>
    <w:rsid w:val="00877D66"/>
    <w:rsid w:val="00877DC5"/>
    <w:rsid w:val="00880185"/>
    <w:rsid w:val="00880A65"/>
    <w:rsid w:val="00880D15"/>
    <w:rsid w:val="00880F2F"/>
    <w:rsid w:val="0088147B"/>
    <w:rsid w:val="00881499"/>
    <w:rsid w:val="008816E9"/>
    <w:rsid w:val="00881719"/>
    <w:rsid w:val="0088175B"/>
    <w:rsid w:val="0088182A"/>
    <w:rsid w:val="00881A65"/>
    <w:rsid w:val="00881B93"/>
    <w:rsid w:val="00881F15"/>
    <w:rsid w:val="00882617"/>
    <w:rsid w:val="008827CF"/>
    <w:rsid w:val="008832A9"/>
    <w:rsid w:val="008836DC"/>
    <w:rsid w:val="00883904"/>
    <w:rsid w:val="00883B82"/>
    <w:rsid w:val="00883C22"/>
    <w:rsid w:val="0088419A"/>
    <w:rsid w:val="008841ED"/>
    <w:rsid w:val="008843E3"/>
    <w:rsid w:val="00884412"/>
    <w:rsid w:val="008859C5"/>
    <w:rsid w:val="00885D27"/>
    <w:rsid w:val="00885F6F"/>
    <w:rsid w:val="00886AE5"/>
    <w:rsid w:val="00886C7F"/>
    <w:rsid w:val="00887852"/>
    <w:rsid w:val="00887B37"/>
    <w:rsid w:val="00887BDC"/>
    <w:rsid w:val="00887E32"/>
    <w:rsid w:val="00887F69"/>
    <w:rsid w:val="008900B2"/>
    <w:rsid w:val="008903E2"/>
    <w:rsid w:val="0089056B"/>
    <w:rsid w:val="008909EE"/>
    <w:rsid w:val="00890EDE"/>
    <w:rsid w:val="0089104D"/>
    <w:rsid w:val="0089119C"/>
    <w:rsid w:val="00891AAF"/>
    <w:rsid w:val="00891FEC"/>
    <w:rsid w:val="008920ED"/>
    <w:rsid w:val="008927AC"/>
    <w:rsid w:val="00892B62"/>
    <w:rsid w:val="00892DBF"/>
    <w:rsid w:val="00892DE6"/>
    <w:rsid w:val="00892F80"/>
    <w:rsid w:val="008932D9"/>
    <w:rsid w:val="008934F6"/>
    <w:rsid w:val="008936D9"/>
    <w:rsid w:val="008937BD"/>
    <w:rsid w:val="00893A14"/>
    <w:rsid w:val="008940E9"/>
    <w:rsid w:val="0089419E"/>
    <w:rsid w:val="008943F8"/>
    <w:rsid w:val="008944A5"/>
    <w:rsid w:val="008944CF"/>
    <w:rsid w:val="0089475F"/>
    <w:rsid w:val="00894B44"/>
    <w:rsid w:val="008957C0"/>
    <w:rsid w:val="00895962"/>
    <w:rsid w:val="00895CB4"/>
    <w:rsid w:val="00895E07"/>
    <w:rsid w:val="00896049"/>
    <w:rsid w:val="00896740"/>
    <w:rsid w:val="0089679B"/>
    <w:rsid w:val="008967B9"/>
    <w:rsid w:val="00896D17"/>
    <w:rsid w:val="0089726B"/>
    <w:rsid w:val="00897701"/>
    <w:rsid w:val="00897DE1"/>
    <w:rsid w:val="008A1014"/>
    <w:rsid w:val="008A169F"/>
    <w:rsid w:val="008A18A9"/>
    <w:rsid w:val="008A1974"/>
    <w:rsid w:val="008A1D68"/>
    <w:rsid w:val="008A2149"/>
    <w:rsid w:val="008A21D6"/>
    <w:rsid w:val="008A26AC"/>
    <w:rsid w:val="008A2C09"/>
    <w:rsid w:val="008A2ED7"/>
    <w:rsid w:val="008A2FE5"/>
    <w:rsid w:val="008A3E3D"/>
    <w:rsid w:val="008A4981"/>
    <w:rsid w:val="008A4ECD"/>
    <w:rsid w:val="008A5156"/>
    <w:rsid w:val="008A54D3"/>
    <w:rsid w:val="008A5719"/>
    <w:rsid w:val="008A5A6B"/>
    <w:rsid w:val="008A5DBA"/>
    <w:rsid w:val="008A6092"/>
    <w:rsid w:val="008A6399"/>
    <w:rsid w:val="008A65AC"/>
    <w:rsid w:val="008A6CE2"/>
    <w:rsid w:val="008A7A4F"/>
    <w:rsid w:val="008A7CC7"/>
    <w:rsid w:val="008B05A8"/>
    <w:rsid w:val="008B1248"/>
    <w:rsid w:val="008B1339"/>
    <w:rsid w:val="008B20E2"/>
    <w:rsid w:val="008B2657"/>
    <w:rsid w:val="008B273C"/>
    <w:rsid w:val="008B284F"/>
    <w:rsid w:val="008B2BEE"/>
    <w:rsid w:val="008B2FBF"/>
    <w:rsid w:val="008B3011"/>
    <w:rsid w:val="008B301B"/>
    <w:rsid w:val="008B3242"/>
    <w:rsid w:val="008B38CA"/>
    <w:rsid w:val="008B3A70"/>
    <w:rsid w:val="008B3BD3"/>
    <w:rsid w:val="008B3ED8"/>
    <w:rsid w:val="008B4D4F"/>
    <w:rsid w:val="008B4E48"/>
    <w:rsid w:val="008B5212"/>
    <w:rsid w:val="008B53D7"/>
    <w:rsid w:val="008B542D"/>
    <w:rsid w:val="008B549C"/>
    <w:rsid w:val="008B55A6"/>
    <w:rsid w:val="008B5A08"/>
    <w:rsid w:val="008B612C"/>
    <w:rsid w:val="008B680C"/>
    <w:rsid w:val="008B778B"/>
    <w:rsid w:val="008C0066"/>
    <w:rsid w:val="008C0453"/>
    <w:rsid w:val="008C05E0"/>
    <w:rsid w:val="008C0606"/>
    <w:rsid w:val="008C11ED"/>
    <w:rsid w:val="008C1937"/>
    <w:rsid w:val="008C1AF7"/>
    <w:rsid w:val="008C1CDB"/>
    <w:rsid w:val="008C224B"/>
    <w:rsid w:val="008C23D9"/>
    <w:rsid w:val="008C243A"/>
    <w:rsid w:val="008C2DB4"/>
    <w:rsid w:val="008C2E98"/>
    <w:rsid w:val="008C3EB1"/>
    <w:rsid w:val="008C501E"/>
    <w:rsid w:val="008C5026"/>
    <w:rsid w:val="008C5996"/>
    <w:rsid w:val="008C6808"/>
    <w:rsid w:val="008C6902"/>
    <w:rsid w:val="008C7908"/>
    <w:rsid w:val="008C79DA"/>
    <w:rsid w:val="008D0272"/>
    <w:rsid w:val="008D04D3"/>
    <w:rsid w:val="008D0A59"/>
    <w:rsid w:val="008D0C40"/>
    <w:rsid w:val="008D0C6D"/>
    <w:rsid w:val="008D114F"/>
    <w:rsid w:val="008D13AC"/>
    <w:rsid w:val="008D13D3"/>
    <w:rsid w:val="008D145A"/>
    <w:rsid w:val="008D1609"/>
    <w:rsid w:val="008D1702"/>
    <w:rsid w:val="008D1859"/>
    <w:rsid w:val="008D1883"/>
    <w:rsid w:val="008D18DD"/>
    <w:rsid w:val="008D1925"/>
    <w:rsid w:val="008D19B3"/>
    <w:rsid w:val="008D21B1"/>
    <w:rsid w:val="008D27EA"/>
    <w:rsid w:val="008D2C1E"/>
    <w:rsid w:val="008D3207"/>
    <w:rsid w:val="008D3443"/>
    <w:rsid w:val="008D3804"/>
    <w:rsid w:val="008D3B75"/>
    <w:rsid w:val="008D3E82"/>
    <w:rsid w:val="008D4175"/>
    <w:rsid w:val="008D457A"/>
    <w:rsid w:val="008D4EB5"/>
    <w:rsid w:val="008D500B"/>
    <w:rsid w:val="008D51E3"/>
    <w:rsid w:val="008D5E33"/>
    <w:rsid w:val="008D649D"/>
    <w:rsid w:val="008D677B"/>
    <w:rsid w:val="008D6BB6"/>
    <w:rsid w:val="008D7447"/>
    <w:rsid w:val="008D74D7"/>
    <w:rsid w:val="008D773F"/>
    <w:rsid w:val="008D786A"/>
    <w:rsid w:val="008D7896"/>
    <w:rsid w:val="008D7AD2"/>
    <w:rsid w:val="008D7E96"/>
    <w:rsid w:val="008E0C1D"/>
    <w:rsid w:val="008E0FAE"/>
    <w:rsid w:val="008E165E"/>
    <w:rsid w:val="008E19E6"/>
    <w:rsid w:val="008E1A7F"/>
    <w:rsid w:val="008E1EF6"/>
    <w:rsid w:val="008E1FD7"/>
    <w:rsid w:val="008E2004"/>
    <w:rsid w:val="008E2561"/>
    <w:rsid w:val="008E28C6"/>
    <w:rsid w:val="008E2CC2"/>
    <w:rsid w:val="008E3F29"/>
    <w:rsid w:val="008E47E9"/>
    <w:rsid w:val="008E4AA7"/>
    <w:rsid w:val="008E4C43"/>
    <w:rsid w:val="008E4E3E"/>
    <w:rsid w:val="008E4EA6"/>
    <w:rsid w:val="008E5154"/>
    <w:rsid w:val="008E5418"/>
    <w:rsid w:val="008E548E"/>
    <w:rsid w:val="008E56C9"/>
    <w:rsid w:val="008E58C6"/>
    <w:rsid w:val="008E5A8F"/>
    <w:rsid w:val="008E5B5B"/>
    <w:rsid w:val="008E656C"/>
    <w:rsid w:val="008E65DB"/>
    <w:rsid w:val="008E66F3"/>
    <w:rsid w:val="008E6701"/>
    <w:rsid w:val="008E67DE"/>
    <w:rsid w:val="008E6839"/>
    <w:rsid w:val="008E6C44"/>
    <w:rsid w:val="008E6CB0"/>
    <w:rsid w:val="008E7172"/>
    <w:rsid w:val="008E738F"/>
    <w:rsid w:val="008E74EE"/>
    <w:rsid w:val="008E76F4"/>
    <w:rsid w:val="008E7817"/>
    <w:rsid w:val="008E782C"/>
    <w:rsid w:val="008E7CEB"/>
    <w:rsid w:val="008E7D27"/>
    <w:rsid w:val="008E7D5C"/>
    <w:rsid w:val="008F0161"/>
    <w:rsid w:val="008F045A"/>
    <w:rsid w:val="008F07B4"/>
    <w:rsid w:val="008F141E"/>
    <w:rsid w:val="008F1783"/>
    <w:rsid w:val="008F1B72"/>
    <w:rsid w:val="008F1DBE"/>
    <w:rsid w:val="008F1E02"/>
    <w:rsid w:val="008F1EA0"/>
    <w:rsid w:val="008F2091"/>
    <w:rsid w:val="008F28AA"/>
    <w:rsid w:val="008F30E7"/>
    <w:rsid w:val="008F338A"/>
    <w:rsid w:val="008F3417"/>
    <w:rsid w:val="008F37FC"/>
    <w:rsid w:val="008F3976"/>
    <w:rsid w:val="008F4839"/>
    <w:rsid w:val="008F4DAB"/>
    <w:rsid w:val="008F4FD2"/>
    <w:rsid w:val="008F516C"/>
    <w:rsid w:val="008F55B9"/>
    <w:rsid w:val="008F5804"/>
    <w:rsid w:val="008F6129"/>
    <w:rsid w:val="008F626A"/>
    <w:rsid w:val="008F6B1B"/>
    <w:rsid w:val="008F70D5"/>
    <w:rsid w:val="008F7381"/>
    <w:rsid w:val="008F7AEF"/>
    <w:rsid w:val="008F7B1D"/>
    <w:rsid w:val="009001F2"/>
    <w:rsid w:val="00900633"/>
    <w:rsid w:val="0090072A"/>
    <w:rsid w:val="00900D06"/>
    <w:rsid w:val="00900EFB"/>
    <w:rsid w:val="00901408"/>
    <w:rsid w:val="0090174C"/>
    <w:rsid w:val="00901EA6"/>
    <w:rsid w:val="0090271E"/>
    <w:rsid w:val="00902CE4"/>
    <w:rsid w:val="00902FE6"/>
    <w:rsid w:val="00903281"/>
    <w:rsid w:val="009033D3"/>
    <w:rsid w:val="00903D75"/>
    <w:rsid w:val="00904674"/>
    <w:rsid w:val="009049F2"/>
    <w:rsid w:val="00904BE2"/>
    <w:rsid w:val="0090510B"/>
    <w:rsid w:val="0090541A"/>
    <w:rsid w:val="009054A0"/>
    <w:rsid w:val="009054EB"/>
    <w:rsid w:val="00906131"/>
    <w:rsid w:val="009066AD"/>
    <w:rsid w:val="0090739A"/>
    <w:rsid w:val="0090764C"/>
    <w:rsid w:val="00907A68"/>
    <w:rsid w:val="00907AF7"/>
    <w:rsid w:val="0091096A"/>
    <w:rsid w:val="00910A9E"/>
    <w:rsid w:val="00910D77"/>
    <w:rsid w:val="00910E18"/>
    <w:rsid w:val="00910F4C"/>
    <w:rsid w:val="00911318"/>
    <w:rsid w:val="00911715"/>
    <w:rsid w:val="0091196A"/>
    <w:rsid w:val="009121DF"/>
    <w:rsid w:val="00912274"/>
    <w:rsid w:val="00912CD4"/>
    <w:rsid w:val="00913409"/>
    <w:rsid w:val="00913A23"/>
    <w:rsid w:val="00913AE4"/>
    <w:rsid w:val="00913DAE"/>
    <w:rsid w:val="0091413A"/>
    <w:rsid w:val="0091431A"/>
    <w:rsid w:val="00914321"/>
    <w:rsid w:val="00914754"/>
    <w:rsid w:val="00914AF2"/>
    <w:rsid w:val="0091541E"/>
    <w:rsid w:val="00915C9C"/>
    <w:rsid w:val="00917357"/>
    <w:rsid w:val="009176CB"/>
    <w:rsid w:val="009179CC"/>
    <w:rsid w:val="009179ED"/>
    <w:rsid w:val="00917AC5"/>
    <w:rsid w:val="00917D80"/>
    <w:rsid w:val="00917EB8"/>
    <w:rsid w:val="00920454"/>
    <w:rsid w:val="009204EB"/>
    <w:rsid w:val="00920899"/>
    <w:rsid w:val="009208EB"/>
    <w:rsid w:val="00920AD3"/>
    <w:rsid w:val="00921168"/>
    <w:rsid w:val="009218FD"/>
    <w:rsid w:val="009218FF"/>
    <w:rsid w:val="00921902"/>
    <w:rsid w:val="00921A09"/>
    <w:rsid w:val="00921BBD"/>
    <w:rsid w:val="00922144"/>
    <w:rsid w:val="0092252F"/>
    <w:rsid w:val="009228A7"/>
    <w:rsid w:val="00922D99"/>
    <w:rsid w:val="0092323B"/>
    <w:rsid w:val="009247F0"/>
    <w:rsid w:val="0092497C"/>
    <w:rsid w:val="00924FE9"/>
    <w:rsid w:val="00925347"/>
    <w:rsid w:val="00925852"/>
    <w:rsid w:val="00925963"/>
    <w:rsid w:val="00925BC8"/>
    <w:rsid w:val="0092601B"/>
    <w:rsid w:val="00926416"/>
    <w:rsid w:val="0092677B"/>
    <w:rsid w:val="009268A7"/>
    <w:rsid w:val="00926CC3"/>
    <w:rsid w:val="00926E53"/>
    <w:rsid w:val="009270A3"/>
    <w:rsid w:val="009275E0"/>
    <w:rsid w:val="009278C0"/>
    <w:rsid w:val="009278F9"/>
    <w:rsid w:val="00930879"/>
    <w:rsid w:val="00930AFB"/>
    <w:rsid w:val="00930D11"/>
    <w:rsid w:val="0093107D"/>
    <w:rsid w:val="009315B1"/>
    <w:rsid w:val="009315C1"/>
    <w:rsid w:val="009316DD"/>
    <w:rsid w:val="00931B10"/>
    <w:rsid w:val="00931FE7"/>
    <w:rsid w:val="0093303F"/>
    <w:rsid w:val="00933151"/>
    <w:rsid w:val="0093330F"/>
    <w:rsid w:val="009334E6"/>
    <w:rsid w:val="00933548"/>
    <w:rsid w:val="009336BD"/>
    <w:rsid w:val="009338A2"/>
    <w:rsid w:val="009340DF"/>
    <w:rsid w:val="00934702"/>
    <w:rsid w:val="00934B01"/>
    <w:rsid w:val="009351D9"/>
    <w:rsid w:val="0093524D"/>
    <w:rsid w:val="0093541B"/>
    <w:rsid w:val="0093557C"/>
    <w:rsid w:val="00935620"/>
    <w:rsid w:val="009361D7"/>
    <w:rsid w:val="0093654C"/>
    <w:rsid w:val="0093688B"/>
    <w:rsid w:val="009369E2"/>
    <w:rsid w:val="00937004"/>
    <w:rsid w:val="009374E0"/>
    <w:rsid w:val="00937E40"/>
    <w:rsid w:val="00940039"/>
    <w:rsid w:val="009401DE"/>
    <w:rsid w:val="009407E0"/>
    <w:rsid w:val="00940A24"/>
    <w:rsid w:val="00941101"/>
    <w:rsid w:val="00941614"/>
    <w:rsid w:val="009416EA"/>
    <w:rsid w:val="0094197C"/>
    <w:rsid w:val="00941B5F"/>
    <w:rsid w:val="00941BE4"/>
    <w:rsid w:val="00941EF2"/>
    <w:rsid w:val="0094202B"/>
    <w:rsid w:val="0094210F"/>
    <w:rsid w:val="009429BA"/>
    <w:rsid w:val="0094309F"/>
    <w:rsid w:val="00943927"/>
    <w:rsid w:val="00943964"/>
    <w:rsid w:val="00944564"/>
    <w:rsid w:val="0094458C"/>
    <w:rsid w:val="00945F3F"/>
    <w:rsid w:val="009460BC"/>
    <w:rsid w:val="00946572"/>
    <w:rsid w:val="00947411"/>
    <w:rsid w:val="00947446"/>
    <w:rsid w:val="009476C9"/>
    <w:rsid w:val="009479EB"/>
    <w:rsid w:val="00947C6F"/>
    <w:rsid w:val="00947DD1"/>
    <w:rsid w:val="00950076"/>
    <w:rsid w:val="0095028B"/>
    <w:rsid w:val="0095088F"/>
    <w:rsid w:val="00950EBA"/>
    <w:rsid w:val="00950F48"/>
    <w:rsid w:val="009512D6"/>
    <w:rsid w:val="009514B7"/>
    <w:rsid w:val="0095187E"/>
    <w:rsid w:val="009520FF"/>
    <w:rsid w:val="0095291B"/>
    <w:rsid w:val="009529ED"/>
    <w:rsid w:val="009534C6"/>
    <w:rsid w:val="00953E1F"/>
    <w:rsid w:val="009544E9"/>
    <w:rsid w:val="00954DC3"/>
    <w:rsid w:val="00955503"/>
    <w:rsid w:val="009556DC"/>
    <w:rsid w:val="00955913"/>
    <w:rsid w:val="009562D5"/>
    <w:rsid w:val="00956930"/>
    <w:rsid w:val="00956A3A"/>
    <w:rsid w:val="00956E7B"/>
    <w:rsid w:val="00957BC7"/>
    <w:rsid w:val="00957C45"/>
    <w:rsid w:val="009600F2"/>
    <w:rsid w:val="009605D3"/>
    <w:rsid w:val="009607F9"/>
    <w:rsid w:val="00960CE0"/>
    <w:rsid w:val="0096107C"/>
    <w:rsid w:val="00961153"/>
    <w:rsid w:val="0096115B"/>
    <w:rsid w:val="0096148D"/>
    <w:rsid w:val="00961F18"/>
    <w:rsid w:val="0096239E"/>
    <w:rsid w:val="00962CB0"/>
    <w:rsid w:val="00962E1E"/>
    <w:rsid w:val="00962E6D"/>
    <w:rsid w:val="00962F69"/>
    <w:rsid w:val="00963A09"/>
    <w:rsid w:val="00964307"/>
    <w:rsid w:val="0096570A"/>
    <w:rsid w:val="00965877"/>
    <w:rsid w:val="00965D62"/>
    <w:rsid w:val="0096600F"/>
    <w:rsid w:val="00966192"/>
    <w:rsid w:val="00966565"/>
    <w:rsid w:val="00966738"/>
    <w:rsid w:val="0096681C"/>
    <w:rsid w:val="00966B68"/>
    <w:rsid w:val="0096770C"/>
    <w:rsid w:val="00967920"/>
    <w:rsid w:val="0096792C"/>
    <w:rsid w:val="00967B67"/>
    <w:rsid w:val="00970513"/>
    <w:rsid w:val="00970521"/>
    <w:rsid w:val="009707EA"/>
    <w:rsid w:val="00970917"/>
    <w:rsid w:val="00970DCA"/>
    <w:rsid w:val="0097109F"/>
    <w:rsid w:val="009712C2"/>
    <w:rsid w:val="00971696"/>
    <w:rsid w:val="00971808"/>
    <w:rsid w:val="0097198D"/>
    <w:rsid w:val="009719A6"/>
    <w:rsid w:val="00971A1C"/>
    <w:rsid w:val="00971A3E"/>
    <w:rsid w:val="00971ED6"/>
    <w:rsid w:val="00972B06"/>
    <w:rsid w:val="00972F8C"/>
    <w:rsid w:val="0097301A"/>
    <w:rsid w:val="0097307D"/>
    <w:rsid w:val="00973112"/>
    <w:rsid w:val="00973582"/>
    <w:rsid w:val="009737C8"/>
    <w:rsid w:val="009737F2"/>
    <w:rsid w:val="00973A87"/>
    <w:rsid w:val="00973D8B"/>
    <w:rsid w:val="00973E64"/>
    <w:rsid w:val="00973F89"/>
    <w:rsid w:val="009745A7"/>
    <w:rsid w:val="009747E5"/>
    <w:rsid w:val="00974B2C"/>
    <w:rsid w:val="009753ED"/>
    <w:rsid w:val="0097579E"/>
    <w:rsid w:val="00975D2B"/>
    <w:rsid w:val="00975E4C"/>
    <w:rsid w:val="00976029"/>
    <w:rsid w:val="009761C3"/>
    <w:rsid w:val="00976214"/>
    <w:rsid w:val="0097672E"/>
    <w:rsid w:val="00976CCE"/>
    <w:rsid w:val="00977339"/>
    <w:rsid w:val="00980044"/>
    <w:rsid w:val="009803E8"/>
    <w:rsid w:val="009805BE"/>
    <w:rsid w:val="0098180B"/>
    <w:rsid w:val="00981B05"/>
    <w:rsid w:val="00981DE3"/>
    <w:rsid w:val="00981DFD"/>
    <w:rsid w:val="009821A0"/>
    <w:rsid w:val="00983069"/>
    <w:rsid w:val="00983FFA"/>
    <w:rsid w:val="0098415D"/>
    <w:rsid w:val="0098466A"/>
    <w:rsid w:val="00984848"/>
    <w:rsid w:val="00984A13"/>
    <w:rsid w:val="00984A99"/>
    <w:rsid w:val="00984B04"/>
    <w:rsid w:val="00984C59"/>
    <w:rsid w:val="00984F28"/>
    <w:rsid w:val="009851EB"/>
    <w:rsid w:val="009856D6"/>
    <w:rsid w:val="00986002"/>
    <w:rsid w:val="0098608D"/>
    <w:rsid w:val="0098609E"/>
    <w:rsid w:val="00986778"/>
    <w:rsid w:val="00986D1A"/>
    <w:rsid w:val="009872B3"/>
    <w:rsid w:val="00987355"/>
    <w:rsid w:val="00987738"/>
    <w:rsid w:val="0098794A"/>
    <w:rsid w:val="009879D2"/>
    <w:rsid w:val="00987F84"/>
    <w:rsid w:val="009903A2"/>
    <w:rsid w:val="009903E8"/>
    <w:rsid w:val="009907FF"/>
    <w:rsid w:val="00990B2E"/>
    <w:rsid w:val="00990C8F"/>
    <w:rsid w:val="00990D8F"/>
    <w:rsid w:val="00990F14"/>
    <w:rsid w:val="00991127"/>
    <w:rsid w:val="009916ED"/>
    <w:rsid w:val="00991B75"/>
    <w:rsid w:val="00992022"/>
    <w:rsid w:val="00992047"/>
    <w:rsid w:val="009923E3"/>
    <w:rsid w:val="009924EE"/>
    <w:rsid w:val="00992559"/>
    <w:rsid w:val="00992DCA"/>
    <w:rsid w:val="009936BA"/>
    <w:rsid w:val="00993AC2"/>
    <w:rsid w:val="00993D89"/>
    <w:rsid w:val="00993EAC"/>
    <w:rsid w:val="0099438A"/>
    <w:rsid w:val="00994B64"/>
    <w:rsid w:val="00994DBC"/>
    <w:rsid w:val="00995042"/>
    <w:rsid w:val="0099569A"/>
    <w:rsid w:val="00995B91"/>
    <w:rsid w:val="00995CB8"/>
    <w:rsid w:val="00996C81"/>
    <w:rsid w:val="00996D9A"/>
    <w:rsid w:val="00997132"/>
    <w:rsid w:val="009973DA"/>
    <w:rsid w:val="009A0204"/>
    <w:rsid w:val="009A0352"/>
    <w:rsid w:val="009A0379"/>
    <w:rsid w:val="009A0BA9"/>
    <w:rsid w:val="009A14D9"/>
    <w:rsid w:val="009A1710"/>
    <w:rsid w:val="009A1BB9"/>
    <w:rsid w:val="009A1BD4"/>
    <w:rsid w:val="009A1EF1"/>
    <w:rsid w:val="009A1F1A"/>
    <w:rsid w:val="009A22BA"/>
    <w:rsid w:val="009A28C9"/>
    <w:rsid w:val="009A28E7"/>
    <w:rsid w:val="009A2AD2"/>
    <w:rsid w:val="009A3562"/>
    <w:rsid w:val="009A35A0"/>
    <w:rsid w:val="009A36C1"/>
    <w:rsid w:val="009A39A5"/>
    <w:rsid w:val="009A3D1F"/>
    <w:rsid w:val="009A3E49"/>
    <w:rsid w:val="009A3F3F"/>
    <w:rsid w:val="009A4260"/>
    <w:rsid w:val="009A42D6"/>
    <w:rsid w:val="009A4486"/>
    <w:rsid w:val="009A44C3"/>
    <w:rsid w:val="009A47FF"/>
    <w:rsid w:val="009A484B"/>
    <w:rsid w:val="009A5079"/>
    <w:rsid w:val="009A508D"/>
    <w:rsid w:val="009A58FF"/>
    <w:rsid w:val="009A5B23"/>
    <w:rsid w:val="009A64D4"/>
    <w:rsid w:val="009A6C08"/>
    <w:rsid w:val="009A6D43"/>
    <w:rsid w:val="009A6E66"/>
    <w:rsid w:val="009A780A"/>
    <w:rsid w:val="009A7BF1"/>
    <w:rsid w:val="009B0C00"/>
    <w:rsid w:val="009B0F25"/>
    <w:rsid w:val="009B112E"/>
    <w:rsid w:val="009B11A4"/>
    <w:rsid w:val="009B11E8"/>
    <w:rsid w:val="009B124F"/>
    <w:rsid w:val="009B14D3"/>
    <w:rsid w:val="009B1E0C"/>
    <w:rsid w:val="009B1F55"/>
    <w:rsid w:val="009B24F7"/>
    <w:rsid w:val="009B25E2"/>
    <w:rsid w:val="009B2724"/>
    <w:rsid w:val="009B2F99"/>
    <w:rsid w:val="009B301C"/>
    <w:rsid w:val="009B30BF"/>
    <w:rsid w:val="009B36AA"/>
    <w:rsid w:val="009B385C"/>
    <w:rsid w:val="009B3946"/>
    <w:rsid w:val="009B3C83"/>
    <w:rsid w:val="009B46FA"/>
    <w:rsid w:val="009B4739"/>
    <w:rsid w:val="009B49E9"/>
    <w:rsid w:val="009B4DFB"/>
    <w:rsid w:val="009B5D95"/>
    <w:rsid w:val="009B5F4C"/>
    <w:rsid w:val="009B6145"/>
    <w:rsid w:val="009B63E2"/>
    <w:rsid w:val="009B684C"/>
    <w:rsid w:val="009B68B6"/>
    <w:rsid w:val="009B6AAB"/>
    <w:rsid w:val="009B6C81"/>
    <w:rsid w:val="009B6DCF"/>
    <w:rsid w:val="009B7078"/>
    <w:rsid w:val="009B77C9"/>
    <w:rsid w:val="009B7812"/>
    <w:rsid w:val="009B7AA9"/>
    <w:rsid w:val="009C00F8"/>
    <w:rsid w:val="009C0856"/>
    <w:rsid w:val="009C09AA"/>
    <w:rsid w:val="009C1309"/>
    <w:rsid w:val="009C1390"/>
    <w:rsid w:val="009C1546"/>
    <w:rsid w:val="009C1643"/>
    <w:rsid w:val="009C1EB1"/>
    <w:rsid w:val="009C20B9"/>
    <w:rsid w:val="009C2A46"/>
    <w:rsid w:val="009C2BD7"/>
    <w:rsid w:val="009C2C87"/>
    <w:rsid w:val="009C2F2B"/>
    <w:rsid w:val="009C2F3A"/>
    <w:rsid w:val="009C37A2"/>
    <w:rsid w:val="009C3994"/>
    <w:rsid w:val="009C4889"/>
    <w:rsid w:val="009C48F4"/>
    <w:rsid w:val="009C4D5A"/>
    <w:rsid w:val="009C4D8D"/>
    <w:rsid w:val="009C4E85"/>
    <w:rsid w:val="009C532F"/>
    <w:rsid w:val="009C66C6"/>
    <w:rsid w:val="009C672E"/>
    <w:rsid w:val="009C712E"/>
    <w:rsid w:val="009C7204"/>
    <w:rsid w:val="009C785A"/>
    <w:rsid w:val="009C79D9"/>
    <w:rsid w:val="009D08B8"/>
    <w:rsid w:val="009D09FD"/>
    <w:rsid w:val="009D124B"/>
    <w:rsid w:val="009D1547"/>
    <w:rsid w:val="009D16CC"/>
    <w:rsid w:val="009D18E0"/>
    <w:rsid w:val="009D1B42"/>
    <w:rsid w:val="009D1D99"/>
    <w:rsid w:val="009D21A7"/>
    <w:rsid w:val="009D2268"/>
    <w:rsid w:val="009D2880"/>
    <w:rsid w:val="009D2BD4"/>
    <w:rsid w:val="009D2FC1"/>
    <w:rsid w:val="009D44BB"/>
    <w:rsid w:val="009D55D5"/>
    <w:rsid w:val="009D579F"/>
    <w:rsid w:val="009D6BB3"/>
    <w:rsid w:val="009D7808"/>
    <w:rsid w:val="009D7900"/>
    <w:rsid w:val="009D7C2B"/>
    <w:rsid w:val="009D7CDF"/>
    <w:rsid w:val="009E0AFC"/>
    <w:rsid w:val="009E10D9"/>
    <w:rsid w:val="009E1447"/>
    <w:rsid w:val="009E14B0"/>
    <w:rsid w:val="009E1777"/>
    <w:rsid w:val="009E1912"/>
    <w:rsid w:val="009E1D43"/>
    <w:rsid w:val="009E1EA9"/>
    <w:rsid w:val="009E2507"/>
    <w:rsid w:val="009E269C"/>
    <w:rsid w:val="009E393C"/>
    <w:rsid w:val="009E3963"/>
    <w:rsid w:val="009E3EC4"/>
    <w:rsid w:val="009E3F32"/>
    <w:rsid w:val="009E42A9"/>
    <w:rsid w:val="009E47D3"/>
    <w:rsid w:val="009E535F"/>
    <w:rsid w:val="009E5624"/>
    <w:rsid w:val="009E5BDE"/>
    <w:rsid w:val="009E5C5D"/>
    <w:rsid w:val="009E65D1"/>
    <w:rsid w:val="009E6775"/>
    <w:rsid w:val="009E6781"/>
    <w:rsid w:val="009E6803"/>
    <w:rsid w:val="009E6A03"/>
    <w:rsid w:val="009E6A59"/>
    <w:rsid w:val="009E6DA0"/>
    <w:rsid w:val="009E7087"/>
    <w:rsid w:val="009E71B1"/>
    <w:rsid w:val="009E7697"/>
    <w:rsid w:val="009E78A2"/>
    <w:rsid w:val="009E7D11"/>
    <w:rsid w:val="009F001B"/>
    <w:rsid w:val="009F025F"/>
    <w:rsid w:val="009F05D8"/>
    <w:rsid w:val="009F0800"/>
    <w:rsid w:val="009F0888"/>
    <w:rsid w:val="009F093B"/>
    <w:rsid w:val="009F0C23"/>
    <w:rsid w:val="009F11F3"/>
    <w:rsid w:val="009F12F6"/>
    <w:rsid w:val="009F1436"/>
    <w:rsid w:val="009F1479"/>
    <w:rsid w:val="009F1D1C"/>
    <w:rsid w:val="009F1D28"/>
    <w:rsid w:val="009F2084"/>
    <w:rsid w:val="009F21F1"/>
    <w:rsid w:val="009F2497"/>
    <w:rsid w:val="009F2AF1"/>
    <w:rsid w:val="009F2CEA"/>
    <w:rsid w:val="009F2D28"/>
    <w:rsid w:val="009F3090"/>
    <w:rsid w:val="009F3775"/>
    <w:rsid w:val="009F3A4D"/>
    <w:rsid w:val="009F3A64"/>
    <w:rsid w:val="009F40A8"/>
    <w:rsid w:val="009F51FB"/>
    <w:rsid w:val="009F547C"/>
    <w:rsid w:val="009F5C7C"/>
    <w:rsid w:val="009F5D9A"/>
    <w:rsid w:val="009F607B"/>
    <w:rsid w:val="009F60FC"/>
    <w:rsid w:val="009F621D"/>
    <w:rsid w:val="009F6D26"/>
    <w:rsid w:val="009F724A"/>
    <w:rsid w:val="009F740C"/>
    <w:rsid w:val="009F7745"/>
    <w:rsid w:val="009F78ED"/>
    <w:rsid w:val="00A00668"/>
    <w:rsid w:val="00A007BA"/>
    <w:rsid w:val="00A0212C"/>
    <w:rsid w:val="00A022C1"/>
    <w:rsid w:val="00A03021"/>
    <w:rsid w:val="00A04359"/>
    <w:rsid w:val="00A045E5"/>
    <w:rsid w:val="00A04633"/>
    <w:rsid w:val="00A04A31"/>
    <w:rsid w:val="00A04B08"/>
    <w:rsid w:val="00A04DCA"/>
    <w:rsid w:val="00A05011"/>
    <w:rsid w:val="00A052C4"/>
    <w:rsid w:val="00A05576"/>
    <w:rsid w:val="00A0590B"/>
    <w:rsid w:val="00A05C8C"/>
    <w:rsid w:val="00A05CB2"/>
    <w:rsid w:val="00A062F7"/>
    <w:rsid w:val="00A06FA7"/>
    <w:rsid w:val="00A07226"/>
    <w:rsid w:val="00A077DC"/>
    <w:rsid w:val="00A07933"/>
    <w:rsid w:val="00A07BE6"/>
    <w:rsid w:val="00A07E17"/>
    <w:rsid w:val="00A07FE3"/>
    <w:rsid w:val="00A101EB"/>
    <w:rsid w:val="00A10491"/>
    <w:rsid w:val="00A104B6"/>
    <w:rsid w:val="00A10CBB"/>
    <w:rsid w:val="00A116D3"/>
    <w:rsid w:val="00A120F7"/>
    <w:rsid w:val="00A13453"/>
    <w:rsid w:val="00A13B2A"/>
    <w:rsid w:val="00A13C6C"/>
    <w:rsid w:val="00A13D79"/>
    <w:rsid w:val="00A13DB2"/>
    <w:rsid w:val="00A13ED1"/>
    <w:rsid w:val="00A1435B"/>
    <w:rsid w:val="00A146A0"/>
    <w:rsid w:val="00A14EEB"/>
    <w:rsid w:val="00A167E8"/>
    <w:rsid w:val="00A16E77"/>
    <w:rsid w:val="00A170A3"/>
    <w:rsid w:val="00A1710A"/>
    <w:rsid w:val="00A17C6B"/>
    <w:rsid w:val="00A2004B"/>
    <w:rsid w:val="00A20477"/>
    <w:rsid w:val="00A2111B"/>
    <w:rsid w:val="00A2120C"/>
    <w:rsid w:val="00A21899"/>
    <w:rsid w:val="00A2252B"/>
    <w:rsid w:val="00A229EC"/>
    <w:rsid w:val="00A22C95"/>
    <w:rsid w:val="00A2354B"/>
    <w:rsid w:val="00A24497"/>
    <w:rsid w:val="00A24808"/>
    <w:rsid w:val="00A248F6"/>
    <w:rsid w:val="00A25330"/>
    <w:rsid w:val="00A25722"/>
    <w:rsid w:val="00A25C36"/>
    <w:rsid w:val="00A25CAF"/>
    <w:rsid w:val="00A25F1B"/>
    <w:rsid w:val="00A26265"/>
    <w:rsid w:val="00A2648D"/>
    <w:rsid w:val="00A267F7"/>
    <w:rsid w:val="00A269D7"/>
    <w:rsid w:val="00A278B2"/>
    <w:rsid w:val="00A27E5C"/>
    <w:rsid w:val="00A300C3"/>
    <w:rsid w:val="00A30365"/>
    <w:rsid w:val="00A304DD"/>
    <w:rsid w:val="00A3067C"/>
    <w:rsid w:val="00A310FC"/>
    <w:rsid w:val="00A3136D"/>
    <w:rsid w:val="00A3185C"/>
    <w:rsid w:val="00A3212E"/>
    <w:rsid w:val="00A3293D"/>
    <w:rsid w:val="00A32BBB"/>
    <w:rsid w:val="00A32BFA"/>
    <w:rsid w:val="00A3407C"/>
    <w:rsid w:val="00A34225"/>
    <w:rsid w:val="00A34524"/>
    <w:rsid w:val="00A34F15"/>
    <w:rsid w:val="00A3526D"/>
    <w:rsid w:val="00A3537F"/>
    <w:rsid w:val="00A35483"/>
    <w:rsid w:val="00A3567C"/>
    <w:rsid w:val="00A35779"/>
    <w:rsid w:val="00A35A1F"/>
    <w:rsid w:val="00A36402"/>
    <w:rsid w:val="00A364E4"/>
    <w:rsid w:val="00A36D31"/>
    <w:rsid w:val="00A36F79"/>
    <w:rsid w:val="00A37CCB"/>
    <w:rsid w:val="00A37D24"/>
    <w:rsid w:val="00A37EC8"/>
    <w:rsid w:val="00A37F7F"/>
    <w:rsid w:val="00A4002F"/>
    <w:rsid w:val="00A40196"/>
    <w:rsid w:val="00A4035B"/>
    <w:rsid w:val="00A4065B"/>
    <w:rsid w:val="00A40B24"/>
    <w:rsid w:val="00A40C30"/>
    <w:rsid w:val="00A40CC2"/>
    <w:rsid w:val="00A40DD4"/>
    <w:rsid w:val="00A40F63"/>
    <w:rsid w:val="00A410C5"/>
    <w:rsid w:val="00A4130E"/>
    <w:rsid w:val="00A414CC"/>
    <w:rsid w:val="00A417B9"/>
    <w:rsid w:val="00A419EE"/>
    <w:rsid w:val="00A41A91"/>
    <w:rsid w:val="00A41B44"/>
    <w:rsid w:val="00A41F11"/>
    <w:rsid w:val="00A420D2"/>
    <w:rsid w:val="00A420DC"/>
    <w:rsid w:val="00A429DE"/>
    <w:rsid w:val="00A432F6"/>
    <w:rsid w:val="00A4365D"/>
    <w:rsid w:val="00A436AC"/>
    <w:rsid w:val="00A439AD"/>
    <w:rsid w:val="00A4412F"/>
    <w:rsid w:val="00A44FD4"/>
    <w:rsid w:val="00A44FF8"/>
    <w:rsid w:val="00A45268"/>
    <w:rsid w:val="00A454DC"/>
    <w:rsid w:val="00A45641"/>
    <w:rsid w:val="00A458C6"/>
    <w:rsid w:val="00A45F1C"/>
    <w:rsid w:val="00A462D4"/>
    <w:rsid w:val="00A46536"/>
    <w:rsid w:val="00A470BD"/>
    <w:rsid w:val="00A471F8"/>
    <w:rsid w:val="00A4748A"/>
    <w:rsid w:val="00A479A8"/>
    <w:rsid w:val="00A51A13"/>
    <w:rsid w:val="00A51A5F"/>
    <w:rsid w:val="00A5287D"/>
    <w:rsid w:val="00A529DA"/>
    <w:rsid w:val="00A531DA"/>
    <w:rsid w:val="00A53A15"/>
    <w:rsid w:val="00A53BEE"/>
    <w:rsid w:val="00A53DDE"/>
    <w:rsid w:val="00A54CF9"/>
    <w:rsid w:val="00A55950"/>
    <w:rsid w:val="00A5596F"/>
    <w:rsid w:val="00A5656D"/>
    <w:rsid w:val="00A56770"/>
    <w:rsid w:val="00A5688B"/>
    <w:rsid w:val="00A5699A"/>
    <w:rsid w:val="00A56D1F"/>
    <w:rsid w:val="00A56ED6"/>
    <w:rsid w:val="00A56FB8"/>
    <w:rsid w:val="00A5726F"/>
    <w:rsid w:val="00A577D8"/>
    <w:rsid w:val="00A577E6"/>
    <w:rsid w:val="00A579FD"/>
    <w:rsid w:val="00A57B72"/>
    <w:rsid w:val="00A601CF"/>
    <w:rsid w:val="00A605E9"/>
    <w:rsid w:val="00A60BF6"/>
    <w:rsid w:val="00A60C11"/>
    <w:rsid w:val="00A6111E"/>
    <w:rsid w:val="00A61303"/>
    <w:rsid w:val="00A61486"/>
    <w:rsid w:val="00A617EA"/>
    <w:rsid w:val="00A61A1D"/>
    <w:rsid w:val="00A61DFF"/>
    <w:rsid w:val="00A622F4"/>
    <w:rsid w:val="00A6309A"/>
    <w:rsid w:val="00A63DD2"/>
    <w:rsid w:val="00A64431"/>
    <w:rsid w:val="00A644B6"/>
    <w:rsid w:val="00A646DF"/>
    <w:rsid w:val="00A6528A"/>
    <w:rsid w:val="00A659DD"/>
    <w:rsid w:val="00A663AB"/>
    <w:rsid w:val="00A6651B"/>
    <w:rsid w:val="00A66AFF"/>
    <w:rsid w:val="00A671F4"/>
    <w:rsid w:val="00A6781D"/>
    <w:rsid w:val="00A67C49"/>
    <w:rsid w:val="00A67F37"/>
    <w:rsid w:val="00A7020A"/>
    <w:rsid w:val="00A7050B"/>
    <w:rsid w:val="00A7058E"/>
    <w:rsid w:val="00A70A2E"/>
    <w:rsid w:val="00A70C4B"/>
    <w:rsid w:val="00A70E3C"/>
    <w:rsid w:val="00A70F89"/>
    <w:rsid w:val="00A71327"/>
    <w:rsid w:val="00A71B87"/>
    <w:rsid w:val="00A71C0C"/>
    <w:rsid w:val="00A71DDC"/>
    <w:rsid w:val="00A72DDF"/>
    <w:rsid w:val="00A73053"/>
    <w:rsid w:val="00A73364"/>
    <w:rsid w:val="00A73621"/>
    <w:rsid w:val="00A73EA5"/>
    <w:rsid w:val="00A74084"/>
    <w:rsid w:val="00A740F5"/>
    <w:rsid w:val="00A74122"/>
    <w:rsid w:val="00A746EE"/>
    <w:rsid w:val="00A74CEB"/>
    <w:rsid w:val="00A74F69"/>
    <w:rsid w:val="00A7503E"/>
    <w:rsid w:val="00A75209"/>
    <w:rsid w:val="00A75FDF"/>
    <w:rsid w:val="00A76486"/>
    <w:rsid w:val="00A7668C"/>
    <w:rsid w:val="00A76775"/>
    <w:rsid w:val="00A76D19"/>
    <w:rsid w:val="00A77156"/>
    <w:rsid w:val="00A77357"/>
    <w:rsid w:val="00A773B8"/>
    <w:rsid w:val="00A776C8"/>
    <w:rsid w:val="00A77F79"/>
    <w:rsid w:val="00A8017A"/>
    <w:rsid w:val="00A80458"/>
    <w:rsid w:val="00A80497"/>
    <w:rsid w:val="00A80BB0"/>
    <w:rsid w:val="00A818C8"/>
    <w:rsid w:val="00A81D9B"/>
    <w:rsid w:val="00A81F82"/>
    <w:rsid w:val="00A821AE"/>
    <w:rsid w:val="00A82291"/>
    <w:rsid w:val="00A82317"/>
    <w:rsid w:val="00A8247E"/>
    <w:rsid w:val="00A82D34"/>
    <w:rsid w:val="00A831D4"/>
    <w:rsid w:val="00A833A0"/>
    <w:rsid w:val="00A838A7"/>
    <w:rsid w:val="00A83A4C"/>
    <w:rsid w:val="00A83FA0"/>
    <w:rsid w:val="00A8441C"/>
    <w:rsid w:val="00A844CE"/>
    <w:rsid w:val="00A847AA"/>
    <w:rsid w:val="00A84C36"/>
    <w:rsid w:val="00A84E36"/>
    <w:rsid w:val="00A84E7A"/>
    <w:rsid w:val="00A85366"/>
    <w:rsid w:val="00A853B9"/>
    <w:rsid w:val="00A8572F"/>
    <w:rsid w:val="00A85A60"/>
    <w:rsid w:val="00A8616D"/>
    <w:rsid w:val="00A8647F"/>
    <w:rsid w:val="00A86C63"/>
    <w:rsid w:val="00A86DE2"/>
    <w:rsid w:val="00A86F64"/>
    <w:rsid w:val="00A86FDC"/>
    <w:rsid w:val="00A871B3"/>
    <w:rsid w:val="00A87801"/>
    <w:rsid w:val="00A87B64"/>
    <w:rsid w:val="00A90F01"/>
    <w:rsid w:val="00A90FB1"/>
    <w:rsid w:val="00A9133F"/>
    <w:rsid w:val="00A91458"/>
    <w:rsid w:val="00A919F8"/>
    <w:rsid w:val="00A91CC4"/>
    <w:rsid w:val="00A91F45"/>
    <w:rsid w:val="00A91FF2"/>
    <w:rsid w:val="00A9263C"/>
    <w:rsid w:val="00A92831"/>
    <w:rsid w:val="00A92AA2"/>
    <w:rsid w:val="00A93038"/>
    <w:rsid w:val="00A9327C"/>
    <w:rsid w:val="00A9364F"/>
    <w:rsid w:val="00A937F2"/>
    <w:rsid w:val="00A93A44"/>
    <w:rsid w:val="00A95A17"/>
    <w:rsid w:val="00A95A86"/>
    <w:rsid w:val="00A9605E"/>
    <w:rsid w:val="00A964DB"/>
    <w:rsid w:val="00A96682"/>
    <w:rsid w:val="00A96B11"/>
    <w:rsid w:val="00A96FE7"/>
    <w:rsid w:val="00A971B2"/>
    <w:rsid w:val="00A974FB"/>
    <w:rsid w:val="00A97687"/>
    <w:rsid w:val="00A9771F"/>
    <w:rsid w:val="00A97DB1"/>
    <w:rsid w:val="00A97F09"/>
    <w:rsid w:val="00AA028F"/>
    <w:rsid w:val="00AA0A37"/>
    <w:rsid w:val="00AA0A74"/>
    <w:rsid w:val="00AA0D61"/>
    <w:rsid w:val="00AA1125"/>
    <w:rsid w:val="00AA13A9"/>
    <w:rsid w:val="00AA1665"/>
    <w:rsid w:val="00AA18D6"/>
    <w:rsid w:val="00AA1F4B"/>
    <w:rsid w:val="00AA24B8"/>
    <w:rsid w:val="00AA28A6"/>
    <w:rsid w:val="00AA2A0D"/>
    <w:rsid w:val="00AA3793"/>
    <w:rsid w:val="00AA3933"/>
    <w:rsid w:val="00AA3B5D"/>
    <w:rsid w:val="00AA3C95"/>
    <w:rsid w:val="00AA4898"/>
    <w:rsid w:val="00AA4A8C"/>
    <w:rsid w:val="00AA4D12"/>
    <w:rsid w:val="00AA5446"/>
    <w:rsid w:val="00AA5793"/>
    <w:rsid w:val="00AA5A5B"/>
    <w:rsid w:val="00AA5BE3"/>
    <w:rsid w:val="00AA60E4"/>
    <w:rsid w:val="00AA691E"/>
    <w:rsid w:val="00AA69CC"/>
    <w:rsid w:val="00AA69F9"/>
    <w:rsid w:val="00AA6D1E"/>
    <w:rsid w:val="00AA7020"/>
    <w:rsid w:val="00AA7159"/>
    <w:rsid w:val="00AA74C4"/>
    <w:rsid w:val="00AA75A4"/>
    <w:rsid w:val="00AB043D"/>
    <w:rsid w:val="00AB07C6"/>
    <w:rsid w:val="00AB0947"/>
    <w:rsid w:val="00AB0BDB"/>
    <w:rsid w:val="00AB1159"/>
    <w:rsid w:val="00AB1B8A"/>
    <w:rsid w:val="00AB26E3"/>
    <w:rsid w:val="00AB2CB0"/>
    <w:rsid w:val="00AB2E0B"/>
    <w:rsid w:val="00AB3010"/>
    <w:rsid w:val="00AB3195"/>
    <w:rsid w:val="00AB3206"/>
    <w:rsid w:val="00AB3DF2"/>
    <w:rsid w:val="00AB417E"/>
    <w:rsid w:val="00AB4B8E"/>
    <w:rsid w:val="00AB567B"/>
    <w:rsid w:val="00AB590E"/>
    <w:rsid w:val="00AB6002"/>
    <w:rsid w:val="00AB6264"/>
    <w:rsid w:val="00AB657C"/>
    <w:rsid w:val="00AB65FD"/>
    <w:rsid w:val="00AB6D5B"/>
    <w:rsid w:val="00AB6E91"/>
    <w:rsid w:val="00AB75B0"/>
    <w:rsid w:val="00AB77A2"/>
    <w:rsid w:val="00AB7A01"/>
    <w:rsid w:val="00AB7DFD"/>
    <w:rsid w:val="00AC0735"/>
    <w:rsid w:val="00AC0CAA"/>
    <w:rsid w:val="00AC13B1"/>
    <w:rsid w:val="00AC18BE"/>
    <w:rsid w:val="00AC1A4A"/>
    <w:rsid w:val="00AC1B3C"/>
    <w:rsid w:val="00AC1C74"/>
    <w:rsid w:val="00AC22A1"/>
    <w:rsid w:val="00AC2877"/>
    <w:rsid w:val="00AC2A3C"/>
    <w:rsid w:val="00AC33C0"/>
    <w:rsid w:val="00AC3597"/>
    <w:rsid w:val="00AC36A7"/>
    <w:rsid w:val="00AC3E50"/>
    <w:rsid w:val="00AC4D52"/>
    <w:rsid w:val="00AC51A8"/>
    <w:rsid w:val="00AC544D"/>
    <w:rsid w:val="00AC5BB0"/>
    <w:rsid w:val="00AC6F00"/>
    <w:rsid w:val="00AC712A"/>
    <w:rsid w:val="00AC760B"/>
    <w:rsid w:val="00AC79FA"/>
    <w:rsid w:val="00AC7F74"/>
    <w:rsid w:val="00AD00A8"/>
    <w:rsid w:val="00AD034D"/>
    <w:rsid w:val="00AD0C77"/>
    <w:rsid w:val="00AD177D"/>
    <w:rsid w:val="00AD18F2"/>
    <w:rsid w:val="00AD1E29"/>
    <w:rsid w:val="00AD2168"/>
    <w:rsid w:val="00AD2713"/>
    <w:rsid w:val="00AD2825"/>
    <w:rsid w:val="00AD2BBA"/>
    <w:rsid w:val="00AD2DE9"/>
    <w:rsid w:val="00AD2F0B"/>
    <w:rsid w:val="00AD2F57"/>
    <w:rsid w:val="00AD30FC"/>
    <w:rsid w:val="00AD327F"/>
    <w:rsid w:val="00AD3907"/>
    <w:rsid w:val="00AD42F4"/>
    <w:rsid w:val="00AD4744"/>
    <w:rsid w:val="00AD4C99"/>
    <w:rsid w:val="00AD4CA7"/>
    <w:rsid w:val="00AD4D8A"/>
    <w:rsid w:val="00AD51DF"/>
    <w:rsid w:val="00AD5A62"/>
    <w:rsid w:val="00AD5B8D"/>
    <w:rsid w:val="00AD5C4B"/>
    <w:rsid w:val="00AD5DAC"/>
    <w:rsid w:val="00AD5EC1"/>
    <w:rsid w:val="00AD6D7F"/>
    <w:rsid w:val="00AD713F"/>
    <w:rsid w:val="00AD7B1E"/>
    <w:rsid w:val="00AE00D5"/>
    <w:rsid w:val="00AE0812"/>
    <w:rsid w:val="00AE0A5E"/>
    <w:rsid w:val="00AE0C40"/>
    <w:rsid w:val="00AE17B2"/>
    <w:rsid w:val="00AE1981"/>
    <w:rsid w:val="00AE1A8B"/>
    <w:rsid w:val="00AE20FA"/>
    <w:rsid w:val="00AE21CF"/>
    <w:rsid w:val="00AE21E5"/>
    <w:rsid w:val="00AE2609"/>
    <w:rsid w:val="00AE2C1B"/>
    <w:rsid w:val="00AE2C24"/>
    <w:rsid w:val="00AE2CAE"/>
    <w:rsid w:val="00AE2EB8"/>
    <w:rsid w:val="00AE3191"/>
    <w:rsid w:val="00AE36D2"/>
    <w:rsid w:val="00AE3B61"/>
    <w:rsid w:val="00AE3BA4"/>
    <w:rsid w:val="00AE3DED"/>
    <w:rsid w:val="00AE3E15"/>
    <w:rsid w:val="00AE4117"/>
    <w:rsid w:val="00AE43D4"/>
    <w:rsid w:val="00AE43D8"/>
    <w:rsid w:val="00AE4468"/>
    <w:rsid w:val="00AE457D"/>
    <w:rsid w:val="00AE4653"/>
    <w:rsid w:val="00AE4BA0"/>
    <w:rsid w:val="00AE4CC3"/>
    <w:rsid w:val="00AE4F64"/>
    <w:rsid w:val="00AE4F97"/>
    <w:rsid w:val="00AE52E5"/>
    <w:rsid w:val="00AE59A0"/>
    <w:rsid w:val="00AE5FAD"/>
    <w:rsid w:val="00AE6313"/>
    <w:rsid w:val="00AE67DB"/>
    <w:rsid w:val="00AE6AF2"/>
    <w:rsid w:val="00AE6DDC"/>
    <w:rsid w:val="00AE6F43"/>
    <w:rsid w:val="00AE6FCD"/>
    <w:rsid w:val="00AE7A8F"/>
    <w:rsid w:val="00AE7ADA"/>
    <w:rsid w:val="00AE7D31"/>
    <w:rsid w:val="00AE7D6D"/>
    <w:rsid w:val="00AE7E8B"/>
    <w:rsid w:val="00AF0DB3"/>
    <w:rsid w:val="00AF11B5"/>
    <w:rsid w:val="00AF1506"/>
    <w:rsid w:val="00AF204F"/>
    <w:rsid w:val="00AF2498"/>
    <w:rsid w:val="00AF2946"/>
    <w:rsid w:val="00AF29A9"/>
    <w:rsid w:val="00AF2B2F"/>
    <w:rsid w:val="00AF3904"/>
    <w:rsid w:val="00AF4B68"/>
    <w:rsid w:val="00AF4BD5"/>
    <w:rsid w:val="00AF4F1F"/>
    <w:rsid w:val="00AF4FA6"/>
    <w:rsid w:val="00AF5CEC"/>
    <w:rsid w:val="00AF618E"/>
    <w:rsid w:val="00AF6219"/>
    <w:rsid w:val="00AF65F5"/>
    <w:rsid w:val="00AF6641"/>
    <w:rsid w:val="00AF6C78"/>
    <w:rsid w:val="00AF72B7"/>
    <w:rsid w:val="00AF769F"/>
    <w:rsid w:val="00B00424"/>
    <w:rsid w:val="00B004B1"/>
    <w:rsid w:val="00B007C1"/>
    <w:rsid w:val="00B00BBF"/>
    <w:rsid w:val="00B01588"/>
    <w:rsid w:val="00B0165E"/>
    <w:rsid w:val="00B01A46"/>
    <w:rsid w:val="00B01D85"/>
    <w:rsid w:val="00B02036"/>
    <w:rsid w:val="00B022D4"/>
    <w:rsid w:val="00B0233B"/>
    <w:rsid w:val="00B0273A"/>
    <w:rsid w:val="00B0294D"/>
    <w:rsid w:val="00B0324F"/>
    <w:rsid w:val="00B0379B"/>
    <w:rsid w:val="00B043C9"/>
    <w:rsid w:val="00B047F4"/>
    <w:rsid w:val="00B05737"/>
    <w:rsid w:val="00B057FD"/>
    <w:rsid w:val="00B05BF3"/>
    <w:rsid w:val="00B062A3"/>
    <w:rsid w:val="00B06337"/>
    <w:rsid w:val="00B06495"/>
    <w:rsid w:val="00B0666E"/>
    <w:rsid w:val="00B07271"/>
    <w:rsid w:val="00B07695"/>
    <w:rsid w:val="00B10188"/>
    <w:rsid w:val="00B1035F"/>
    <w:rsid w:val="00B10561"/>
    <w:rsid w:val="00B10673"/>
    <w:rsid w:val="00B11023"/>
    <w:rsid w:val="00B11626"/>
    <w:rsid w:val="00B118D6"/>
    <w:rsid w:val="00B11CED"/>
    <w:rsid w:val="00B11DAA"/>
    <w:rsid w:val="00B11F98"/>
    <w:rsid w:val="00B1222B"/>
    <w:rsid w:val="00B12500"/>
    <w:rsid w:val="00B12591"/>
    <w:rsid w:val="00B1288F"/>
    <w:rsid w:val="00B133AC"/>
    <w:rsid w:val="00B13711"/>
    <w:rsid w:val="00B1375B"/>
    <w:rsid w:val="00B13D05"/>
    <w:rsid w:val="00B144BE"/>
    <w:rsid w:val="00B15174"/>
    <w:rsid w:val="00B1539C"/>
    <w:rsid w:val="00B154DD"/>
    <w:rsid w:val="00B15606"/>
    <w:rsid w:val="00B15D13"/>
    <w:rsid w:val="00B15DEA"/>
    <w:rsid w:val="00B15EFE"/>
    <w:rsid w:val="00B16029"/>
    <w:rsid w:val="00B17011"/>
    <w:rsid w:val="00B17250"/>
    <w:rsid w:val="00B17414"/>
    <w:rsid w:val="00B17A7F"/>
    <w:rsid w:val="00B17E64"/>
    <w:rsid w:val="00B17F85"/>
    <w:rsid w:val="00B205BA"/>
    <w:rsid w:val="00B206D4"/>
    <w:rsid w:val="00B20A19"/>
    <w:rsid w:val="00B21096"/>
    <w:rsid w:val="00B21445"/>
    <w:rsid w:val="00B2153F"/>
    <w:rsid w:val="00B2158D"/>
    <w:rsid w:val="00B216EE"/>
    <w:rsid w:val="00B217B1"/>
    <w:rsid w:val="00B21DC5"/>
    <w:rsid w:val="00B223E2"/>
    <w:rsid w:val="00B229DC"/>
    <w:rsid w:val="00B22C32"/>
    <w:rsid w:val="00B22F84"/>
    <w:rsid w:val="00B22F9E"/>
    <w:rsid w:val="00B235B2"/>
    <w:rsid w:val="00B23849"/>
    <w:rsid w:val="00B23BA5"/>
    <w:rsid w:val="00B23BEF"/>
    <w:rsid w:val="00B23EEE"/>
    <w:rsid w:val="00B23F7B"/>
    <w:rsid w:val="00B24A64"/>
    <w:rsid w:val="00B24D83"/>
    <w:rsid w:val="00B24EF5"/>
    <w:rsid w:val="00B25109"/>
    <w:rsid w:val="00B2554C"/>
    <w:rsid w:val="00B25625"/>
    <w:rsid w:val="00B258A7"/>
    <w:rsid w:val="00B2612B"/>
    <w:rsid w:val="00B2630C"/>
    <w:rsid w:val="00B264ED"/>
    <w:rsid w:val="00B26657"/>
    <w:rsid w:val="00B26CFF"/>
    <w:rsid w:val="00B27383"/>
    <w:rsid w:val="00B278EB"/>
    <w:rsid w:val="00B301A6"/>
    <w:rsid w:val="00B30993"/>
    <w:rsid w:val="00B30B44"/>
    <w:rsid w:val="00B30D08"/>
    <w:rsid w:val="00B30EAC"/>
    <w:rsid w:val="00B318F5"/>
    <w:rsid w:val="00B324E0"/>
    <w:rsid w:val="00B32791"/>
    <w:rsid w:val="00B32B52"/>
    <w:rsid w:val="00B334B8"/>
    <w:rsid w:val="00B33B69"/>
    <w:rsid w:val="00B33C50"/>
    <w:rsid w:val="00B340FF"/>
    <w:rsid w:val="00B341F4"/>
    <w:rsid w:val="00B345F6"/>
    <w:rsid w:val="00B346E7"/>
    <w:rsid w:val="00B34D5E"/>
    <w:rsid w:val="00B34F1D"/>
    <w:rsid w:val="00B358B5"/>
    <w:rsid w:val="00B35D72"/>
    <w:rsid w:val="00B36351"/>
    <w:rsid w:val="00B36392"/>
    <w:rsid w:val="00B3665C"/>
    <w:rsid w:val="00B37006"/>
    <w:rsid w:val="00B37A42"/>
    <w:rsid w:val="00B37AC3"/>
    <w:rsid w:val="00B37E9D"/>
    <w:rsid w:val="00B40261"/>
    <w:rsid w:val="00B40417"/>
    <w:rsid w:val="00B40748"/>
    <w:rsid w:val="00B412F7"/>
    <w:rsid w:val="00B413B4"/>
    <w:rsid w:val="00B41511"/>
    <w:rsid w:val="00B418C5"/>
    <w:rsid w:val="00B41AF4"/>
    <w:rsid w:val="00B421E8"/>
    <w:rsid w:val="00B4235F"/>
    <w:rsid w:val="00B425FB"/>
    <w:rsid w:val="00B4260C"/>
    <w:rsid w:val="00B42E3B"/>
    <w:rsid w:val="00B42F32"/>
    <w:rsid w:val="00B43154"/>
    <w:rsid w:val="00B4338F"/>
    <w:rsid w:val="00B435CD"/>
    <w:rsid w:val="00B43661"/>
    <w:rsid w:val="00B439D1"/>
    <w:rsid w:val="00B43B5D"/>
    <w:rsid w:val="00B43E22"/>
    <w:rsid w:val="00B45136"/>
    <w:rsid w:val="00B45189"/>
    <w:rsid w:val="00B45247"/>
    <w:rsid w:val="00B45732"/>
    <w:rsid w:val="00B45CC3"/>
    <w:rsid w:val="00B46188"/>
    <w:rsid w:val="00B46409"/>
    <w:rsid w:val="00B46675"/>
    <w:rsid w:val="00B46F98"/>
    <w:rsid w:val="00B47DF6"/>
    <w:rsid w:val="00B50114"/>
    <w:rsid w:val="00B5183A"/>
    <w:rsid w:val="00B519CB"/>
    <w:rsid w:val="00B51E85"/>
    <w:rsid w:val="00B520EA"/>
    <w:rsid w:val="00B5240C"/>
    <w:rsid w:val="00B52504"/>
    <w:rsid w:val="00B52632"/>
    <w:rsid w:val="00B52772"/>
    <w:rsid w:val="00B529EB"/>
    <w:rsid w:val="00B52E43"/>
    <w:rsid w:val="00B53CCA"/>
    <w:rsid w:val="00B53FD3"/>
    <w:rsid w:val="00B54E8B"/>
    <w:rsid w:val="00B55C97"/>
    <w:rsid w:val="00B55ECA"/>
    <w:rsid w:val="00B55FB8"/>
    <w:rsid w:val="00B5637B"/>
    <w:rsid w:val="00B563CA"/>
    <w:rsid w:val="00B567B8"/>
    <w:rsid w:val="00B56C5A"/>
    <w:rsid w:val="00B570DB"/>
    <w:rsid w:val="00B570E5"/>
    <w:rsid w:val="00B578E5"/>
    <w:rsid w:val="00B57ABE"/>
    <w:rsid w:val="00B60188"/>
    <w:rsid w:val="00B6045B"/>
    <w:rsid w:val="00B6050C"/>
    <w:rsid w:val="00B60F3B"/>
    <w:rsid w:val="00B61137"/>
    <w:rsid w:val="00B612C1"/>
    <w:rsid w:val="00B6164E"/>
    <w:rsid w:val="00B61656"/>
    <w:rsid w:val="00B61666"/>
    <w:rsid w:val="00B617AA"/>
    <w:rsid w:val="00B619BA"/>
    <w:rsid w:val="00B61A94"/>
    <w:rsid w:val="00B61B9E"/>
    <w:rsid w:val="00B61C1F"/>
    <w:rsid w:val="00B61CA4"/>
    <w:rsid w:val="00B62337"/>
    <w:rsid w:val="00B623E1"/>
    <w:rsid w:val="00B625AB"/>
    <w:rsid w:val="00B628AB"/>
    <w:rsid w:val="00B62DEA"/>
    <w:rsid w:val="00B62EEE"/>
    <w:rsid w:val="00B63340"/>
    <w:rsid w:val="00B63C6A"/>
    <w:rsid w:val="00B64039"/>
    <w:rsid w:val="00B640DF"/>
    <w:rsid w:val="00B6482D"/>
    <w:rsid w:val="00B6496C"/>
    <w:rsid w:val="00B64F9C"/>
    <w:rsid w:val="00B6560D"/>
    <w:rsid w:val="00B661DC"/>
    <w:rsid w:val="00B6628B"/>
    <w:rsid w:val="00B66572"/>
    <w:rsid w:val="00B6680A"/>
    <w:rsid w:val="00B66B3F"/>
    <w:rsid w:val="00B67775"/>
    <w:rsid w:val="00B678A0"/>
    <w:rsid w:val="00B67C33"/>
    <w:rsid w:val="00B70245"/>
    <w:rsid w:val="00B70253"/>
    <w:rsid w:val="00B704FA"/>
    <w:rsid w:val="00B70786"/>
    <w:rsid w:val="00B70D83"/>
    <w:rsid w:val="00B70ED6"/>
    <w:rsid w:val="00B7105C"/>
    <w:rsid w:val="00B71065"/>
    <w:rsid w:val="00B714EF"/>
    <w:rsid w:val="00B7169B"/>
    <w:rsid w:val="00B7171C"/>
    <w:rsid w:val="00B72AE2"/>
    <w:rsid w:val="00B72BEA"/>
    <w:rsid w:val="00B72EF5"/>
    <w:rsid w:val="00B73B7F"/>
    <w:rsid w:val="00B740F7"/>
    <w:rsid w:val="00B742E7"/>
    <w:rsid w:val="00B74307"/>
    <w:rsid w:val="00B74926"/>
    <w:rsid w:val="00B74FB3"/>
    <w:rsid w:val="00B75124"/>
    <w:rsid w:val="00B7546F"/>
    <w:rsid w:val="00B75566"/>
    <w:rsid w:val="00B75C06"/>
    <w:rsid w:val="00B75F70"/>
    <w:rsid w:val="00B7614E"/>
    <w:rsid w:val="00B76164"/>
    <w:rsid w:val="00B7619A"/>
    <w:rsid w:val="00B762BE"/>
    <w:rsid w:val="00B7659F"/>
    <w:rsid w:val="00B76AA2"/>
    <w:rsid w:val="00B76DB1"/>
    <w:rsid w:val="00B77210"/>
    <w:rsid w:val="00B77697"/>
    <w:rsid w:val="00B7776C"/>
    <w:rsid w:val="00B77915"/>
    <w:rsid w:val="00B77AE2"/>
    <w:rsid w:val="00B77C0C"/>
    <w:rsid w:val="00B8029F"/>
    <w:rsid w:val="00B803CA"/>
    <w:rsid w:val="00B80561"/>
    <w:rsid w:val="00B80EE5"/>
    <w:rsid w:val="00B8111C"/>
    <w:rsid w:val="00B81822"/>
    <w:rsid w:val="00B8192B"/>
    <w:rsid w:val="00B81AF6"/>
    <w:rsid w:val="00B82037"/>
    <w:rsid w:val="00B82754"/>
    <w:rsid w:val="00B82E4B"/>
    <w:rsid w:val="00B83194"/>
    <w:rsid w:val="00B832BC"/>
    <w:rsid w:val="00B83948"/>
    <w:rsid w:val="00B83D00"/>
    <w:rsid w:val="00B8491C"/>
    <w:rsid w:val="00B85215"/>
    <w:rsid w:val="00B85C24"/>
    <w:rsid w:val="00B86EA7"/>
    <w:rsid w:val="00B86F7C"/>
    <w:rsid w:val="00B870A9"/>
    <w:rsid w:val="00B873C7"/>
    <w:rsid w:val="00B874AE"/>
    <w:rsid w:val="00B877A7"/>
    <w:rsid w:val="00B9017B"/>
    <w:rsid w:val="00B901AE"/>
    <w:rsid w:val="00B901F4"/>
    <w:rsid w:val="00B90629"/>
    <w:rsid w:val="00B90CCB"/>
    <w:rsid w:val="00B9106D"/>
    <w:rsid w:val="00B911E0"/>
    <w:rsid w:val="00B91206"/>
    <w:rsid w:val="00B91349"/>
    <w:rsid w:val="00B91880"/>
    <w:rsid w:val="00B91DA7"/>
    <w:rsid w:val="00B91E6A"/>
    <w:rsid w:val="00B924F2"/>
    <w:rsid w:val="00B9258B"/>
    <w:rsid w:val="00B93918"/>
    <w:rsid w:val="00B93A12"/>
    <w:rsid w:val="00B93BBE"/>
    <w:rsid w:val="00B93FE3"/>
    <w:rsid w:val="00B94178"/>
    <w:rsid w:val="00B948A4"/>
    <w:rsid w:val="00B94C39"/>
    <w:rsid w:val="00B95A9C"/>
    <w:rsid w:val="00B95B27"/>
    <w:rsid w:val="00B95FF5"/>
    <w:rsid w:val="00B96141"/>
    <w:rsid w:val="00B965D3"/>
    <w:rsid w:val="00B96611"/>
    <w:rsid w:val="00B977DB"/>
    <w:rsid w:val="00BA024C"/>
    <w:rsid w:val="00BA0283"/>
    <w:rsid w:val="00BA05E1"/>
    <w:rsid w:val="00BA0877"/>
    <w:rsid w:val="00BA0FBB"/>
    <w:rsid w:val="00BA11BE"/>
    <w:rsid w:val="00BA120F"/>
    <w:rsid w:val="00BA1313"/>
    <w:rsid w:val="00BA1391"/>
    <w:rsid w:val="00BA153A"/>
    <w:rsid w:val="00BA1629"/>
    <w:rsid w:val="00BA21D5"/>
    <w:rsid w:val="00BA2227"/>
    <w:rsid w:val="00BA2485"/>
    <w:rsid w:val="00BA24B9"/>
    <w:rsid w:val="00BA24D2"/>
    <w:rsid w:val="00BA29EE"/>
    <w:rsid w:val="00BA3541"/>
    <w:rsid w:val="00BA38E3"/>
    <w:rsid w:val="00BA3A5B"/>
    <w:rsid w:val="00BA3ECA"/>
    <w:rsid w:val="00BA4174"/>
    <w:rsid w:val="00BA47A8"/>
    <w:rsid w:val="00BA4AD1"/>
    <w:rsid w:val="00BA4D1A"/>
    <w:rsid w:val="00BA4D6B"/>
    <w:rsid w:val="00BA5002"/>
    <w:rsid w:val="00BA5273"/>
    <w:rsid w:val="00BA579D"/>
    <w:rsid w:val="00BA57C6"/>
    <w:rsid w:val="00BA59BA"/>
    <w:rsid w:val="00BA5EFF"/>
    <w:rsid w:val="00BA6251"/>
    <w:rsid w:val="00BA641E"/>
    <w:rsid w:val="00BA6541"/>
    <w:rsid w:val="00BA6591"/>
    <w:rsid w:val="00BA69B9"/>
    <w:rsid w:val="00BA6B09"/>
    <w:rsid w:val="00BA6F2D"/>
    <w:rsid w:val="00BA78C7"/>
    <w:rsid w:val="00BA7C69"/>
    <w:rsid w:val="00BA7C82"/>
    <w:rsid w:val="00BA7E0D"/>
    <w:rsid w:val="00BB0139"/>
    <w:rsid w:val="00BB0C42"/>
    <w:rsid w:val="00BB0CBC"/>
    <w:rsid w:val="00BB105E"/>
    <w:rsid w:val="00BB125D"/>
    <w:rsid w:val="00BB12B5"/>
    <w:rsid w:val="00BB160A"/>
    <w:rsid w:val="00BB2051"/>
    <w:rsid w:val="00BB2445"/>
    <w:rsid w:val="00BB24DB"/>
    <w:rsid w:val="00BB2561"/>
    <w:rsid w:val="00BB2999"/>
    <w:rsid w:val="00BB29B0"/>
    <w:rsid w:val="00BB2AE9"/>
    <w:rsid w:val="00BB2BC3"/>
    <w:rsid w:val="00BB33B4"/>
    <w:rsid w:val="00BB365F"/>
    <w:rsid w:val="00BB40B6"/>
    <w:rsid w:val="00BB440D"/>
    <w:rsid w:val="00BB4428"/>
    <w:rsid w:val="00BB5460"/>
    <w:rsid w:val="00BB5855"/>
    <w:rsid w:val="00BB5A0F"/>
    <w:rsid w:val="00BB658E"/>
    <w:rsid w:val="00BB664A"/>
    <w:rsid w:val="00BB6DD7"/>
    <w:rsid w:val="00BB742B"/>
    <w:rsid w:val="00BB76EE"/>
    <w:rsid w:val="00BC00F6"/>
    <w:rsid w:val="00BC010D"/>
    <w:rsid w:val="00BC0212"/>
    <w:rsid w:val="00BC1AF9"/>
    <w:rsid w:val="00BC1B7B"/>
    <w:rsid w:val="00BC1DBC"/>
    <w:rsid w:val="00BC1FB0"/>
    <w:rsid w:val="00BC24E5"/>
    <w:rsid w:val="00BC25E5"/>
    <w:rsid w:val="00BC2A2D"/>
    <w:rsid w:val="00BC3146"/>
    <w:rsid w:val="00BC33AD"/>
    <w:rsid w:val="00BC346A"/>
    <w:rsid w:val="00BC3909"/>
    <w:rsid w:val="00BC3C99"/>
    <w:rsid w:val="00BC3F69"/>
    <w:rsid w:val="00BC4150"/>
    <w:rsid w:val="00BC45A4"/>
    <w:rsid w:val="00BC4988"/>
    <w:rsid w:val="00BC5633"/>
    <w:rsid w:val="00BC58A8"/>
    <w:rsid w:val="00BC5AED"/>
    <w:rsid w:val="00BC635A"/>
    <w:rsid w:val="00BC6E2B"/>
    <w:rsid w:val="00BC6E35"/>
    <w:rsid w:val="00BC710C"/>
    <w:rsid w:val="00BC73D9"/>
    <w:rsid w:val="00BC7602"/>
    <w:rsid w:val="00BC7A04"/>
    <w:rsid w:val="00BD003D"/>
    <w:rsid w:val="00BD005D"/>
    <w:rsid w:val="00BD01DC"/>
    <w:rsid w:val="00BD0337"/>
    <w:rsid w:val="00BD0609"/>
    <w:rsid w:val="00BD09E1"/>
    <w:rsid w:val="00BD1164"/>
    <w:rsid w:val="00BD2295"/>
    <w:rsid w:val="00BD2FAB"/>
    <w:rsid w:val="00BD3094"/>
    <w:rsid w:val="00BD3817"/>
    <w:rsid w:val="00BD3D83"/>
    <w:rsid w:val="00BD455E"/>
    <w:rsid w:val="00BD4742"/>
    <w:rsid w:val="00BD4EDA"/>
    <w:rsid w:val="00BD50F4"/>
    <w:rsid w:val="00BD50FF"/>
    <w:rsid w:val="00BD5211"/>
    <w:rsid w:val="00BD5522"/>
    <w:rsid w:val="00BD567D"/>
    <w:rsid w:val="00BD5B70"/>
    <w:rsid w:val="00BD5BF6"/>
    <w:rsid w:val="00BD5D8C"/>
    <w:rsid w:val="00BD61D1"/>
    <w:rsid w:val="00BD66C9"/>
    <w:rsid w:val="00BD6D8D"/>
    <w:rsid w:val="00BD6E16"/>
    <w:rsid w:val="00BD7206"/>
    <w:rsid w:val="00BD7D6D"/>
    <w:rsid w:val="00BD7DEE"/>
    <w:rsid w:val="00BE0E9F"/>
    <w:rsid w:val="00BE0ED5"/>
    <w:rsid w:val="00BE0EE3"/>
    <w:rsid w:val="00BE0F86"/>
    <w:rsid w:val="00BE11A8"/>
    <w:rsid w:val="00BE1723"/>
    <w:rsid w:val="00BE1ABC"/>
    <w:rsid w:val="00BE202A"/>
    <w:rsid w:val="00BE285D"/>
    <w:rsid w:val="00BE3C13"/>
    <w:rsid w:val="00BE3D18"/>
    <w:rsid w:val="00BE4620"/>
    <w:rsid w:val="00BE470E"/>
    <w:rsid w:val="00BE474B"/>
    <w:rsid w:val="00BE4ACC"/>
    <w:rsid w:val="00BE4BD3"/>
    <w:rsid w:val="00BE4C57"/>
    <w:rsid w:val="00BE4FCB"/>
    <w:rsid w:val="00BE5024"/>
    <w:rsid w:val="00BE52F6"/>
    <w:rsid w:val="00BE56B1"/>
    <w:rsid w:val="00BE5970"/>
    <w:rsid w:val="00BE5B61"/>
    <w:rsid w:val="00BE5D8F"/>
    <w:rsid w:val="00BE5E4F"/>
    <w:rsid w:val="00BE61DC"/>
    <w:rsid w:val="00BE6244"/>
    <w:rsid w:val="00BE64CF"/>
    <w:rsid w:val="00BE6528"/>
    <w:rsid w:val="00BE6A0A"/>
    <w:rsid w:val="00BE6C2B"/>
    <w:rsid w:val="00BF099C"/>
    <w:rsid w:val="00BF1028"/>
    <w:rsid w:val="00BF129F"/>
    <w:rsid w:val="00BF13F1"/>
    <w:rsid w:val="00BF1BCE"/>
    <w:rsid w:val="00BF1D64"/>
    <w:rsid w:val="00BF1E16"/>
    <w:rsid w:val="00BF1FF7"/>
    <w:rsid w:val="00BF2586"/>
    <w:rsid w:val="00BF2B85"/>
    <w:rsid w:val="00BF3530"/>
    <w:rsid w:val="00BF3F92"/>
    <w:rsid w:val="00BF407F"/>
    <w:rsid w:val="00BF41B4"/>
    <w:rsid w:val="00BF43DB"/>
    <w:rsid w:val="00BF4754"/>
    <w:rsid w:val="00BF486D"/>
    <w:rsid w:val="00BF4A11"/>
    <w:rsid w:val="00BF4AAC"/>
    <w:rsid w:val="00BF4B20"/>
    <w:rsid w:val="00BF5033"/>
    <w:rsid w:val="00BF5976"/>
    <w:rsid w:val="00BF5C69"/>
    <w:rsid w:val="00BF5D77"/>
    <w:rsid w:val="00BF5D81"/>
    <w:rsid w:val="00BF5F32"/>
    <w:rsid w:val="00BF64A5"/>
    <w:rsid w:val="00BF6E32"/>
    <w:rsid w:val="00BF7362"/>
    <w:rsid w:val="00BF7D4A"/>
    <w:rsid w:val="00C004E5"/>
    <w:rsid w:val="00C007C8"/>
    <w:rsid w:val="00C0101D"/>
    <w:rsid w:val="00C01052"/>
    <w:rsid w:val="00C010CF"/>
    <w:rsid w:val="00C010EF"/>
    <w:rsid w:val="00C012B2"/>
    <w:rsid w:val="00C014B5"/>
    <w:rsid w:val="00C01B0C"/>
    <w:rsid w:val="00C01E93"/>
    <w:rsid w:val="00C0225E"/>
    <w:rsid w:val="00C024D4"/>
    <w:rsid w:val="00C029A4"/>
    <w:rsid w:val="00C02C5B"/>
    <w:rsid w:val="00C0313A"/>
    <w:rsid w:val="00C036D6"/>
    <w:rsid w:val="00C0372C"/>
    <w:rsid w:val="00C038EC"/>
    <w:rsid w:val="00C03BD3"/>
    <w:rsid w:val="00C03C62"/>
    <w:rsid w:val="00C03E73"/>
    <w:rsid w:val="00C03E77"/>
    <w:rsid w:val="00C04182"/>
    <w:rsid w:val="00C0419E"/>
    <w:rsid w:val="00C04B1F"/>
    <w:rsid w:val="00C04F82"/>
    <w:rsid w:val="00C05F6A"/>
    <w:rsid w:val="00C06C6F"/>
    <w:rsid w:val="00C07440"/>
    <w:rsid w:val="00C074A8"/>
    <w:rsid w:val="00C07BAF"/>
    <w:rsid w:val="00C07DA8"/>
    <w:rsid w:val="00C1019B"/>
    <w:rsid w:val="00C101DC"/>
    <w:rsid w:val="00C102C3"/>
    <w:rsid w:val="00C106D2"/>
    <w:rsid w:val="00C1094D"/>
    <w:rsid w:val="00C109BC"/>
    <w:rsid w:val="00C10DB3"/>
    <w:rsid w:val="00C10E83"/>
    <w:rsid w:val="00C10FB8"/>
    <w:rsid w:val="00C11071"/>
    <w:rsid w:val="00C114C5"/>
    <w:rsid w:val="00C11EF2"/>
    <w:rsid w:val="00C11F5A"/>
    <w:rsid w:val="00C11FA0"/>
    <w:rsid w:val="00C1247D"/>
    <w:rsid w:val="00C12B7B"/>
    <w:rsid w:val="00C12E34"/>
    <w:rsid w:val="00C132A2"/>
    <w:rsid w:val="00C14CA6"/>
    <w:rsid w:val="00C1555B"/>
    <w:rsid w:val="00C15E85"/>
    <w:rsid w:val="00C1696D"/>
    <w:rsid w:val="00C17CED"/>
    <w:rsid w:val="00C17E0F"/>
    <w:rsid w:val="00C2058E"/>
    <w:rsid w:val="00C20645"/>
    <w:rsid w:val="00C20874"/>
    <w:rsid w:val="00C20BC9"/>
    <w:rsid w:val="00C20DBC"/>
    <w:rsid w:val="00C20FA0"/>
    <w:rsid w:val="00C21132"/>
    <w:rsid w:val="00C22660"/>
    <w:rsid w:val="00C229B2"/>
    <w:rsid w:val="00C22B32"/>
    <w:rsid w:val="00C22C6A"/>
    <w:rsid w:val="00C22D76"/>
    <w:rsid w:val="00C22F40"/>
    <w:rsid w:val="00C23135"/>
    <w:rsid w:val="00C2429D"/>
    <w:rsid w:val="00C24B0E"/>
    <w:rsid w:val="00C24C75"/>
    <w:rsid w:val="00C24C85"/>
    <w:rsid w:val="00C24F8D"/>
    <w:rsid w:val="00C25688"/>
    <w:rsid w:val="00C2580A"/>
    <w:rsid w:val="00C25BAE"/>
    <w:rsid w:val="00C260F2"/>
    <w:rsid w:val="00C26165"/>
    <w:rsid w:val="00C26201"/>
    <w:rsid w:val="00C26AF3"/>
    <w:rsid w:val="00C26BEE"/>
    <w:rsid w:val="00C2756F"/>
    <w:rsid w:val="00C27811"/>
    <w:rsid w:val="00C27C9C"/>
    <w:rsid w:val="00C27EE3"/>
    <w:rsid w:val="00C30014"/>
    <w:rsid w:val="00C30055"/>
    <w:rsid w:val="00C302ED"/>
    <w:rsid w:val="00C30B84"/>
    <w:rsid w:val="00C315D4"/>
    <w:rsid w:val="00C31EEE"/>
    <w:rsid w:val="00C32060"/>
    <w:rsid w:val="00C32684"/>
    <w:rsid w:val="00C329C6"/>
    <w:rsid w:val="00C32A04"/>
    <w:rsid w:val="00C32F7D"/>
    <w:rsid w:val="00C330DD"/>
    <w:rsid w:val="00C33B10"/>
    <w:rsid w:val="00C34EFA"/>
    <w:rsid w:val="00C34FAE"/>
    <w:rsid w:val="00C351E8"/>
    <w:rsid w:val="00C35B31"/>
    <w:rsid w:val="00C36189"/>
    <w:rsid w:val="00C3680C"/>
    <w:rsid w:val="00C36C80"/>
    <w:rsid w:val="00C372C5"/>
    <w:rsid w:val="00C37D11"/>
    <w:rsid w:val="00C400E0"/>
    <w:rsid w:val="00C400FB"/>
    <w:rsid w:val="00C40202"/>
    <w:rsid w:val="00C40388"/>
    <w:rsid w:val="00C4049D"/>
    <w:rsid w:val="00C40853"/>
    <w:rsid w:val="00C41302"/>
    <w:rsid w:val="00C41478"/>
    <w:rsid w:val="00C41C22"/>
    <w:rsid w:val="00C42094"/>
    <w:rsid w:val="00C42217"/>
    <w:rsid w:val="00C42356"/>
    <w:rsid w:val="00C42545"/>
    <w:rsid w:val="00C428C1"/>
    <w:rsid w:val="00C42A08"/>
    <w:rsid w:val="00C42B11"/>
    <w:rsid w:val="00C42B34"/>
    <w:rsid w:val="00C42FB8"/>
    <w:rsid w:val="00C4309C"/>
    <w:rsid w:val="00C434FD"/>
    <w:rsid w:val="00C43581"/>
    <w:rsid w:val="00C43A9F"/>
    <w:rsid w:val="00C449CB"/>
    <w:rsid w:val="00C44E6D"/>
    <w:rsid w:val="00C456C4"/>
    <w:rsid w:val="00C4575E"/>
    <w:rsid w:val="00C457E9"/>
    <w:rsid w:val="00C458A7"/>
    <w:rsid w:val="00C45974"/>
    <w:rsid w:val="00C45990"/>
    <w:rsid w:val="00C45A5D"/>
    <w:rsid w:val="00C45C48"/>
    <w:rsid w:val="00C45EA4"/>
    <w:rsid w:val="00C4658E"/>
    <w:rsid w:val="00C46D78"/>
    <w:rsid w:val="00C46E77"/>
    <w:rsid w:val="00C47A20"/>
    <w:rsid w:val="00C47A54"/>
    <w:rsid w:val="00C47D6F"/>
    <w:rsid w:val="00C47F0B"/>
    <w:rsid w:val="00C501C7"/>
    <w:rsid w:val="00C50C63"/>
    <w:rsid w:val="00C517AE"/>
    <w:rsid w:val="00C51F15"/>
    <w:rsid w:val="00C526C2"/>
    <w:rsid w:val="00C52A14"/>
    <w:rsid w:val="00C531C4"/>
    <w:rsid w:val="00C5341A"/>
    <w:rsid w:val="00C53456"/>
    <w:rsid w:val="00C536F0"/>
    <w:rsid w:val="00C5382C"/>
    <w:rsid w:val="00C538F4"/>
    <w:rsid w:val="00C53B99"/>
    <w:rsid w:val="00C548FB"/>
    <w:rsid w:val="00C54C9F"/>
    <w:rsid w:val="00C555DC"/>
    <w:rsid w:val="00C5587A"/>
    <w:rsid w:val="00C55A93"/>
    <w:rsid w:val="00C55EF3"/>
    <w:rsid w:val="00C5698B"/>
    <w:rsid w:val="00C56BE9"/>
    <w:rsid w:val="00C56FF1"/>
    <w:rsid w:val="00C57613"/>
    <w:rsid w:val="00C60192"/>
    <w:rsid w:val="00C60470"/>
    <w:rsid w:val="00C614DC"/>
    <w:rsid w:val="00C615B2"/>
    <w:rsid w:val="00C6209A"/>
    <w:rsid w:val="00C620A7"/>
    <w:rsid w:val="00C62248"/>
    <w:rsid w:val="00C636F6"/>
    <w:rsid w:val="00C644E4"/>
    <w:rsid w:val="00C64600"/>
    <w:rsid w:val="00C64603"/>
    <w:rsid w:val="00C648D7"/>
    <w:rsid w:val="00C64A18"/>
    <w:rsid w:val="00C65499"/>
    <w:rsid w:val="00C668DB"/>
    <w:rsid w:val="00C66AC8"/>
    <w:rsid w:val="00C66C5B"/>
    <w:rsid w:val="00C66C91"/>
    <w:rsid w:val="00C6759C"/>
    <w:rsid w:val="00C67608"/>
    <w:rsid w:val="00C6766B"/>
    <w:rsid w:val="00C7077A"/>
    <w:rsid w:val="00C70C30"/>
    <w:rsid w:val="00C70FAB"/>
    <w:rsid w:val="00C71406"/>
    <w:rsid w:val="00C71A5E"/>
    <w:rsid w:val="00C71D81"/>
    <w:rsid w:val="00C72833"/>
    <w:rsid w:val="00C729EB"/>
    <w:rsid w:val="00C72E99"/>
    <w:rsid w:val="00C736EC"/>
    <w:rsid w:val="00C739A9"/>
    <w:rsid w:val="00C73E33"/>
    <w:rsid w:val="00C73F8E"/>
    <w:rsid w:val="00C74182"/>
    <w:rsid w:val="00C747E0"/>
    <w:rsid w:val="00C747F9"/>
    <w:rsid w:val="00C74D31"/>
    <w:rsid w:val="00C74DCA"/>
    <w:rsid w:val="00C7542C"/>
    <w:rsid w:val="00C7573C"/>
    <w:rsid w:val="00C758ED"/>
    <w:rsid w:val="00C75DE1"/>
    <w:rsid w:val="00C764A7"/>
    <w:rsid w:val="00C76CA5"/>
    <w:rsid w:val="00C76CDC"/>
    <w:rsid w:val="00C76D5E"/>
    <w:rsid w:val="00C77011"/>
    <w:rsid w:val="00C7782D"/>
    <w:rsid w:val="00C802A7"/>
    <w:rsid w:val="00C803AB"/>
    <w:rsid w:val="00C803CE"/>
    <w:rsid w:val="00C80F39"/>
    <w:rsid w:val="00C81096"/>
    <w:rsid w:val="00C81139"/>
    <w:rsid w:val="00C8165A"/>
    <w:rsid w:val="00C81895"/>
    <w:rsid w:val="00C822FB"/>
    <w:rsid w:val="00C824B8"/>
    <w:rsid w:val="00C82628"/>
    <w:rsid w:val="00C82DB0"/>
    <w:rsid w:val="00C82EA3"/>
    <w:rsid w:val="00C83315"/>
    <w:rsid w:val="00C83B6D"/>
    <w:rsid w:val="00C83BD5"/>
    <w:rsid w:val="00C83DE3"/>
    <w:rsid w:val="00C8417E"/>
    <w:rsid w:val="00C844C8"/>
    <w:rsid w:val="00C848F2"/>
    <w:rsid w:val="00C84DE9"/>
    <w:rsid w:val="00C84E02"/>
    <w:rsid w:val="00C85009"/>
    <w:rsid w:val="00C85083"/>
    <w:rsid w:val="00C856E1"/>
    <w:rsid w:val="00C85731"/>
    <w:rsid w:val="00C859CE"/>
    <w:rsid w:val="00C85C92"/>
    <w:rsid w:val="00C8628B"/>
    <w:rsid w:val="00C865C6"/>
    <w:rsid w:val="00C866AD"/>
    <w:rsid w:val="00C86B39"/>
    <w:rsid w:val="00C86D25"/>
    <w:rsid w:val="00C87039"/>
    <w:rsid w:val="00C8705B"/>
    <w:rsid w:val="00C8737F"/>
    <w:rsid w:val="00C87A91"/>
    <w:rsid w:val="00C87B34"/>
    <w:rsid w:val="00C90102"/>
    <w:rsid w:val="00C901CA"/>
    <w:rsid w:val="00C902AA"/>
    <w:rsid w:val="00C904BC"/>
    <w:rsid w:val="00C90506"/>
    <w:rsid w:val="00C90826"/>
    <w:rsid w:val="00C90A19"/>
    <w:rsid w:val="00C90A78"/>
    <w:rsid w:val="00C91113"/>
    <w:rsid w:val="00C915AA"/>
    <w:rsid w:val="00C91BD3"/>
    <w:rsid w:val="00C91CA7"/>
    <w:rsid w:val="00C91E12"/>
    <w:rsid w:val="00C91E9D"/>
    <w:rsid w:val="00C92424"/>
    <w:rsid w:val="00C92606"/>
    <w:rsid w:val="00C92F7F"/>
    <w:rsid w:val="00C93312"/>
    <w:rsid w:val="00C933B6"/>
    <w:rsid w:val="00C934D2"/>
    <w:rsid w:val="00C93BA9"/>
    <w:rsid w:val="00C93C02"/>
    <w:rsid w:val="00C93E2B"/>
    <w:rsid w:val="00C93FD1"/>
    <w:rsid w:val="00C93FFE"/>
    <w:rsid w:val="00C9411A"/>
    <w:rsid w:val="00C943C2"/>
    <w:rsid w:val="00C944A4"/>
    <w:rsid w:val="00C945B0"/>
    <w:rsid w:val="00C948EA"/>
    <w:rsid w:val="00C95356"/>
    <w:rsid w:val="00C956B4"/>
    <w:rsid w:val="00C9574B"/>
    <w:rsid w:val="00C9592E"/>
    <w:rsid w:val="00C95F63"/>
    <w:rsid w:val="00C967D9"/>
    <w:rsid w:val="00C96A76"/>
    <w:rsid w:val="00C970C2"/>
    <w:rsid w:val="00C97785"/>
    <w:rsid w:val="00C979E1"/>
    <w:rsid w:val="00CA0086"/>
    <w:rsid w:val="00CA00DA"/>
    <w:rsid w:val="00CA012A"/>
    <w:rsid w:val="00CA02E8"/>
    <w:rsid w:val="00CA04EA"/>
    <w:rsid w:val="00CA0507"/>
    <w:rsid w:val="00CA06B7"/>
    <w:rsid w:val="00CA0D4A"/>
    <w:rsid w:val="00CA181D"/>
    <w:rsid w:val="00CA1982"/>
    <w:rsid w:val="00CA20A2"/>
    <w:rsid w:val="00CA21C9"/>
    <w:rsid w:val="00CA2544"/>
    <w:rsid w:val="00CA25E6"/>
    <w:rsid w:val="00CA27B6"/>
    <w:rsid w:val="00CA2907"/>
    <w:rsid w:val="00CA294C"/>
    <w:rsid w:val="00CA29C3"/>
    <w:rsid w:val="00CA3080"/>
    <w:rsid w:val="00CA3201"/>
    <w:rsid w:val="00CA386D"/>
    <w:rsid w:val="00CA3A4B"/>
    <w:rsid w:val="00CA422C"/>
    <w:rsid w:val="00CA426B"/>
    <w:rsid w:val="00CA456F"/>
    <w:rsid w:val="00CA4895"/>
    <w:rsid w:val="00CA49B6"/>
    <w:rsid w:val="00CA51ED"/>
    <w:rsid w:val="00CA52A0"/>
    <w:rsid w:val="00CA5347"/>
    <w:rsid w:val="00CA60A6"/>
    <w:rsid w:val="00CA6684"/>
    <w:rsid w:val="00CA68E9"/>
    <w:rsid w:val="00CA6937"/>
    <w:rsid w:val="00CA6D89"/>
    <w:rsid w:val="00CA7300"/>
    <w:rsid w:val="00CA7D70"/>
    <w:rsid w:val="00CA7FBC"/>
    <w:rsid w:val="00CA7FD8"/>
    <w:rsid w:val="00CB074B"/>
    <w:rsid w:val="00CB0816"/>
    <w:rsid w:val="00CB0CEA"/>
    <w:rsid w:val="00CB1178"/>
    <w:rsid w:val="00CB15E1"/>
    <w:rsid w:val="00CB1FA2"/>
    <w:rsid w:val="00CB269F"/>
    <w:rsid w:val="00CB2D3E"/>
    <w:rsid w:val="00CB2F02"/>
    <w:rsid w:val="00CB383C"/>
    <w:rsid w:val="00CB3CFE"/>
    <w:rsid w:val="00CB3F63"/>
    <w:rsid w:val="00CB402F"/>
    <w:rsid w:val="00CB4F07"/>
    <w:rsid w:val="00CB54A1"/>
    <w:rsid w:val="00CB65E1"/>
    <w:rsid w:val="00CB6B0F"/>
    <w:rsid w:val="00CB724F"/>
    <w:rsid w:val="00CC04F1"/>
    <w:rsid w:val="00CC08FF"/>
    <w:rsid w:val="00CC09B7"/>
    <w:rsid w:val="00CC0DAA"/>
    <w:rsid w:val="00CC10A0"/>
    <w:rsid w:val="00CC14EC"/>
    <w:rsid w:val="00CC15D3"/>
    <w:rsid w:val="00CC174A"/>
    <w:rsid w:val="00CC184E"/>
    <w:rsid w:val="00CC18C6"/>
    <w:rsid w:val="00CC1D18"/>
    <w:rsid w:val="00CC22FF"/>
    <w:rsid w:val="00CC251C"/>
    <w:rsid w:val="00CC2916"/>
    <w:rsid w:val="00CC2BBE"/>
    <w:rsid w:val="00CC3389"/>
    <w:rsid w:val="00CC3681"/>
    <w:rsid w:val="00CC4034"/>
    <w:rsid w:val="00CC4197"/>
    <w:rsid w:val="00CC44B4"/>
    <w:rsid w:val="00CC476D"/>
    <w:rsid w:val="00CC4AE4"/>
    <w:rsid w:val="00CC56F6"/>
    <w:rsid w:val="00CC625B"/>
    <w:rsid w:val="00CC66A5"/>
    <w:rsid w:val="00CC6A23"/>
    <w:rsid w:val="00CC6AF9"/>
    <w:rsid w:val="00CC6CE1"/>
    <w:rsid w:val="00CC6F1D"/>
    <w:rsid w:val="00CC6F33"/>
    <w:rsid w:val="00CC7041"/>
    <w:rsid w:val="00CD08FE"/>
    <w:rsid w:val="00CD0A0D"/>
    <w:rsid w:val="00CD0CB9"/>
    <w:rsid w:val="00CD0F2D"/>
    <w:rsid w:val="00CD1599"/>
    <w:rsid w:val="00CD1B9C"/>
    <w:rsid w:val="00CD1EC7"/>
    <w:rsid w:val="00CD20F1"/>
    <w:rsid w:val="00CD2C32"/>
    <w:rsid w:val="00CD2F14"/>
    <w:rsid w:val="00CD2F21"/>
    <w:rsid w:val="00CD2FEE"/>
    <w:rsid w:val="00CD33DD"/>
    <w:rsid w:val="00CD349F"/>
    <w:rsid w:val="00CD34DB"/>
    <w:rsid w:val="00CD373A"/>
    <w:rsid w:val="00CD3915"/>
    <w:rsid w:val="00CD3A44"/>
    <w:rsid w:val="00CD3C5F"/>
    <w:rsid w:val="00CD3F8D"/>
    <w:rsid w:val="00CD3FCE"/>
    <w:rsid w:val="00CD40CE"/>
    <w:rsid w:val="00CD4284"/>
    <w:rsid w:val="00CD44B0"/>
    <w:rsid w:val="00CD4888"/>
    <w:rsid w:val="00CD4A1F"/>
    <w:rsid w:val="00CD5262"/>
    <w:rsid w:val="00CD546A"/>
    <w:rsid w:val="00CD5928"/>
    <w:rsid w:val="00CD6372"/>
    <w:rsid w:val="00CD6A52"/>
    <w:rsid w:val="00CD6E3B"/>
    <w:rsid w:val="00CD76DF"/>
    <w:rsid w:val="00CD79D9"/>
    <w:rsid w:val="00CD79FB"/>
    <w:rsid w:val="00CD7E93"/>
    <w:rsid w:val="00CE006C"/>
    <w:rsid w:val="00CE006F"/>
    <w:rsid w:val="00CE058D"/>
    <w:rsid w:val="00CE064A"/>
    <w:rsid w:val="00CE0F34"/>
    <w:rsid w:val="00CE10AD"/>
    <w:rsid w:val="00CE121D"/>
    <w:rsid w:val="00CE14C1"/>
    <w:rsid w:val="00CE1995"/>
    <w:rsid w:val="00CE1B63"/>
    <w:rsid w:val="00CE20C1"/>
    <w:rsid w:val="00CE21A6"/>
    <w:rsid w:val="00CE2846"/>
    <w:rsid w:val="00CE2867"/>
    <w:rsid w:val="00CE28C2"/>
    <w:rsid w:val="00CE2DAB"/>
    <w:rsid w:val="00CE2E3D"/>
    <w:rsid w:val="00CE3356"/>
    <w:rsid w:val="00CE360A"/>
    <w:rsid w:val="00CE3672"/>
    <w:rsid w:val="00CE36D8"/>
    <w:rsid w:val="00CE3C25"/>
    <w:rsid w:val="00CE40A1"/>
    <w:rsid w:val="00CE41D1"/>
    <w:rsid w:val="00CE450C"/>
    <w:rsid w:val="00CE47EC"/>
    <w:rsid w:val="00CE4BFE"/>
    <w:rsid w:val="00CE4F74"/>
    <w:rsid w:val="00CE533B"/>
    <w:rsid w:val="00CE5B20"/>
    <w:rsid w:val="00CE5E47"/>
    <w:rsid w:val="00CE6863"/>
    <w:rsid w:val="00CE6B11"/>
    <w:rsid w:val="00CE6EFA"/>
    <w:rsid w:val="00CE7827"/>
    <w:rsid w:val="00CE7CD5"/>
    <w:rsid w:val="00CE7D8D"/>
    <w:rsid w:val="00CE7F5D"/>
    <w:rsid w:val="00CF04A4"/>
    <w:rsid w:val="00CF062B"/>
    <w:rsid w:val="00CF07A9"/>
    <w:rsid w:val="00CF086F"/>
    <w:rsid w:val="00CF0FFF"/>
    <w:rsid w:val="00CF1317"/>
    <w:rsid w:val="00CF1863"/>
    <w:rsid w:val="00CF1BCC"/>
    <w:rsid w:val="00CF1E37"/>
    <w:rsid w:val="00CF217D"/>
    <w:rsid w:val="00CF2185"/>
    <w:rsid w:val="00CF2811"/>
    <w:rsid w:val="00CF2A9D"/>
    <w:rsid w:val="00CF2B08"/>
    <w:rsid w:val="00CF324C"/>
    <w:rsid w:val="00CF34E7"/>
    <w:rsid w:val="00CF3AD2"/>
    <w:rsid w:val="00CF4188"/>
    <w:rsid w:val="00CF4A9D"/>
    <w:rsid w:val="00CF4F2B"/>
    <w:rsid w:val="00CF52B0"/>
    <w:rsid w:val="00CF55BB"/>
    <w:rsid w:val="00CF603D"/>
    <w:rsid w:val="00CF64E7"/>
    <w:rsid w:val="00CF64F7"/>
    <w:rsid w:val="00CF67A6"/>
    <w:rsid w:val="00CF71B7"/>
    <w:rsid w:val="00CF72F0"/>
    <w:rsid w:val="00CF74A4"/>
    <w:rsid w:val="00CF76BE"/>
    <w:rsid w:val="00CF78B1"/>
    <w:rsid w:val="00CF7CA8"/>
    <w:rsid w:val="00D001FD"/>
    <w:rsid w:val="00D003C8"/>
    <w:rsid w:val="00D0072A"/>
    <w:rsid w:val="00D00739"/>
    <w:rsid w:val="00D019B2"/>
    <w:rsid w:val="00D01D1F"/>
    <w:rsid w:val="00D01EB6"/>
    <w:rsid w:val="00D01F2C"/>
    <w:rsid w:val="00D02B51"/>
    <w:rsid w:val="00D040C2"/>
    <w:rsid w:val="00D044C1"/>
    <w:rsid w:val="00D04981"/>
    <w:rsid w:val="00D04C59"/>
    <w:rsid w:val="00D057E9"/>
    <w:rsid w:val="00D058E7"/>
    <w:rsid w:val="00D0604C"/>
    <w:rsid w:val="00D06686"/>
    <w:rsid w:val="00D0694A"/>
    <w:rsid w:val="00D07A65"/>
    <w:rsid w:val="00D07D35"/>
    <w:rsid w:val="00D100F0"/>
    <w:rsid w:val="00D1087E"/>
    <w:rsid w:val="00D108F3"/>
    <w:rsid w:val="00D114B0"/>
    <w:rsid w:val="00D1177E"/>
    <w:rsid w:val="00D1209B"/>
    <w:rsid w:val="00D12622"/>
    <w:rsid w:val="00D1295B"/>
    <w:rsid w:val="00D12F7B"/>
    <w:rsid w:val="00D13453"/>
    <w:rsid w:val="00D1364D"/>
    <w:rsid w:val="00D136E7"/>
    <w:rsid w:val="00D137B1"/>
    <w:rsid w:val="00D138D4"/>
    <w:rsid w:val="00D13A9E"/>
    <w:rsid w:val="00D13C67"/>
    <w:rsid w:val="00D13D36"/>
    <w:rsid w:val="00D14426"/>
    <w:rsid w:val="00D14C77"/>
    <w:rsid w:val="00D1527F"/>
    <w:rsid w:val="00D1529E"/>
    <w:rsid w:val="00D15368"/>
    <w:rsid w:val="00D159BB"/>
    <w:rsid w:val="00D162A8"/>
    <w:rsid w:val="00D16450"/>
    <w:rsid w:val="00D1653A"/>
    <w:rsid w:val="00D16991"/>
    <w:rsid w:val="00D177DB"/>
    <w:rsid w:val="00D17BCF"/>
    <w:rsid w:val="00D17C3C"/>
    <w:rsid w:val="00D17F72"/>
    <w:rsid w:val="00D20498"/>
    <w:rsid w:val="00D20592"/>
    <w:rsid w:val="00D20D12"/>
    <w:rsid w:val="00D20F1E"/>
    <w:rsid w:val="00D210B2"/>
    <w:rsid w:val="00D21107"/>
    <w:rsid w:val="00D216F6"/>
    <w:rsid w:val="00D22174"/>
    <w:rsid w:val="00D221A7"/>
    <w:rsid w:val="00D2243A"/>
    <w:rsid w:val="00D227BF"/>
    <w:rsid w:val="00D22CDA"/>
    <w:rsid w:val="00D22ED1"/>
    <w:rsid w:val="00D235F9"/>
    <w:rsid w:val="00D2379D"/>
    <w:rsid w:val="00D238CD"/>
    <w:rsid w:val="00D23AE7"/>
    <w:rsid w:val="00D243C2"/>
    <w:rsid w:val="00D24497"/>
    <w:rsid w:val="00D24CAF"/>
    <w:rsid w:val="00D250BA"/>
    <w:rsid w:val="00D251D2"/>
    <w:rsid w:val="00D25245"/>
    <w:rsid w:val="00D255E9"/>
    <w:rsid w:val="00D2598E"/>
    <w:rsid w:val="00D25A42"/>
    <w:rsid w:val="00D25E4B"/>
    <w:rsid w:val="00D25F7F"/>
    <w:rsid w:val="00D2655D"/>
    <w:rsid w:val="00D265F1"/>
    <w:rsid w:val="00D2662D"/>
    <w:rsid w:val="00D26807"/>
    <w:rsid w:val="00D26C74"/>
    <w:rsid w:val="00D26D1C"/>
    <w:rsid w:val="00D26E33"/>
    <w:rsid w:val="00D2763C"/>
    <w:rsid w:val="00D2783D"/>
    <w:rsid w:val="00D27BC3"/>
    <w:rsid w:val="00D27C42"/>
    <w:rsid w:val="00D30E74"/>
    <w:rsid w:val="00D31CA4"/>
    <w:rsid w:val="00D32063"/>
    <w:rsid w:val="00D3271A"/>
    <w:rsid w:val="00D32854"/>
    <w:rsid w:val="00D32B25"/>
    <w:rsid w:val="00D332D6"/>
    <w:rsid w:val="00D333C6"/>
    <w:rsid w:val="00D33631"/>
    <w:rsid w:val="00D33971"/>
    <w:rsid w:val="00D33DB6"/>
    <w:rsid w:val="00D3469B"/>
    <w:rsid w:val="00D36781"/>
    <w:rsid w:val="00D3681F"/>
    <w:rsid w:val="00D36F4F"/>
    <w:rsid w:val="00D36F6C"/>
    <w:rsid w:val="00D36FAF"/>
    <w:rsid w:val="00D37108"/>
    <w:rsid w:val="00D3711C"/>
    <w:rsid w:val="00D372D8"/>
    <w:rsid w:val="00D400FA"/>
    <w:rsid w:val="00D40112"/>
    <w:rsid w:val="00D402D0"/>
    <w:rsid w:val="00D4035E"/>
    <w:rsid w:val="00D40FAC"/>
    <w:rsid w:val="00D4167A"/>
    <w:rsid w:val="00D41A9C"/>
    <w:rsid w:val="00D42016"/>
    <w:rsid w:val="00D4299B"/>
    <w:rsid w:val="00D42DE4"/>
    <w:rsid w:val="00D43099"/>
    <w:rsid w:val="00D4375D"/>
    <w:rsid w:val="00D43AF9"/>
    <w:rsid w:val="00D43E24"/>
    <w:rsid w:val="00D440A7"/>
    <w:rsid w:val="00D4427D"/>
    <w:rsid w:val="00D44467"/>
    <w:rsid w:val="00D44546"/>
    <w:rsid w:val="00D44662"/>
    <w:rsid w:val="00D44671"/>
    <w:rsid w:val="00D44CBF"/>
    <w:rsid w:val="00D45937"/>
    <w:rsid w:val="00D459AA"/>
    <w:rsid w:val="00D464E9"/>
    <w:rsid w:val="00D465B0"/>
    <w:rsid w:val="00D46793"/>
    <w:rsid w:val="00D46DA3"/>
    <w:rsid w:val="00D478EE"/>
    <w:rsid w:val="00D47955"/>
    <w:rsid w:val="00D479E0"/>
    <w:rsid w:val="00D47B92"/>
    <w:rsid w:val="00D47E16"/>
    <w:rsid w:val="00D505E8"/>
    <w:rsid w:val="00D50603"/>
    <w:rsid w:val="00D5085A"/>
    <w:rsid w:val="00D50B1D"/>
    <w:rsid w:val="00D50F16"/>
    <w:rsid w:val="00D511ED"/>
    <w:rsid w:val="00D5154B"/>
    <w:rsid w:val="00D51B96"/>
    <w:rsid w:val="00D51F68"/>
    <w:rsid w:val="00D5264B"/>
    <w:rsid w:val="00D53197"/>
    <w:rsid w:val="00D5360E"/>
    <w:rsid w:val="00D53792"/>
    <w:rsid w:val="00D53801"/>
    <w:rsid w:val="00D539AD"/>
    <w:rsid w:val="00D53C80"/>
    <w:rsid w:val="00D54028"/>
    <w:rsid w:val="00D54745"/>
    <w:rsid w:val="00D5476D"/>
    <w:rsid w:val="00D54903"/>
    <w:rsid w:val="00D549AD"/>
    <w:rsid w:val="00D55554"/>
    <w:rsid w:val="00D55DBF"/>
    <w:rsid w:val="00D55E47"/>
    <w:rsid w:val="00D56262"/>
    <w:rsid w:val="00D56473"/>
    <w:rsid w:val="00D5654C"/>
    <w:rsid w:val="00D5691A"/>
    <w:rsid w:val="00D57816"/>
    <w:rsid w:val="00D57B80"/>
    <w:rsid w:val="00D57BA5"/>
    <w:rsid w:val="00D6022C"/>
    <w:rsid w:val="00D60597"/>
    <w:rsid w:val="00D608E7"/>
    <w:rsid w:val="00D60A9E"/>
    <w:rsid w:val="00D60C53"/>
    <w:rsid w:val="00D60D58"/>
    <w:rsid w:val="00D60D97"/>
    <w:rsid w:val="00D60DD8"/>
    <w:rsid w:val="00D61274"/>
    <w:rsid w:val="00D6186C"/>
    <w:rsid w:val="00D61C6A"/>
    <w:rsid w:val="00D62ACB"/>
    <w:rsid w:val="00D62D5A"/>
    <w:rsid w:val="00D62D9E"/>
    <w:rsid w:val="00D63253"/>
    <w:rsid w:val="00D63451"/>
    <w:rsid w:val="00D6363A"/>
    <w:rsid w:val="00D63829"/>
    <w:rsid w:val="00D63AE4"/>
    <w:rsid w:val="00D63D0C"/>
    <w:rsid w:val="00D64820"/>
    <w:rsid w:val="00D648DB"/>
    <w:rsid w:val="00D64AC0"/>
    <w:rsid w:val="00D64CF7"/>
    <w:rsid w:val="00D64D59"/>
    <w:rsid w:val="00D6564C"/>
    <w:rsid w:val="00D65F32"/>
    <w:rsid w:val="00D660C1"/>
    <w:rsid w:val="00D662FC"/>
    <w:rsid w:val="00D666B1"/>
    <w:rsid w:val="00D669ED"/>
    <w:rsid w:val="00D67910"/>
    <w:rsid w:val="00D67958"/>
    <w:rsid w:val="00D67A49"/>
    <w:rsid w:val="00D67D06"/>
    <w:rsid w:val="00D67FD5"/>
    <w:rsid w:val="00D70DDE"/>
    <w:rsid w:val="00D711A8"/>
    <w:rsid w:val="00D7168E"/>
    <w:rsid w:val="00D7184B"/>
    <w:rsid w:val="00D71B3F"/>
    <w:rsid w:val="00D71FC6"/>
    <w:rsid w:val="00D72135"/>
    <w:rsid w:val="00D722AF"/>
    <w:rsid w:val="00D7260A"/>
    <w:rsid w:val="00D730AB"/>
    <w:rsid w:val="00D73236"/>
    <w:rsid w:val="00D73E5B"/>
    <w:rsid w:val="00D74163"/>
    <w:rsid w:val="00D7486D"/>
    <w:rsid w:val="00D749D1"/>
    <w:rsid w:val="00D74ED8"/>
    <w:rsid w:val="00D754E3"/>
    <w:rsid w:val="00D75CDE"/>
    <w:rsid w:val="00D75F21"/>
    <w:rsid w:val="00D7625E"/>
    <w:rsid w:val="00D766B1"/>
    <w:rsid w:val="00D76B84"/>
    <w:rsid w:val="00D76BBC"/>
    <w:rsid w:val="00D76BDB"/>
    <w:rsid w:val="00D76C80"/>
    <w:rsid w:val="00D76FB4"/>
    <w:rsid w:val="00D77125"/>
    <w:rsid w:val="00D77542"/>
    <w:rsid w:val="00D77A7C"/>
    <w:rsid w:val="00D802D9"/>
    <w:rsid w:val="00D8053B"/>
    <w:rsid w:val="00D8071C"/>
    <w:rsid w:val="00D80E9B"/>
    <w:rsid w:val="00D80FD5"/>
    <w:rsid w:val="00D816C4"/>
    <w:rsid w:val="00D81844"/>
    <w:rsid w:val="00D81D29"/>
    <w:rsid w:val="00D82190"/>
    <w:rsid w:val="00D826F3"/>
    <w:rsid w:val="00D82D90"/>
    <w:rsid w:val="00D838B5"/>
    <w:rsid w:val="00D83CB4"/>
    <w:rsid w:val="00D84044"/>
    <w:rsid w:val="00D840B2"/>
    <w:rsid w:val="00D844DA"/>
    <w:rsid w:val="00D84C19"/>
    <w:rsid w:val="00D858DA"/>
    <w:rsid w:val="00D858E1"/>
    <w:rsid w:val="00D85A03"/>
    <w:rsid w:val="00D85A60"/>
    <w:rsid w:val="00D85B51"/>
    <w:rsid w:val="00D85DEB"/>
    <w:rsid w:val="00D8639A"/>
    <w:rsid w:val="00D86438"/>
    <w:rsid w:val="00D865FC"/>
    <w:rsid w:val="00D866BA"/>
    <w:rsid w:val="00D867AA"/>
    <w:rsid w:val="00D87106"/>
    <w:rsid w:val="00D875B9"/>
    <w:rsid w:val="00D877D2"/>
    <w:rsid w:val="00D879AD"/>
    <w:rsid w:val="00D87FDF"/>
    <w:rsid w:val="00D90BD2"/>
    <w:rsid w:val="00D911A4"/>
    <w:rsid w:val="00D91820"/>
    <w:rsid w:val="00D91E31"/>
    <w:rsid w:val="00D92279"/>
    <w:rsid w:val="00D92350"/>
    <w:rsid w:val="00D926FA"/>
    <w:rsid w:val="00D927E4"/>
    <w:rsid w:val="00D93174"/>
    <w:rsid w:val="00D93197"/>
    <w:rsid w:val="00D931E9"/>
    <w:rsid w:val="00D93AE6"/>
    <w:rsid w:val="00D93B82"/>
    <w:rsid w:val="00D943E1"/>
    <w:rsid w:val="00D9454D"/>
    <w:rsid w:val="00D94606"/>
    <w:rsid w:val="00D948EB"/>
    <w:rsid w:val="00D94B47"/>
    <w:rsid w:val="00D94EE4"/>
    <w:rsid w:val="00D950FA"/>
    <w:rsid w:val="00D95706"/>
    <w:rsid w:val="00D9580D"/>
    <w:rsid w:val="00D959D3"/>
    <w:rsid w:val="00D95BB1"/>
    <w:rsid w:val="00D96879"/>
    <w:rsid w:val="00D96989"/>
    <w:rsid w:val="00D970F3"/>
    <w:rsid w:val="00D973F8"/>
    <w:rsid w:val="00DA0156"/>
    <w:rsid w:val="00DA0A2E"/>
    <w:rsid w:val="00DA0C08"/>
    <w:rsid w:val="00DA0E77"/>
    <w:rsid w:val="00DA10AB"/>
    <w:rsid w:val="00DA1107"/>
    <w:rsid w:val="00DA1273"/>
    <w:rsid w:val="00DA13D7"/>
    <w:rsid w:val="00DA17A6"/>
    <w:rsid w:val="00DA1C7B"/>
    <w:rsid w:val="00DA1E04"/>
    <w:rsid w:val="00DA2450"/>
    <w:rsid w:val="00DA25B7"/>
    <w:rsid w:val="00DA4559"/>
    <w:rsid w:val="00DA49CC"/>
    <w:rsid w:val="00DA4BCC"/>
    <w:rsid w:val="00DA55DB"/>
    <w:rsid w:val="00DA56BF"/>
    <w:rsid w:val="00DA57CF"/>
    <w:rsid w:val="00DA5A46"/>
    <w:rsid w:val="00DA5DD1"/>
    <w:rsid w:val="00DA69C4"/>
    <w:rsid w:val="00DA6D0D"/>
    <w:rsid w:val="00DA72C1"/>
    <w:rsid w:val="00DA76FD"/>
    <w:rsid w:val="00DB0089"/>
    <w:rsid w:val="00DB04BE"/>
    <w:rsid w:val="00DB04FB"/>
    <w:rsid w:val="00DB06E6"/>
    <w:rsid w:val="00DB0931"/>
    <w:rsid w:val="00DB110D"/>
    <w:rsid w:val="00DB1C3B"/>
    <w:rsid w:val="00DB25A2"/>
    <w:rsid w:val="00DB28E9"/>
    <w:rsid w:val="00DB28FC"/>
    <w:rsid w:val="00DB2C4C"/>
    <w:rsid w:val="00DB2FF1"/>
    <w:rsid w:val="00DB3378"/>
    <w:rsid w:val="00DB3473"/>
    <w:rsid w:val="00DB3EF3"/>
    <w:rsid w:val="00DB40E2"/>
    <w:rsid w:val="00DB437B"/>
    <w:rsid w:val="00DB441E"/>
    <w:rsid w:val="00DB4A9B"/>
    <w:rsid w:val="00DB4FEE"/>
    <w:rsid w:val="00DB50AC"/>
    <w:rsid w:val="00DB58AE"/>
    <w:rsid w:val="00DB5F7C"/>
    <w:rsid w:val="00DB602D"/>
    <w:rsid w:val="00DB60DA"/>
    <w:rsid w:val="00DB69C2"/>
    <w:rsid w:val="00DB6EDB"/>
    <w:rsid w:val="00DB6F7D"/>
    <w:rsid w:val="00DB6F9A"/>
    <w:rsid w:val="00DB6FE2"/>
    <w:rsid w:val="00DB72DA"/>
    <w:rsid w:val="00DB74B0"/>
    <w:rsid w:val="00DB79F0"/>
    <w:rsid w:val="00DB7AFC"/>
    <w:rsid w:val="00DB7CE2"/>
    <w:rsid w:val="00DC00FB"/>
    <w:rsid w:val="00DC0336"/>
    <w:rsid w:val="00DC0883"/>
    <w:rsid w:val="00DC0B14"/>
    <w:rsid w:val="00DC0D55"/>
    <w:rsid w:val="00DC0D68"/>
    <w:rsid w:val="00DC121F"/>
    <w:rsid w:val="00DC1492"/>
    <w:rsid w:val="00DC1BDB"/>
    <w:rsid w:val="00DC209A"/>
    <w:rsid w:val="00DC2294"/>
    <w:rsid w:val="00DC27D6"/>
    <w:rsid w:val="00DC29D7"/>
    <w:rsid w:val="00DC32A7"/>
    <w:rsid w:val="00DC36A6"/>
    <w:rsid w:val="00DC375C"/>
    <w:rsid w:val="00DC3844"/>
    <w:rsid w:val="00DC3F92"/>
    <w:rsid w:val="00DC44A2"/>
    <w:rsid w:val="00DC490C"/>
    <w:rsid w:val="00DC4E0E"/>
    <w:rsid w:val="00DC4F09"/>
    <w:rsid w:val="00DC5228"/>
    <w:rsid w:val="00DC528F"/>
    <w:rsid w:val="00DC5365"/>
    <w:rsid w:val="00DC5858"/>
    <w:rsid w:val="00DC5D44"/>
    <w:rsid w:val="00DC5F23"/>
    <w:rsid w:val="00DC7126"/>
    <w:rsid w:val="00DC7726"/>
    <w:rsid w:val="00DC7897"/>
    <w:rsid w:val="00DD015E"/>
    <w:rsid w:val="00DD0480"/>
    <w:rsid w:val="00DD0517"/>
    <w:rsid w:val="00DD081C"/>
    <w:rsid w:val="00DD088D"/>
    <w:rsid w:val="00DD09AB"/>
    <w:rsid w:val="00DD0EE1"/>
    <w:rsid w:val="00DD10BD"/>
    <w:rsid w:val="00DD13C6"/>
    <w:rsid w:val="00DD147B"/>
    <w:rsid w:val="00DD2040"/>
    <w:rsid w:val="00DD258C"/>
    <w:rsid w:val="00DD308C"/>
    <w:rsid w:val="00DD30C2"/>
    <w:rsid w:val="00DD310D"/>
    <w:rsid w:val="00DD329E"/>
    <w:rsid w:val="00DD32C1"/>
    <w:rsid w:val="00DD34C7"/>
    <w:rsid w:val="00DD4461"/>
    <w:rsid w:val="00DD4902"/>
    <w:rsid w:val="00DD56B6"/>
    <w:rsid w:val="00DD5734"/>
    <w:rsid w:val="00DD579D"/>
    <w:rsid w:val="00DD5846"/>
    <w:rsid w:val="00DD71AD"/>
    <w:rsid w:val="00DD7315"/>
    <w:rsid w:val="00DE0021"/>
    <w:rsid w:val="00DE01A0"/>
    <w:rsid w:val="00DE0280"/>
    <w:rsid w:val="00DE091E"/>
    <w:rsid w:val="00DE0D48"/>
    <w:rsid w:val="00DE195F"/>
    <w:rsid w:val="00DE2550"/>
    <w:rsid w:val="00DE27E1"/>
    <w:rsid w:val="00DE2B95"/>
    <w:rsid w:val="00DE3242"/>
    <w:rsid w:val="00DE387E"/>
    <w:rsid w:val="00DE3B1B"/>
    <w:rsid w:val="00DE3BDC"/>
    <w:rsid w:val="00DE4896"/>
    <w:rsid w:val="00DE49AD"/>
    <w:rsid w:val="00DE4EE1"/>
    <w:rsid w:val="00DE4F11"/>
    <w:rsid w:val="00DE5731"/>
    <w:rsid w:val="00DE5C76"/>
    <w:rsid w:val="00DE5D01"/>
    <w:rsid w:val="00DE66E0"/>
    <w:rsid w:val="00DE69B6"/>
    <w:rsid w:val="00DE69CF"/>
    <w:rsid w:val="00DE6B1F"/>
    <w:rsid w:val="00DE75A5"/>
    <w:rsid w:val="00DE7C37"/>
    <w:rsid w:val="00DF00D6"/>
    <w:rsid w:val="00DF02E8"/>
    <w:rsid w:val="00DF0399"/>
    <w:rsid w:val="00DF05F8"/>
    <w:rsid w:val="00DF0856"/>
    <w:rsid w:val="00DF0963"/>
    <w:rsid w:val="00DF0A36"/>
    <w:rsid w:val="00DF152D"/>
    <w:rsid w:val="00DF15D9"/>
    <w:rsid w:val="00DF1764"/>
    <w:rsid w:val="00DF1F39"/>
    <w:rsid w:val="00DF2099"/>
    <w:rsid w:val="00DF25A7"/>
    <w:rsid w:val="00DF25D1"/>
    <w:rsid w:val="00DF26DA"/>
    <w:rsid w:val="00DF297D"/>
    <w:rsid w:val="00DF2E0A"/>
    <w:rsid w:val="00DF3272"/>
    <w:rsid w:val="00DF3432"/>
    <w:rsid w:val="00DF352F"/>
    <w:rsid w:val="00DF355C"/>
    <w:rsid w:val="00DF429C"/>
    <w:rsid w:val="00DF4C13"/>
    <w:rsid w:val="00DF537E"/>
    <w:rsid w:val="00DF542A"/>
    <w:rsid w:val="00DF55A2"/>
    <w:rsid w:val="00DF574A"/>
    <w:rsid w:val="00DF6C6D"/>
    <w:rsid w:val="00DF6EBE"/>
    <w:rsid w:val="00DF7BA1"/>
    <w:rsid w:val="00DF7D72"/>
    <w:rsid w:val="00DF7FB4"/>
    <w:rsid w:val="00E00425"/>
    <w:rsid w:val="00E0058D"/>
    <w:rsid w:val="00E00647"/>
    <w:rsid w:val="00E0166A"/>
    <w:rsid w:val="00E01914"/>
    <w:rsid w:val="00E01992"/>
    <w:rsid w:val="00E01A82"/>
    <w:rsid w:val="00E01AEA"/>
    <w:rsid w:val="00E01B5E"/>
    <w:rsid w:val="00E020A9"/>
    <w:rsid w:val="00E0264E"/>
    <w:rsid w:val="00E026BB"/>
    <w:rsid w:val="00E02728"/>
    <w:rsid w:val="00E02B41"/>
    <w:rsid w:val="00E0354F"/>
    <w:rsid w:val="00E03F54"/>
    <w:rsid w:val="00E04194"/>
    <w:rsid w:val="00E041E3"/>
    <w:rsid w:val="00E043C2"/>
    <w:rsid w:val="00E052FF"/>
    <w:rsid w:val="00E054D1"/>
    <w:rsid w:val="00E05799"/>
    <w:rsid w:val="00E05C9A"/>
    <w:rsid w:val="00E05DD6"/>
    <w:rsid w:val="00E05EFD"/>
    <w:rsid w:val="00E0641A"/>
    <w:rsid w:val="00E06E61"/>
    <w:rsid w:val="00E070EA"/>
    <w:rsid w:val="00E07252"/>
    <w:rsid w:val="00E0758B"/>
    <w:rsid w:val="00E07755"/>
    <w:rsid w:val="00E07763"/>
    <w:rsid w:val="00E07D1C"/>
    <w:rsid w:val="00E1092D"/>
    <w:rsid w:val="00E11063"/>
    <w:rsid w:val="00E110CD"/>
    <w:rsid w:val="00E1125C"/>
    <w:rsid w:val="00E11ED7"/>
    <w:rsid w:val="00E12282"/>
    <w:rsid w:val="00E1259E"/>
    <w:rsid w:val="00E12903"/>
    <w:rsid w:val="00E12E6C"/>
    <w:rsid w:val="00E12F7C"/>
    <w:rsid w:val="00E13545"/>
    <w:rsid w:val="00E135D0"/>
    <w:rsid w:val="00E13626"/>
    <w:rsid w:val="00E13A2D"/>
    <w:rsid w:val="00E13A39"/>
    <w:rsid w:val="00E13A61"/>
    <w:rsid w:val="00E14268"/>
    <w:rsid w:val="00E14568"/>
    <w:rsid w:val="00E14D5E"/>
    <w:rsid w:val="00E15796"/>
    <w:rsid w:val="00E15993"/>
    <w:rsid w:val="00E164DC"/>
    <w:rsid w:val="00E17294"/>
    <w:rsid w:val="00E1736A"/>
    <w:rsid w:val="00E175C4"/>
    <w:rsid w:val="00E1763A"/>
    <w:rsid w:val="00E17746"/>
    <w:rsid w:val="00E17822"/>
    <w:rsid w:val="00E17919"/>
    <w:rsid w:val="00E1799C"/>
    <w:rsid w:val="00E17A06"/>
    <w:rsid w:val="00E20BFB"/>
    <w:rsid w:val="00E20E63"/>
    <w:rsid w:val="00E2145C"/>
    <w:rsid w:val="00E21B89"/>
    <w:rsid w:val="00E21CFC"/>
    <w:rsid w:val="00E21D75"/>
    <w:rsid w:val="00E21ED3"/>
    <w:rsid w:val="00E22B0B"/>
    <w:rsid w:val="00E22F01"/>
    <w:rsid w:val="00E22F3D"/>
    <w:rsid w:val="00E23361"/>
    <w:rsid w:val="00E23A97"/>
    <w:rsid w:val="00E24125"/>
    <w:rsid w:val="00E24253"/>
    <w:rsid w:val="00E243B6"/>
    <w:rsid w:val="00E244EB"/>
    <w:rsid w:val="00E24B7F"/>
    <w:rsid w:val="00E24DAE"/>
    <w:rsid w:val="00E253BC"/>
    <w:rsid w:val="00E255A3"/>
    <w:rsid w:val="00E257DB"/>
    <w:rsid w:val="00E25B17"/>
    <w:rsid w:val="00E2609C"/>
    <w:rsid w:val="00E26E62"/>
    <w:rsid w:val="00E273A8"/>
    <w:rsid w:val="00E27B86"/>
    <w:rsid w:val="00E27C56"/>
    <w:rsid w:val="00E30060"/>
    <w:rsid w:val="00E30C39"/>
    <w:rsid w:val="00E30F7C"/>
    <w:rsid w:val="00E3112A"/>
    <w:rsid w:val="00E31CA2"/>
    <w:rsid w:val="00E31EEF"/>
    <w:rsid w:val="00E3237B"/>
    <w:rsid w:val="00E32FB2"/>
    <w:rsid w:val="00E33199"/>
    <w:rsid w:val="00E3338D"/>
    <w:rsid w:val="00E33666"/>
    <w:rsid w:val="00E336BA"/>
    <w:rsid w:val="00E339C9"/>
    <w:rsid w:val="00E33A19"/>
    <w:rsid w:val="00E33AF1"/>
    <w:rsid w:val="00E33CC0"/>
    <w:rsid w:val="00E33D84"/>
    <w:rsid w:val="00E340A8"/>
    <w:rsid w:val="00E34291"/>
    <w:rsid w:val="00E348D1"/>
    <w:rsid w:val="00E35295"/>
    <w:rsid w:val="00E359B4"/>
    <w:rsid w:val="00E36653"/>
    <w:rsid w:val="00E368A5"/>
    <w:rsid w:val="00E36A27"/>
    <w:rsid w:val="00E36B84"/>
    <w:rsid w:val="00E36D72"/>
    <w:rsid w:val="00E36F26"/>
    <w:rsid w:val="00E37D44"/>
    <w:rsid w:val="00E4022F"/>
    <w:rsid w:val="00E403CF"/>
    <w:rsid w:val="00E406EF"/>
    <w:rsid w:val="00E40799"/>
    <w:rsid w:val="00E40900"/>
    <w:rsid w:val="00E40C22"/>
    <w:rsid w:val="00E40DB4"/>
    <w:rsid w:val="00E4168D"/>
    <w:rsid w:val="00E419F4"/>
    <w:rsid w:val="00E41D64"/>
    <w:rsid w:val="00E42598"/>
    <w:rsid w:val="00E426F1"/>
    <w:rsid w:val="00E42CA5"/>
    <w:rsid w:val="00E433C4"/>
    <w:rsid w:val="00E43BAC"/>
    <w:rsid w:val="00E443A8"/>
    <w:rsid w:val="00E44850"/>
    <w:rsid w:val="00E4539B"/>
    <w:rsid w:val="00E45D97"/>
    <w:rsid w:val="00E45E5D"/>
    <w:rsid w:val="00E4634F"/>
    <w:rsid w:val="00E46984"/>
    <w:rsid w:val="00E46D1B"/>
    <w:rsid w:val="00E47092"/>
    <w:rsid w:val="00E479BE"/>
    <w:rsid w:val="00E47AB3"/>
    <w:rsid w:val="00E47D26"/>
    <w:rsid w:val="00E50024"/>
    <w:rsid w:val="00E50271"/>
    <w:rsid w:val="00E50667"/>
    <w:rsid w:val="00E50C86"/>
    <w:rsid w:val="00E517AD"/>
    <w:rsid w:val="00E519BA"/>
    <w:rsid w:val="00E51A50"/>
    <w:rsid w:val="00E51BBE"/>
    <w:rsid w:val="00E51F5B"/>
    <w:rsid w:val="00E520F3"/>
    <w:rsid w:val="00E526CC"/>
    <w:rsid w:val="00E52ACC"/>
    <w:rsid w:val="00E52FDF"/>
    <w:rsid w:val="00E5325C"/>
    <w:rsid w:val="00E53521"/>
    <w:rsid w:val="00E53721"/>
    <w:rsid w:val="00E537BE"/>
    <w:rsid w:val="00E539B8"/>
    <w:rsid w:val="00E539CB"/>
    <w:rsid w:val="00E53F65"/>
    <w:rsid w:val="00E541A4"/>
    <w:rsid w:val="00E54223"/>
    <w:rsid w:val="00E5435E"/>
    <w:rsid w:val="00E5444A"/>
    <w:rsid w:val="00E54A92"/>
    <w:rsid w:val="00E54CC0"/>
    <w:rsid w:val="00E54ECB"/>
    <w:rsid w:val="00E554B2"/>
    <w:rsid w:val="00E555AB"/>
    <w:rsid w:val="00E55658"/>
    <w:rsid w:val="00E55753"/>
    <w:rsid w:val="00E55A06"/>
    <w:rsid w:val="00E561E6"/>
    <w:rsid w:val="00E56533"/>
    <w:rsid w:val="00E5659E"/>
    <w:rsid w:val="00E5687B"/>
    <w:rsid w:val="00E56CCC"/>
    <w:rsid w:val="00E56DDD"/>
    <w:rsid w:val="00E571E0"/>
    <w:rsid w:val="00E5748E"/>
    <w:rsid w:val="00E577BA"/>
    <w:rsid w:val="00E57AE7"/>
    <w:rsid w:val="00E57B51"/>
    <w:rsid w:val="00E57F55"/>
    <w:rsid w:val="00E57FAA"/>
    <w:rsid w:val="00E602EC"/>
    <w:rsid w:val="00E6036A"/>
    <w:rsid w:val="00E608D4"/>
    <w:rsid w:val="00E60C8E"/>
    <w:rsid w:val="00E60D6F"/>
    <w:rsid w:val="00E61181"/>
    <w:rsid w:val="00E61738"/>
    <w:rsid w:val="00E61B40"/>
    <w:rsid w:val="00E61DE0"/>
    <w:rsid w:val="00E62358"/>
    <w:rsid w:val="00E623DE"/>
    <w:rsid w:val="00E623F8"/>
    <w:rsid w:val="00E623FC"/>
    <w:rsid w:val="00E62466"/>
    <w:rsid w:val="00E62581"/>
    <w:rsid w:val="00E6276D"/>
    <w:rsid w:val="00E62E02"/>
    <w:rsid w:val="00E62E7B"/>
    <w:rsid w:val="00E6308F"/>
    <w:rsid w:val="00E636C9"/>
    <w:rsid w:val="00E63749"/>
    <w:rsid w:val="00E63770"/>
    <w:rsid w:val="00E63A0D"/>
    <w:rsid w:val="00E63A38"/>
    <w:rsid w:val="00E63BEB"/>
    <w:rsid w:val="00E64574"/>
    <w:rsid w:val="00E646F5"/>
    <w:rsid w:val="00E65210"/>
    <w:rsid w:val="00E65521"/>
    <w:rsid w:val="00E65E13"/>
    <w:rsid w:val="00E67229"/>
    <w:rsid w:val="00E674E8"/>
    <w:rsid w:val="00E6776F"/>
    <w:rsid w:val="00E678F5"/>
    <w:rsid w:val="00E67DFA"/>
    <w:rsid w:val="00E67F1D"/>
    <w:rsid w:val="00E706BE"/>
    <w:rsid w:val="00E70D23"/>
    <w:rsid w:val="00E72211"/>
    <w:rsid w:val="00E72AB9"/>
    <w:rsid w:val="00E73180"/>
    <w:rsid w:val="00E73943"/>
    <w:rsid w:val="00E74078"/>
    <w:rsid w:val="00E742C4"/>
    <w:rsid w:val="00E74D67"/>
    <w:rsid w:val="00E75A13"/>
    <w:rsid w:val="00E75B4A"/>
    <w:rsid w:val="00E75D0C"/>
    <w:rsid w:val="00E7601E"/>
    <w:rsid w:val="00E762A3"/>
    <w:rsid w:val="00E7667E"/>
    <w:rsid w:val="00E766D3"/>
    <w:rsid w:val="00E76811"/>
    <w:rsid w:val="00E76BB2"/>
    <w:rsid w:val="00E76F15"/>
    <w:rsid w:val="00E76F5C"/>
    <w:rsid w:val="00E77095"/>
    <w:rsid w:val="00E7776B"/>
    <w:rsid w:val="00E77B5B"/>
    <w:rsid w:val="00E77C48"/>
    <w:rsid w:val="00E800B1"/>
    <w:rsid w:val="00E801A6"/>
    <w:rsid w:val="00E80877"/>
    <w:rsid w:val="00E80D29"/>
    <w:rsid w:val="00E80F47"/>
    <w:rsid w:val="00E815D6"/>
    <w:rsid w:val="00E81975"/>
    <w:rsid w:val="00E81E17"/>
    <w:rsid w:val="00E81EA2"/>
    <w:rsid w:val="00E81F99"/>
    <w:rsid w:val="00E820C3"/>
    <w:rsid w:val="00E82401"/>
    <w:rsid w:val="00E82416"/>
    <w:rsid w:val="00E826E5"/>
    <w:rsid w:val="00E8276C"/>
    <w:rsid w:val="00E828C5"/>
    <w:rsid w:val="00E82B0F"/>
    <w:rsid w:val="00E82FAE"/>
    <w:rsid w:val="00E8313E"/>
    <w:rsid w:val="00E834D9"/>
    <w:rsid w:val="00E836C2"/>
    <w:rsid w:val="00E83724"/>
    <w:rsid w:val="00E83732"/>
    <w:rsid w:val="00E83C1A"/>
    <w:rsid w:val="00E8442B"/>
    <w:rsid w:val="00E846F0"/>
    <w:rsid w:val="00E84F71"/>
    <w:rsid w:val="00E85185"/>
    <w:rsid w:val="00E85200"/>
    <w:rsid w:val="00E8556F"/>
    <w:rsid w:val="00E85635"/>
    <w:rsid w:val="00E856B2"/>
    <w:rsid w:val="00E8577A"/>
    <w:rsid w:val="00E85C14"/>
    <w:rsid w:val="00E87818"/>
    <w:rsid w:val="00E903A3"/>
    <w:rsid w:val="00E904E9"/>
    <w:rsid w:val="00E90B15"/>
    <w:rsid w:val="00E90DEA"/>
    <w:rsid w:val="00E91310"/>
    <w:rsid w:val="00E923C4"/>
    <w:rsid w:val="00E92701"/>
    <w:rsid w:val="00E92B4E"/>
    <w:rsid w:val="00E92C57"/>
    <w:rsid w:val="00E92CB6"/>
    <w:rsid w:val="00E92FF5"/>
    <w:rsid w:val="00E93CFD"/>
    <w:rsid w:val="00E94025"/>
    <w:rsid w:val="00E940A6"/>
    <w:rsid w:val="00E942D7"/>
    <w:rsid w:val="00E94345"/>
    <w:rsid w:val="00E9452D"/>
    <w:rsid w:val="00E94AC6"/>
    <w:rsid w:val="00E94CC8"/>
    <w:rsid w:val="00E94F8F"/>
    <w:rsid w:val="00E95018"/>
    <w:rsid w:val="00E950F0"/>
    <w:rsid w:val="00E95739"/>
    <w:rsid w:val="00E96414"/>
    <w:rsid w:val="00E9688D"/>
    <w:rsid w:val="00E9783E"/>
    <w:rsid w:val="00E97F26"/>
    <w:rsid w:val="00E97F4E"/>
    <w:rsid w:val="00EA0439"/>
    <w:rsid w:val="00EA06B0"/>
    <w:rsid w:val="00EA13C3"/>
    <w:rsid w:val="00EA151D"/>
    <w:rsid w:val="00EA1E3D"/>
    <w:rsid w:val="00EA2089"/>
    <w:rsid w:val="00EA235B"/>
    <w:rsid w:val="00EA23AF"/>
    <w:rsid w:val="00EA2685"/>
    <w:rsid w:val="00EA2A77"/>
    <w:rsid w:val="00EA30E5"/>
    <w:rsid w:val="00EA3AA2"/>
    <w:rsid w:val="00EA3E6B"/>
    <w:rsid w:val="00EA48A7"/>
    <w:rsid w:val="00EA4F96"/>
    <w:rsid w:val="00EA5230"/>
    <w:rsid w:val="00EA55C0"/>
    <w:rsid w:val="00EA5AB6"/>
    <w:rsid w:val="00EA6140"/>
    <w:rsid w:val="00EA6252"/>
    <w:rsid w:val="00EA6419"/>
    <w:rsid w:val="00EA68E0"/>
    <w:rsid w:val="00EA6B13"/>
    <w:rsid w:val="00EA72E2"/>
    <w:rsid w:val="00EA75D3"/>
    <w:rsid w:val="00EA7E5A"/>
    <w:rsid w:val="00EB00DA"/>
    <w:rsid w:val="00EB0484"/>
    <w:rsid w:val="00EB06B9"/>
    <w:rsid w:val="00EB08F4"/>
    <w:rsid w:val="00EB0EA0"/>
    <w:rsid w:val="00EB0EDA"/>
    <w:rsid w:val="00EB0F87"/>
    <w:rsid w:val="00EB111F"/>
    <w:rsid w:val="00EB141B"/>
    <w:rsid w:val="00EB1C5F"/>
    <w:rsid w:val="00EB1FFE"/>
    <w:rsid w:val="00EB20E2"/>
    <w:rsid w:val="00EB20EF"/>
    <w:rsid w:val="00EB23BE"/>
    <w:rsid w:val="00EB26B7"/>
    <w:rsid w:val="00EB27EA"/>
    <w:rsid w:val="00EB2935"/>
    <w:rsid w:val="00EB2AB8"/>
    <w:rsid w:val="00EB30A9"/>
    <w:rsid w:val="00EB3A20"/>
    <w:rsid w:val="00EB3ACE"/>
    <w:rsid w:val="00EB4127"/>
    <w:rsid w:val="00EB425D"/>
    <w:rsid w:val="00EB4320"/>
    <w:rsid w:val="00EB451E"/>
    <w:rsid w:val="00EB4C5C"/>
    <w:rsid w:val="00EB4CF6"/>
    <w:rsid w:val="00EB503D"/>
    <w:rsid w:val="00EB5184"/>
    <w:rsid w:val="00EB56BE"/>
    <w:rsid w:val="00EB57BF"/>
    <w:rsid w:val="00EB5C75"/>
    <w:rsid w:val="00EB5E87"/>
    <w:rsid w:val="00EB61C7"/>
    <w:rsid w:val="00EB61E4"/>
    <w:rsid w:val="00EB6250"/>
    <w:rsid w:val="00EB64F5"/>
    <w:rsid w:val="00EB6817"/>
    <w:rsid w:val="00EB6893"/>
    <w:rsid w:val="00EB6A0A"/>
    <w:rsid w:val="00EB727B"/>
    <w:rsid w:val="00EB79B8"/>
    <w:rsid w:val="00EB7AB2"/>
    <w:rsid w:val="00EB7B72"/>
    <w:rsid w:val="00EB7F4F"/>
    <w:rsid w:val="00EB7F7F"/>
    <w:rsid w:val="00EB7FCE"/>
    <w:rsid w:val="00EC061B"/>
    <w:rsid w:val="00EC0AD0"/>
    <w:rsid w:val="00EC1329"/>
    <w:rsid w:val="00EC1381"/>
    <w:rsid w:val="00EC13C1"/>
    <w:rsid w:val="00EC1489"/>
    <w:rsid w:val="00EC14AE"/>
    <w:rsid w:val="00EC15B7"/>
    <w:rsid w:val="00EC180D"/>
    <w:rsid w:val="00EC1A56"/>
    <w:rsid w:val="00EC1C6F"/>
    <w:rsid w:val="00EC2BDE"/>
    <w:rsid w:val="00EC308F"/>
    <w:rsid w:val="00EC3747"/>
    <w:rsid w:val="00EC3934"/>
    <w:rsid w:val="00EC3BFB"/>
    <w:rsid w:val="00EC3C64"/>
    <w:rsid w:val="00EC4013"/>
    <w:rsid w:val="00EC4093"/>
    <w:rsid w:val="00EC45FA"/>
    <w:rsid w:val="00EC48CD"/>
    <w:rsid w:val="00EC538F"/>
    <w:rsid w:val="00EC573C"/>
    <w:rsid w:val="00EC57FB"/>
    <w:rsid w:val="00EC5D90"/>
    <w:rsid w:val="00EC5DC7"/>
    <w:rsid w:val="00EC633D"/>
    <w:rsid w:val="00EC645B"/>
    <w:rsid w:val="00EC67A8"/>
    <w:rsid w:val="00EC693D"/>
    <w:rsid w:val="00EC6947"/>
    <w:rsid w:val="00EC6EEF"/>
    <w:rsid w:val="00EC7488"/>
    <w:rsid w:val="00EC7BEE"/>
    <w:rsid w:val="00EC7DA9"/>
    <w:rsid w:val="00ED0200"/>
    <w:rsid w:val="00ED02A3"/>
    <w:rsid w:val="00ED0341"/>
    <w:rsid w:val="00ED058B"/>
    <w:rsid w:val="00ED0776"/>
    <w:rsid w:val="00ED164E"/>
    <w:rsid w:val="00ED1FD5"/>
    <w:rsid w:val="00ED2082"/>
    <w:rsid w:val="00ED22B3"/>
    <w:rsid w:val="00ED25C9"/>
    <w:rsid w:val="00ED2685"/>
    <w:rsid w:val="00ED2BD3"/>
    <w:rsid w:val="00ED3669"/>
    <w:rsid w:val="00ED400F"/>
    <w:rsid w:val="00ED4024"/>
    <w:rsid w:val="00ED48D5"/>
    <w:rsid w:val="00ED4B0A"/>
    <w:rsid w:val="00ED4B2F"/>
    <w:rsid w:val="00ED559B"/>
    <w:rsid w:val="00ED5913"/>
    <w:rsid w:val="00ED5B4D"/>
    <w:rsid w:val="00ED5BBD"/>
    <w:rsid w:val="00ED5CCB"/>
    <w:rsid w:val="00ED5CF5"/>
    <w:rsid w:val="00ED6CC8"/>
    <w:rsid w:val="00ED767F"/>
    <w:rsid w:val="00ED791F"/>
    <w:rsid w:val="00EE043D"/>
    <w:rsid w:val="00EE0BCB"/>
    <w:rsid w:val="00EE0DF9"/>
    <w:rsid w:val="00EE0EC0"/>
    <w:rsid w:val="00EE1114"/>
    <w:rsid w:val="00EE11D1"/>
    <w:rsid w:val="00EE11EB"/>
    <w:rsid w:val="00EE2A81"/>
    <w:rsid w:val="00EE2C40"/>
    <w:rsid w:val="00EE2D98"/>
    <w:rsid w:val="00EE2F6E"/>
    <w:rsid w:val="00EE330E"/>
    <w:rsid w:val="00EE3318"/>
    <w:rsid w:val="00EE351F"/>
    <w:rsid w:val="00EE3604"/>
    <w:rsid w:val="00EE3A19"/>
    <w:rsid w:val="00EE3AD4"/>
    <w:rsid w:val="00EE4709"/>
    <w:rsid w:val="00EE483D"/>
    <w:rsid w:val="00EE4862"/>
    <w:rsid w:val="00EE4B40"/>
    <w:rsid w:val="00EE4CD3"/>
    <w:rsid w:val="00EE5966"/>
    <w:rsid w:val="00EE5B57"/>
    <w:rsid w:val="00EE5BBD"/>
    <w:rsid w:val="00EE616A"/>
    <w:rsid w:val="00EE618B"/>
    <w:rsid w:val="00EE6355"/>
    <w:rsid w:val="00EE6358"/>
    <w:rsid w:val="00EE666F"/>
    <w:rsid w:val="00EE7249"/>
    <w:rsid w:val="00EE7717"/>
    <w:rsid w:val="00EE7C51"/>
    <w:rsid w:val="00EE7EEC"/>
    <w:rsid w:val="00EF028F"/>
    <w:rsid w:val="00EF1363"/>
    <w:rsid w:val="00EF1C05"/>
    <w:rsid w:val="00EF350A"/>
    <w:rsid w:val="00EF3644"/>
    <w:rsid w:val="00EF379B"/>
    <w:rsid w:val="00EF3875"/>
    <w:rsid w:val="00EF39F1"/>
    <w:rsid w:val="00EF3E60"/>
    <w:rsid w:val="00EF4347"/>
    <w:rsid w:val="00EF442E"/>
    <w:rsid w:val="00EF444F"/>
    <w:rsid w:val="00EF497E"/>
    <w:rsid w:val="00EF4C5F"/>
    <w:rsid w:val="00EF57F3"/>
    <w:rsid w:val="00EF5B6C"/>
    <w:rsid w:val="00EF61E3"/>
    <w:rsid w:val="00EF6995"/>
    <w:rsid w:val="00EF6D1B"/>
    <w:rsid w:val="00EF6E92"/>
    <w:rsid w:val="00EF6EDF"/>
    <w:rsid w:val="00EF7008"/>
    <w:rsid w:val="00EF704B"/>
    <w:rsid w:val="00EF7338"/>
    <w:rsid w:val="00EF755D"/>
    <w:rsid w:val="00EF75CB"/>
    <w:rsid w:val="00EF7610"/>
    <w:rsid w:val="00EF7A28"/>
    <w:rsid w:val="00EF7B4E"/>
    <w:rsid w:val="00EF7D78"/>
    <w:rsid w:val="00F0027F"/>
    <w:rsid w:val="00F00389"/>
    <w:rsid w:val="00F0089D"/>
    <w:rsid w:val="00F00D6A"/>
    <w:rsid w:val="00F00F38"/>
    <w:rsid w:val="00F011F7"/>
    <w:rsid w:val="00F01F0C"/>
    <w:rsid w:val="00F01F1A"/>
    <w:rsid w:val="00F02869"/>
    <w:rsid w:val="00F02965"/>
    <w:rsid w:val="00F02A44"/>
    <w:rsid w:val="00F02A76"/>
    <w:rsid w:val="00F02D0F"/>
    <w:rsid w:val="00F02D17"/>
    <w:rsid w:val="00F02D76"/>
    <w:rsid w:val="00F03180"/>
    <w:rsid w:val="00F0370F"/>
    <w:rsid w:val="00F0374E"/>
    <w:rsid w:val="00F038FF"/>
    <w:rsid w:val="00F03C0C"/>
    <w:rsid w:val="00F03D2F"/>
    <w:rsid w:val="00F04289"/>
    <w:rsid w:val="00F0435F"/>
    <w:rsid w:val="00F04436"/>
    <w:rsid w:val="00F04509"/>
    <w:rsid w:val="00F0457C"/>
    <w:rsid w:val="00F04737"/>
    <w:rsid w:val="00F047E8"/>
    <w:rsid w:val="00F048B0"/>
    <w:rsid w:val="00F04C3F"/>
    <w:rsid w:val="00F04C43"/>
    <w:rsid w:val="00F04E19"/>
    <w:rsid w:val="00F051DC"/>
    <w:rsid w:val="00F0521C"/>
    <w:rsid w:val="00F0572E"/>
    <w:rsid w:val="00F0618A"/>
    <w:rsid w:val="00F06308"/>
    <w:rsid w:val="00F068C4"/>
    <w:rsid w:val="00F106B2"/>
    <w:rsid w:val="00F10A5A"/>
    <w:rsid w:val="00F10AF5"/>
    <w:rsid w:val="00F10B66"/>
    <w:rsid w:val="00F10D15"/>
    <w:rsid w:val="00F10DAD"/>
    <w:rsid w:val="00F11336"/>
    <w:rsid w:val="00F11C1F"/>
    <w:rsid w:val="00F121A6"/>
    <w:rsid w:val="00F12542"/>
    <w:rsid w:val="00F127B5"/>
    <w:rsid w:val="00F128BC"/>
    <w:rsid w:val="00F12A4D"/>
    <w:rsid w:val="00F12AB0"/>
    <w:rsid w:val="00F13055"/>
    <w:rsid w:val="00F131C0"/>
    <w:rsid w:val="00F13DAD"/>
    <w:rsid w:val="00F13E06"/>
    <w:rsid w:val="00F14060"/>
    <w:rsid w:val="00F1446A"/>
    <w:rsid w:val="00F14913"/>
    <w:rsid w:val="00F15794"/>
    <w:rsid w:val="00F16075"/>
    <w:rsid w:val="00F166C9"/>
    <w:rsid w:val="00F16D22"/>
    <w:rsid w:val="00F17530"/>
    <w:rsid w:val="00F179FC"/>
    <w:rsid w:val="00F17F83"/>
    <w:rsid w:val="00F204CA"/>
    <w:rsid w:val="00F205D9"/>
    <w:rsid w:val="00F2070E"/>
    <w:rsid w:val="00F211AB"/>
    <w:rsid w:val="00F21CEC"/>
    <w:rsid w:val="00F222DF"/>
    <w:rsid w:val="00F22459"/>
    <w:rsid w:val="00F227A7"/>
    <w:rsid w:val="00F22EE7"/>
    <w:rsid w:val="00F2311C"/>
    <w:rsid w:val="00F23549"/>
    <w:rsid w:val="00F23A69"/>
    <w:rsid w:val="00F242B6"/>
    <w:rsid w:val="00F24569"/>
    <w:rsid w:val="00F2466B"/>
    <w:rsid w:val="00F247D8"/>
    <w:rsid w:val="00F24BD8"/>
    <w:rsid w:val="00F24D7E"/>
    <w:rsid w:val="00F25337"/>
    <w:rsid w:val="00F253AD"/>
    <w:rsid w:val="00F25595"/>
    <w:rsid w:val="00F25D8B"/>
    <w:rsid w:val="00F26075"/>
    <w:rsid w:val="00F263AD"/>
    <w:rsid w:val="00F26740"/>
    <w:rsid w:val="00F26BBC"/>
    <w:rsid w:val="00F26C4E"/>
    <w:rsid w:val="00F27A1A"/>
    <w:rsid w:val="00F27C63"/>
    <w:rsid w:val="00F303B1"/>
    <w:rsid w:val="00F30870"/>
    <w:rsid w:val="00F3098A"/>
    <w:rsid w:val="00F30DA9"/>
    <w:rsid w:val="00F30E6C"/>
    <w:rsid w:val="00F30EDF"/>
    <w:rsid w:val="00F30F4B"/>
    <w:rsid w:val="00F3112B"/>
    <w:rsid w:val="00F321AB"/>
    <w:rsid w:val="00F3291D"/>
    <w:rsid w:val="00F33910"/>
    <w:rsid w:val="00F33D94"/>
    <w:rsid w:val="00F33DA2"/>
    <w:rsid w:val="00F34F7D"/>
    <w:rsid w:val="00F355AC"/>
    <w:rsid w:val="00F35D16"/>
    <w:rsid w:val="00F35ED3"/>
    <w:rsid w:val="00F366D1"/>
    <w:rsid w:val="00F368E9"/>
    <w:rsid w:val="00F36F7D"/>
    <w:rsid w:val="00F40153"/>
    <w:rsid w:val="00F40629"/>
    <w:rsid w:val="00F40668"/>
    <w:rsid w:val="00F40A96"/>
    <w:rsid w:val="00F40B04"/>
    <w:rsid w:val="00F40CEE"/>
    <w:rsid w:val="00F41572"/>
    <w:rsid w:val="00F41596"/>
    <w:rsid w:val="00F418E6"/>
    <w:rsid w:val="00F42014"/>
    <w:rsid w:val="00F4207F"/>
    <w:rsid w:val="00F429A7"/>
    <w:rsid w:val="00F42D4A"/>
    <w:rsid w:val="00F42DBA"/>
    <w:rsid w:val="00F4323E"/>
    <w:rsid w:val="00F44148"/>
    <w:rsid w:val="00F443BC"/>
    <w:rsid w:val="00F44797"/>
    <w:rsid w:val="00F44F45"/>
    <w:rsid w:val="00F4543D"/>
    <w:rsid w:val="00F458D2"/>
    <w:rsid w:val="00F45969"/>
    <w:rsid w:val="00F45D8D"/>
    <w:rsid w:val="00F464AA"/>
    <w:rsid w:val="00F47042"/>
    <w:rsid w:val="00F470D4"/>
    <w:rsid w:val="00F475C0"/>
    <w:rsid w:val="00F47881"/>
    <w:rsid w:val="00F47A94"/>
    <w:rsid w:val="00F47C8C"/>
    <w:rsid w:val="00F50726"/>
    <w:rsid w:val="00F50D8E"/>
    <w:rsid w:val="00F50E10"/>
    <w:rsid w:val="00F50FDD"/>
    <w:rsid w:val="00F51297"/>
    <w:rsid w:val="00F51677"/>
    <w:rsid w:val="00F516F9"/>
    <w:rsid w:val="00F518A1"/>
    <w:rsid w:val="00F53210"/>
    <w:rsid w:val="00F53980"/>
    <w:rsid w:val="00F53E5C"/>
    <w:rsid w:val="00F53FC4"/>
    <w:rsid w:val="00F54198"/>
    <w:rsid w:val="00F54228"/>
    <w:rsid w:val="00F542C9"/>
    <w:rsid w:val="00F54427"/>
    <w:rsid w:val="00F548EB"/>
    <w:rsid w:val="00F54C27"/>
    <w:rsid w:val="00F54C2B"/>
    <w:rsid w:val="00F55199"/>
    <w:rsid w:val="00F55582"/>
    <w:rsid w:val="00F55E4C"/>
    <w:rsid w:val="00F56264"/>
    <w:rsid w:val="00F56601"/>
    <w:rsid w:val="00F56DED"/>
    <w:rsid w:val="00F575D0"/>
    <w:rsid w:val="00F577ED"/>
    <w:rsid w:val="00F57F10"/>
    <w:rsid w:val="00F602ED"/>
    <w:rsid w:val="00F60850"/>
    <w:rsid w:val="00F60C22"/>
    <w:rsid w:val="00F60CAB"/>
    <w:rsid w:val="00F60D04"/>
    <w:rsid w:val="00F62CDA"/>
    <w:rsid w:val="00F63390"/>
    <w:rsid w:val="00F6339B"/>
    <w:rsid w:val="00F63889"/>
    <w:rsid w:val="00F63F01"/>
    <w:rsid w:val="00F64244"/>
    <w:rsid w:val="00F647A6"/>
    <w:rsid w:val="00F64B1B"/>
    <w:rsid w:val="00F64B5A"/>
    <w:rsid w:val="00F64E15"/>
    <w:rsid w:val="00F65395"/>
    <w:rsid w:val="00F659F6"/>
    <w:rsid w:val="00F65C3A"/>
    <w:rsid w:val="00F66512"/>
    <w:rsid w:val="00F66A7D"/>
    <w:rsid w:val="00F6708B"/>
    <w:rsid w:val="00F679BA"/>
    <w:rsid w:val="00F67CED"/>
    <w:rsid w:val="00F67D05"/>
    <w:rsid w:val="00F67F4F"/>
    <w:rsid w:val="00F67FEF"/>
    <w:rsid w:val="00F7097F"/>
    <w:rsid w:val="00F709E2"/>
    <w:rsid w:val="00F70F5C"/>
    <w:rsid w:val="00F711F7"/>
    <w:rsid w:val="00F7125C"/>
    <w:rsid w:val="00F71299"/>
    <w:rsid w:val="00F7131A"/>
    <w:rsid w:val="00F719EA"/>
    <w:rsid w:val="00F7256C"/>
    <w:rsid w:val="00F72BFA"/>
    <w:rsid w:val="00F72E81"/>
    <w:rsid w:val="00F732A4"/>
    <w:rsid w:val="00F738B9"/>
    <w:rsid w:val="00F749A4"/>
    <w:rsid w:val="00F74F04"/>
    <w:rsid w:val="00F751FA"/>
    <w:rsid w:val="00F754DD"/>
    <w:rsid w:val="00F75A42"/>
    <w:rsid w:val="00F75B28"/>
    <w:rsid w:val="00F75F2A"/>
    <w:rsid w:val="00F76329"/>
    <w:rsid w:val="00F7639D"/>
    <w:rsid w:val="00F7699F"/>
    <w:rsid w:val="00F7733F"/>
    <w:rsid w:val="00F7745E"/>
    <w:rsid w:val="00F77AC8"/>
    <w:rsid w:val="00F77B8E"/>
    <w:rsid w:val="00F77DB6"/>
    <w:rsid w:val="00F8026E"/>
    <w:rsid w:val="00F802A6"/>
    <w:rsid w:val="00F80347"/>
    <w:rsid w:val="00F80566"/>
    <w:rsid w:val="00F805CD"/>
    <w:rsid w:val="00F813CC"/>
    <w:rsid w:val="00F814BF"/>
    <w:rsid w:val="00F81A13"/>
    <w:rsid w:val="00F81B73"/>
    <w:rsid w:val="00F82132"/>
    <w:rsid w:val="00F82AF2"/>
    <w:rsid w:val="00F82CA0"/>
    <w:rsid w:val="00F831FD"/>
    <w:rsid w:val="00F83293"/>
    <w:rsid w:val="00F83990"/>
    <w:rsid w:val="00F83D44"/>
    <w:rsid w:val="00F83F7D"/>
    <w:rsid w:val="00F841C8"/>
    <w:rsid w:val="00F858EC"/>
    <w:rsid w:val="00F85D92"/>
    <w:rsid w:val="00F8627A"/>
    <w:rsid w:val="00F86963"/>
    <w:rsid w:val="00F86EFD"/>
    <w:rsid w:val="00F86FBE"/>
    <w:rsid w:val="00F870D6"/>
    <w:rsid w:val="00F87A2C"/>
    <w:rsid w:val="00F90413"/>
    <w:rsid w:val="00F90489"/>
    <w:rsid w:val="00F90502"/>
    <w:rsid w:val="00F90543"/>
    <w:rsid w:val="00F90A42"/>
    <w:rsid w:val="00F90BD3"/>
    <w:rsid w:val="00F90F27"/>
    <w:rsid w:val="00F91095"/>
    <w:rsid w:val="00F9179A"/>
    <w:rsid w:val="00F918A7"/>
    <w:rsid w:val="00F91B8C"/>
    <w:rsid w:val="00F91BBD"/>
    <w:rsid w:val="00F9228E"/>
    <w:rsid w:val="00F92404"/>
    <w:rsid w:val="00F924FA"/>
    <w:rsid w:val="00F9260C"/>
    <w:rsid w:val="00F92C39"/>
    <w:rsid w:val="00F93A8D"/>
    <w:rsid w:val="00F93F99"/>
    <w:rsid w:val="00F94901"/>
    <w:rsid w:val="00F94BF1"/>
    <w:rsid w:val="00F94CF4"/>
    <w:rsid w:val="00F954D7"/>
    <w:rsid w:val="00F95A1F"/>
    <w:rsid w:val="00F95AC2"/>
    <w:rsid w:val="00F95ACF"/>
    <w:rsid w:val="00F95C94"/>
    <w:rsid w:val="00F96218"/>
    <w:rsid w:val="00F9679D"/>
    <w:rsid w:val="00F96808"/>
    <w:rsid w:val="00F97093"/>
    <w:rsid w:val="00FA00F3"/>
    <w:rsid w:val="00FA0945"/>
    <w:rsid w:val="00FA09B3"/>
    <w:rsid w:val="00FA1536"/>
    <w:rsid w:val="00FA20D9"/>
    <w:rsid w:val="00FA22A5"/>
    <w:rsid w:val="00FA2592"/>
    <w:rsid w:val="00FA25F7"/>
    <w:rsid w:val="00FA2D64"/>
    <w:rsid w:val="00FA2DAF"/>
    <w:rsid w:val="00FA2E44"/>
    <w:rsid w:val="00FA2FF8"/>
    <w:rsid w:val="00FA3AEF"/>
    <w:rsid w:val="00FA3FEF"/>
    <w:rsid w:val="00FA42C8"/>
    <w:rsid w:val="00FA49D1"/>
    <w:rsid w:val="00FA51AD"/>
    <w:rsid w:val="00FA53FD"/>
    <w:rsid w:val="00FA56B1"/>
    <w:rsid w:val="00FA57B2"/>
    <w:rsid w:val="00FA5CB5"/>
    <w:rsid w:val="00FA6691"/>
    <w:rsid w:val="00FA6788"/>
    <w:rsid w:val="00FA7B04"/>
    <w:rsid w:val="00FA7B1D"/>
    <w:rsid w:val="00FA7C60"/>
    <w:rsid w:val="00FB0207"/>
    <w:rsid w:val="00FB0222"/>
    <w:rsid w:val="00FB02D8"/>
    <w:rsid w:val="00FB047C"/>
    <w:rsid w:val="00FB0704"/>
    <w:rsid w:val="00FB0C1D"/>
    <w:rsid w:val="00FB0DE4"/>
    <w:rsid w:val="00FB131B"/>
    <w:rsid w:val="00FB19AB"/>
    <w:rsid w:val="00FB2273"/>
    <w:rsid w:val="00FB260E"/>
    <w:rsid w:val="00FB2715"/>
    <w:rsid w:val="00FB28B3"/>
    <w:rsid w:val="00FB2945"/>
    <w:rsid w:val="00FB2B08"/>
    <w:rsid w:val="00FB3104"/>
    <w:rsid w:val="00FB31F2"/>
    <w:rsid w:val="00FB357D"/>
    <w:rsid w:val="00FB3C9B"/>
    <w:rsid w:val="00FB4137"/>
    <w:rsid w:val="00FB4374"/>
    <w:rsid w:val="00FB45AB"/>
    <w:rsid w:val="00FB4967"/>
    <w:rsid w:val="00FB51CA"/>
    <w:rsid w:val="00FB51E0"/>
    <w:rsid w:val="00FB58C7"/>
    <w:rsid w:val="00FB5BE5"/>
    <w:rsid w:val="00FB5E74"/>
    <w:rsid w:val="00FB5EDA"/>
    <w:rsid w:val="00FB6596"/>
    <w:rsid w:val="00FB663F"/>
    <w:rsid w:val="00FB68AD"/>
    <w:rsid w:val="00FB71F4"/>
    <w:rsid w:val="00FB74D4"/>
    <w:rsid w:val="00FB7AEB"/>
    <w:rsid w:val="00FB7D8F"/>
    <w:rsid w:val="00FC0101"/>
    <w:rsid w:val="00FC0498"/>
    <w:rsid w:val="00FC0526"/>
    <w:rsid w:val="00FC071F"/>
    <w:rsid w:val="00FC0C6B"/>
    <w:rsid w:val="00FC0D40"/>
    <w:rsid w:val="00FC0FBD"/>
    <w:rsid w:val="00FC1261"/>
    <w:rsid w:val="00FC187A"/>
    <w:rsid w:val="00FC1B87"/>
    <w:rsid w:val="00FC1BCA"/>
    <w:rsid w:val="00FC1E4E"/>
    <w:rsid w:val="00FC1E8D"/>
    <w:rsid w:val="00FC23B6"/>
    <w:rsid w:val="00FC24C7"/>
    <w:rsid w:val="00FC2847"/>
    <w:rsid w:val="00FC289C"/>
    <w:rsid w:val="00FC2BBE"/>
    <w:rsid w:val="00FC2BD5"/>
    <w:rsid w:val="00FC39AE"/>
    <w:rsid w:val="00FC3F6C"/>
    <w:rsid w:val="00FC4378"/>
    <w:rsid w:val="00FC4675"/>
    <w:rsid w:val="00FC6079"/>
    <w:rsid w:val="00FC61B5"/>
    <w:rsid w:val="00FC6434"/>
    <w:rsid w:val="00FC64A6"/>
    <w:rsid w:val="00FC69B0"/>
    <w:rsid w:val="00FC6ECF"/>
    <w:rsid w:val="00FC7377"/>
    <w:rsid w:val="00FC7620"/>
    <w:rsid w:val="00FC78CB"/>
    <w:rsid w:val="00FC7CA5"/>
    <w:rsid w:val="00FC7D37"/>
    <w:rsid w:val="00FC7EF1"/>
    <w:rsid w:val="00FC7F36"/>
    <w:rsid w:val="00FD00A1"/>
    <w:rsid w:val="00FD026D"/>
    <w:rsid w:val="00FD0BE0"/>
    <w:rsid w:val="00FD0D44"/>
    <w:rsid w:val="00FD17AA"/>
    <w:rsid w:val="00FD191F"/>
    <w:rsid w:val="00FD1ACE"/>
    <w:rsid w:val="00FD1EEE"/>
    <w:rsid w:val="00FD1F2B"/>
    <w:rsid w:val="00FD20FA"/>
    <w:rsid w:val="00FD2262"/>
    <w:rsid w:val="00FD2320"/>
    <w:rsid w:val="00FD2CF4"/>
    <w:rsid w:val="00FD2F35"/>
    <w:rsid w:val="00FD3149"/>
    <w:rsid w:val="00FD33D8"/>
    <w:rsid w:val="00FD3617"/>
    <w:rsid w:val="00FD3F86"/>
    <w:rsid w:val="00FD40BB"/>
    <w:rsid w:val="00FD45AC"/>
    <w:rsid w:val="00FD46E4"/>
    <w:rsid w:val="00FD5241"/>
    <w:rsid w:val="00FD565A"/>
    <w:rsid w:val="00FD5690"/>
    <w:rsid w:val="00FD5705"/>
    <w:rsid w:val="00FD58E2"/>
    <w:rsid w:val="00FD5C67"/>
    <w:rsid w:val="00FD61A7"/>
    <w:rsid w:val="00FD628A"/>
    <w:rsid w:val="00FD6A36"/>
    <w:rsid w:val="00FD7043"/>
    <w:rsid w:val="00FD70B7"/>
    <w:rsid w:val="00FD755C"/>
    <w:rsid w:val="00FD7736"/>
    <w:rsid w:val="00FE0494"/>
    <w:rsid w:val="00FE0500"/>
    <w:rsid w:val="00FE073C"/>
    <w:rsid w:val="00FE0B47"/>
    <w:rsid w:val="00FE0C4D"/>
    <w:rsid w:val="00FE10AC"/>
    <w:rsid w:val="00FE13B9"/>
    <w:rsid w:val="00FE1DF4"/>
    <w:rsid w:val="00FE1E27"/>
    <w:rsid w:val="00FE22F0"/>
    <w:rsid w:val="00FE2338"/>
    <w:rsid w:val="00FE2947"/>
    <w:rsid w:val="00FE2B1E"/>
    <w:rsid w:val="00FE2FD5"/>
    <w:rsid w:val="00FE3540"/>
    <w:rsid w:val="00FE391D"/>
    <w:rsid w:val="00FE3FD4"/>
    <w:rsid w:val="00FE4D77"/>
    <w:rsid w:val="00FE58AD"/>
    <w:rsid w:val="00FE58B0"/>
    <w:rsid w:val="00FE5EBE"/>
    <w:rsid w:val="00FE600D"/>
    <w:rsid w:val="00FE6053"/>
    <w:rsid w:val="00FE69C1"/>
    <w:rsid w:val="00FE6B04"/>
    <w:rsid w:val="00FE6CEC"/>
    <w:rsid w:val="00FE7252"/>
    <w:rsid w:val="00FE7351"/>
    <w:rsid w:val="00FE74B0"/>
    <w:rsid w:val="00FE74E3"/>
    <w:rsid w:val="00FE75EC"/>
    <w:rsid w:val="00FE7C33"/>
    <w:rsid w:val="00FF03E4"/>
    <w:rsid w:val="00FF0720"/>
    <w:rsid w:val="00FF0B0D"/>
    <w:rsid w:val="00FF0C8D"/>
    <w:rsid w:val="00FF1037"/>
    <w:rsid w:val="00FF156F"/>
    <w:rsid w:val="00FF27ED"/>
    <w:rsid w:val="00FF285D"/>
    <w:rsid w:val="00FF372B"/>
    <w:rsid w:val="00FF3C0A"/>
    <w:rsid w:val="00FF3C8A"/>
    <w:rsid w:val="00FF3EC8"/>
    <w:rsid w:val="00FF4187"/>
    <w:rsid w:val="00FF488C"/>
    <w:rsid w:val="00FF48B6"/>
    <w:rsid w:val="00FF503C"/>
    <w:rsid w:val="00FF5446"/>
    <w:rsid w:val="00FF585F"/>
    <w:rsid w:val="00FF64D5"/>
    <w:rsid w:val="00FF657F"/>
    <w:rsid w:val="00FF6A19"/>
    <w:rsid w:val="00FF6AEA"/>
    <w:rsid w:val="00FF6B73"/>
    <w:rsid w:val="00FF6D26"/>
    <w:rsid w:val="00FF6F30"/>
    <w:rsid w:val="00FF7732"/>
    <w:rsid w:val="00FF787E"/>
    <w:rsid w:val="00FF7951"/>
    <w:rsid w:val="00FF7960"/>
    <w:rsid w:val="00FF7C7E"/>
    <w:rsid w:val="00FF7CAA"/>
    <w:rsid w:val="00FF7CB5"/>
    <w:rsid w:val="00FF7C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F64A5"/>
    <w:rPr>
      <w:sz w:val="24"/>
      <w:szCs w:val="24"/>
    </w:rPr>
  </w:style>
  <w:style w:type="paragraph" w:styleId="Heading1">
    <w:name w:val="heading 1"/>
    <w:basedOn w:val="BodyText"/>
    <w:next w:val="BodyText"/>
    <w:rsid w:val="00BF64A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F64A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F64A5"/>
    <w:pPr>
      <w:spacing w:before="560" w:line="320" w:lineRule="exact"/>
      <w:ind w:left="0" w:firstLine="0"/>
      <w:outlineLvl w:val="2"/>
    </w:pPr>
    <w:rPr>
      <w:sz w:val="26"/>
    </w:rPr>
  </w:style>
  <w:style w:type="paragraph" w:styleId="Heading4">
    <w:name w:val="heading 4"/>
    <w:basedOn w:val="Heading3"/>
    <w:next w:val="BodyText"/>
    <w:link w:val="Heading4Char"/>
    <w:qFormat/>
    <w:rsid w:val="00BF64A5"/>
    <w:pPr>
      <w:spacing w:before="480"/>
      <w:outlineLvl w:val="3"/>
    </w:pPr>
    <w:rPr>
      <w:b w:val="0"/>
      <w:sz w:val="24"/>
    </w:rPr>
  </w:style>
  <w:style w:type="paragraph" w:styleId="Heading5">
    <w:name w:val="heading 5"/>
    <w:basedOn w:val="Heading4"/>
    <w:next w:val="BodyText"/>
    <w:link w:val="Heading5Char"/>
    <w:qFormat/>
    <w:rsid w:val="00BF64A5"/>
    <w:pPr>
      <w:outlineLvl w:val="4"/>
    </w:pPr>
    <w:rPr>
      <w:i/>
      <w:sz w:val="22"/>
    </w:rPr>
  </w:style>
  <w:style w:type="paragraph" w:styleId="Heading6">
    <w:name w:val="heading 6"/>
    <w:basedOn w:val="BodyText"/>
    <w:next w:val="BodyText"/>
    <w:rsid w:val="00BF64A5"/>
    <w:pPr>
      <w:spacing w:after="60"/>
      <w:jc w:val="left"/>
      <w:outlineLvl w:val="5"/>
    </w:pPr>
    <w:rPr>
      <w:i/>
      <w:sz w:val="22"/>
    </w:rPr>
  </w:style>
  <w:style w:type="paragraph" w:styleId="Heading7">
    <w:name w:val="heading 7"/>
    <w:basedOn w:val="BodyText"/>
    <w:next w:val="BodyText"/>
    <w:rsid w:val="00BF64A5"/>
    <w:pPr>
      <w:spacing w:after="60" w:line="240" w:lineRule="auto"/>
      <w:jc w:val="left"/>
      <w:outlineLvl w:val="6"/>
    </w:pPr>
    <w:rPr>
      <w:rFonts w:ascii="Arial" w:hAnsi="Arial"/>
      <w:sz w:val="20"/>
    </w:rPr>
  </w:style>
  <w:style w:type="paragraph" w:styleId="Heading8">
    <w:name w:val="heading 8"/>
    <w:basedOn w:val="BodyText"/>
    <w:next w:val="BodyText"/>
    <w:rsid w:val="00BF64A5"/>
    <w:pPr>
      <w:spacing w:after="60" w:line="240" w:lineRule="auto"/>
      <w:jc w:val="left"/>
      <w:outlineLvl w:val="7"/>
    </w:pPr>
    <w:rPr>
      <w:rFonts w:ascii="Arial" w:hAnsi="Arial"/>
      <w:i/>
      <w:sz w:val="20"/>
    </w:rPr>
  </w:style>
  <w:style w:type="paragraph" w:styleId="Heading9">
    <w:name w:val="heading 9"/>
    <w:basedOn w:val="BodyText"/>
    <w:next w:val="BodyText"/>
    <w:rsid w:val="00BF64A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64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4A5"/>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BF64A5"/>
    <w:pPr>
      <w:spacing w:before="240" w:line="300" w:lineRule="atLeast"/>
      <w:jc w:val="both"/>
    </w:pPr>
    <w:rPr>
      <w:sz w:val="24"/>
    </w:rPr>
  </w:style>
  <w:style w:type="paragraph" w:customStyle="1" w:styleId="Chapter">
    <w:name w:val="Chapter"/>
    <w:basedOn w:val="Heading1"/>
    <w:next w:val="BodyText"/>
    <w:semiHidden/>
    <w:rsid w:val="00BF64A5"/>
    <w:pPr>
      <w:ind w:left="0" w:firstLine="0"/>
      <w:outlineLvl w:val="9"/>
    </w:pPr>
  </w:style>
  <w:style w:type="paragraph" w:customStyle="1" w:styleId="SequenceInfo">
    <w:name w:val="Sequence Info"/>
    <w:basedOn w:val="BodyText"/>
    <w:semiHidden/>
    <w:rsid w:val="00BF64A5"/>
    <w:rPr>
      <w:vanish/>
      <w:sz w:val="16"/>
    </w:rPr>
  </w:style>
  <w:style w:type="character" w:styleId="CommentReference">
    <w:name w:val="annotation reference"/>
    <w:basedOn w:val="DefaultParagraphFont"/>
    <w:semiHidden/>
    <w:rsid w:val="00BF64A5"/>
    <w:rPr>
      <w:b/>
      <w:vanish/>
      <w:color w:val="FF00FF"/>
      <w:sz w:val="20"/>
    </w:rPr>
  </w:style>
  <w:style w:type="paragraph" w:styleId="CommentText">
    <w:name w:val="annotation text"/>
    <w:basedOn w:val="Normal"/>
    <w:link w:val="CommentTextChar"/>
    <w:semiHidden/>
    <w:rsid w:val="00BF64A5"/>
    <w:pPr>
      <w:spacing w:before="120" w:line="240" w:lineRule="atLeast"/>
      <w:ind w:left="567" w:hanging="567"/>
    </w:pPr>
    <w:rPr>
      <w:sz w:val="20"/>
    </w:rPr>
  </w:style>
  <w:style w:type="paragraph" w:customStyle="1" w:styleId="Abbreviation">
    <w:name w:val="Abbreviation"/>
    <w:basedOn w:val="BodyText"/>
    <w:rsid w:val="00BF64A5"/>
    <w:pPr>
      <w:spacing w:before="120"/>
      <w:ind w:left="2381" w:hanging="2381"/>
      <w:jc w:val="left"/>
    </w:pPr>
  </w:style>
  <w:style w:type="paragraph" w:customStyle="1" w:styleId="Box">
    <w:name w:val="Box"/>
    <w:basedOn w:val="BodyText"/>
    <w:link w:val="BoxChar"/>
    <w:qFormat/>
    <w:rsid w:val="00BF64A5"/>
    <w:pPr>
      <w:keepNext/>
      <w:spacing w:before="120" w:line="260" w:lineRule="atLeast"/>
    </w:pPr>
    <w:rPr>
      <w:rFonts w:ascii="Arial" w:hAnsi="Arial"/>
      <w:sz w:val="20"/>
    </w:rPr>
  </w:style>
  <w:style w:type="paragraph" w:customStyle="1" w:styleId="QuoteBullet">
    <w:name w:val="Quote Bullet"/>
    <w:basedOn w:val="Quote"/>
    <w:rsid w:val="00BF64A5"/>
    <w:pPr>
      <w:numPr>
        <w:numId w:val="11"/>
      </w:numPr>
    </w:pPr>
  </w:style>
  <w:style w:type="paragraph" w:styleId="Quote">
    <w:name w:val="Quote"/>
    <w:basedOn w:val="BodyText"/>
    <w:next w:val="BodyText"/>
    <w:qFormat/>
    <w:rsid w:val="00BF64A5"/>
    <w:pPr>
      <w:spacing w:before="120" w:line="280" w:lineRule="exact"/>
      <w:ind w:left="340"/>
    </w:pPr>
    <w:rPr>
      <w:sz w:val="22"/>
    </w:rPr>
  </w:style>
  <w:style w:type="paragraph" w:customStyle="1" w:styleId="BoxListBullet">
    <w:name w:val="Box List Bullet"/>
    <w:basedOn w:val="BodyText"/>
    <w:link w:val="BoxListBulletChar"/>
    <w:rsid w:val="00BF64A5"/>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BF64A5"/>
    <w:pPr>
      <w:numPr>
        <w:numId w:val="3"/>
      </w:numPr>
      <w:ind w:left="568" w:hanging="284"/>
    </w:pPr>
  </w:style>
  <w:style w:type="paragraph" w:customStyle="1" w:styleId="BoxListNumber">
    <w:name w:val="Box List Number"/>
    <w:basedOn w:val="BodyText"/>
    <w:rsid w:val="00BF64A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F64A5"/>
    <w:pPr>
      <w:numPr>
        <w:ilvl w:val="1"/>
      </w:numPr>
      <w:ind w:left="681" w:hanging="397"/>
    </w:pPr>
  </w:style>
  <w:style w:type="paragraph" w:customStyle="1" w:styleId="BoxQuote">
    <w:name w:val="Box Quote"/>
    <w:basedOn w:val="BodyText"/>
    <w:next w:val="Box"/>
    <w:qFormat/>
    <w:rsid w:val="00BF64A5"/>
    <w:pPr>
      <w:keepNext/>
      <w:spacing w:before="60" w:line="240" w:lineRule="exact"/>
      <w:ind w:left="284"/>
    </w:pPr>
    <w:rPr>
      <w:rFonts w:ascii="Arial" w:hAnsi="Arial"/>
      <w:sz w:val="18"/>
    </w:rPr>
  </w:style>
  <w:style w:type="paragraph" w:customStyle="1" w:styleId="BoxSource">
    <w:name w:val="Box Source"/>
    <w:basedOn w:val="Source"/>
    <w:next w:val="BodyText"/>
    <w:rsid w:val="00BF64A5"/>
    <w:pPr>
      <w:spacing w:before="120"/>
    </w:pPr>
  </w:style>
  <w:style w:type="paragraph" w:customStyle="1" w:styleId="Source">
    <w:name w:val="Source"/>
    <w:basedOn w:val="Normal"/>
    <w:next w:val="BodyText"/>
    <w:link w:val="SourceChar"/>
    <w:rsid w:val="00BF64A5"/>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BF64A5"/>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BF64A5"/>
    <w:pPr>
      <w:spacing w:after="80" w:line="200" w:lineRule="exact"/>
      <w:ind w:firstLine="0"/>
    </w:pPr>
    <w:rPr>
      <w:b w:val="0"/>
      <w:sz w:val="20"/>
    </w:rPr>
  </w:style>
  <w:style w:type="paragraph" w:customStyle="1" w:styleId="BoxTitle">
    <w:name w:val="Box Title"/>
    <w:basedOn w:val="Caption"/>
    <w:next w:val="BoxSubtitle"/>
    <w:link w:val="BoxTitleChar"/>
    <w:rsid w:val="00BF64A5"/>
    <w:pPr>
      <w:spacing w:before="120" w:after="0"/>
    </w:pPr>
  </w:style>
  <w:style w:type="paragraph" w:styleId="Caption">
    <w:name w:val="caption"/>
    <w:basedOn w:val="Normal"/>
    <w:next w:val="BodyText"/>
    <w:rsid w:val="00BF64A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BF64A5"/>
    <w:pPr>
      <w:spacing w:line="280" w:lineRule="atLeast"/>
      <w:ind w:left="907"/>
    </w:pPr>
    <w:rPr>
      <w:rFonts w:ascii="Arial" w:hAnsi="Arial"/>
      <w:b/>
      <w:sz w:val="20"/>
    </w:rPr>
  </w:style>
  <w:style w:type="character" w:customStyle="1" w:styleId="DocumentInfo">
    <w:name w:val="Document Info"/>
    <w:basedOn w:val="DefaultParagraphFont"/>
    <w:semiHidden/>
    <w:rsid w:val="00BF64A5"/>
    <w:rPr>
      <w:rFonts w:ascii="Arial" w:hAnsi="Arial"/>
      <w:sz w:val="14"/>
    </w:rPr>
  </w:style>
  <w:style w:type="paragraph" w:styleId="Footer">
    <w:name w:val="footer"/>
    <w:basedOn w:val="BodyText"/>
    <w:link w:val="FooterChar"/>
    <w:rsid w:val="00BF64A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BF64A5"/>
    <w:rPr>
      <w:b/>
      <w:color w:val="FF0000"/>
      <w:sz w:val="24"/>
      <w:u w:val="dotted"/>
    </w:rPr>
  </w:style>
  <w:style w:type="paragraph" w:customStyle="1" w:styleId="BoxContinued">
    <w:name w:val="Box Continued"/>
    <w:basedOn w:val="BodyText"/>
    <w:next w:val="BodyText"/>
    <w:link w:val="BoxContinuedChar"/>
    <w:semiHidden/>
    <w:rsid w:val="00BF64A5"/>
    <w:pPr>
      <w:spacing w:before="180" w:line="220" w:lineRule="exact"/>
      <w:jc w:val="right"/>
    </w:pPr>
    <w:rPr>
      <w:rFonts w:ascii="Arial" w:hAnsi="Arial"/>
      <w:sz w:val="18"/>
    </w:rPr>
  </w:style>
  <w:style w:type="paragraph" w:customStyle="1" w:styleId="Figure">
    <w:name w:val="Figure"/>
    <w:basedOn w:val="BodyText"/>
    <w:rsid w:val="00BF64A5"/>
    <w:pPr>
      <w:keepNext/>
      <w:spacing w:before="120" w:after="120" w:line="240" w:lineRule="atLeast"/>
      <w:jc w:val="center"/>
    </w:pPr>
  </w:style>
  <w:style w:type="paragraph" w:customStyle="1" w:styleId="FigureTitle">
    <w:name w:val="Figure Title"/>
    <w:basedOn w:val="Caption"/>
    <w:next w:val="Subtitle"/>
    <w:rsid w:val="00BF64A5"/>
    <w:pPr>
      <w:spacing w:before="120"/>
    </w:pPr>
  </w:style>
  <w:style w:type="paragraph" w:styleId="Subtitle">
    <w:name w:val="Subtitle"/>
    <w:basedOn w:val="Caption"/>
    <w:link w:val="SubtitleChar"/>
    <w:qFormat/>
    <w:rsid w:val="00BF64A5"/>
    <w:pPr>
      <w:spacing w:before="0" w:line="200" w:lineRule="exact"/>
      <w:ind w:firstLine="0"/>
    </w:pPr>
    <w:rPr>
      <w:b w:val="0"/>
      <w:sz w:val="20"/>
    </w:rPr>
  </w:style>
  <w:style w:type="paragraph" w:customStyle="1" w:styleId="Finding">
    <w:name w:val="Finding"/>
    <w:basedOn w:val="BodyText"/>
    <w:rsid w:val="00BF64A5"/>
    <w:pPr>
      <w:keepLines/>
      <w:spacing w:before="120" w:line="280" w:lineRule="atLeast"/>
    </w:pPr>
    <w:rPr>
      <w:rFonts w:ascii="Arial" w:hAnsi="Arial"/>
      <w:sz w:val="22"/>
    </w:rPr>
  </w:style>
  <w:style w:type="paragraph" w:customStyle="1" w:styleId="FindingBullet">
    <w:name w:val="Finding Bullet"/>
    <w:basedOn w:val="Finding"/>
    <w:rsid w:val="00BF64A5"/>
    <w:pPr>
      <w:numPr>
        <w:numId w:val="7"/>
      </w:numPr>
      <w:spacing w:before="80"/>
    </w:pPr>
  </w:style>
  <w:style w:type="paragraph" w:customStyle="1" w:styleId="FindingNoTitle">
    <w:name w:val="Finding NoTitle"/>
    <w:basedOn w:val="Finding"/>
    <w:rsid w:val="00BF64A5"/>
    <w:pPr>
      <w:spacing w:before="240"/>
    </w:pPr>
  </w:style>
  <w:style w:type="paragraph" w:customStyle="1" w:styleId="FindingTitle">
    <w:name w:val="Finding Title"/>
    <w:basedOn w:val="RecTitle"/>
    <w:next w:val="Finding"/>
    <w:rsid w:val="00BF64A5"/>
  </w:style>
  <w:style w:type="paragraph" w:customStyle="1" w:styleId="RecTitle">
    <w:name w:val="Rec Title"/>
    <w:basedOn w:val="BodyText"/>
    <w:next w:val="Rec"/>
    <w:qFormat/>
    <w:rsid w:val="00BF64A5"/>
    <w:pPr>
      <w:keepNext/>
      <w:keepLines/>
      <w:spacing w:line="280" w:lineRule="atLeast"/>
    </w:pPr>
    <w:rPr>
      <w:rFonts w:ascii="Arial" w:hAnsi="Arial"/>
      <w:caps/>
      <w:sz w:val="18"/>
    </w:rPr>
  </w:style>
  <w:style w:type="paragraph" w:customStyle="1" w:styleId="FooterEnd">
    <w:name w:val="Footer End"/>
    <w:basedOn w:val="Footer"/>
    <w:rsid w:val="00BF64A5"/>
    <w:pPr>
      <w:spacing w:before="0" w:line="20" w:lineRule="exact"/>
    </w:pPr>
  </w:style>
  <w:style w:type="character" w:styleId="FootnoteReference">
    <w:name w:val="footnote reference"/>
    <w:basedOn w:val="DefaultParagraphFont"/>
    <w:semiHidden/>
    <w:rsid w:val="00BF64A5"/>
    <w:rPr>
      <w:rFonts w:ascii="Times New Roman" w:hAnsi="Times New Roman"/>
      <w:position w:val="6"/>
      <w:sz w:val="20"/>
      <w:vertAlign w:val="baseline"/>
    </w:rPr>
  </w:style>
  <w:style w:type="paragraph" w:styleId="FootnoteText">
    <w:name w:val="footnote text"/>
    <w:basedOn w:val="BodyText"/>
    <w:rsid w:val="00BF64A5"/>
    <w:pPr>
      <w:tabs>
        <w:tab w:val="left" w:pos="284"/>
      </w:tabs>
      <w:spacing w:before="80" w:line="240" w:lineRule="exact"/>
      <w:ind w:left="284" w:hanging="284"/>
    </w:pPr>
    <w:rPr>
      <w:sz w:val="20"/>
    </w:rPr>
  </w:style>
  <w:style w:type="paragraph" w:styleId="Header">
    <w:name w:val="header"/>
    <w:basedOn w:val="BodyText"/>
    <w:rsid w:val="00BF64A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64A5"/>
    <w:pPr>
      <w:spacing w:line="20" w:lineRule="exact"/>
    </w:pPr>
    <w:rPr>
      <w:sz w:val="16"/>
    </w:rPr>
  </w:style>
  <w:style w:type="paragraph" w:customStyle="1" w:styleId="HeaderEven">
    <w:name w:val="Header Even"/>
    <w:basedOn w:val="Header"/>
    <w:semiHidden/>
    <w:rsid w:val="00BF64A5"/>
  </w:style>
  <w:style w:type="paragraph" w:customStyle="1" w:styleId="HeaderOdd">
    <w:name w:val="Header Odd"/>
    <w:basedOn w:val="Header"/>
    <w:rsid w:val="00BF64A5"/>
  </w:style>
  <w:style w:type="paragraph" w:customStyle="1" w:styleId="InformationRequest">
    <w:name w:val="Information Request"/>
    <w:basedOn w:val="Finding"/>
    <w:next w:val="BodyText"/>
    <w:rsid w:val="00BF64A5"/>
    <w:rPr>
      <w:i/>
    </w:rPr>
  </w:style>
  <w:style w:type="paragraph" w:styleId="ListBullet">
    <w:name w:val="List Bullet"/>
    <w:basedOn w:val="BodyText"/>
    <w:link w:val="ListBulletChar"/>
    <w:rsid w:val="00BF64A5"/>
    <w:pPr>
      <w:numPr>
        <w:numId w:val="5"/>
      </w:numPr>
      <w:spacing w:before="120"/>
    </w:pPr>
  </w:style>
  <w:style w:type="paragraph" w:styleId="ListBullet2">
    <w:name w:val="List Bullet 2"/>
    <w:basedOn w:val="BodyText"/>
    <w:rsid w:val="00BF64A5"/>
    <w:pPr>
      <w:numPr>
        <w:numId w:val="2"/>
      </w:numPr>
      <w:spacing w:before="120"/>
    </w:pPr>
  </w:style>
  <w:style w:type="paragraph" w:styleId="ListBullet3">
    <w:name w:val="List Bullet 3"/>
    <w:basedOn w:val="BodyText"/>
    <w:rsid w:val="00BF64A5"/>
    <w:pPr>
      <w:numPr>
        <w:numId w:val="1"/>
      </w:numPr>
      <w:spacing w:before="120"/>
      <w:ind w:left="1020" w:hanging="340"/>
    </w:pPr>
  </w:style>
  <w:style w:type="paragraph" w:styleId="ListNumber">
    <w:name w:val="List Number"/>
    <w:basedOn w:val="BodyText"/>
    <w:rsid w:val="00BF64A5"/>
    <w:pPr>
      <w:numPr>
        <w:numId w:val="13"/>
      </w:numPr>
      <w:spacing w:before="120"/>
    </w:pPr>
  </w:style>
  <w:style w:type="paragraph" w:styleId="ListNumber2">
    <w:name w:val="List Number 2"/>
    <w:basedOn w:val="ListNumber"/>
    <w:rsid w:val="00BF64A5"/>
    <w:pPr>
      <w:numPr>
        <w:ilvl w:val="1"/>
      </w:numPr>
    </w:pPr>
  </w:style>
  <w:style w:type="paragraph" w:styleId="ListNumber3">
    <w:name w:val="List Number 3"/>
    <w:basedOn w:val="ListNumber2"/>
    <w:rsid w:val="00BF64A5"/>
    <w:pPr>
      <w:numPr>
        <w:ilvl w:val="2"/>
      </w:numPr>
    </w:pPr>
  </w:style>
  <w:style w:type="character" w:customStyle="1" w:styleId="NoteLabel">
    <w:name w:val="Note Label"/>
    <w:basedOn w:val="DefaultParagraphFont"/>
    <w:rsid w:val="00BF64A5"/>
    <w:rPr>
      <w:rFonts w:ascii="Arial" w:hAnsi="Arial"/>
      <w:b/>
      <w:position w:val="6"/>
      <w:sz w:val="18"/>
    </w:rPr>
  </w:style>
  <w:style w:type="character" w:styleId="PageNumber">
    <w:name w:val="page number"/>
    <w:basedOn w:val="DefaultParagraphFont"/>
    <w:rsid w:val="00BF64A5"/>
    <w:rPr>
      <w:rFonts w:ascii="Arial" w:hAnsi="Arial"/>
      <w:b/>
      <w:sz w:val="16"/>
    </w:rPr>
  </w:style>
  <w:style w:type="paragraph" w:customStyle="1" w:styleId="PartDivider">
    <w:name w:val="Part Divider"/>
    <w:basedOn w:val="BodyText"/>
    <w:next w:val="BodyText"/>
    <w:semiHidden/>
    <w:rsid w:val="00BF64A5"/>
    <w:pPr>
      <w:spacing w:before="0" w:line="40" w:lineRule="exact"/>
      <w:jc w:val="right"/>
    </w:pPr>
    <w:rPr>
      <w:smallCaps/>
      <w:sz w:val="16"/>
    </w:rPr>
  </w:style>
  <w:style w:type="paragraph" w:customStyle="1" w:styleId="PartNumber">
    <w:name w:val="Part Number"/>
    <w:basedOn w:val="BodyText"/>
    <w:next w:val="BodyText"/>
    <w:semiHidden/>
    <w:rsid w:val="00BF64A5"/>
    <w:pPr>
      <w:spacing w:before="4000" w:line="320" w:lineRule="exact"/>
      <w:ind w:left="6634"/>
      <w:jc w:val="right"/>
    </w:pPr>
    <w:rPr>
      <w:smallCaps/>
      <w:spacing w:val="60"/>
      <w:sz w:val="32"/>
    </w:rPr>
  </w:style>
  <w:style w:type="paragraph" w:customStyle="1" w:styleId="PartTitle">
    <w:name w:val="Part Title"/>
    <w:basedOn w:val="BodyText"/>
    <w:semiHidden/>
    <w:rsid w:val="00BF64A5"/>
    <w:pPr>
      <w:spacing w:before="160" w:after="1360" w:line="520" w:lineRule="exact"/>
      <w:ind w:right="2381"/>
      <w:jc w:val="right"/>
    </w:pPr>
    <w:rPr>
      <w:smallCaps/>
      <w:sz w:val="52"/>
    </w:rPr>
  </w:style>
  <w:style w:type="paragraph" w:customStyle="1" w:styleId="Rec">
    <w:name w:val="Rec"/>
    <w:basedOn w:val="BodyText"/>
    <w:qFormat/>
    <w:rsid w:val="00BF64A5"/>
    <w:pPr>
      <w:keepLines/>
      <w:spacing w:before="120" w:line="280" w:lineRule="atLeast"/>
    </w:pPr>
    <w:rPr>
      <w:rFonts w:ascii="Arial" w:hAnsi="Arial"/>
      <w:sz w:val="22"/>
    </w:rPr>
  </w:style>
  <w:style w:type="paragraph" w:customStyle="1" w:styleId="RecBullet">
    <w:name w:val="Rec Bullet"/>
    <w:basedOn w:val="Rec"/>
    <w:rsid w:val="00BF64A5"/>
    <w:pPr>
      <w:numPr>
        <w:numId w:val="8"/>
      </w:numPr>
      <w:spacing w:before="80"/>
    </w:pPr>
  </w:style>
  <w:style w:type="paragraph" w:customStyle="1" w:styleId="RecB">
    <w:name w:val="RecB"/>
    <w:basedOn w:val="Normal"/>
    <w:rsid w:val="00BF64A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F64A5"/>
    <w:pPr>
      <w:numPr>
        <w:numId w:val="9"/>
      </w:numPr>
      <w:spacing w:before="80"/>
    </w:pPr>
  </w:style>
  <w:style w:type="paragraph" w:customStyle="1" w:styleId="RecBNoTitle">
    <w:name w:val="RecB NoTitle"/>
    <w:basedOn w:val="RecB"/>
    <w:rsid w:val="00BF64A5"/>
    <w:pPr>
      <w:spacing w:before="240"/>
    </w:pPr>
  </w:style>
  <w:style w:type="paragraph" w:customStyle="1" w:styleId="Reference">
    <w:name w:val="Reference"/>
    <w:basedOn w:val="BodyText"/>
    <w:rsid w:val="00BF64A5"/>
    <w:pPr>
      <w:spacing w:before="120"/>
      <w:ind w:left="340" w:hanging="340"/>
    </w:pPr>
  </w:style>
  <w:style w:type="paragraph" w:customStyle="1" w:styleId="SideNote">
    <w:name w:val="Side Note"/>
    <w:basedOn w:val="BodyText"/>
    <w:next w:val="BodyText"/>
    <w:semiHidden/>
    <w:rsid w:val="00BF64A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F64A5"/>
    <w:pPr>
      <w:framePr w:wrap="around"/>
      <w:numPr>
        <w:numId w:val="4"/>
      </w:numPr>
      <w:tabs>
        <w:tab w:val="left" w:pos="227"/>
      </w:tabs>
    </w:pPr>
  </w:style>
  <w:style w:type="paragraph" w:customStyle="1" w:styleId="SideNoteGraphic">
    <w:name w:val="Side Note Graphic"/>
    <w:basedOn w:val="SideNote"/>
    <w:next w:val="BodyText"/>
    <w:semiHidden/>
    <w:rsid w:val="00BF64A5"/>
    <w:pPr>
      <w:framePr w:wrap="around"/>
    </w:pPr>
  </w:style>
  <w:style w:type="paragraph" w:customStyle="1" w:styleId="TableBodyText">
    <w:name w:val="Table Body Text"/>
    <w:basedOn w:val="BodyText"/>
    <w:rsid w:val="00BF64A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F64A5"/>
    <w:pPr>
      <w:numPr>
        <w:numId w:val="10"/>
      </w:numPr>
      <w:jc w:val="left"/>
    </w:pPr>
  </w:style>
  <w:style w:type="paragraph" w:customStyle="1" w:styleId="TableColumnHeading">
    <w:name w:val="Table Column Heading"/>
    <w:basedOn w:val="TableBodyText"/>
    <w:rsid w:val="00BF64A5"/>
    <w:pPr>
      <w:spacing w:before="80" w:after="80"/>
    </w:pPr>
    <w:rPr>
      <w:i/>
    </w:rPr>
  </w:style>
  <w:style w:type="paragraph" w:styleId="TableofFigures">
    <w:name w:val="table of figures"/>
    <w:basedOn w:val="TOC3"/>
    <w:next w:val="BodyText"/>
    <w:semiHidden/>
    <w:rsid w:val="00BF64A5"/>
    <w:pPr>
      <w:ind w:left="737" w:hanging="737"/>
    </w:pPr>
  </w:style>
  <w:style w:type="paragraph" w:styleId="TOC3">
    <w:name w:val="toc 3"/>
    <w:basedOn w:val="TOC2"/>
    <w:rsid w:val="00BF64A5"/>
    <w:pPr>
      <w:spacing w:before="60"/>
      <w:ind w:left="1190" w:hanging="680"/>
    </w:pPr>
  </w:style>
  <w:style w:type="paragraph" w:styleId="TOC2">
    <w:name w:val="toc 2"/>
    <w:basedOn w:val="TOC1"/>
    <w:rsid w:val="00BF64A5"/>
    <w:pPr>
      <w:ind w:left="1134" w:hanging="624"/>
    </w:pPr>
    <w:rPr>
      <w:b w:val="0"/>
    </w:rPr>
  </w:style>
  <w:style w:type="paragraph" w:customStyle="1" w:styleId="TableTitle">
    <w:name w:val="Table Title"/>
    <w:basedOn w:val="Caption"/>
    <w:next w:val="Subtitle"/>
    <w:qFormat/>
    <w:rsid w:val="00BF64A5"/>
    <w:pPr>
      <w:spacing w:before="120"/>
    </w:pPr>
  </w:style>
  <w:style w:type="paragraph" w:customStyle="1" w:styleId="TableUnitsRow">
    <w:name w:val="Table Units Row"/>
    <w:basedOn w:val="TableBodyText"/>
    <w:rsid w:val="00BF64A5"/>
    <w:pPr>
      <w:spacing w:before="40"/>
    </w:pPr>
  </w:style>
  <w:style w:type="paragraph" w:styleId="TOC1">
    <w:name w:val="toc 1"/>
    <w:basedOn w:val="Normal"/>
    <w:next w:val="TOC2"/>
    <w:link w:val="TOC1Char"/>
    <w:rsid w:val="00BF64A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F64A5"/>
    <w:pPr>
      <w:ind w:left="1191" w:firstLine="0"/>
    </w:pPr>
  </w:style>
  <w:style w:type="paragraph" w:customStyle="1" w:styleId="Jurisdictioncommentsbodytext">
    <w:name w:val="Jurisdiction comments body text"/>
    <w:rsid w:val="00BF64A5"/>
    <w:pPr>
      <w:spacing w:after="140"/>
      <w:jc w:val="both"/>
    </w:pPr>
    <w:rPr>
      <w:rFonts w:ascii="Arial" w:hAnsi="Arial"/>
      <w:sz w:val="24"/>
      <w:lang w:eastAsia="en-US"/>
    </w:rPr>
  </w:style>
  <w:style w:type="paragraph" w:customStyle="1" w:styleId="Continued">
    <w:name w:val="Continued"/>
    <w:basedOn w:val="BoxContinued"/>
    <w:next w:val="BodyText"/>
    <w:link w:val="ContinuedChar"/>
    <w:rsid w:val="00BF64A5"/>
  </w:style>
  <w:style w:type="paragraph" w:customStyle="1" w:styleId="BoxHeading1">
    <w:name w:val="Box Heading 1"/>
    <w:basedOn w:val="BodyText"/>
    <w:next w:val="Box"/>
    <w:rsid w:val="00BF64A5"/>
    <w:pPr>
      <w:keepNext/>
      <w:spacing w:before="200" w:line="280" w:lineRule="atLeast"/>
    </w:pPr>
    <w:rPr>
      <w:rFonts w:ascii="Arial" w:hAnsi="Arial"/>
      <w:b/>
      <w:sz w:val="22"/>
    </w:rPr>
  </w:style>
  <w:style w:type="paragraph" w:customStyle="1" w:styleId="BoxHeading2">
    <w:name w:val="Box Heading 2"/>
    <w:basedOn w:val="BoxHeading1"/>
    <w:next w:val="Normal"/>
    <w:rsid w:val="00BF64A5"/>
    <w:rPr>
      <w:b w:val="0"/>
      <w:i/>
    </w:rPr>
  </w:style>
  <w:style w:type="table" w:styleId="TableGrid">
    <w:name w:val="Table Grid"/>
    <w:basedOn w:val="TableNormal"/>
    <w:rsid w:val="00BF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risdictioncommentsheading">
    <w:name w:val="Jurisdiction comments heading"/>
    <w:rsid w:val="00BF64A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64A5"/>
    <w:pPr>
      <w:numPr>
        <w:numId w:val="12"/>
      </w:numPr>
      <w:spacing w:after="140"/>
      <w:jc w:val="both"/>
    </w:pPr>
    <w:rPr>
      <w:rFonts w:ascii="Arial" w:hAnsi="Arial"/>
      <w:sz w:val="24"/>
      <w:lang w:eastAsia="en-US"/>
    </w:rPr>
  </w:style>
  <w:style w:type="paragraph" w:styleId="BalloonText">
    <w:name w:val="Balloon Text"/>
    <w:basedOn w:val="Normal"/>
    <w:link w:val="BalloonTextChar"/>
    <w:rsid w:val="00BF64A5"/>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rPr>
  </w:style>
  <w:style w:type="character" w:customStyle="1" w:styleId="BoxChar">
    <w:name w:val="Box Char"/>
    <w:link w:val="Box"/>
    <w:rsid w:val="00695237"/>
    <w:rPr>
      <w:rFonts w:ascii="Arial" w:hAnsi="Arial"/>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4"/>
    </w:rPr>
  </w:style>
  <w:style w:type="paragraph" w:customStyle="1" w:styleId="RecBBullet2">
    <w:name w:val="RecB Bullet 2"/>
    <w:basedOn w:val="ListBullet2"/>
    <w:semiHidden/>
    <w:rsid w:val="00BF64A5"/>
    <w:pPr>
      <w:pBdr>
        <w:left w:val="single" w:sz="24" w:space="29" w:color="C0C0C0"/>
      </w:pBdr>
    </w:pPr>
    <w:rPr>
      <w:b/>
      <w:i/>
    </w:rPr>
  </w:style>
  <w:style w:type="character" w:customStyle="1" w:styleId="BalloonTextChar">
    <w:name w:val="Balloon Text Char"/>
    <w:basedOn w:val="DefaultParagraphFont"/>
    <w:link w:val="BalloonText"/>
    <w:rsid w:val="00BF64A5"/>
    <w:rPr>
      <w:rFonts w:ascii="Tahoma" w:hAnsi="Tahoma" w:cs="Tahoma"/>
      <w:sz w:val="16"/>
      <w:szCs w:val="16"/>
    </w:rPr>
  </w:style>
  <w:style w:type="character" w:customStyle="1" w:styleId="SubtitleChar">
    <w:name w:val="Subtitle Char"/>
    <w:basedOn w:val="DefaultParagraphFont"/>
    <w:link w:val="Subtitle"/>
    <w:rsid w:val="00BF64A5"/>
    <w:rPr>
      <w:rFonts w:ascii="Arial" w:hAnsi="Arial"/>
      <w:szCs w:val="24"/>
    </w:rPr>
  </w:style>
  <w:style w:type="paragraph" w:customStyle="1" w:styleId="BoxListBullet3">
    <w:name w:val="Box List Bullet 3"/>
    <w:basedOn w:val="ListBullet3"/>
    <w:rsid w:val="00BF64A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F64A5"/>
    <w:rPr>
      <w:i/>
      <w:iCs/>
    </w:rPr>
  </w:style>
  <w:style w:type="paragraph" w:customStyle="1" w:styleId="BoxQuoteBullet">
    <w:name w:val="Box Quote Bullet"/>
    <w:basedOn w:val="BoxQuote"/>
    <w:next w:val="Box"/>
    <w:rsid w:val="00BF64A5"/>
    <w:pPr>
      <w:numPr>
        <w:numId w:val="16"/>
      </w:numPr>
      <w:ind w:left="568" w:hanging="284"/>
    </w:pPr>
  </w:style>
  <w:style w:type="paragraph" w:customStyle="1" w:styleId="InformationRequestBullet">
    <w:name w:val="Information Request Bullet"/>
    <w:basedOn w:val="ListBullet"/>
    <w:next w:val="BodyText"/>
    <w:rsid w:val="00BF64A5"/>
    <w:pPr>
      <w:numPr>
        <w:numId w:val="17"/>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BF64A5"/>
    <w:pPr>
      <w:keepNext/>
      <w:spacing w:before="360" w:line="80" w:lineRule="exact"/>
      <w:jc w:val="left"/>
    </w:pPr>
  </w:style>
  <w:style w:type="paragraph" w:customStyle="1" w:styleId="BoxSpaceBelow">
    <w:name w:val="Box Space Below"/>
    <w:basedOn w:val="Box"/>
    <w:rsid w:val="00BF64A5"/>
    <w:pPr>
      <w:keepNext w:val="0"/>
      <w:spacing w:before="60" w:after="60" w:line="80" w:lineRule="exact"/>
    </w:pPr>
    <w:rPr>
      <w:sz w:val="14"/>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BF64A5"/>
    <w:rPr>
      <w:sz w:val="24"/>
    </w:rPr>
  </w:style>
  <w:style w:type="paragraph" w:styleId="ListParagraph">
    <w:name w:val="List Paragraph"/>
    <w:basedOn w:val="Normal"/>
    <w:uiPriority w:val="34"/>
    <w:qFormat/>
    <w:rsid w:val="00642EB8"/>
    <w:pPr>
      <w:ind w:left="720"/>
      <w:contextualSpacing/>
    </w:pPr>
  </w:style>
  <w:style w:type="paragraph" w:customStyle="1" w:styleId="KeyPointsListBullet">
    <w:name w:val="Key Points List Bullet"/>
    <w:basedOn w:val="Normal"/>
    <w:qFormat/>
    <w:rsid w:val="00BF64A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F64A5"/>
    <w:pPr>
      <w:numPr>
        <w:numId w:val="20"/>
      </w:numPr>
      <w:ind w:left="568" w:hanging="284"/>
    </w:pPr>
  </w:style>
  <w:style w:type="paragraph" w:customStyle="1" w:styleId="InformationRequestTitle">
    <w:name w:val="Information Request Title"/>
    <w:basedOn w:val="FindingTitle"/>
    <w:next w:val="InformationRequest"/>
    <w:rsid w:val="00BF64A5"/>
    <w:rPr>
      <w:i/>
    </w:rPr>
  </w:style>
  <w:style w:type="paragraph" w:customStyle="1" w:styleId="Space">
    <w:name w:val="Space"/>
    <w:basedOn w:val="Normal"/>
    <w:rsid w:val="00BF64A5"/>
    <w:pPr>
      <w:keepNext/>
      <w:spacing w:line="120" w:lineRule="exact"/>
      <w:jc w:val="both"/>
    </w:pPr>
    <w:rPr>
      <w:rFonts w:ascii="Arial" w:hAnsi="Arial"/>
      <w:sz w:val="20"/>
      <w:szCs w:val="20"/>
    </w:rPr>
  </w:style>
  <w:style w:type="paragraph" w:customStyle="1" w:styleId="Heading1nochapterno">
    <w:name w:val="Heading 1 (no chapter no.)"/>
    <w:basedOn w:val="Heading1"/>
    <w:rsid w:val="00BF64A5"/>
    <w:pPr>
      <w:spacing w:before="0"/>
      <w:ind w:left="0" w:firstLine="0"/>
    </w:pPr>
  </w:style>
  <w:style w:type="paragraph" w:customStyle="1" w:styleId="Heading2nosectionno">
    <w:name w:val="Heading 2 (no section no.)"/>
    <w:basedOn w:val="Heading2"/>
    <w:rsid w:val="00BF64A5"/>
    <w:pPr>
      <w:ind w:left="0" w:firstLine="0"/>
    </w:pPr>
  </w:style>
  <w:style w:type="character" w:customStyle="1" w:styleId="Heading5Char">
    <w:name w:val="Heading 5 Char"/>
    <w:basedOn w:val="DefaultParagraphFont"/>
    <w:link w:val="Heading5"/>
    <w:rsid w:val="00BF64A5"/>
    <w:rPr>
      <w:rFonts w:ascii="Arial" w:hAnsi="Arial"/>
      <w:i/>
      <w:sz w:val="22"/>
    </w:rPr>
  </w:style>
  <w:style w:type="paragraph" w:customStyle="1" w:styleId="Figurespace">
    <w:name w:val="Figure space"/>
    <w:basedOn w:val="Box"/>
    <w:rsid w:val="00BF64A5"/>
    <w:pPr>
      <w:spacing w:before="0" w:line="120" w:lineRule="exact"/>
    </w:pPr>
  </w:style>
  <w:style w:type="paragraph" w:customStyle="1" w:styleId="FooterDraftReport">
    <w:name w:val="FooterDraftReport"/>
    <w:basedOn w:val="Footer"/>
    <w:link w:val="FooterDraftReportChar"/>
    <w:rsid w:val="00BF64A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BF64A5"/>
    <w:rPr>
      <w:rFonts w:ascii="Arial" w:hAnsi="Arial"/>
      <w:caps/>
      <w:spacing w:val="-4"/>
      <w:sz w:val="16"/>
    </w:rPr>
  </w:style>
  <w:style w:type="character" w:customStyle="1" w:styleId="FooterDraftReportChar">
    <w:name w:val="FooterDraftReport Char"/>
    <w:basedOn w:val="FooterChar"/>
    <w:link w:val="FooterDraftReport"/>
    <w:rsid w:val="00BF64A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F64A5"/>
    <w:rPr>
      <w:rFonts w:ascii="Arial" w:hAnsi="Arial"/>
      <w:b/>
      <w:sz w:val="26"/>
      <w:szCs w:val="26"/>
      <w:lang w:eastAsia="en-US"/>
    </w:rPr>
  </w:style>
  <w:style w:type="character" w:customStyle="1" w:styleId="BoxTitleChar">
    <w:name w:val="Box Title Char"/>
    <w:link w:val="BoxTitle"/>
    <w:rsid w:val="00A25CAF"/>
    <w:rPr>
      <w:rFonts w:ascii="Arial" w:hAnsi="Arial"/>
      <w:b/>
      <w:sz w:val="24"/>
      <w:szCs w:val="24"/>
    </w:rPr>
  </w:style>
  <w:style w:type="paragraph" w:customStyle="1" w:styleId="OECD">
    <w:name w:val="OECD"/>
    <w:basedOn w:val="BodyText"/>
    <w:rsid w:val="00BF5D77"/>
  </w:style>
  <w:style w:type="paragraph" w:styleId="Revision">
    <w:name w:val="Revision"/>
    <w:hidden/>
    <w:uiPriority w:val="99"/>
    <w:semiHidden/>
    <w:rsid w:val="003B0A7E"/>
    <w:rPr>
      <w:sz w:val="24"/>
      <w:szCs w:val="24"/>
    </w:rPr>
  </w:style>
  <w:style w:type="paragraph" w:customStyle="1" w:styleId="DQITableText">
    <w:name w:val="DQI Table Text"/>
    <w:basedOn w:val="TableBodyText"/>
    <w:rsid w:val="00C47D6F"/>
    <w:pPr>
      <w:spacing w:before="120" w:after="0"/>
      <w:ind w:left="0" w:right="0"/>
      <w:jc w:val="both"/>
    </w:pPr>
  </w:style>
  <w:style w:type="paragraph" w:customStyle="1" w:styleId="DQITableBullet">
    <w:name w:val="DQI Table Bullet"/>
    <w:basedOn w:val="TableBullet"/>
    <w:rsid w:val="00C47D6F"/>
    <w:pPr>
      <w:numPr>
        <w:numId w:val="23"/>
      </w:numPr>
      <w:spacing w:before="40" w:after="0"/>
      <w:ind w:left="170" w:hanging="170"/>
      <w:jc w:val="both"/>
    </w:pPr>
  </w:style>
  <w:style w:type="paragraph" w:customStyle="1" w:styleId="DQITableBullet2">
    <w:name w:val="DQI Table Bullet 2"/>
    <w:basedOn w:val="DQITableBullet"/>
    <w:rsid w:val="00C47D6F"/>
    <w:pPr>
      <w:numPr>
        <w:numId w:val="24"/>
      </w:numPr>
      <w:ind w:left="340" w:hanging="170"/>
    </w:pPr>
  </w:style>
  <w:style w:type="paragraph" w:customStyle="1" w:styleId="DQIRowHeadings">
    <w:name w:val="DQI Row Headings"/>
    <w:basedOn w:val="Normal"/>
    <w:rsid w:val="007204CA"/>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7204CA"/>
    <w:pPr>
      <w:keepNext/>
      <w:keepLines/>
      <w:spacing w:before="120" w:line="200" w:lineRule="atLeast"/>
      <w:ind w:left="6" w:right="113"/>
    </w:pPr>
    <w:rPr>
      <w:rFonts w:ascii="Arial" w:hAnsi="Arial"/>
      <w:b/>
      <w:sz w:val="18"/>
      <w:szCs w:val="20"/>
      <w:u w:val="single"/>
    </w:rPr>
  </w:style>
  <w:style w:type="paragraph" w:styleId="TOCHeading">
    <w:name w:val="TOC Heading"/>
    <w:basedOn w:val="Heading1"/>
    <w:next w:val="Normal"/>
    <w:uiPriority w:val="39"/>
    <w:unhideWhenUsed/>
    <w:qFormat/>
    <w:rsid w:val="00973112"/>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Heading4Char">
    <w:name w:val="Heading 4 Char"/>
    <w:basedOn w:val="DefaultParagraphFont"/>
    <w:link w:val="Heading4"/>
    <w:rsid w:val="00973112"/>
    <w:rPr>
      <w:rFonts w:ascii="Arial" w:hAnsi="Arial"/>
      <w:sz w:val="24"/>
    </w:rPr>
  </w:style>
  <w:style w:type="character" w:customStyle="1" w:styleId="BoxListBulletChar">
    <w:name w:val="Box List Bullet Char"/>
    <w:link w:val="BoxListBullet"/>
    <w:rsid w:val="000810FA"/>
    <w:rPr>
      <w:rFonts w:ascii="Arial" w:hAnsi="Arial"/>
    </w:rPr>
  </w:style>
  <w:style w:type="character" w:customStyle="1" w:styleId="Continuedintitle">
    <w:name w:val="Continued (in title)"/>
    <w:basedOn w:val="DefaultParagraphFont"/>
    <w:rsid w:val="00BF64A5"/>
    <w:rPr>
      <w:rFonts w:ascii="Arial" w:hAnsi="Arial"/>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F64A5"/>
    <w:rPr>
      <w:sz w:val="24"/>
      <w:szCs w:val="24"/>
    </w:rPr>
  </w:style>
  <w:style w:type="paragraph" w:styleId="Heading1">
    <w:name w:val="heading 1"/>
    <w:basedOn w:val="BodyText"/>
    <w:next w:val="BodyText"/>
    <w:rsid w:val="00BF64A5"/>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F64A5"/>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F64A5"/>
    <w:pPr>
      <w:spacing w:before="560" w:line="320" w:lineRule="exact"/>
      <w:ind w:left="0" w:firstLine="0"/>
      <w:outlineLvl w:val="2"/>
    </w:pPr>
    <w:rPr>
      <w:sz w:val="26"/>
    </w:rPr>
  </w:style>
  <w:style w:type="paragraph" w:styleId="Heading4">
    <w:name w:val="heading 4"/>
    <w:basedOn w:val="Heading3"/>
    <w:next w:val="BodyText"/>
    <w:link w:val="Heading4Char"/>
    <w:qFormat/>
    <w:rsid w:val="00BF64A5"/>
    <w:pPr>
      <w:spacing w:before="480"/>
      <w:outlineLvl w:val="3"/>
    </w:pPr>
    <w:rPr>
      <w:b w:val="0"/>
      <w:sz w:val="24"/>
    </w:rPr>
  </w:style>
  <w:style w:type="paragraph" w:styleId="Heading5">
    <w:name w:val="heading 5"/>
    <w:basedOn w:val="Heading4"/>
    <w:next w:val="BodyText"/>
    <w:link w:val="Heading5Char"/>
    <w:qFormat/>
    <w:rsid w:val="00BF64A5"/>
    <w:pPr>
      <w:outlineLvl w:val="4"/>
    </w:pPr>
    <w:rPr>
      <w:i/>
      <w:sz w:val="22"/>
    </w:rPr>
  </w:style>
  <w:style w:type="paragraph" w:styleId="Heading6">
    <w:name w:val="heading 6"/>
    <w:basedOn w:val="BodyText"/>
    <w:next w:val="BodyText"/>
    <w:rsid w:val="00BF64A5"/>
    <w:pPr>
      <w:spacing w:after="60"/>
      <w:jc w:val="left"/>
      <w:outlineLvl w:val="5"/>
    </w:pPr>
    <w:rPr>
      <w:i/>
      <w:sz w:val="22"/>
    </w:rPr>
  </w:style>
  <w:style w:type="paragraph" w:styleId="Heading7">
    <w:name w:val="heading 7"/>
    <w:basedOn w:val="BodyText"/>
    <w:next w:val="BodyText"/>
    <w:rsid w:val="00BF64A5"/>
    <w:pPr>
      <w:spacing w:after="60" w:line="240" w:lineRule="auto"/>
      <w:jc w:val="left"/>
      <w:outlineLvl w:val="6"/>
    </w:pPr>
    <w:rPr>
      <w:rFonts w:ascii="Arial" w:hAnsi="Arial"/>
      <w:sz w:val="20"/>
    </w:rPr>
  </w:style>
  <w:style w:type="paragraph" w:styleId="Heading8">
    <w:name w:val="heading 8"/>
    <w:basedOn w:val="BodyText"/>
    <w:next w:val="BodyText"/>
    <w:rsid w:val="00BF64A5"/>
    <w:pPr>
      <w:spacing w:after="60" w:line="240" w:lineRule="auto"/>
      <w:jc w:val="left"/>
      <w:outlineLvl w:val="7"/>
    </w:pPr>
    <w:rPr>
      <w:rFonts w:ascii="Arial" w:hAnsi="Arial"/>
      <w:i/>
      <w:sz w:val="20"/>
    </w:rPr>
  </w:style>
  <w:style w:type="paragraph" w:styleId="Heading9">
    <w:name w:val="heading 9"/>
    <w:basedOn w:val="BodyText"/>
    <w:next w:val="BodyText"/>
    <w:rsid w:val="00BF64A5"/>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F64A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64A5"/>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BF64A5"/>
    <w:pPr>
      <w:spacing w:before="240" w:line="300" w:lineRule="atLeast"/>
      <w:jc w:val="both"/>
    </w:pPr>
    <w:rPr>
      <w:sz w:val="24"/>
    </w:rPr>
  </w:style>
  <w:style w:type="paragraph" w:customStyle="1" w:styleId="Chapter">
    <w:name w:val="Chapter"/>
    <w:basedOn w:val="Heading1"/>
    <w:next w:val="BodyText"/>
    <w:semiHidden/>
    <w:rsid w:val="00BF64A5"/>
    <w:pPr>
      <w:ind w:left="0" w:firstLine="0"/>
      <w:outlineLvl w:val="9"/>
    </w:pPr>
  </w:style>
  <w:style w:type="paragraph" w:customStyle="1" w:styleId="SequenceInfo">
    <w:name w:val="Sequence Info"/>
    <w:basedOn w:val="BodyText"/>
    <w:semiHidden/>
    <w:rsid w:val="00BF64A5"/>
    <w:rPr>
      <w:vanish/>
      <w:sz w:val="16"/>
    </w:rPr>
  </w:style>
  <w:style w:type="character" w:styleId="CommentReference">
    <w:name w:val="annotation reference"/>
    <w:basedOn w:val="DefaultParagraphFont"/>
    <w:semiHidden/>
    <w:rsid w:val="00BF64A5"/>
    <w:rPr>
      <w:b/>
      <w:vanish/>
      <w:color w:val="FF00FF"/>
      <w:sz w:val="20"/>
    </w:rPr>
  </w:style>
  <w:style w:type="paragraph" w:styleId="CommentText">
    <w:name w:val="annotation text"/>
    <w:basedOn w:val="Normal"/>
    <w:link w:val="CommentTextChar"/>
    <w:semiHidden/>
    <w:rsid w:val="00BF64A5"/>
    <w:pPr>
      <w:spacing w:before="120" w:line="240" w:lineRule="atLeast"/>
      <w:ind w:left="567" w:hanging="567"/>
    </w:pPr>
    <w:rPr>
      <w:sz w:val="20"/>
    </w:rPr>
  </w:style>
  <w:style w:type="paragraph" w:customStyle="1" w:styleId="Abbreviation">
    <w:name w:val="Abbreviation"/>
    <w:basedOn w:val="BodyText"/>
    <w:rsid w:val="00BF64A5"/>
    <w:pPr>
      <w:spacing w:before="120"/>
      <w:ind w:left="2381" w:hanging="2381"/>
      <w:jc w:val="left"/>
    </w:pPr>
  </w:style>
  <w:style w:type="paragraph" w:customStyle="1" w:styleId="Box">
    <w:name w:val="Box"/>
    <w:basedOn w:val="BodyText"/>
    <w:link w:val="BoxChar"/>
    <w:qFormat/>
    <w:rsid w:val="00BF64A5"/>
    <w:pPr>
      <w:keepNext/>
      <w:spacing w:before="120" w:line="260" w:lineRule="atLeast"/>
    </w:pPr>
    <w:rPr>
      <w:rFonts w:ascii="Arial" w:hAnsi="Arial"/>
      <w:sz w:val="20"/>
    </w:rPr>
  </w:style>
  <w:style w:type="paragraph" w:customStyle="1" w:styleId="QuoteBullet">
    <w:name w:val="Quote Bullet"/>
    <w:basedOn w:val="Quote"/>
    <w:rsid w:val="00BF64A5"/>
    <w:pPr>
      <w:numPr>
        <w:numId w:val="11"/>
      </w:numPr>
    </w:pPr>
  </w:style>
  <w:style w:type="paragraph" w:styleId="Quote">
    <w:name w:val="Quote"/>
    <w:basedOn w:val="BodyText"/>
    <w:next w:val="BodyText"/>
    <w:qFormat/>
    <w:rsid w:val="00BF64A5"/>
    <w:pPr>
      <w:spacing w:before="120" w:line="280" w:lineRule="exact"/>
      <w:ind w:left="340"/>
    </w:pPr>
    <w:rPr>
      <w:sz w:val="22"/>
    </w:rPr>
  </w:style>
  <w:style w:type="paragraph" w:customStyle="1" w:styleId="BoxListBullet">
    <w:name w:val="Box List Bullet"/>
    <w:basedOn w:val="BodyText"/>
    <w:link w:val="BoxListBulletChar"/>
    <w:rsid w:val="00BF64A5"/>
    <w:pPr>
      <w:keepNext/>
      <w:numPr>
        <w:numId w:val="6"/>
      </w:numPr>
      <w:spacing w:before="100" w:line="260" w:lineRule="atLeast"/>
    </w:pPr>
    <w:rPr>
      <w:rFonts w:ascii="Arial" w:hAnsi="Arial"/>
      <w:sz w:val="20"/>
    </w:rPr>
  </w:style>
  <w:style w:type="paragraph" w:customStyle="1" w:styleId="BoxListBullet2">
    <w:name w:val="Box List Bullet 2"/>
    <w:basedOn w:val="BoxListBullet"/>
    <w:rsid w:val="00BF64A5"/>
    <w:pPr>
      <w:numPr>
        <w:numId w:val="3"/>
      </w:numPr>
      <w:ind w:left="568" w:hanging="284"/>
    </w:pPr>
  </w:style>
  <w:style w:type="paragraph" w:customStyle="1" w:styleId="BoxListNumber">
    <w:name w:val="Box List Number"/>
    <w:basedOn w:val="BodyText"/>
    <w:rsid w:val="00BF64A5"/>
    <w:pPr>
      <w:keepNext/>
      <w:numPr>
        <w:numId w:val="14"/>
      </w:numPr>
      <w:spacing w:before="100" w:line="260" w:lineRule="atLeast"/>
    </w:pPr>
    <w:rPr>
      <w:rFonts w:ascii="Arial" w:hAnsi="Arial"/>
      <w:sz w:val="20"/>
    </w:rPr>
  </w:style>
  <w:style w:type="paragraph" w:customStyle="1" w:styleId="BoxListNumber2">
    <w:name w:val="Box List Number 2"/>
    <w:basedOn w:val="BoxListNumber"/>
    <w:rsid w:val="00BF64A5"/>
    <w:pPr>
      <w:numPr>
        <w:ilvl w:val="1"/>
      </w:numPr>
      <w:ind w:left="681" w:hanging="397"/>
    </w:pPr>
  </w:style>
  <w:style w:type="paragraph" w:customStyle="1" w:styleId="BoxQuote">
    <w:name w:val="Box Quote"/>
    <w:basedOn w:val="BodyText"/>
    <w:next w:val="Box"/>
    <w:qFormat/>
    <w:rsid w:val="00BF64A5"/>
    <w:pPr>
      <w:keepNext/>
      <w:spacing w:before="60" w:line="240" w:lineRule="exact"/>
      <w:ind w:left="284"/>
    </w:pPr>
    <w:rPr>
      <w:rFonts w:ascii="Arial" w:hAnsi="Arial"/>
      <w:sz w:val="18"/>
    </w:rPr>
  </w:style>
  <w:style w:type="paragraph" w:customStyle="1" w:styleId="BoxSource">
    <w:name w:val="Box Source"/>
    <w:basedOn w:val="Source"/>
    <w:next w:val="BodyText"/>
    <w:rsid w:val="00BF64A5"/>
    <w:pPr>
      <w:spacing w:before="120"/>
    </w:pPr>
  </w:style>
  <w:style w:type="paragraph" w:customStyle="1" w:styleId="Source">
    <w:name w:val="Source"/>
    <w:basedOn w:val="Normal"/>
    <w:next w:val="BodyText"/>
    <w:link w:val="SourceChar"/>
    <w:rsid w:val="00BF64A5"/>
    <w:pPr>
      <w:keepLines/>
      <w:spacing w:before="80" w:line="220" w:lineRule="exact"/>
      <w:jc w:val="both"/>
    </w:pPr>
    <w:rPr>
      <w:rFonts w:ascii="Arial" w:hAnsi="Arial"/>
      <w:sz w:val="18"/>
      <w:szCs w:val="20"/>
    </w:rPr>
  </w:style>
  <w:style w:type="paragraph" w:customStyle="1" w:styleId="Note">
    <w:name w:val="Note"/>
    <w:basedOn w:val="BodyText"/>
    <w:next w:val="BodyText"/>
    <w:link w:val="NoteChar"/>
    <w:rsid w:val="00BF64A5"/>
    <w:pPr>
      <w:keepLines/>
      <w:spacing w:before="80" w:line="220" w:lineRule="exact"/>
    </w:pPr>
    <w:rPr>
      <w:rFonts w:ascii="Arial" w:hAnsi="Arial"/>
      <w:sz w:val="18"/>
    </w:rPr>
  </w:style>
  <w:style w:type="paragraph" w:customStyle="1" w:styleId="BoxSpace">
    <w:name w:val="Box Space"/>
    <w:basedOn w:val="BodyText"/>
    <w:rsid w:val="00767760"/>
    <w:pPr>
      <w:keepNext/>
      <w:spacing w:before="360" w:line="80" w:lineRule="exact"/>
      <w:jc w:val="left"/>
    </w:pPr>
  </w:style>
  <w:style w:type="paragraph" w:customStyle="1" w:styleId="BoxSubtitle">
    <w:name w:val="Box Subtitle"/>
    <w:basedOn w:val="BoxTitle"/>
    <w:next w:val="Normal"/>
    <w:rsid w:val="00BF64A5"/>
    <w:pPr>
      <w:spacing w:after="80" w:line="200" w:lineRule="exact"/>
      <w:ind w:firstLine="0"/>
    </w:pPr>
    <w:rPr>
      <w:b w:val="0"/>
      <w:sz w:val="20"/>
    </w:rPr>
  </w:style>
  <w:style w:type="paragraph" w:customStyle="1" w:styleId="BoxTitle">
    <w:name w:val="Box Title"/>
    <w:basedOn w:val="Caption"/>
    <w:next w:val="BoxSubtitle"/>
    <w:link w:val="BoxTitleChar"/>
    <w:rsid w:val="00BF64A5"/>
    <w:pPr>
      <w:spacing w:before="120" w:after="0"/>
    </w:pPr>
  </w:style>
  <w:style w:type="paragraph" w:styleId="Caption">
    <w:name w:val="caption"/>
    <w:basedOn w:val="Normal"/>
    <w:next w:val="BodyText"/>
    <w:rsid w:val="00BF64A5"/>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BF64A5"/>
    <w:pPr>
      <w:spacing w:line="280" w:lineRule="atLeast"/>
      <w:ind w:left="907"/>
    </w:pPr>
    <w:rPr>
      <w:rFonts w:ascii="Arial" w:hAnsi="Arial"/>
      <w:b/>
      <w:sz w:val="20"/>
    </w:rPr>
  </w:style>
  <w:style w:type="character" w:customStyle="1" w:styleId="DocumentInfo">
    <w:name w:val="Document Info"/>
    <w:basedOn w:val="DefaultParagraphFont"/>
    <w:semiHidden/>
    <w:rsid w:val="00BF64A5"/>
    <w:rPr>
      <w:rFonts w:ascii="Arial" w:hAnsi="Arial"/>
      <w:sz w:val="14"/>
    </w:rPr>
  </w:style>
  <w:style w:type="paragraph" w:styleId="Footer">
    <w:name w:val="footer"/>
    <w:basedOn w:val="BodyText"/>
    <w:link w:val="FooterChar"/>
    <w:rsid w:val="00BF64A5"/>
    <w:pPr>
      <w:spacing w:before="80" w:line="200" w:lineRule="exact"/>
      <w:ind w:right="6"/>
      <w:jc w:val="left"/>
    </w:pPr>
    <w:rPr>
      <w:rFonts w:ascii="Arial" w:hAnsi="Arial"/>
      <w:caps/>
      <w:spacing w:val="-4"/>
      <w:sz w:val="16"/>
    </w:rPr>
  </w:style>
  <w:style w:type="character" w:customStyle="1" w:styleId="DraftingNote">
    <w:name w:val="Drafting Note"/>
    <w:basedOn w:val="DefaultParagraphFont"/>
    <w:rsid w:val="00BF64A5"/>
    <w:rPr>
      <w:b/>
      <w:color w:val="FF0000"/>
      <w:sz w:val="24"/>
      <w:u w:val="dotted"/>
    </w:rPr>
  </w:style>
  <w:style w:type="paragraph" w:customStyle="1" w:styleId="BoxContinued">
    <w:name w:val="Box Continued"/>
    <w:basedOn w:val="BodyText"/>
    <w:next w:val="BodyText"/>
    <w:link w:val="BoxContinuedChar"/>
    <w:semiHidden/>
    <w:rsid w:val="00BF64A5"/>
    <w:pPr>
      <w:spacing w:before="180" w:line="220" w:lineRule="exact"/>
      <w:jc w:val="right"/>
    </w:pPr>
    <w:rPr>
      <w:rFonts w:ascii="Arial" w:hAnsi="Arial"/>
      <w:sz w:val="18"/>
    </w:rPr>
  </w:style>
  <w:style w:type="paragraph" w:customStyle="1" w:styleId="Figure">
    <w:name w:val="Figure"/>
    <w:basedOn w:val="BodyText"/>
    <w:rsid w:val="00BF64A5"/>
    <w:pPr>
      <w:keepNext/>
      <w:spacing w:before="120" w:after="120" w:line="240" w:lineRule="atLeast"/>
      <w:jc w:val="center"/>
    </w:pPr>
  </w:style>
  <w:style w:type="paragraph" w:customStyle="1" w:styleId="FigureTitle">
    <w:name w:val="Figure Title"/>
    <w:basedOn w:val="Caption"/>
    <w:next w:val="Subtitle"/>
    <w:rsid w:val="00BF64A5"/>
    <w:pPr>
      <w:spacing w:before="120"/>
    </w:pPr>
  </w:style>
  <w:style w:type="paragraph" w:styleId="Subtitle">
    <w:name w:val="Subtitle"/>
    <w:basedOn w:val="Caption"/>
    <w:link w:val="SubtitleChar"/>
    <w:qFormat/>
    <w:rsid w:val="00BF64A5"/>
    <w:pPr>
      <w:spacing w:before="0" w:line="200" w:lineRule="exact"/>
      <w:ind w:firstLine="0"/>
    </w:pPr>
    <w:rPr>
      <w:b w:val="0"/>
      <w:sz w:val="20"/>
    </w:rPr>
  </w:style>
  <w:style w:type="paragraph" w:customStyle="1" w:styleId="Finding">
    <w:name w:val="Finding"/>
    <w:basedOn w:val="BodyText"/>
    <w:rsid w:val="00BF64A5"/>
    <w:pPr>
      <w:keepLines/>
      <w:spacing w:before="120" w:line="280" w:lineRule="atLeast"/>
    </w:pPr>
    <w:rPr>
      <w:rFonts w:ascii="Arial" w:hAnsi="Arial"/>
      <w:sz w:val="22"/>
    </w:rPr>
  </w:style>
  <w:style w:type="paragraph" w:customStyle="1" w:styleId="FindingBullet">
    <w:name w:val="Finding Bullet"/>
    <w:basedOn w:val="Finding"/>
    <w:rsid w:val="00BF64A5"/>
    <w:pPr>
      <w:numPr>
        <w:numId w:val="7"/>
      </w:numPr>
      <w:spacing w:before="80"/>
    </w:pPr>
  </w:style>
  <w:style w:type="paragraph" w:customStyle="1" w:styleId="FindingNoTitle">
    <w:name w:val="Finding NoTitle"/>
    <w:basedOn w:val="Finding"/>
    <w:rsid w:val="00BF64A5"/>
    <w:pPr>
      <w:spacing w:before="240"/>
    </w:pPr>
  </w:style>
  <w:style w:type="paragraph" w:customStyle="1" w:styleId="FindingTitle">
    <w:name w:val="Finding Title"/>
    <w:basedOn w:val="RecTitle"/>
    <w:next w:val="Finding"/>
    <w:rsid w:val="00BF64A5"/>
  </w:style>
  <w:style w:type="paragraph" w:customStyle="1" w:styleId="RecTitle">
    <w:name w:val="Rec Title"/>
    <w:basedOn w:val="BodyText"/>
    <w:next w:val="Rec"/>
    <w:qFormat/>
    <w:rsid w:val="00BF64A5"/>
    <w:pPr>
      <w:keepNext/>
      <w:keepLines/>
      <w:spacing w:line="280" w:lineRule="atLeast"/>
    </w:pPr>
    <w:rPr>
      <w:rFonts w:ascii="Arial" w:hAnsi="Arial"/>
      <w:caps/>
      <w:sz w:val="18"/>
    </w:rPr>
  </w:style>
  <w:style w:type="paragraph" w:customStyle="1" w:styleId="FooterEnd">
    <w:name w:val="Footer End"/>
    <w:basedOn w:val="Footer"/>
    <w:rsid w:val="00BF64A5"/>
    <w:pPr>
      <w:spacing w:before="0" w:line="20" w:lineRule="exact"/>
    </w:pPr>
  </w:style>
  <w:style w:type="character" w:styleId="FootnoteReference">
    <w:name w:val="footnote reference"/>
    <w:basedOn w:val="DefaultParagraphFont"/>
    <w:semiHidden/>
    <w:rsid w:val="00BF64A5"/>
    <w:rPr>
      <w:rFonts w:ascii="Times New Roman" w:hAnsi="Times New Roman"/>
      <w:position w:val="6"/>
      <w:sz w:val="20"/>
      <w:vertAlign w:val="baseline"/>
    </w:rPr>
  </w:style>
  <w:style w:type="paragraph" w:styleId="FootnoteText">
    <w:name w:val="footnote text"/>
    <w:basedOn w:val="BodyText"/>
    <w:rsid w:val="00BF64A5"/>
    <w:pPr>
      <w:tabs>
        <w:tab w:val="left" w:pos="284"/>
      </w:tabs>
      <w:spacing w:before="80" w:line="240" w:lineRule="exact"/>
      <w:ind w:left="284" w:hanging="284"/>
    </w:pPr>
    <w:rPr>
      <w:sz w:val="20"/>
    </w:rPr>
  </w:style>
  <w:style w:type="paragraph" w:styleId="Header">
    <w:name w:val="header"/>
    <w:basedOn w:val="BodyText"/>
    <w:rsid w:val="00BF64A5"/>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F64A5"/>
    <w:pPr>
      <w:spacing w:line="20" w:lineRule="exact"/>
    </w:pPr>
    <w:rPr>
      <w:sz w:val="16"/>
    </w:rPr>
  </w:style>
  <w:style w:type="paragraph" w:customStyle="1" w:styleId="HeaderEven">
    <w:name w:val="Header Even"/>
    <w:basedOn w:val="Header"/>
    <w:semiHidden/>
    <w:rsid w:val="00BF64A5"/>
  </w:style>
  <w:style w:type="paragraph" w:customStyle="1" w:styleId="HeaderOdd">
    <w:name w:val="Header Odd"/>
    <w:basedOn w:val="Header"/>
    <w:rsid w:val="00BF64A5"/>
  </w:style>
  <w:style w:type="paragraph" w:customStyle="1" w:styleId="InformationRequest">
    <w:name w:val="Information Request"/>
    <w:basedOn w:val="Finding"/>
    <w:next w:val="BodyText"/>
    <w:rsid w:val="00BF64A5"/>
    <w:rPr>
      <w:i/>
    </w:rPr>
  </w:style>
  <w:style w:type="paragraph" w:styleId="ListBullet">
    <w:name w:val="List Bullet"/>
    <w:basedOn w:val="BodyText"/>
    <w:link w:val="ListBulletChar"/>
    <w:rsid w:val="00BF64A5"/>
    <w:pPr>
      <w:numPr>
        <w:numId w:val="5"/>
      </w:numPr>
      <w:spacing w:before="120"/>
    </w:pPr>
  </w:style>
  <w:style w:type="paragraph" w:styleId="ListBullet2">
    <w:name w:val="List Bullet 2"/>
    <w:basedOn w:val="BodyText"/>
    <w:rsid w:val="00BF64A5"/>
    <w:pPr>
      <w:numPr>
        <w:numId w:val="2"/>
      </w:numPr>
      <w:spacing w:before="120"/>
    </w:pPr>
  </w:style>
  <w:style w:type="paragraph" w:styleId="ListBullet3">
    <w:name w:val="List Bullet 3"/>
    <w:basedOn w:val="BodyText"/>
    <w:rsid w:val="00BF64A5"/>
    <w:pPr>
      <w:numPr>
        <w:numId w:val="1"/>
      </w:numPr>
      <w:spacing w:before="120"/>
      <w:ind w:left="1020" w:hanging="340"/>
    </w:pPr>
  </w:style>
  <w:style w:type="paragraph" w:styleId="ListNumber">
    <w:name w:val="List Number"/>
    <w:basedOn w:val="BodyText"/>
    <w:rsid w:val="00BF64A5"/>
    <w:pPr>
      <w:numPr>
        <w:numId w:val="13"/>
      </w:numPr>
      <w:spacing w:before="120"/>
    </w:pPr>
  </w:style>
  <w:style w:type="paragraph" w:styleId="ListNumber2">
    <w:name w:val="List Number 2"/>
    <w:basedOn w:val="ListNumber"/>
    <w:rsid w:val="00BF64A5"/>
    <w:pPr>
      <w:numPr>
        <w:ilvl w:val="1"/>
      </w:numPr>
    </w:pPr>
  </w:style>
  <w:style w:type="paragraph" w:styleId="ListNumber3">
    <w:name w:val="List Number 3"/>
    <w:basedOn w:val="ListNumber2"/>
    <w:rsid w:val="00BF64A5"/>
    <w:pPr>
      <w:numPr>
        <w:ilvl w:val="2"/>
      </w:numPr>
    </w:pPr>
  </w:style>
  <w:style w:type="character" w:customStyle="1" w:styleId="NoteLabel">
    <w:name w:val="Note Label"/>
    <w:basedOn w:val="DefaultParagraphFont"/>
    <w:rsid w:val="00BF64A5"/>
    <w:rPr>
      <w:rFonts w:ascii="Arial" w:hAnsi="Arial"/>
      <w:b/>
      <w:position w:val="6"/>
      <w:sz w:val="18"/>
    </w:rPr>
  </w:style>
  <w:style w:type="character" w:styleId="PageNumber">
    <w:name w:val="page number"/>
    <w:basedOn w:val="DefaultParagraphFont"/>
    <w:rsid w:val="00BF64A5"/>
    <w:rPr>
      <w:rFonts w:ascii="Arial" w:hAnsi="Arial"/>
      <w:b/>
      <w:sz w:val="16"/>
    </w:rPr>
  </w:style>
  <w:style w:type="paragraph" w:customStyle="1" w:styleId="PartDivider">
    <w:name w:val="Part Divider"/>
    <w:basedOn w:val="BodyText"/>
    <w:next w:val="BodyText"/>
    <w:semiHidden/>
    <w:rsid w:val="00BF64A5"/>
    <w:pPr>
      <w:spacing w:before="0" w:line="40" w:lineRule="exact"/>
      <w:jc w:val="right"/>
    </w:pPr>
    <w:rPr>
      <w:smallCaps/>
      <w:sz w:val="16"/>
    </w:rPr>
  </w:style>
  <w:style w:type="paragraph" w:customStyle="1" w:styleId="PartNumber">
    <w:name w:val="Part Number"/>
    <w:basedOn w:val="BodyText"/>
    <w:next w:val="BodyText"/>
    <w:semiHidden/>
    <w:rsid w:val="00BF64A5"/>
    <w:pPr>
      <w:spacing w:before="4000" w:line="320" w:lineRule="exact"/>
      <w:ind w:left="6634"/>
      <w:jc w:val="right"/>
    </w:pPr>
    <w:rPr>
      <w:smallCaps/>
      <w:spacing w:val="60"/>
      <w:sz w:val="32"/>
    </w:rPr>
  </w:style>
  <w:style w:type="paragraph" w:customStyle="1" w:styleId="PartTitle">
    <w:name w:val="Part Title"/>
    <w:basedOn w:val="BodyText"/>
    <w:semiHidden/>
    <w:rsid w:val="00BF64A5"/>
    <w:pPr>
      <w:spacing w:before="160" w:after="1360" w:line="520" w:lineRule="exact"/>
      <w:ind w:right="2381"/>
      <w:jc w:val="right"/>
    </w:pPr>
    <w:rPr>
      <w:smallCaps/>
      <w:sz w:val="52"/>
    </w:rPr>
  </w:style>
  <w:style w:type="paragraph" w:customStyle="1" w:styleId="Rec">
    <w:name w:val="Rec"/>
    <w:basedOn w:val="BodyText"/>
    <w:qFormat/>
    <w:rsid w:val="00BF64A5"/>
    <w:pPr>
      <w:keepLines/>
      <w:spacing w:before="120" w:line="280" w:lineRule="atLeast"/>
    </w:pPr>
    <w:rPr>
      <w:rFonts w:ascii="Arial" w:hAnsi="Arial"/>
      <w:sz w:val="22"/>
    </w:rPr>
  </w:style>
  <w:style w:type="paragraph" w:customStyle="1" w:styleId="RecBullet">
    <w:name w:val="Rec Bullet"/>
    <w:basedOn w:val="Rec"/>
    <w:rsid w:val="00BF64A5"/>
    <w:pPr>
      <w:numPr>
        <w:numId w:val="8"/>
      </w:numPr>
      <w:spacing w:before="80"/>
    </w:pPr>
  </w:style>
  <w:style w:type="paragraph" w:customStyle="1" w:styleId="RecB">
    <w:name w:val="RecB"/>
    <w:basedOn w:val="Normal"/>
    <w:rsid w:val="00BF64A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F64A5"/>
    <w:pPr>
      <w:numPr>
        <w:numId w:val="9"/>
      </w:numPr>
      <w:spacing w:before="80"/>
    </w:pPr>
  </w:style>
  <w:style w:type="paragraph" w:customStyle="1" w:styleId="RecBNoTitle">
    <w:name w:val="RecB NoTitle"/>
    <w:basedOn w:val="RecB"/>
    <w:rsid w:val="00BF64A5"/>
    <w:pPr>
      <w:spacing w:before="240"/>
    </w:pPr>
  </w:style>
  <w:style w:type="paragraph" w:customStyle="1" w:styleId="Reference">
    <w:name w:val="Reference"/>
    <w:basedOn w:val="BodyText"/>
    <w:rsid w:val="00BF64A5"/>
    <w:pPr>
      <w:spacing w:before="120"/>
      <w:ind w:left="340" w:hanging="340"/>
    </w:pPr>
  </w:style>
  <w:style w:type="paragraph" w:customStyle="1" w:styleId="SideNote">
    <w:name w:val="Side Note"/>
    <w:basedOn w:val="BodyText"/>
    <w:next w:val="BodyText"/>
    <w:semiHidden/>
    <w:rsid w:val="00BF64A5"/>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BF64A5"/>
    <w:pPr>
      <w:framePr w:wrap="around"/>
      <w:numPr>
        <w:numId w:val="4"/>
      </w:numPr>
      <w:tabs>
        <w:tab w:val="left" w:pos="227"/>
      </w:tabs>
    </w:pPr>
  </w:style>
  <w:style w:type="paragraph" w:customStyle="1" w:styleId="SideNoteGraphic">
    <w:name w:val="Side Note Graphic"/>
    <w:basedOn w:val="SideNote"/>
    <w:next w:val="BodyText"/>
    <w:semiHidden/>
    <w:rsid w:val="00BF64A5"/>
    <w:pPr>
      <w:framePr w:wrap="around"/>
    </w:pPr>
  </w:style>
  <w:style w:type="paragraph" w:customStyle="1" w:styleId="TableBodyText">
    <w:name w:val="Table Body Text"/>
    <w:basedOn w:val="BodyText"/>
    <w:rsid w:val="00BF64A5"/>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BF64A5"/>
    <w:pPr>
      <w:numPr>
        <w:numId w:val="10"/>
      </w:numPr>
      <w:jc w:val="left"/>
    </w:pPr>
  </w:style>
  <w:style w:type="paragraph" w:customStyle="1" w:styleId="TableColumnHeading">
    <w:name w:val="Table Column Heading"/>
    <w:basedOn w:val="TableBodyText"/>
    <w:rsid w:val="00BF64A5"/>
    <w:pPr>
      <w:spacing w:before="80" w:after="80"/>
    </w:pPr>
    <w:rPr>
      <w:i/>
    </w:rPr>
  </w:style>
  <w:style w:type="paragraph" w:styleId="TableofFigures">
    <w:name w:val="table of figures"/>
    <w:basedOn w:val="TOC3"/>
    <w:next w:val="BodyText"/>
    <w:semiHidden/>
    <w:rsid w:val="00BF64A5"/>
    <w:pPr>
      <w:ind w:left="737" w:hanging="737"/>
    </w:pPr>
  </w:style>
  <w:style w:type="paragraph" w:styleId="TOC3">
    <w:name w:val="toc 3"/>
    <w:basedOn w:val="TOC2"/>
    <w:rsid w:val="00BF64A5"/>
    <w:pPr>
      <w:spacing w:before="60"/>
      <w:ind w:left="1190" w:hanging="680"/>
    </w:pPr>
  </w:style>
  <w:style w:type="paragraph" w:styleId="TOC2">
    <w:name w:val="toc 2"/>
    <w:basedOn w:val="TOC1"/>
    <w:rsid w:val="00BF64A5"/>
    <w:pPr>
      <w:ind w:left="1134" w:hanging="624"/>
    </w:pPr>
    <w:rPr>
      <w:b w:val="0"/>
    </w:rPr>
  </w:style>
  <w:style w:type="paragraph" w:customStyle="1" w:styleId="TableTitle">
    <w:name w:val="Table Title"/>
    <w:basedOn w:val="Caption"/>
    <w:next w:val="Subtitle"/>
    <w:qFormat/>
    <w:rsid w:val="00BF64A5"/>
    <w:pPr>
      <w:spacing w:before="120"/>
    </w:pPr>
  </w:style>
  <w:style w:type="paragraph" w:customStyle="1" w:styleId="TableUnitsRow">
    <w:name w:val="Table Units Row"/>
    <w:basedOn w:val="TableBodyText"/>
    <w:rsid w:val="00BF64A5"/>
    <w:pPr>
      <w:spacing w:before="40"/>
    </w:pPr>
  </w:style>
  <w:style w:type="paragraph" w:styleId="TOC1">
    <w:name w:val="toc 1"/>
    <w:basedOn w:val="Normal"/>
    <w:next w:val="TOC2"/>
    <w:link w:val="TOC1Char"/>
    <w:rsid w:val="00BF64A5"/>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BF64A5"/>
    <w:pPr>
      <w:ind w:left="1191" w:firstLine="0"/>
    </w:pPr>
  </w:style>
  <w:style w:type="paragraph" w:customStyle="1" w:styleId="Jurisdictioncommentsbodytext">
    <w:name w:val="Jurisdiction comments body text"/>
    <w:rsid w:val="00BF64A5"/>
    <w:pPr>
      <w:spacing w:after="140"/>
      <w:jc w:val="both"/>
    </w:pPr>
    <w:rPr>
      <w:rFonts w:ascii="Arial" w:hAnsi="Arial"/>
      <w:sz w:val="24"/>
      <w:lang w:eastAsia="en-US"/>
    </w:rPr>
  </w:style>
  <w:style w:type="paragraph" w:customStyle="1" w:styleId="Continued">
    <w:name w:val="Continued"/>
    <w:basedOn w:val="BoxContinued"/>
    <w:next w:val="BodyText"/>
    <w:link w:val="ContinuedChar"/>
    <w:rsid w:val="00BF64A5"/>
  </w:style>
  <w:style w:type="paragraph" w:customStyle="1" w:styleId="BoxHeading1">
    <w:name w:val="Box Heading 1"/>
    <w:basedOn w:val="BodyText"/>
    <w:next w:val="Box"/>
    <w:rsid w:val="00BF64A5"/>
    <w:pPr>
      <w:keepNext/>
      <w:spacing w:before="200" w:line="280" w:lineRule="atLeast"/>
    </w:pPr>
    <w:rPr>
      <w:rFonts w:ascii="Arial" w:hAnsi="Arial"/>
      <w:b/>
      <w:sz w:val="22"/>
    </w:rPr>
  </w:style>
  <w:style w:type="paragraph" w:customStyle="1" w:styleId="BoxHeading2">
    <w:name w:val="Box Heading 2"/>
    <w:basedOn w:val="BoxHeading1"/>
    <w:next w:val="Normal"/>
    <w:rsid w:val="00BF64A5"/>
    <w:rPr>
      <w:b w:val="0"/>
      <w:i/>
    </w:rPr>
  </w:style>
  <w:style w:type="table" w:styleId="TableGrid">
    <w:name w:val="Table Grid"/>
    <w:basedOn w:val="TableNormal"/>
    <w:rsid w:val="00BF64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risdictioncommentsheading">
    <w:name w:val="Jurisdiction comments heading"/>
    <w:rsid w:val="00BF64A5"/>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F64A5"/>
    <w:pPr>
      <w:numPr>
        <w:numId w:val="12"/>
      </w:numPr>
      <w:spacing w:after="140"/>
      <w:jc w:val="both"/>
    </w:pPr>
    <w:rPr>
      <w:rFonts w:ascii="Arial" w:hAnsi="Arial"/>
      <w:sz w:val="24"/>
      <w:lang w:eastAsia="en-US"/>
    </w:rPr>
  </w:style>
  <w:style w:type="paragraph" w:styleId="BalloonText">
    <w:name w:val="Balloon Text"/>
    <w:basedOn w:val="Normal"/>
    <w:link w:val="BalloonTextChar"/>
    <w:rsid w:val="00BF64A5"/>
    <w:rPr>
      <w:rFonts w:ascii="Tahoma" w:hAnsi="Tahoma" w:cs="Tahoma"/>
      <w:sz w:val="16"/>
      <w:szCs w:val="16"/>
    </w:rPr>
  </w:style>
  <w:style w:type="character" w:styleId="Hyperlink">
    <w:name w:val="Hyperlink"/>
    <w:uiPriority w:val="99"/>
    <w:rsid w:val="00B32791"/>
    <w:rPr>
      <w:color w:val="0000FF"/>
      <w:u w:val="single"/>
    </w:rPr>
  </w:style>
  <w:style w:type="paragraph" w:styleId="CommentSubject">
    <w:name w:val="annotation subject"/>
    <w:basedOn w:val="CommentText"/>
    <w:next w:val="CommentText"/>
    <w:semiHidden/>
    <w:rsid w:val="00380B81"/>
    <w:pPr>
      <w:spacing w:before="0" w:line="240" w:lineRule="auto"/>
      <w:ind w:left="0" w:firstLine="0"/>
    </w:pPr>
    <w:rPr>
      <w:b/>
      <w:bCs/>
    </w:rPr>
  </w:style>
  <w:style w:type="paragraph" w:customStyle="1" w:styleId="DocInfo">
    <w:name w:val="Doc Info"/>
    <w:basedOn w:val="Normal"/>
    <w:next w:val="Normal"/>
    <w:rsid w:val="004A1A4B"/>
    <w:pPr>
      <w:jc w:val="center"/>
    </w:pPr>
    <w:rPr>
      <w:rFonts w:ascii="Arial" w:hAnsi="Arial"/>
      <w:sz w:val="14"/>
    </w:rPr>
  </w:style>
  <w:style w:type="paragraph" w:customStyle="1" w:styleId="Heading2NotTOC">
    <w:name w:val="Heading 2 Not TOC"/>
    <w:basedOn w:val="Heading2"/>
    <w:next w:val="BodyText"/>
    <w:rsid w:val="004A1A4B"/>
    <w:pPr>
      <w:outlineLvl w:val="9"/>
    </w:pPr>
  </w:style>
  <w:style w:type="paragraph" w:customStyle="1" w:styleId="SOC">
    <w:name w:val="SOC"/>
    <w:basedOn w:val="BodyText"/>
    <w:rsid w:val="004A1A4B"/>
    <w:pPr>
      <w:spacing w:before="0" w:after="140" w:line="240" w:lineRule="auto"/>
    </w:pPr>
    <w:rPr>
      <w:rFonts w:ascii="Arial" w:hAnsi="Arial"/>
    </w:rPr>
  </w:style>
  <w:style w:type="character" w:customStyle="1" w:styleId="BoxChar">
    <w:name w:val="Box Char"/>
    <w:link w:val="Box"/>
    <w:rsid w:val="00695237"/>
    <w:rPr>
      <w:rFonts w:ascii="Arial" w:hAnsi="Arial"/>
    </w:rPr>
  </w:style>
  <w:style w:type="character" w:styleId="FollowedHyperlink">
    <w:name w:val="FollowedHyperlink"/>
    <w:rsid w:val="00E70D23"/>
    <w:rPr>
      <w:color w:val="800080"/>
      <w:u w:val="single"/>
    </w:rPr>
  </w:style>
  <w:style w:type="character" w:customStyle="1" w:styleId="NoteChar">
    <w:name w:val="Note Char"/>
    <w:link w:val="Note"/>
    <w:rsid w:val="00D877D2"/>
    <w:rPr>
      <w:rFonts w:ascii="Arial" w:hAnsi="Arial"/>
      <w:sz w:val="18"/>
    </w:rPr>
  </w:style>
  <w:style w:type="character" w:customStyle="1" w:styleId="SourceChar">
    <w:name w:val="Source Char"/>
    <w:basedOn w:val="NoteChar"/>
    <w:link w:val="Source"/>
    <w:rsid w:val="004B7622"/>
    <w:rPr>
      <w:rFonts w:ascii="Arial" w:hAnsi="Arial"/>
      <w:sz w:val="18"/>
    </w:rPr>
  </w:style>
  <w:style w:type="paragraph" w:customStyle="1" w:styleId="formattedparas">
    <w:name w:val="formatted paras"/>
    <w:basedOn w:val="Normal"/>
    <w:rsid w:val="00A05C8C"/>
    <w:pPr>
      <w:numPr>
        <w:numId w:val="15"/>
      </w:numPr>
      <w:tabs>
        <w:tab w:val="clear" w:pos="360"/>
      </w:tabs>
      <w:spacing w:after="140" w:line="300" w:lineRule="exact"/>
      <w:ind w:left="0" w:firstLine="0"/>
      <w:jc w:val="both"/>
    </w:pPr>
    <w:rPr>
      <w:szCs w:val="20"/>
    </w:rPr>
  </w:style>
  <w:style w:type="character" w:customStyle="1" w:styleId="BoxContinuedChar">
    <w:name w:val="Box Continued Char"/>
    <w:link w:val="BoxContinued"/>
    <w:semiHidden/>
    <w:rsid w:val="0016191F"/>
    <w:rPr>
      <w:rFonts w:ascii="Arial" w:hAnsi="Arial"/>
      <w:sz w:val="18"/>
    </w:rPr>
  </w:style>
  <w:style w:type="character" w:customStyle="1" w:styleId="ContinuedChar">
    <w:name w:val="Continued Char"/>
    <w:basedOn w:val="BoxContinuedChar"/>
    <w:link w:val="Continued"/>
    <w:rsid w:val="0016191F"/>
    <w:rPr>
      <w:rFonts w:ascii="Arial" w:hAnsi="Arial"/>
      <w:sz w:val="18"/>
    </w:rPr>
  </w:style>
  <w:style w:type="paragraph" w:customStyle="1" w:styleId="Default">
    <w:name w:val="Default"/>
    <w:rsid w:val="00297174"/>
    <w:pPr>
      <w:autoSpaceDE w:val="0"/>
      <w:autoSpaceDN w:val="0"/>
      <w:adjustRightInd w:val="0"/>
    </w:pPr>
    <w:rPr>
      <w:rFonts w:ascii="Corbel" w:hAnsi="Corbel" w:cs="Corbel"/>
      <w:color w:val="000000"/>
      <w:sz w:val="24"/>
      <w:szCs w:val="24"/>
    </w:rPr>
  </w:style>
  <w:style w:type="paragraph" w:styleId="NormalWeb">
    <w:name w:val="Normal (Web)"/>
    <w:basedOn w:val="Normal"/>
    <w:rsid w:val="00BA1313"/>
    <w:pPr>
      <w:spacing w:after="240" w:line="312" w:lineRule="atLeast"/>
    </w:pPr>
    <w:rPr>
      <w:color w:val="000000"/>
    </w:rPr>
  </w:style>
  <w:style w:type="character" w:styleId="IntenseReference">
    <w:name w:val="Intense Reference"/>
    <w:uiPriority w:val="32"/>
    <w:qFormat/>
    <w:rsid w:val="00A20477"/>
    <w:rPr>
      <w:b/>
      <w:bCs/>
      <w:smallCaps/>
      <w:color w:val="C0504D"/>
      <w:spacing w:val="5"/>
      <w:u w:val="single"/>
    </w:rPr>
  </w:style>
  <w:style w:type="character" w:customStyle="1" w:styleId="ListBulletChar">
    <w:name w:val="List Bullet Char"/>
    <w:link w:val="ListBullet"/>
    <w:rsid w:val="00FC3F6C"/>
    <w:rPr>
      <w:sz w:val="24"/>
    </w:rPr>
  </w:style>
  <w:style w:type="paragraph" w:customStyle="1" w:styleId="RecBBullet2">
    <w:name w:val="RecB Bullet 2"/>
    <w:basedOn w:val="ListBullet2"/>
    <w:semiHidden/>
    <w:rsid w:val="00BF64A5"/>
    <w:pPr>
      <w:pBdr>
        <w:left w:val="single" w:sz="24" w:space="29" w:color="C0C0C0"/>
      </w:pBdr>
    </w:pPr>
    <w:rPr>
      <w:b/>
      <w:i/>
    </w:rPr>
  </w:style>
  <w:style w:type="character" w:customStyle="1" w:styleId="BalloonTextChar">
    <w:name w:val="Balloon Text Char"/>
    <w:basedOn w:val="DefaultParagraphFont"/>
    <w:link w:val="BalloonText"/>
    <w:rsid w:val="00BF64A5"/>
    <w:rPr>
      <w:rFonts w:ascii="Tahoma" w:hAnsi="Tahoma" w:cs="Tahoma"/>
      <w:sz w:val="16"/>
      <w:szCs w:val="16"/>
    </w:rPr>
  </w:style>
  <w:style w:type="character" w:customStyle="1" w:styleId="SubtitleChar">
    <w:name w:val="Subtitle Char"/>
    <w:basedOn w:val="DefaultParagraphFont"/>
    <w:link w:val="Subtitle"/>
    <w:rsid w:val="00BF64A5"/>
    <w:rPr>
      <w:rFonts w:ascii="Arial" w:hAnsi="Arial"/>
      <w:szCs w:val="24"/>
    </w:rPr>
  </w:style>
  <w:style w:type="paragraph" w:customStyle="1" w:styleId="BoxListBullet3">
    <w:name w:val="Box List Bullet 3"/>
    <w:basedOn w:val="ListBullet3"/>
    <w:rsid w:val="00BF64A5"/>
    <w:pPr>
      <w:numPr>
        <w:numId w:val="18"/>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BF64A5"/>
    <w:rPr>
      <w:i/>
      <w:iCs/>
    </w:rPr>
  </w:style>
  <w:style w:type="paragraph" w:customStyle="1" w:styleId="BoxQuoteBullet">
    <w:name w:val="Box Quote Bullet"/>
    <w:basedOn w:val="BoxQuote"/>
    <w:next w:val="Box"/>
    <w:rsid w:val="00BF64A5"/>
    <w:pPr>
      <w:numPr>
        <w:numId w:val="16"/>
      </w:numPr>
      <w:ind w:left="568" w:hanging="284"/>
    </w:pPr>
  </w:style>
  <w:style w:type="paragraph" w:customStyle="1" w:styleId="InformationRequestBullet">
    <w:name w:val="Information Request Bullet"/>
    <w:basedOn w:val="ListBullet"/>
    <w:next w:val="BodyText"/>
    <w:rsid w:val="00BF64A5"/>
    <w:pPr>
      <w:numPr>
        <w:numId w:val="17"/>
      </w:numPr>
      <w:spacing w:before="80" w:line="280" w:lineRule="atLeast"/>
      <w:ind w:left="357" w:hanging="357"/>
    </w:pPr>
    <w:rPr>
      <w:rFonts w:ascii="Arial" w:hAnsi="Arial"/>
      <w:i/>
      <w:sz w:val="22"/>
    </w:rPr>
  </w:style>
  <w:style w:type="character" w:customStyle="1" w:styleId="CommentTextChar">
    <w:name w:val="Comment Text Char"/>
    <w:basedOn w:val="DefaultParagraphFont"/>
    <w:link w:val="CommentText"/>
    <w:semiHidden/>
    <w:rsid w:val="002375A1"/>
    <w:rPr>
      <w:szCs w:val="24"/>
    </w:rPr>
  </w:style>
  <w:style w:type="paragraph" w:customStyle="1" w:styleId="BoxSpaceAbove">
    <w:name w:val="Box Space Above"/>
    <w:basedOn w:val="BodyText"/>
    <w:rsid w:val="00BF64A5"/>
    <w:pPr>
      <w:keepNext/>
      <w:spacing w:before="360" w:line="80" w:lineRule="exact"/>
      <w:jc w:val="left"/>
    </w:pPr>
  </w:style>
  <w:style w:type="paragraph" w:customStyle="1" w:styleId="BoxSpaceBelow">
    <w:name w:val="Box Space Below"/>
    <w:basedOn w:val="Box"/>
    <w:rsid w:val="00BF64A5"/>
    <w:pPr>
      <w:keepNext w:val="0"/>
      <w:spacing w:before="60" w:after="60" w:line="80" w:lineRule="exact"/>
    </w:pPr>
    <w:rPr>
      <w:sz w:val="14"/>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BF64A5"/>
    <w:rPr>
      <w:sz w:val="24"/>
    </w:rPr>
  </w:style>
  <w:style w:type="paragraph" w:styleId="ListParagraph">
    <w:name w:val="List Paragraph"/>
    <w:basedOn w:val="Normal"/>
    <w:uiPriority w:val="34"/>
    <w:qFormat/>
    <w:rsid w:val="00642EB8"/>
    <w:pPr>
      <w:ind w:left="720"/>
      <w:contextualSpacing/>
    </w:pPr>
  </w:style>
  <w:style w:type="paragraph" w:customStyle="1" w:styleId="KeyPointsListBullet">
    <w:name w:val="Key Points List Bullet"/>
    <w:basedOn w:val="Normal"/>
    <w:qFormat/>
    <w:rsid w:val="00BF64A5"/>
    <w:pPr>
      <w:keepNext/>
      <w:numPr>
        <w:numId w:val="19"/>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BF64A5"/>
    <w:pPr>
      <w:numPr>
        <w:numId w:val="20"/>
      </w:numPr>
      <w:ind w:left="568" w:hanging="284"/>
    </w:pPr>
  </w:style>
  <w:style w:type="paragraph" w:customStyle="1" w:styleId="InformationRequestTitle">
    <w:name w:val="Information Request Title"/>
    <w:basedOn w:val="FindingTitle"/>
    <w:next w:val="InformationRequest"/>
    <w:rsid w:val="00BF64A5"/>
    <w:rPr>
      <w:i/>
    </w:rPr>
  </w:style>
  <w:style w:type="paragraph" w:customStyle="1" w:styleId="Space">
    <w:name w:val="Space"/>
    <w:basedOn w:val="Normal"/>
    <w:rsid w:val="00BF64A5"/>
    <w:pPr>
      <w:keepNext/>
      <w:spacing w:line="120" w:lineRule="exact"/>
      <w:jc w:val="both"/>
    </w:pPr>
    <w:rPr>
      <w:rFonts w:ascii="Arial" w:hAnsi="Arial"/>
      <w:sz w:val="20"/>
      <w:szCs w:val="20"/>
    </w:rPr>
  </w:style>
  <w:style w:type="paragraph" w:customStyle="1" w:styleId="Heading1nochapterno">
    <w:name w:val="Heading 1 (no chapter no.)"/>
    <w:basedOn w:val="Heading1"/>
    <w:rsid w:val="00BF64A5"/>
    <w:pPr>
      <w:spacing w:before="0"/>
      <w:ind w:left="0" w:firstLine="0"/>
    </w:pPr>
  </w:style>
  <w:style w:type="paragraph" w:customStyle="1" w:styleId="Heading2nosectionno">
    <w:name w:val="Heading 2 (no section no.)"/>
    <w:basedOn w:val="Heading2"/>
    <w:rsid w:val="00BF64A5"/>
    <w:pPr>
      <w:ind w:left="0" w:firstLine="0"/>
    </w:pPr>
  </w:style>
  <w:style w:type="character" w:customStyle="1" w:styleId="Heading5Char">
    <w:name w:val="Heading 5 Char"/>
    <w:basedOn w:val="DefaultParagraphFont"/>
    <w:link w:val="Heading5"/>
    <w:rsid w:val="00BF64A5"/>
    <w:rPr>
      <w:rFonts w:ascii="Arial" w:hAnsi="Arial"/>
      <w:i/>
      <w:sz w:val="22"/>
    </w:rPr>
  </w:style>
  <w:style w:type="paragraph" w:customStyle="1" w:styleId="Figurespace">
    <w:name w:val="Figure space"/>
    <w:basedOn w:val="Box"/>
    <w:rsid w:val="00BF64A5"/>
    <w:pPr>
      <w:spacing w:before="0" w:line="120" w:lineRule="exact"/>
    </w:pPr>
  </w:style>
  <w:style w:type="paragraph" w:customStyle="1" w:styleId="FooterDraftReport">
    <w:name w:val="FooterDraftReport"/>
    <w:basedOn w:val="Footer"/>
    <w:link w:val="FooterDraftReportChar"/>
    <w:rsid w:val="00BF64A5"/>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Char">
    <w:name w:val="Footer Char"/>
    <w:basedOn w:val="BodyTextChar"/>
    <w:link w:val="Footer"/>
    <w:rsid w:val="00BF64A5"/>
    <w:rPr>
      <w:rFonts w:ascii="Arial" w:hAnsi="Arial"/>
      <w:caps/>
      <w:spacing w:val="-4"/>
      <w:sz w:val="16"/>
    </w:rPr>
  </w:style>
  <w:style w:type="character" w:customStyle="1" w:styleId="FooterDraftReportChar">
    <w:name w:val="FooterDraftReport Char"/>
    <w:basedOn w:val="FooterChar"/>
    <w:link w:val="FooterDraftReport"/>
    <w:rsid w:val="00BF64A5"/>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BF64A5"/>
    <w:rPr>
      <w:rFonts w:ascii="Arial" w:hAnsi="Arial"/>
      <w:b/>
      <w:sz w:val="26"/>
      <w:szCs w:val="26"/>
      <w:lang w:eastAsia="en-US"/>
    </w:rPr>
  </w:style>
  <w:style w:type="character" w:customStyle="1" w:styleId="BoxTitleChar">
    <w:name w:val="Box Title Char"/>
    <w:link w:val="BoxTitle"/>
    <w:rsid w:val="00A25CAF"/>
    <w:rPr>
      <w:rFonts w:ascii="Arial" w:hAnsi="Arial"/>
      <w:b/>
      <w:sz w:val="24"/>
      <w:szCs w:val="24"/>
    </w:rPr>
  </w:style>
  <w:style w:type="paragraph" w:customStyle="1" w:styleId="OECD">
    <w:name w:val="OECD"/>
    <w:basedOn w:val="BodyText"/>
    <w:rsid w:val="00BF5D77"/>
  </w:style>
  <w:style w:type="paragraph" w:styleId="Revision">
    <w:name w:val="Revision"/>
    <w:hidden/>
    <w:uiPriority w:val="99"/>
    <w:semiHidden/>
    <w:rsid w:val="003B0A7E"/>
    <w:rPr>
      <w:sz w:val="24"/>
      <w:szCs w:val="24"/>
    </w:rPr>
  </w:style>
  <w:style w:type="paragraph" w:customStyle="1" w:styleId="DQITableText">
    <w:name w:val="DQI Table Text"/>
    <w:basedOn w:val="TableBodyText"/>
    <w:rsid w:val="00C47D6F"/>
    <w:pPr>
      <w:spacing w:before="120" w:after="0"/>
      <w:ind w:left="0" w:right="0"/>
      <w:jc w:val="both"/>
    </w:pPr>
  </w:style>
  <w:style w:type="paragraph" w:customStyle="1" w:styleId="DQITableBullet">
    <w:name w:val="DQI Table Bullet"/>
    <w:basedOn w:val="TableBullet"/>
    <w:rsid w:val="00C47D6F"/>
    <w:pPr>
      <w:numPr>
        <w:numId w:val="23"/>
      </w:numPr>
      <w:spacing w:before="40" w:after="0"/>
      <w:ind w:left="170" w:hanging="170"/>
      <w:jc w:val="both"/>
    </w:pPr>
  </w:style>
  <w:style w:type="paragraph" w:customStyle="1" w:styleId="DQITableBullet2">
    <w:name w:val="DQI Table Bullet 2"/>
    <w:basedOn w:val="DQITableBullet"/>
    <w:rsid w:val="00C47D6F"/>
    <w:pPr>
      <w:numPr>
        <w:numId w:val="24"/>
      </w:numPr>
      <w:ind w:left="340" w:hanging="170"/>
    </w:pPr>
  </w:style>
  <w:style w:type="paragraph" w:customStyle="1" w:styleId="DQIRowHeadings">
    <w:name w:val="DQI Row Headings"/>
    <w:basedOn w:val="Normal"/>
    <w:rsid w:val="007204CA"/>
    <w:pPr>
      <w:keepNext/>
      <w:keepLines/>
      <w:spacing w:before="120" w:line="200" w:lineRule="atLeast"/>
      <w:ind w:left="6" w:right="113"/>
    </w:pPr>
    <w:rPr>
      <w:rFonts w:ascii="Arial" w:hAnsi="Arial"/>
      <w:b/>
      <w:sz w:val="18"/>
      <w:szCs w:val="20"/>
    </w:rPr>
  </w:style>
  <w:style w:type="paragraph" w:customStyle="1" w:styleId="DQIMainRowHeadings">
    <w:name w:val="DQI Main Row Headings"/>
    <w:basedOn w:val="Normal"/>
    <w:next w:val="Normal"/>
    <w:rsid w:val="007204CA"/>
    <w:pPr>
      <w:keepNext/>
      <w:keepLines/>
      <w:spacing w:before="120" w:line="200" w:lineRule="atLeast"/>
      <w:ind w:left="6" w:right="113"/>
    </w:pPr>
    <w:rPr>
      <w:rFonts w:ascii="Arial" w:hAnsi="Arial"/>
      <w:b/>
      <w:sz w:val="18"/>
      <w:szCs w:val="20"/>
      <w:u w:val="single"/>
    </w:rPr>
  </w:style>
  <w:style w:type="paragraph" w:styleId="TOCHeading">
    <w:name w:val="TOC Heading"/>
    <w:basedOn w:val="Heading1"/>
    <w:next w:val="Normal"/>
    <w:uiPriority w:val="39"/>
    <w:unhideWhenUsed/>
    <w:qFormat/>
    <w:rsid w:val="00973112"/>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Heading4Char">
    <w:name w:val="Heading 4 Char"/>
    <w:basedOn w:val="DefaultParagraphFont"/>
    <w:link w:val="Heading4"/>
    <w:rsid w:val="00973112"/>
    <w:rPr>
      <w:rFonts w:ascii="Arial" w:hAnsi="Arial"/>
      <w:sz w:val="24"/>
    </w:rPr>
  </w:style>
  <w:style w:type="character" w:customStyle="1" w:styleId="BoxListBulletChar">
    <w:name w:val="Box List Bullet Char"/>
    <w:link w:val="BoxListBullet"/>
    <w:rsid w:val="000810FA"/>
    <w:rPr>
      <w:rFonts w:ascii="Arial" w:hAnsi="Arial"/>
    </w:rPr>
  </w:style>
  <w:style w:type="character" w:customStyle="1" w:styleId="Continuedintitle">
    <w:name w:val="Continued (in title)"/>
    <w:basedOn w:val="DefaultParagraphFont"/>
    <w:rsid w:val="00BF64A5"/>
    <w:rPr>
      <w:rFonts w:ascii="Arial" w:hAnsi="Arial"/>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98486">
      <w:bodyDiv w:val="1"/>
      <w:marLeft w:val="0"/>
      <w:marRight w:val="0"/>
      <w:marTop w:val="0"/>
      <w:marBottom w:val="0"/>
      <w:divBdr>
        <w:top w:val="none" w:sz="0" w:space="0" w:color="auto"/>
        <w:left w:val="none" w:sz="0" w:space="0" w:color="auto"/>
        <w:bottom w:val="none" w:sz="0" w:space="0" w:color="auto"/>
        <w:right w:val="none" w:sz="0" w:space="0" w:color="auto"/>
      </w:divBdr>
    </w:div>
    <w:div w:id="526143220">
      <w:bodyDiv w:val="1"/>
      <w:marLeft w:val="0"/>
      <w:marRight w:val="0"/>
      <w:marTop w:val="0"/>
      <w:marBottom w:val="0"/>
      <w:divBdr>
        <w:top w:val="none" w:sz="0" w:space="0" w:color="auto"/>
        <w:left w:val="none" w:sz="0" w:space="0" w:color="auto"/>
        <w:bottom w:val="none" w:sz="0" w:space="0" w:color="auto"/>
        <w:right w:val="none" w:sz="0" w:space="0" w:color="auto"/>
      </w:divBdr>
    </w:div>
    <w:div w:id="528106990">
      <w:bodyDiv w:val="1"/>
      <w:marLeft w:val="0"/>
      <w:marRight w:val="0"/>
      <w:marTop w:val="0"/>
      <w:marBottom w:val="0"/>
      <w:divBdr>
        <w:top w:val="none" w:sz="0" w:space="0" w:color="auto"/>
        <w:left w:val="none" w:sz="0" w:space="0" w:color="auto"/>
        <w:bottom w:val="none" w:sz="0" w:space="0" w:color="auto"/>
        <w:right w:val="none" w:sz="0" w:space="0" w:color="auto"/>
      </w:divBdr>
    </w:div>
    <w:div w:id="532808332">
      <w:bodyDiv w:val="1"/>
      <w:marLeft w:val="0"/>
      <w:marRight w:val="0"/>
      <w:marTop w:val="0"/>
      <w:marBottom w:val="0"/>
      <w:divBdr>
        <w:top w:val="none" w:sz="0" w:space="0" w:color="auto"/>
        <w:left w:val="none" w:sz="0" w:space="0" w:color="auto"/>
        <w:bottom w:val="none" w:sz="0" w:space="0" w:color="auto"/>
        <w:right w:val="none" w:sz="0" w:space="0" w:color="auto"/>
      </w:divBdr>
      <w:divsChild>
        <w:div w:id="275675809">
          <w:marLeft w:val="0"/>
          <w:marRight w:val="0"/>
          <w:marTop w:val="0"/>
          <w:marBottom w:val="0"/>
          <w:divBdr>
            <w:top w:val="none" w:sz="0" w:space="0" w:color="auto"/>
            <w:left w:val="none" w:sz="0" w:space="0" w:color="auto"/>
            <w:bottom w:val="none" w:sz="0" w:space="0" w:color="auto"/>
            <w:right w:val="none" w:sz="0" w:space="0" w:color="auto"/>
          </w:divBdr>
          <w:divsChild>
            <w:div w:id="1756511046">
              <w:marLeft w:val="0"/>
              <w:marRight w:val="0"/>
              <w:marTop w:val="0"/>
              <w:marBottom w:val="0"/>
              <w:divBdr>
                <w:top w:val="none" w:sz="0" w:space="0" w:color="auto"/>
                <w:left w:val="none" w:sz="0" w:space="0" w:color="auto"/>
                <w:bottom w:val="none" w:sz="0" w:space="0" w:color="auto"/>
                <w:right w:val="none" w:sz="0" w:space="0" w:color="auto"/>
              </w:divBdr>
              <w:divsChild>
                <w:div w:id="1177768475">
                  <w:marLeft w:val="0"/>
                  <w:marRight w:val="0"/>
                  <w:marTop w:val="0"/>
                  <w:marBottom w:val="0"/>
                  <w:divBdr>
                    <w:top w:val="none" w:sz="0" w:space="0" w:color="auto"/>
                    <w:left w:val="none" w:sz="0" w:space="0" w:color="auto"/>
                    <w:bottom w:val="none" w:sz="0" w:space="0" w:color="auto"/>
                    <w:right w:val="none" w:sz="0" w:space="0" w:color="auto"/>
                  </w:divBdr>
                  <w:divsChild>
                    <w:div w:id="647830899">
                      <w:marLeft w:val="0"/>
                      <w:marRight w:val="0"/>
                      <w:marTop w:val="0"/>
                      <w:marBottom w:val="0"/>
                      <w:divBdr>
                        <w:top w:val="none" w:sz="0" w:space="0" w:color="auto"/>
                        <w:left w:val="none" w:sz="0" w:space="0" w:color="auto"/>
                        <w:bottom w:val="none" w:sz="0" w:space="0" w:color="auto"/>
                        <w:right w:val="none" w:sz="0" w:space="0" w:color="auto"/>
                      </w:divBdr>
                      <w:divsChild>
                        <w:div w:id="691994945">
                          <w:marLeft w:val="0"/>
                          <w:marRight w:val="0"/>
                          <w:marTop w:val="0"/>
                          <w:marBottom w:val="0"/>
                          <w:divBdr>
                            <w:top w:val="none" w:sz="0" w:space="0" w:color="auto"/>
                            <w:left w:val="none" w:sz="0" w:space="0" w:color="auto"/>
                            <w:bottom w:val="none" w:sz="0" w:space="0" w:color="auto"/>
                            <w:right w:val="none" w:sz="0" w:space="0" w:color="auto"/>
                          </w:divBdr>
                          <w:divsChild>
                            <w:div w:id="176700851">
                              <w:marLeft w:val="0"/>
                              <w:marRight w:val="0"/>
                              <w:marTop w:val="0"/>
                              <w:marBottom w:val="0"/>
                              <w:divBdr>
                                <w:top w:val="none" w:sz="0" w:space="0" w:color="auto"/>
                                <w:left w:val="none" w:sz="0" w:space="0" w:color="auto"/>
                                <w:bottom w:val="none" w:sz="0" w:space="0" w:color="auto"/>
                                <w:right w:val="none" w:sz="0" w:space="0" w:color="auto"/>
                              </w:divBdr>
                            </w:div>
                            <w:div w:id="341200231">
                              <w:marLeft w:val="0"/>
                              <w:marRight w:val="0"/>
                              <w:marTop w:val="0"/>
                              <w:marBottom w:val="0"/>
                              <w:divBdr>
                                <w:top w:val="none" w:sz="0" w:space="0" w:color="auto"/>
                                <w:left w:val="none" w:sz="0" w:space="0" w:color="auto"/>
                                <w:bottom w:val="none" w:sz="0" w:space="0" w:color="auto"/>
                                <w:right w:val="none" w:sz="0" w:space="0" w:color="auto"/>
                              </w:divBdr>
                            </w:div>
                            <w:div w:id="872616886">
                              <w:marLeft w:val="0"/>
                              <w:marRight w:val="0"/>
                              <w:marTop w:val="0"/>
                              <w:marBottom w:val="0"/>
                              <w:divBdr>
                                <w:top w:val="none" w:sz="0" w:space="0" w:color="auto"/>
                                <w:left w:val="none" w:sz="0" w:space="0" w:color="auto"/>
                                <w:bottom w:val="none" w:sz="0" w:space="0" w:color="auto"/>
                                <w:right w:val="none" w:sz="0" w:space="0" w:color="auto"/>
                              </w:divBdr>
                              <w:divsChild>
                                <w:div w:id="1478646211">
                                  <w:marLeft w:val="0"/>
                                  <w:marRight w:val="0"/>
                                  <w:marTop w:val="0"/>
                                  <w:marBottom w:val="0"/>
                                  <w:divBdr>
                                    <w:top w:val="none" w:sz="0" w:space="0" w:color="auto"/>
                                    <w:left w:val="none" w:sz="0" w:space="0" w:color="auto"/>
                                    <w:bottom w:val="none" w:sz="0" w:space="0" w:color="auto"/>
                                    <w:right w:val="none" w:sz="0" w:space="0" w:color="auto"/>
                                  </w:divBdr>
                                  <w:divsChild>
                                    <w:div w:id="54285828">
                                      <w:marLeft w:val="0"/>
                                      <w:marRight w:val="0"/>
                                      <w:marTop w:val="0"/>
                                      <w:marBottom w:val="0"/>
                                      <w:divBdr>
                                        <w:top w:val="none" w:sz="0" w:space="0" w:color="auto"/>
                                        <w:left w:val="none" w:sz="0" w:space="0" w:color="auto"/>
                                        <w:bottom w:val="none" w:sz="0" w:space="0" w:color="auto"/>
                                        <w:right w:val="none" w:sz="0" w:space="0" w:color="auto"/>
                                      </w:divBdr>
                                    </w:div>
                                    <w:div w:id="14478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4294499">
      <w:bodyDiv w:val="1"/>
      <w:marLeft w:val="0"/>
      <w:marRight w:val="0"/>
      <w:marTop w:val="0"/>
      <w:marBottom w:val="0"/>
      <w:divBdr>
        <w:top w:val="none" w:sz="0" w:space="0" w:color="auto"/>
        <w:left w:val="none" w:sz="0" w:space="0" w:color="auto"/>
        <w:bottom w:val="none" w:sz="0" w:space="0" w:color="auto"/>
        <w:right w:val="none" w:sz="0" w:space="0" w:color="auto"/>
      </w:divBdr>
    </w:div>
    <w:div w:id="603465022">
      <w:bodyDiv w:val="1"/>
      <w:marLeft w:val="0"/>
      <w:marRight w:val="0"/>
      <w:marTop w:val="0"/>
      <w:marBottom w:val="0"/>
      <w:divBdr>
        <w:top w:val="none" w:sz="0" w:space="0" w:color="auto"/>
        <w:left w:val="none" w:sz="0" w:space="0" w:color="auto"/>
        <w:bottom w:val="none" w:sz="0" w:space="0" w:color="auto"/>
        <w:right w:val="none" w:sz="0" w:space="0" w:color="auto"/>
      </w:divBdr>
    </w:div>
    <w:div w:id="843132823">
      <w:bodyDiv w:val="1"/>
      <w:marLeft w:val="0"/>
      <w:marRight w:val="0"/>
      <w:marTop w:val="0"/>
      <w:marBottom w:val="0"/>
      <w:divBdr>
        <w:top w:val="none" w:sz="0" w:space="0" w:color="auto"/>
        <w:left w:val="none" w:sz="0" w:space="0" w:color="auto"/>
        <w:bottom w:val="none" w:sz="0" w:space="0" w:color="auto"/>
        <w:right w:val="none" w:sz="0" w:space="0" w:color="auto"/>
      </w:divBdr>
    </w:div>
    <w:div w:id="935794171">
      <w:bodyDiv w:val="1"/>
      <w:marLeft w:val="0"/>
      <w:marRight w:val="0"/>
      <w:marTop w:val="0"/>
      <w:marBottom w:val="0"/>
      <w:divBdr>
        <w:top w:val="none" w:sz="0" w:space="0" w:color="auto"/>
        <w:left w:val="none" w:sz="0" w:space="0" w:color="auto"/>
        <w:bottom w:val="none" w:sz="0" w:space="0" w:color="auto"/>
        <w:right w:val="none" w:sz="0" w:space="0" w:color="auto"/>
      </w:divBdr>
      <w:divsChild>
        <w:div w:id="1212109481">
          <w:marLeft w:val="0"/>
          <w:marRight w:val="0"/>
          <w:marTop w:val="0"/>
          <w:marBottom w:val="0"/>
          <w:divBdr>
            <w:top w:val="none" w:sz="0" w:space="0" w:color="auto"/>
            <w:left w:val="none" w:sz="0" w:space="0" w:color="auto"/>
            <w:bottom w:val="none" w:sz="0" w:space="0" w:color="auto"/>
            <w:right w:val="none" w:sz="0" w:space="0" w:color="auto"/>
          </w:divBdr>
          <w:divsChild>
            <w:div w:id="655691142">
              <w:marLeft w:val="0"/>
              <w:marRight w:val="0"/>
              <w:marTop w:val="0"/>
              <w:marBottom w:val="0"/>
              <w:divBdr>
                <w:top w:val="none" w:sz="0" w:space="0" w:color="auto"/>
                <w:left w:val="none" w:sz="0" w:space="0" w:color="auto"/>
                <w:bottom w:val="none" w:sz="0" w:space="0" w:color="auto"/>
                <w:right w:val="none" w:sz="0" w:space="0" w:color="auto"/>
              </w:divBdr>
              <w:divsChild>
                <w:div w:id="1380083904">
                  <w:marLeft w:val="0"/>
                  <w:marRight w:val="0"/>
                  <w:marTop w:val="0"/>
                  <w:marBottom w:val="0"/>
                  <w:divBdr>
                    <w:top w:val="none" w:sz="0" w:space="0" w:color="auto"/>
                    <w:left w:val="none" w:sz="0" w:space="0" w:color="auto"/>
                    <w:bottom w:val="none" w:sz="0" w:space="0" w:color="auto"/>
                    <w:right w:val="none" w:sz="0" w:space="0" w:color="auto"/>
                  </w:divBdr>
                  <w:divsChild>
                    <w:div w:id="756251395">
                      <w:marLeft w:val="0"/>
                      <w:marRight w:val="0"/>
                      <w:marTop w:val="0"/>
                      <w:marBottom w:val="0"/>
                      <w:divBdr>
                        <w:top w:val="none" w:sz="0" w:space="0" w:color="auto"/>
                        <w:left w:val="single" w:sz="6" w:space="7" w:color="EDEBEA"/>
                        <w:bottom w:val="none" w:sz="0" w:space="0" w:color="auto"/>
                        <w:right w:val="none" w:sz="0" w:space="0" w:color="auto"/>
                      </w:divBdr>
                      <w:divsChild>
                        <w:div w:id="1939097046">
                          <w:marLeft w:val="0"/>
                          <w:marRight w:val="0"/>
                          <w:marTop w:val="0"/>
                          <w:marBottom w:val="0"/>
                          <w:divBdr>
                            <w:top w:val="none" w:sz="0" w:space="0" w:color="auto"/>
                            <w:left w:val="none" w:sz="0" w:space="0" w:color="auto"/>
                            <w:bottom w:val="none" w:sz="0" w:space="0" w:color="auto"/>
                            <w:right w:val="none" w:sz="0" w:space="0" w:color="auto"/>
                          </w:divBdr>
                          <w:divsChild>
                            <w:div w:id="1977442774">
                              <w:marLeft w:val="0"/>
                              <w:marRight w:val="0"/>
                              <w:marTop w:val="0"/>
                              <w:marBottom w:val="0"/>
                              <w:divBdr>
                                <w:top w:val="none" w:sz="0" w:space="0" w:color="auto"/>
                                <w:left w:val="none" w:sz="0" w:space="0" w:color="auto"/>
                                <w:bottom w:val="none" w:sz="0" w:space="0" w:color="auto"/>
                                <w:right w:val="none" w:sz="0" w:space="0" w:color="auto"/>
                              </w:divBdr>
                              <w:divsChild>
                                <w:div w:id="2135634692">
                                  <w:marLeft w:val="0"/>
                                  <w:marRight w:val="0"/>
                                  <w:marTop w:val="0"/>
                                  <w:marBottom w:val="0"/>
                                  <w:divBdr>
                                    <w:top w:val="none" w:sz="0" w:space="0" w:color="auto"/>
                                    <w:left w:val="none" w:sz="0" w:space="0" w:color="auto"/>
                                    <w:bottom w:val="none" w:sz="0" w:space="0" w:color="auto"/>
                                    <w:right w:val="none" w:sz="0" w:space="0" w:color="auto"/>
                                  </w:divBdr>
                                  <w:divsChild>
                                    <w:div w:id="2011056633">
                                      <w:marLeft w:val="0"/>
                                      <w:marRight w:val="0"/>
                                      <w:marTop w:val="0"/>
                                      <w:marBottom w:val="0"/>
                                      <w:divBdr>
                                        <w:top w:val="none" w:sz="0" w:space="0" w:color="auto"/>
                                        <w:left w:val="none" w:sz="0" w:space="0" w:color="auto"/>
                                        <w:bottom w:val="none" w:sz="0" w:space="0" w:color="auto"/>
                                        <w:right w:val="none" w:sz="0" w:space="0" w:color="auto"/>
                                      </w:divBdr>
                                      <w:divsChild>
                                        <w:div w:id="3493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56264">
      <w:bodyDiv w:val="1"/>
      <w:marLeft w:val="0"/>
      <w:marRight w:val="0"/>
      <w:marTop w:val="0"/>
      <w:marBottom w:val="0"/>
      <w:divBdr>
        <w:top w:val="none" w:sz="0" w:space="0" w:color="auto"/>
        <w:left w:val="none" w:sz="0" w:space="0" w:color="auto"/>
        <w:bottom w:val="none" w:sz="0" w:space="0" w:color="auto"/>
        <w:right w:val="none" w:sz="0" w:space="0" w:color="auto"/>
      </w:divBdr>
    </w:div>
    <w:div w:id="1259563811">
      <w:bodyDiv w:val="1"/>
      <w:marLeft w:val="0"/>
      <w:marRight w:val="0"/>
      <w:marTop w:val="0"/>
      <w:marBottom w:val="0"/>
      <w:divBdr>
        <w:top w:val="none" w:sz="0" w:space="0" w:color="auto"/>
        <w:left w:val="none" w:sz="0" w:space="0" w:color="auto"/>
        <w:bottom w:val="none" w:sz="0" w:space="0" w:color="auto"/>
        <w:right w:val="none" w:sz="0" w:space="0" w:color="auto"/>
      </w:divBdr>
    </w:div>
    <w:div w:id="1466434507">
      <w:bodyDiv w:val="1"/>
      <w:marLeft w:val="0"/>
      <w:marRight w:val="0"/>
      <w:marTop w:val="0"/>
      <w:marBottom w:val="0"/>
      <w:divBdr>
        <w:top w:val="none" w:sz="0" w:space="0" w:color="auto"/>
        <w:left w:val="none" w:sz="0" w:space="0" w:color="auto"/>
        <w:bottom w:val="none" w:sz="0" w:space="0" w:color="auto"/>
        <w:right w:val="none" w:sz="0" w:space="0" w:color="auto"/>
      </w:divBdr>
    </w:div>
    <w:div w:id="1654021356">
      <w:bodyDiv w:val="1"/>
      <w:marLeft w:val="0"/>
      <w:marRight w:val="0"/>
      <w:marTop w:val="0"/>
      <w:marBottom w:val="0"/>
      <w:divBdr>
        <w:top w:val="none" w:sz="0" w:space="0" w:color="auto"/>
        <w:left w:val="none" w:sz="0" w:space="0" w:color="auto"/>
        <w:bottom w:val="none" w:sz="0" w:space="0" w:color="auto"/>
        <w:right w:val="none" w:sz="0" w:space="0" w:color="auto"/>
      </w:divBdr>
    </w:div>
    <w:div w:id="1712999005">
      <w:bodyDiv w:val="1"/>
      <w:marLeft w:val="0"/>
      <w:marRight w:val="0"/>
      <w:marTop w:val="0"/>
      <w:marBottom w:val="0"/>
      <w:divBdr>
        <w:top w:val="none" w:sz="0" w:space="0" w:color="auto"/>
        <w:left w:val="none" w:sz="0" w:space="0" w:color="auto"/>
        <w:bottom w:val="none" w:sz="0" w:space="0" w:color="auto"/>
        <w:right w:val="none" w:sz="0" w:space="0" w:color="auto"/>
      </w:divBdr>
      <w:divsChild>
        <w:div w:id="2053385070">
          <w:marLeft w:val="0"/>
          <w:marRight w:val="0"/>
          <w:marTop w:val="0"/>
          <w:marBottom w:val="0"/>
          <w:divBdr>
            <w:top w:val="single" w:sz="2" w:space="8" w:color="FF0000"/>
            <w:left w:val="single" w:sz="2" w:space="11" w:color="FF0000"/>
            <w:bottom w:val="single" w:sz="2" w:space="4" w:color="FF0000"/>
            <w:right w:val="single" w:sz="2" w:space="4" w:color="FF0000"/>
          </w:divBdr>
          <w:divsChild>
            <w:div w:id="2086756061">
              <w:marLeft w:val="0"/>
              <w:marRight w:val="0"/>
              <w:marTop w:val="0"/>
              <w:marBottom w:val="0"/>
              <w:divBdr>
                <w:top w:val="none" w:sz="0" w:space="0" w:color="auto"/>
                <w:left w:val="none" w:sz="0" w:space="0" w:color="auto"/>
                <w:bottom w:val="none" w:sz="0" w:space="0" w:color="auto"/>
                <w:right w:val="none" w:sz="0" w:space="0" w:color="auto"/>
              </w:divBdr>
              <w:divsChild>
                <w:div w:id="161417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928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image" Target="media/image4.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8.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xm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hart" Target="charts/chart11.xml"/><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chart" Target="charts/chart7.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3.xml"/><Relationship Id="rId22" Type="http://schemas.openxmlformats.org/officeDocument/2006/relationships/chart" Target="charts/chart10.xml"/><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B.4'!$A$3</c:f>
              <c:strCache>
                <c:ptCount val="1"/>
                <c:pt idx="0">
                  <c:v>Aboriginal and Torres Strait Islander children </c:v>
                </c:pt>
              </c:strCache>
            </c:strRef>
          </c:tx>
          <c:spPr>
            <a:solidFill>
              <a:srgbClr val="B2D673"/>
            </a:solidFill>
            <a:ln>
              <a:solidFill>
                <a:srgbClr val="B2D673"/>
              </a:solidFill>
            </a:ln>
          </c:spPr>
          <c:invertIfNegative val="0"/>
          <c:cat>
            <c:strRef>
              <c:f>'fig B.4'!$B$2:$J$2</c:f>
              <c:strCache>
                <c:ptCount val="9"/>
                <c:pt idx="0">
                  <c:v>NSW</c:v>
                </c:pt>
                <c:pt idx="1">
                  <c:v>Vic</c:v>
                </c:pt>
                <c:pt idx="2">
                  <c:v>Qld</c:v>
                </c:pt>
                <c:pt idx="3">
                  <c:v>WA</c:v>
                </c:pt>
                <c:pt idx="4">
                  <c:v>SA</c:v>
                </c:pt>
                <c:pt idx="5">
                  <c:v>Tas</c:v>
                </c:pt>
                <c:pt idx="6">
                  <c:v>ACT</c:v>
                </c:pt>
                <c:pt idx="7">
                  <c:v>NT</c:v>
                </c:pt>
                <c:pt idx="8">
                  <c:v>Aust</c:v>
                </c:pt>
              </c:strCache>
            </c:strRef>
          </c:cat>
          <c:val>
            <c:numRef>
              <c:f>'fig B.4'!$B$3:$J$3</c:f>
              <c:numCache>
                <c:formatCode>###\ ###\ ##0.0;\-###\ ###\ ##0.0;"–"</c:formatCode>
                <c:ptCount val="9"/>
                <c:pt idx="0">
                  <c:v>55.801541806681165</c:v>
                </c:pt>
                <c:pt idx="1">
                  <c:v>51.13122171945701</c:v>
                </c:pt>
                <c:pt idx="2">
                  <c:v>46.564885496183209</c:v>
                </c:pt>
                <c:pt idx="3">
                  <c:v>45.113143957631195</c:v>
                </c:pt>
                <c:pt idx="4">
                  <c:v>41.880341880341881</c:v>
                </c:pt>
                <c:pt idx="5">
                  <c:v>59.225092250922508</c:v>
                </c:pt>
                <c:pt idx="6">
                  <c:v>49.612403100775197</c:v>
                </c:pt>
                <c:pt idx="7">
                  <c:v>30.050083472454091</c:v>
                </c:pt>
                <c:pt idx="8">
                  <c:v>48.60124473502232</c:v>
                </c:pt>
              </c:numCache>
            </c:numRef>
          </c:val>
        </c:ser>
        <c:ser>
          <c:idx val="1"/>
          <c:order val="1"/>
          <c:tx>
            <c:strRef>
              <c:f>'fig B.4'!$A$4</c:f>
              <c:strCache>
                <c:ptCount val="1"/>
                <c:pt idx="0">
                  <c:v>Non-Indigenous children </c:v>
                </c:pt>
              </c:strCache>
            </c:strRef>
          </c:tx>
          <c:spPr>
            <a:solidFill>
              <a:srgbClr val="265A9A"/>
            </a:solidFill>
            <a:ln>
              <a:solidFill>
                <a:srgbClr val="265A9A"/>
              </a:solidFill>
            </a:ln>
          </c:spPr>
          <c:invertIfNegative val="0"/>
          <c:cat>
            <c:strRef>
              <c:f>'fig B.4'!$B$2:$J$2</c:f>
              <c:strCache>
                <c:ptCount val="9"/>
                <c:pt idx="0">
                  <c:v>NSW</c:v>
                </c:pt>
                <c:pt idx="1">
                  <c:v>Vic</c:v>
                </c:pt>
                <c:pt idx="2">
                  <c:v>Qld</c:v>
                </c:pt>
                <c:pt idx="3">
                  <c:v>WA</c:v>
                </c:pt>
                <c:pt idx="4">
                  <c:v>SA</c:v>
                </c:pt>
                <c:pt idx="5">
                  <c:v>Tas</c:v>
                </c:pt>
                <c:pt idx="6">
                  <c:v>ACT</c:v>
                </c:pt>
                <c:pt idx="7">
                  <c:v>NT</c:v>
                </c:pt>
                <c:pt idx="8">
                  <c:v>Aust</c:v>
                </c:pt>
              </c:strCache>
            </c:strRef>
          </c:cat>
          <c:val>
            <c:numRef>
              <c:f>'fig B.4'!$B$4:$J$4</c:f>
              <c:numCache>
                <c:formatCode>###\ ###\ ##0.0;\-###\ ###\ ##0.0;"–"</c:formatCode>
                <c:ptCount val="9"/>
                <c:pt idx="0">
                  <c:v>71.868692727061827</c:v>
                </c:pt>
                <c:pt idx="1">
                  <c:v>72.426239329039987</c:v>
                </c:pt>
                <c:pt idx="2">
                  <c:v>66.469693526110589</c:v>
                </c:pt>
                <c:pt idx="3">
                  <c:v>72.542060988433235</c:v>
                </c:pt>
                <c:pt idx="4">
                  <c:v>68.420755462706794</c:v>
                </c:pt>
                <c:pt idx="5">
                  <c:v>71.408225031155425</c:v>
                </c:pt>
                <c:pt idx="6">
                  <c:v>67.467248908296938</c:v>
                </c:pt>
                <c:pt idx="7">
                  <c:v>70.318532818532816</c:v>
                </c:pt>
                <c:pt idx="8">
                  <c:v>70.613800456743974</c:v>
                </c:pt>
              </c:numCache>
            </c:numRef>
          </c:val>
        </c:ser>
        <c:ser>
          <c:idx val="2"/>
          <c:order val="2"/>
          <c:tx>
            <c:strRef>
              <c:f>'fig B.4'!$A$5</c:f>
              <c:strCache>
                <c:ptCount val="1"/>
                <c:pt idx="0">
                  <c:v>All children</c:v>
                </c:pt>
              </c:strCache>
            </c:strRef>
          </c:tx>
          <c:spPr>
            <a:solidFill>
              <a:srgbClr val="78A22F"/>
            </a:solidFill>
            <a:ln>
              <a:solidFill>
                <a:srgbClr val="78A22F"/>
              </a:solidFill>
            </a:ln>
          </c:spPr>
          <c:invertIfNegative val="0"/>
          <c:cat>
            <c:strRef>
              <c:f>'fig B.4'!$B$2:$J$2</c:f>
              <c:strCache>
                <c:ptCount val="9"/>
                <c:pt idx="0">
                  <c:v>NSW</c:v>
                </c:pt>
                <c:pt idx="1">
                  <c:v>Vic</c:v>
                </c:pt>
                <c:pt idx="2">
                  <c:v>Qld</c:v>
                </c:pt>
                <c:pt idx="3">
                  <c:v>WA</c:v>
                </c:pt>
                <c:pt idx="4">
                  <c:v>SA</c:v>
                </c:pt>
                <c:pt idx="5">
                  <c:v>Tas</c:v>
                </c:pt>
                <c:pt idx="6">
                  <c:v>ACT</c:v>
                </c:pt>
                <c:pt idx="7">
                  <c:v>NT</c:v>
                </c:pt>
                <c:pt idx="8">
                  <c:v>Aust</c:v>
                </c:pt>
              </c:strCache>
            </c:strRef>
          </c:cat>
          <c:val>
            <c:numRef>
              <c:f>'fig B.4'!$B$5:$J$5</c:f>
              <c:numCache>
                <c:formatCode>###\ ###\ ##0.0;\-###\ ###\ ##0.0;"–"</c:formatCode>
                <c:ptCount val="9"/>
                <c:pt idx="0">
                  <c:v>70.97809771116151</c:v>
                </c:pt>
                <c:pt idx="1">
                  <c:v>72.079558011049727</c:v>
                </c:pt>
                <c:pt idx="2">
                  <c:v>64.876079579265649</c:v>
                </c:pt>
                <c:pt idx="3">
                  <c:v>70.78962748777262</c:v>
                </c:pt>
                <c:pt idx="4">
                  <c:v>67.247706422018354</c:v>
                </c:pt>
                <c:pt idx="5">
                  <c:v>70.336093521675593</c:v>
                </c:pt>
                <c:pt idx="6">
                  <c:v>67.021482485000973</c:v>
                </c:pt>
                <c:pt idx="7">
                  <c:v>55.565749235474001</c:v>
                </c:pt>
                <c:pt idx="8">
                  <c:v>69.393565564058605</c:v>
                </c:pt>
              </c:numCache>
            </c:numRef>
          </c:val>
        </c:ser>
        <c:dLbls>
          <c:showLegendKey val="0"/>
          <c:showVal val="0"/>
          <c:showCatName val="0"/>
          <c:showSerName val="0"/>
          <c:showPercent val="0"/>
          <c:showBubbleSize val="0"/>
        </c:dLbls>
        <c:gapWidth val="150"/>
        <c:axId val="359967360"/>
        <c:axId val="139932032"/>
      </c:barChart>
      <c:catAx>
        <c:axId val="359967360"/>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39932032"/>
        <c:crosses val="autoZero"/>
        <c:auto val="1"/>
        <c:lblAlgn val="ctr"/>
        <c:lblOffset val="100"/>
        <c:noMultiLvlLbl val="0"/>
      </c:catAx>
      <c:valAx>
        <c:axId val="139932032"/>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59967360"/>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B.12'!$A$3</c:f>
              <c:strCache>
                <c:ptCount val="1"/>
                <c:pt idx="0">
                  <c:v>2011 to 2014</c:v>
                </c:pt>
              </c:strCache>
            </c:strRef>
          </c:tx>
          <c:spPr>
            <a:solidFill>
              <a:srgbClr val="78A22F"/>
            </a:solidFill>
            <a:ln>
              <a:solidFill>
                <a:srgbClr val="78A22F"/>
              </a:solidFill>
            </a:ln>
          </c:spPr>
          <c:invertIfNegative val="0"/>
          <c:errBars>
            <c:errBarType val="both"/>
            <c:errValType val="cust"/>
            <c:noEndCap val="0"/>
            <c:plus>
              <c:numRef>
                <c:f>'fig B.12'!$B$4:$J$4</c:f>
                <c:numCache>
                  <c:formatCode>General</c:formatCode>
                  <c:ptCount val="9"/>
                  <c:pt idx="0">
                    <c:v>3</c:v>
                  </c:pt>
                  <c:pt idx="1">
                    <c:v>3</c:v>
                  </c:pt>
                  <c:pt idx="2">
                    <c:v>3.3</c:v>
                  </c:pt>
                  <c:pt idx="3">
                    <c:v>3</c:v>
                  </c:pt>
                  <c:pt idx="4">
                    <c:v>3.8</c:v>
                  </c:pt>
                  <c:pt idx="5">
                    <c:v>7.7</c:v>
                  </c:pt>
                  <c:pt idx="6">
                    <c:v>4.3</c:v>
                  </c:pt>
                  <c:pt idx="7">
                    <c:v>8.1999999999999993</c:v>
                  </c:pt>
                  <c:pt idx="8">
                    <c:v>1.3</c:v>
                  </c:pt>
                </c:numCache>
              </c:numRef>
            </c:plus>
            <c:minus>
              <c:numRef>
                <c:f>'fig B.12'!$B$4:$J$4</c:f>
                <c:numCache>
                  <c:formatCode>General</c:formatCode>
                  <c:ptCount val="9"/>
                  <c:pt idx="0">
                    <c:v>3</c:v>
                  </c:pt>
                  <c:pt idx="1">
                    <c:v>3</c:v>
                  </c:pt>
                  <c:pt idx="2">
                    <c:v>3.3</c:v>
                  </c:pt>
                  <c:pt idx="3">
                    <c:v>3</c:v>
                  </c:pt>
                  <c:pt idx="4">
                    <c:v>3.8</c:v>
                  </c:pt>
                  <c:pt idx="5">
                    <c:v>7.7</c:v>
                  </c:pt>
                  <c:pt idx="6">
                    <c:v>4.3</c:v>
                  </c:pt>
                  <c:pt idx="7">
                    <c:v>8.1999999999999993</c:v>
                  </c:pt>
                  <c:pt idx="8">
                    <c:v>1.3</c:v>
                  </c:pt>
                </c:numCache>
              </c:numRef>
            </c:minus>
            <c:spPr>
              <a:ln>
                <a:solidFill>
                  <a:srgbClr val="BFBFBF"/>
                </a:solidFill>
              </a:ln>
            </c:spPr>
          </c:errBars>
          <c:cat>
            <c:strRef>
              <c:f>'fig B.12'!$B$2:$J$2</c:f>
              <c:strCache>
                <c:ptCount val="9"/>
                <c:pt idx="0">
                  <c:v>NSW</c:v>
                </c:pt>
                <c:pt idx="1">
                  <c:v>Vic</c:v>
                </c:pt>
                <c:pt idx="2">
                  <c:v>Qld</c:v>
                </c:pt>
                <c:pt idx="3">
                  <c:v>WA</c:v>
                </c:pt>
                <c:pt idx="4">
                  <c:v>SA</c:v>
                </c:pt>
                <c:pt idx="5">
                  <c:v>Tas</c:v>
                </c:pt>
                <c:pt idx="6">
                  <c:v>ACT</c:v>
                </c:pt>
                <c:pt idx="7">
                  <c:v>NT</c:v>
                </c:pt>
                <c:pt idx="8">
                  <c:v>Aust</c:v>
                </c:pt>
              </c:strCache>
            </c:strRef>
          </c:cat>
          <c:val>
            <c:numRef>
              <c:f>'fig B.12'!$B$3:$J$3</c:f>
              <c:numCache>
                <c:formatCode>#\ ###\ ##0.0;\-#\ ###\ ##0.0;"–"</c:formatCode>
                <c:ptCount val="9"/>
                <c:pt idx="0">
                  <c:v>82.5</c:v>
                </c:pt>
                <c:pt idx="1">
                  <c:v>84.3</c:v>
                </c:pt>
                <c:pt idx="2">
                  <c:v>82.3</c:v>
                </c:pt>
                <c:pt idx="3">
                  <c:v>82.4</c:v>
                </c:pt>
                <c:pt idx="4">
                  <c:v>82.4</c:v>
                </c:pt>
                <c:pt idx="5">
                  <c:v>73.8</c:v>
                </c:pt>
                <c:pt idx="6">
                  <c:v>90.1</c:v>
                </c:pt>
                <c:pt idx="7">
                  <c:v>69.7</c:v>
                </c:pt>
                <c:pt idx="8">
                  <c:v>82.7</c:v>
                </c:pt>
              </c:numCache>
            </c:numRef>
          </c:val>
        </c:ser>
        <c:ser>
          <c:idx val="1"/>
          <c:order val="1"/>
          <c:tx>
            <c:strRef>
              <c:f>'fig B.12'!$A$5</c:f>
              <c:strCache>
                <c:ptCount val="1"/>
                <c:pt idx="0">
                  <c:v>2012</c:v>
                </c:pt>
              </c:strCache>
            </c:strRef>
          </c:tx>
          <c:spPr>
            <a:solidFill>
              <a:srgbClr val="78A22F"/>
            </a:solidFill>
            <a:ln>
              <a:solidFill>
                <a:srgbClr val="78A22F"/>
              </a:solidFill>
            </a:ln>
          </c:spPr>
          <c:invertIfNegative val="0"/>
          <c:errBars>
            <c:errBarType val="both"/>
            <c:errValType val="cust"/>
            <c:noEndCap val="0"/>
            <c:plus>
              <c:numRef>
                <c:f>'fig B.12'!$B$6:$J$6</c:f>
                <c:numCache>
                  <c:formatCode>General</c:formatCode>
                  <c:ptCount val="9"/>
                  <c:pt idx="0">
                    <c:v>2.4</c:v>
                  </c:pt>
                  <c:pt idx="1">
                    <c:v>2.6</c:v>
                  </c:pt>
                  <c:pt idx="2">
                    <c:v>3.9</c:v>
                  </c:pt>
                  <c:pt idx="3">
                    <c:v>2.9</c:v>
                  </c:pt>
                  <c:pt idx="4">
                    <c:v>4.2</c:v>
                  </c:pt>
                  <c:pt idx="5">
                    <c:v>7.8</c:v>
                  </c:pt>
                  <c:pt idx="6">
                    <c:v>4.2</c:v>
                  </c:pt>
                  <c:pt idx="7">
                    <c:v>7.9</c:v>
                  </c:pt>
                  <c:pt idx="8">
                    <c:v>1.3</c:v>
                  </c:pt>
                </c:numCache>
              </c:numRef>
            </c:plus>
            <c:minus>
              <c:numRef>
                <c:f>'fig B.12'!$B$6:$J$6</c:f>
                <c:numCache>
                  <c:formatCode>General</c:formatCode>
                  <c:ptCount val="9"/>
                  <c:pt idx="0">
                    <c:v>2.4</c:v>
                  </c:pt>
                  <c:pt idx="1">
                    <c:v>2.6</c:v>
                  </c:pt>
                  <c:pt idx="2">
                    <c:v>3.9</c:v>
                  </c:pt>
                  <c:pt idx="3">
                    <c:v>2.9</c:v>
                  </c:pt>
                  <c:pt idx="4">
                    <c:v>4.2</c:v>
                  </c:pt>
                  <c:pt idx="5">
                    <c:v>7.8</c:v>
                  </c:pt>
                  <c:pt idx="6">
                    <c:v>4.2</c:v>
                  </c:pt>
                  <c:pt idx="7">
                    <c:v>7.9</c:v>
                  </c:pt>
                  <c:pt idx="8">
                    <c:v>1.3</c:v>
                  </c:pt>
                </c:numCache>
              </c:numRef>
            </c:minus>
            <c:spPr>
              <a:ln>
                <a:solidFill>
                  <a:srgbClr val="BFBFBF"/>
                </a:solidFill>
              </a:ln>
            </c:spPr>
          </c:errBars>
          <c:cat>
            <c:strRef>
              <c:f>'fig B.12'!$B$2:$J$2</c:f>
              <c:strCache>
                <c:ptCount val="9"/>
                <c:pt idx="0">
                  <c:v>NSW</c:v>
                </c:pt>
                <c:pt idx="1">
                  <c:v>Vic</c:v>
                </c:pt>
                <c:pt idx="2">
                  <c:v>Qld</c:v>
                </c:pt>
                <c:pt idx="3">
                  <c:v>WA</c:v>
                </c:pt>
                <c:pt idx="4">
                  <c:v>SA</c:v>
                </c:pt>
                <c:pt idx="5">
                  <c:v>Tas</c:v>
                </c:pt>
                <c:pt idx="6">
                  <c:v>ACT</c:v>
                </c:pt>
                <c:pt idx="7">
                  <c:v>NT</c:v>
                </c:pt>
                <c:pt idx="8">
                  <c:v>Aust</c:v>
                </c:pt>
              </c:strCache>
            </c:strRef>
          </c:cat>
          <c:val>
            <c:numRef>
              <c:f>'fig B.12'!$B$5:$J$5</c:f>
              <c:numCache>
                <c:formatCode>#\ ###\ ##0.0;\-#\ ###\ ##0.0;"–"</c:formatCode>
                <c:ptCount val="9"/>
                <c:pt idx="0">
                  <c:v>87</c:v>
                </c:pt>
                <c:pt idx="1">
                  <c:v>87.3</c:v>
                </c:pt>
                <c:pt idx="2">
                  <c:v>83.3</c:v>
                </c:pt>
                <c:pt idx="3">
                  <c:v>80.400000000000006</c:v>
                </c:pt>
                <c:pt idx="4">
                  <c:v>78.7</c:v>
                </c:pt>
                <c:pt idx="5">
                  <c:v>68.400000000000006</c:v>
                </c:pt>
                <c:pt idx="6">
                  <c:v>92.9</c:v>
                </c:pt>
                <c:pt idx="7">
                  <c:v>68.2</c:v>
                </c:pt>
                <c:pt idx="8">
                  <c:v>84.6</c:v>
                </c:pt>
              </c:numCache>
            </c:numRef>
          </c:val>
        </c:ser>
        <c:ser>
          <c:idx val="2"/>
          <c:order val="2"/>
          <c:tx>
            <c:strRef>
              <c:f>'fig B.12'!$A$7</c:f>
              <c:strCache>
                <c:ptCount val="1"/>
                <c:pt idx="0">
                  <c:v>2013</c:v>
                </c:pt>
              </c:strCache>
            </c:strRef>
          </c:tx>
          <c:spPr>
            <a:solidFill>
              <a:srgbClr val="78A22F"/>
            </a:solidFill>
            <a:ln>
              <a:solidFill>
                <a:srgbClr val="78A22F"/>
              </a:solidFill>
            </a:ln>
          </c:spPr>
          <c:invertIfNegative val="0"/>
          <c:errBars>
            <c:errBarType val="both"/>
            <c:errValType val="cust"/>
            <c:noEndCap val="0"/>
            <c:plus>
              <c:numRef>
                <c:f>'fig B.12'!$B$8:$J$8</c:f>
                <c:numCache>
                  <c:formatCode>General</c:formatCode>
                  <c:ptCount val="9"/>
                  <c:pt idx="0">
                    <c:v>2.7</c:v>
                  </c:pt>
                  <c:pt idx="1">
                    <c:v>2.6</c:v>
                  </c:pt>
                  <c:pt idx="2">
                    <c:v>2.2999999999999998</c:v>
                  </c:pt>
                  <c:pt idx="3">
                    <c:v>4.8</c:v>
                  </c:pt>
                  <c:pt idx="4">
                    <c:v>4</c:v>
                  </c:pt>
                  <c:pt idx="5">
                    <c:v>5.9</c:v>
                  </c:pt>
                  <c:pt idx="6">
                    <c:v>4.7</c:v>
                  </c:pt>
                  <c:pt idx="7">
                    <c:v>14.7</c:v>
                  </c:pt>
                  <c:pt idx="8">
                    <c:v>1.5</c:v>
                  </c:pt>
                </c:numCache>
              </c:numRef>
            </c:plus>
            <c:minus>
              <c:numRef>
                <c:f>'fig B.12'!$B$8:$J$8</c:f>
                <c:numCache>
                  <c:formatCode>General</c:formatCode>
                  <c:ptCount val="9"/>
                  <c:pt idx="0">
                    <c:v>2.7</c:v>
                  </c:pt>
                  <c:pt idx="1">
                    <c:v>2.6</c:v>
                  </c:pt>
                  <c:pt idx="2">
                    <c:v>2.2999999999999998</c:v>
                  </c:pt>
                  <c:pt idx="3">
                    <c:v>4.8</c:v>
                  </c:pt>
                  <c:pt idx="4">
                    <c:v>4</c:v>
                  </c:pt>
                  <c:pt idx="5">
                    <c:v>5.9</c:v>
                  </c:pt>
                  <c:pt idx="6">
                    <c:v>4.7</c:v>
                  </c:pt>
                  <c:pt idx="7">
                    <c:v>14.7</c:v>
                  </c:pt>
                  <c:pt idx="8">
                    <c:v>1.5</c:v>
                  </c:pt>
                </c:numCache>
              </c:numRef>
            </c:minus>
            <c:spPr>
              <a:ln>
                <a:solidFill>
                  <a:srgbClr val="BFBFBF"/>
                </a:solidFill>
              </a:ln>
            </c:spPr>
          </c:errBars>
          <c:cat>
            <c:strRef>
              <c:f>'fig B.12'!$B$2:$J$2</c:f>
              <c:strCache>
                <c:ptCount val="9"/>
                <c:pt idx="0">
                  <c:v>NSW</c:v>
                </c:pt>
                <c:pt idx="1">
                  <c:v>Vic</c:v>
                </c:pt>
                <c:pt idx="2">
                  <c:v>Qld</c:v>
                </c:pt>
                <c:pt idx="3">
                  <c:v>WA</c:v>
                </c:pt>
                <c:pt idx="4">
                  <c:v>SA</c:v>
                </c:pt>
                <c:pt idx="5">
                  <c:v>Tas</c:v>
                </c:pt>
                <c:pt idx="6">
                  <c:v>ACT</c:v>
                </c:pt>
                <c:pt idx="7">
                  <c:v>NT</c:v>
                </c:pt>
                <c:pt idx="8">
                  <c:v>Aust</c:v>
                </c:pt>
              </c:strCache>
            </c:strRef>
          </c:cat>
          <c:val>
            <c:numRef>
              <c:f>'fig B.12'!$B$7:$J$7</c:f>
              <c:numCache>
                <c:formatCode>#\ ###\ ##0.0;\-#\ ###\ ##0.0;"–"</c:formatCode>
                <c:ptCount val="9"/>
                <c:pt idx="0">
                  <c:v>85.5</c:v>
                </c:pt>
                <c:pt idx="1">
                  <c:v>88.9</c:v>
                </c:pt>
                <c:pt idx="2">
                  <c:v>85.3</c:v>
                </c:pt>
                <c:pt idx="3">
                  <c:v>81.7</c:v>
                </c:pt>
                <c:pt idx="4">
                  <c:v>83.5</c:v>
                </c:pt>
                <c:pt idx="5">
                  <c:v>81.2</c:v>
                </c:pt>
                <c:pt idx="6">
                  <c:v>91</c:v>
                </c:pt>
                <c:pt idx="7">
                  <c:v>68.2</c:v>
                </c:pt>
                <c:pt idx="8">
                  <c:v>85.7</c:v>
                </c:pt>
              </c:numCache>
            </c:numRef>
          </c:val>
        </c:ser>
        <c:ser>
          <c:idx val="3"/>
          <c:order val="3"/>
          <c:tx>
            <c:strRef>
              <c:f>'fig B.12'!$A$9</c:f>
              <c:strCache>
                <c:ptCount val="1"/>
                <c:pt idx="0">
                  <c:v>2014</c:v>
                </c:pt>
              </c:strCache>
            </c:strRef>
          </c:tx>
          <c:spPr>
            <a:solidFill>
              <a:srgbClr val="78A22F"/>
            </a:solidFill>
            <a:ln>
              <a:solidFill>
                <a:srgbClr val="78A22F"/>
              </a:solidFill>
            </a:ln>
          </c:spPr>
          <c:invertIfNegative val="0"/>
          <c:errBars>
            <c:errBarType val="both"/>
            <c:errValType val="cust"/>
            <c:noEndCap val="0"/>
            <c:plus>
              <c:numRef>
                <c:f>'fig B.12'!$B$10:$J$10</c:f>
                <c:numCache>
                  <c:formatCode>General</c:formatCode>
                  <c:ptCount val="9"/>
                  <c:pt idx="0">
                    <c:v>3.1032242000000001</c:v>
                  </c:pt>
                  <c:pt idx="1">
                    <c:v>3.3837253</c:v>
                  </c:pt>
                  <c:pt idx="2">
                    <c:v>2.5895488000000002</c:v>
                  </c:pt>
                  <c:pt idx="3">
                    <c:v>4.2926769</c:v>
                  </c:pt>
                  <c:pt idx="4">
                    <c:v>3.7035695999999998</c:v>
                  </c:pt>
                  <c:pt idx="5">
                    <c:v>6.0285427</c:v>
                  </c:pt>
                  <c:pt idx="6">
                    <c:v>8.5718516000000005</c:v>
                  </c:pt>
                  <c:pt idx="7">
                    <c:v>6.6677064000000001</c:v>
                  </c:pt>
                  <c:pt idx="8">
                    <c:v>1.5123755000000001</c:v>
                  </c:pt>
                </c:numCache>
              </c:numRef>
            </c:plus>
            <c:minus>
              <c:numRef>
                <c:f>'fig B.12'!$B$10:$J$10</c:f>
                <c:numCache>
                  <c:formatCode>General</c:formatCode>
                  <c:ptCount val="9"/>
                  <c:pt idx="0">
                    <c:v>3.1032242000000001</c:v>
                  </c:pt>
                  <c:pt idx="1">
                    <c:v>3.3837253</c:v>
                  </c:pt>
                  <c:pt idx="2">
                    <c:v>2.5895488000000002</c:v>
                  </c:pt>
                  <c:pt idx="3">
                    <c:v>4.2926769</c:v>
                  </c:pt>
                  <c:pt idx="4">
                    <c:v>3.7035695999999998</c:v>
                  </c:pt>
                  <c:pt idx="5">
                    <c:v>6.0285427</c:v>
                  </c:pt>
                  <c:pt idx="6">
                    <c:v>8.5718516000000005</c:v>
                  </c:pt>
                  <c:pt idx="7">
                    <c:v>6.6677064000000001</c:v>
                  </c:pt>
                  <c:pt idx="8">
                    <c:v>1.5123755000000001</c:v>
                  </c:pt>
                </c:numCache>
              </c:numRef>
            </c:minus>
            <c:spPr>
              <a:ln>
                <a:solidFill>
                  <a:srgbClr val="BFBFBF"/>
                </a:solidFill>
              </a:ln>
            </c:spPr>
          </c:errBars>
          <c:cat>
            <c:strRef>
              <c:f>'fig B.12'!$B$2:$J$2</c:f>
              <c:strCache>
                <c:ptCount val="9"/>
                <c:pt idx="0">
                  <c:v>NSW</c:v>
                </c:pt>
                <c:pt idx="1">
                  <c:v>Vic</c:v>
                </c:pt>
                <c:pt idx="2">
                  <c:v>Qld</c:v>
                </c:pt>
                <c:pt idx="3">
                  <c:v>WA</c:v>
                </c:pt>
                <c:pt idx="4">
                  <c:v>SA</c:v>
                </c:pt>
                <c:pt idx="5">
                  <c:v>Tas</c:v>
                </c:pt>
                <c:pt idx="6">
                  <c:v>ACT</c:v>
                </c:pt>
                <c:pt idx="7">
                  <c:v>NT</c:v>
                </c:pt>
                <c:pt idx="8">
                  <c:v>Aust</c:v>
                </c:pt>
              </c:strCache>
            </c:strRef>
          </c:cat>
          <c:val>
            <c:numRef>
              <c:f>'fig B.12'!$B$9:$J$9</c:f>
              <c:numCache>
                <c:formatCode>#\ ###\ ##0.0;\-#\ ###\ ##0.0;"–"</c:formatCode>
                <c:ptCount val="9"/>
                <c:pt idx="0">
                  <c:v>85.2</c:v>
                </c:pt>
                <c:pt idx="1">
                  <c:v>88.8</c:v>
                </c:pt>
                <c:pt idx="2">
                  <c:v>84.4</c:v>
                </c:pt>
                <c:pt idx="3">
                  <c:v>80.400000000000006</c:v>
                </c:pt>
                <c:pt idx="4">
                  <c:v>81</c:v>
                </c:pt>
                <c:pt idx="5">
                  <c:v>70.2</c:v>
                </c:pt>
                <c:pt idx="6">
                  <c:v>93.4</c:v>
                </c:pt>
                <c:pt idx="7">
                  <c:v>81.400000000000006</c:v>
                </c:pt>
                <c:pt idx="8">
                  <c:v>84.9</c:v>
                </c:pt>
              </c:numCache>
            </c:numRef>
          </c:val>
        </c:ser>
        <c:ser>
          <c:idx val="4"/>
          <c:order val="4"/>
          <c:tx>
            <c:strRef>
              <c:f>'fig B.12'!$A$11</c:f>
              <c:strCache>
                <c:ptCount val="1"/>
                <c:pt idx="0">
                  <c:v>2015</c:v>
                </c:pt>
              </c:strCache>
            </c:strRef>
          </c:tx>
          <c:spPr>
            <a:solidFill>
              <a:srgbClr val="265A9A"/>
            </a:solidFill>
            <a:ln>
              <a:solidFill>
                <a:srgbClr val="265A9A"/>
              </a:solidFill>
            </a:ln>
          </c:spPr>
          <c:invertIfNegative val="0"/>
          <c:errBars>
            <c:errBarType val="both"/>
            <c:errValType val="cust"/>
            <c:noEndCap val="0"/>
            <c:plus>
              <c:numRef>
                <c:f>'fig B.12'!$B$12:$J$12</c:f>
                <c:numCache>
                  <c:formatCode>General</c:formatCode>
                  <c:ptCount val="9"/>
                  <c:pt idx="0">
                    <c:v>2.4</c:v>
                  </c:pt>
                  <c:pt idx="1">
                    <c:v>2.1</c:v>
                  </c:pt>
                  <c:pt idx="2">
                    <c:v>2.5</c:v>
                  </c:pt>
                  <c:pt idx="3">
                    <c:v>3.8</c:v>
                  </c:pt>
                  <c:pt idx="4">
                    <c:v>5.4</c:v>
                  </c:pt>
                  <c:pt idx="5">
                    <c:v>8.6</c:v>
                  </c:pt>
                  <c:pt idx="6">
                    <c:v>5.2</c:v>
                  </c:pt>
                  <c:pt idx="7">
                    <c:v>4.5</c:v>
                  </c:pt>
                  <c:pt idx="8">
                    <c:v>1.1000000000000001</c:v>
                  </c:pt>
                </c:numCache>
              </c:numRef>
            </c:plus>
            <c:minus>
              <c:numRef>
                <c:f>'fig B.12'!$B$12:$J$12</c:f>
                <c:numCache>
                  <c:formatCode>General</c:formatCode>
                  <c:ptCount val="9"/>
                  <c:pt idx="0">
                    <c:v>2.4</c:v>
                  </c:pt>
                  <c:pt idx="1">
                    <c:v>2.1</c:v>
                  </c:pt>
                  <c:pt idx="2">
                    <c:v>2.5</c:v>
                  </c:pt>
                  <c:pt idx="3">
                    <c:v>3.8</c:v>
                  </c:pt>
                  <c:pt idx="4">
                    <c:v>5.4</c:v>
                  </c:pt>
                  <c:pt idx="5">
                    <c:v>8.6</c:v>
                  </c:pt>
                  <c:pt idx="6">
                    <c:v>5.2</c:v>
                  </c:pt>
                  <c:pt idx="7">
                    <c:v>4.5</c:v>
                  </c:pt>
                  <c:pt idx="8">
                    <c:v>1.1000000000000001</c:v>
                  </c:pt>
                </c:numCache>
              </c:numRef>
            </c:minus>
            <c:spPr>
              <a:ln>
                <a:solidFill>
                  <a:srgbClr val="BFBFBF"/>
                </a:solidFill>
              </a:ln>
            </c:spPr>
          </c:errBars>
          <c:cat>
            <c:strRef>
              <c:f>'fig B.12'!$B$2:$J$2</c:f>
              <c:strCache>
                <c:ptCount val="9"/>
                <c:pt idx="0">
                  <c:v>NSW</c:v>
                </c:pt>
                <c:pt idx="1">
                  <c:v>Vic</c:v>
                </c:pt>
                <c:pt idx="2">
                  <c:v>Qld</c:v>
                </c:pt>
                <c:pt idx="3">
                  <c:v>WA</c:v>
                </c:pt>
                <c:pt idx="4">
                  <c:v>SA</c:v>
                </c:pt>
                <c:pt idx="5">
                  <c:v>Tas</c:v>
                </c:pt>
                <c:pt idx="6">
                  <c:v>ACT</c:v>
                </c:pt>
                <c:pt idx="7">
                  <c:v>NT</c:v>
                </c:pt>
                <c:pt idx="8">
                  <c:v>Aust</c:v>
                </c:pt>
              </c:strCache>
            </c:strRef>
          </c:cat>
          <c:val>
            <c:numRef>
              <c:f>'fig B.12'!$B$11:$J$11</c:f>
              <c:numCache>
                <c:formatCode>#\ ###\ ##0.0;\-#\ ###\ ##0.0;"–"</c:formatCode>
                <c:ptCount val="9"/>
                <c:pt idx="0">
                  <c:v>88.2</c:v>
                </c:pt>
                <c:pt idx="1">
                  <c:v>88.8</c:v>
                </c:pt>
                <c:pt idx="2">
                  <c:v>85.4</c:v>
                </c:pt>
                <c:pt idx="3">
                  <c:v>85.6</c:v>
                </c:pt>
                <c:pt idx="4">
                  <c:v>85.4</c:v>
                </c:pt>
                <c:pt idx="5">
                  <c:v>68.5</c:v>
                </c:pt>
                <c:pt idx="6">
                  <c:v>95.5</c:v>
                </c:pt>
                <c:pt idx="7">
                  <c:v>87.2</c:v>
                </c:pt>
                <c:pt idx="8">
                  <c:v>87.1</c:v>
                </c:pt>
              </c:numCache>
            </c:numRef>
          </c:val>
        </c:ser>
        <c:dLbls>
          <c:showLegendKey val="0"/>
          <c:showVal val="0"/>
          <c:showCatName val="0"/>
          <c:showSerName val="0"/>
          <c:showPercent val="0"/>
          <c:showBubbleSize val="0"/>
        </c:dLbls>
        <c:gapWidth val="150"/>
        <c:axId val="139884800"/>
        <c:axId val="140054528"/>
      </c:barChart>
      <c:catAx>
        <c:axId val="139884800"/>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40054528"/>
        <c:crosses val="autoZero"/>
        <c:auto val="1"/>
        <c:lblAlgn val="ctr"/>
        <c:lblOffset val="100"/>
        <c:noMultiLvlLbl val="0"/>
      </c:catAx>
      <c:valAx>
        <c:axId val="140054528"/>
        <c:scaling>
          <c:orientation val="minMax"/>
          <c:max val="105"/>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39884800"/>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egendEntry>
        <c:idx val="1"/>
        <c:delete val="1"/>
      </c:legendEntry>
      <c:legendEntry>
        <c:idx val="2"/>
        <c:delete val="1"/>
      </c:legendEntry>
      <c:legendEntry>
        <c:idx val="3"/>
        <c:delete val="1"/>
      </c:legendEntry>
      <c:layout/>
      <c:overlay val="0"/>
      <c:spPr>
        <a:noFill/>
        <a:ln>
          <a:noFill/>
          <a:round/>
        </a:ln>
        <a:effectLst/>
        <a:extLst>
          <a:ext uri="{91240B29-F687-4F45-9708-019B960494DF}">
            <a14:hiddenLine xmlns:a14="http://schemas.microsoft.com/office/drawing/2010/main">
              <a:no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B.13'!$A$3</c:f>
              <c:strCache>
                <c:ptCount val="1"/>
                <c:pt idx="0">
                  <c:v>2011 to 2014</c:v>
                </c:pt>
              </c:strCache>
            </c:strRef>
          </c:tx>
          <c:spPr>
            <a:solidFill>
              <a:srgbClr val="78A22F"/>
            </a:solidFill>
            <a:ln>
              <a:solidFill>
                <a:srgbClr val="78A22F"/>
              </a:solidFill>
            </a:ln>
          </c:spPr>
          <c:invertIfNegative val="0"/>
          <c:errBars>
            <c:errBarType val="both"/>
            <c:errValType val="cust"/>
            <c:noEndCap val="0"/>
            <c:plus>
              <c:numRef>
                <c:f>'fig B.13'!$B$4:$J$4</c:f>
                <c:numCache>
                  <c:formatCode>General</c:formatCode>
                  <c:ptCount val="9"/>
                  <c:pt idx="0">
                    <c:v>1.4</c:v>
                  </c:pt>
                  <c:pt idx="1">
                    <c:v>1.6</c:v>
                  </c:pt>
                  <c:pt idx="2">
                    <c:v>1.6</c:v>
                  </c:pt>
                  <c:pt idx="3">
                    <c:v>2.2000000000000002</c:v>
                  </c:pt>
                  <c:pt idx="4">
                    <c:v>2.2000000000000002</c:v>
                  </c:pt>
                  <c:pt idx="5">
                    <c:v>2.4</c:v>
                  </c:pt>
                  <c:pt idx="6">
                    <c:v>2.6</c:v>
                  </c:pt>
                  <c:pt idx="7">
                    <c:v>2.9</c:v>
                  </c:pt>
                  <c:pt idx="8">
                    <c:v>0.8</c:v>
                  </c:pt>
                </c:numCache>
              </c:numRef>
            </c:plus>
            <c:minus>
              <c:numRef>
                <c:f>'fig B.13'!$B$10:$J$10</c:f>
                <c:numCache>
                  <c:formatCode>General</c:formatCode>
                  <c:ptCount val="9"/>
                  <c:pt idx="0">
                    <c:v>1.5</c:v>
                  </c:pt>
                  <c:pt idx="1">
                    <c:v>1.6</c:v>
                  </c:pt>
                  <c:pt idx="2">
                    <c:v>1.7</c:v>
                  </c:pt>
                  <c:pt idx="3">
                    <c:v>1.8</c:v>
                  </c:pt>
                  <c:pt idx="4">
                    <c:v>1.6</c:v>
                  </c:pt>
                  <c:pt idx="5">
                    <c:v>2.8</c:v>
                  </c:pt>
                  <c:pt idx="6">
                    <c:v>3.3</c:v>
                  </c:pt>
                  <c:pt idx="7">
                    <c:v>1</c:v>
                  </c:pt>
                  <c:pt idx="8">
                    <c:v>0.7</c:v>
                  </c:pt>
                </c:numCache>
              </c:numRef>
            </c:minus>
            <c:spPr>
              <a:ln>
                <a:solidFill>
                  <a:srgbClr val="BFBFBF"/>
                </a:solidFill>
              </a:ln>
            </c:spPr>
          </c:errBars>
          <c:cat>
            <c:strRef>
              <c:f>'fig B.13'!$B$2:$J$2</c:f>
              <c:strCache>
                <c:ptCount val="9"/>
                <c:pt idx="0">
                  <c:v>NSW</c:v>
                </c:pt>
                <c:pt idx="1">
                  <c:v>Vic</c:v>
                </c:pt>
                <c:pt idx="2">
                  <c:v>Qld</c:v>
                </c:pt>
                <c:pt idx="3">
                  <c:v>WA</c:v>
                </c:pt>
                <c:pt idx="4">
                  <c:v>SA</c:v>
                </c:pt>
                <c:pt idx="5">
                  <c:v>Tas</c:v>
                </c:pt>
                <c:pt idx="6">
                  <c:v>ACT</c:v>
                </c:pt>
                <c:pt idx="7">
                  <c:v>NT</c:v>
                </c:pt>
                <c:pt idx="8">
                  <c:v>Aust</c:v>
                </c:pt>
              </c:strCache>
            </c:strRef>
          </c:cat>
          <c:val>
            <c:numRef>
              <c:f>'fig B.13'!$B$3:$J$3</c:f>
              <c:numCache>
                <c:formatCode>#\ ###\ ##0.0;\-#\ ###\ ##0.0;"–"</c:formatCode>
                <c:ptCount val="9"/>
                <c:pt idx="0">
                  <c:v>57</c:v>
                </c:pt>
                <c:pt idx="1">
                  <c:v>56.9</c:v>
                </c:pt>
                <c:pt idx="2">
                  <c:v>53.5</c:v>
                </c:pt>
                <c:pt idx="3">
                  <c:v>52.9</c:v>
                </c:pt>
                <c:pt idx="4">
                  <c:v>50.6</c:v>
                </c:pt>
                <c:pt idx="5">
                  <c:v>50.4</c:v>
                </c:pt>
                <c:pt idx="6">
                  <c:v>65.900000000000006</c:v>
                </c:pt>
                <c:pt idx="7">
                  <c:v>50</c:v>
                </c:pt>
                <c:pt idx="8">
                  <c:v>55.3</c:v>
                </c:pt>
              </c:numCache>
            </c:numRef>
          </c:val>
        </c:ser>
        <c:ser>
          <c:idx val="1"/>
          <c:order val="1"/>
          <c:tx>
            <c:strRef>
              <c:f>'fig B.13'!$A$5</c:f>
              <c:strCache>
                <c:ptCount val="1"/>
                <c:pt idx="0">
                  <c:v>2012</c:v>
                </c:pt>
              </c:strCache>
            </c:strRef>
          </c:tx>
          <c:spPr>
            <a:solidFill>
              <a:srgbClr val="78A22F"/>
            </a:solidFill>
            <a:ln>
              <a:solidFill>
                <a:srgbClr val="78A22F"/>
              </a:solidFill>
            </a:ln>
          </c:spPr>
          <c:invertIfNegative val="0"/>
          <c:errBars>
            <c:errBarType val="both"/>
            <c:errValType val="cust"/>
            <c:noEndCap val="0"/>
            <c:plus>
              <c:numRef>
                <c:f>'fig B.13'!$B$6:$J$6</c:f>
                <c:numCache>
                  <c:formatCode>General</c:formatCode>
                  <c:ptCount val="9"/>
                  <c:pt idx="0">
                    <c:v>1.1000000000000001</c:v>
                  </c:pt>
                  <c:pt idx="1">
                    <c:v>1.5</c:v>
                  </c:pt>
                  <c:pt idx="2">
                    <c:v>1.9</c:v>
                  </c:pt>
                  <c:pt idx="3">
                    <c:v>1.7</c:v>
                  </c:pt>
                  <c:pt idx="4">
                    <c:v>1.7</c:v>
                  </c:pt>
                  <c:pt idx="5">
                    <c:v>2.2999999999999998</c:v>
                  </c:pt>
                  <c:pt idx="6">
                    <c:v>2.6</c:v>
                  </c:pt>
                  <c:pt idx="7">
                    <c:v>3.5</c:v>
                  </c:pt>
                  <c:pt idx="8">
                    <c:v>0.6</c:v>
                  </c:pt>
                </c:numCache>
              </c:numRef>
            </c:plus>
            <c:minus>
              <c:numLit>
                <c:formatCode>General</c:formatCode>
                <c:ptCount val="1"/>
                <c:pt idx="0">
                  <c:v>1</c:v>
                </c:pt>
              </c:numLit>
            </c:minus>
            <c:spPr>
              <a:ln>
                <a:solidFill>
                  <a:srgbClr val="BFBFBF"/>
                </a:solidFill>
              </a:ln>
            </c:spPr>
          </c:errBars>
          <c:cat>
            <c:strRef>
              <c:f>'fig B.13'!$B$2:$J$2</c:f>
              <c:strCache>
                <c:ptCount val="9"/>
                <c:pt idx="0">
                  <c:v>NSW</c:v>
                </c:pt>
                <c:pt idx="1">
                  <c:v>Vic</c:v>
                </c:pt>
                <c:pt idx="2">
                  <c:v>Qld</c:v>
                </c:pt>
                <c:pt idx="3">
                  <c:v>WA</c:v>
                </c:pt>
                <c:pt idx="4">
                  <c:v>SA</c:v>
                </c:pt>
                <c:pt idx="5">
                  <c:v>Tas</c:v>
                </c:pt>
                <c:pt idx="6">
                  <c:v>ACT</c:v>
                </c:pt>
                <c:pt idx="7">
                  <c:v>NT</c:v>
                </c:pt>
                <c:pt idx="8">
                  <c:v>Aust</c:v>
                </c:pt>
              </c:strCache>
            </c:strRef>
          </c:cat>
          <c:val>
            <c:numRef>
              <c:f>'fig B.13'!$B$5:$J$5</c:f>
              <c:numCache>
                <c:formatCode>#\ ###\ ##0.0;\-#\ ###\ ##0.0;"–"</c:formatCode>
                <c:ptCount val="9"/>
                <c:pt idx="0">
                  <c:v>60.5</c:v>
                </c:pt>
                <c:pt idx="1">
                  <c:v>59.7</c:v>
                </c:pt>
                <c:pt idx="2">
                  <c:v>54.5</c:v>
                </c:pt>
                <c:pt idx="3">
                  <c:v>57.6</c:v>
                </c:pt>
                <c:pt idx="4">
                  <c:v>53</c:v>
                </c:pt>
                <c:pt idx="5">
                  <c:v>54.1</c:v>
                </c:pt>
                <c:pt idx="6">
                  <c:v>67</c:v>
                </c:pt>
                <c:pt idx="7">
                  <c:v>54.9</c:v>
                </c:pt>
                <c:pt idx="8">
                  <c:v>58.1</c:v>
                </c:pt>
              </c:numCache>
            </c:numRef>
          </c:val>
        </c:ser>
        <c:ser>
          <c:idx val="2"/>
          <c:order val="2"/>
          <c:tx>
            <c:strRef>
              <c:f>'fig B.13'!$A$7</c:f>
              <c:strCache>
                <c:ptCount val="1"/>
                <c:pt idx="0">
                  <c:v>2013</c:v>
                </c:pt>
              </c:strCache>
            </c:strRef>
          </c:tx>
          <c:spPr>
            <a:solidFill>
              <a:srgbClr val="78A22F"/>
            </a:solidFill>
            <a:ln>
              <a:solidFill>
                <a:srgbClr val="78A22F"/>
              </a:solidFill>
            </a:ln>
          </c:spPr>
          <c:invertIfNegative val="0"/>
          <c:errBars>
            <c:errBarType val="both"/>
            <c:errValType val="cust"/>
            <c:noEndCap val="0"/>
            <c:plus>
              <c:numRef>
                <c:f>'fig B.13'!$B$8:$J$8</c:f>
                <c:numCache>
                  <c:formatCode>General</c:formatCode>
                  <c:ptCount val="9"/>
                  <c:pt idx="0">
                    <c:v>1.4</c:v>
                  </c:pt>
                  <c:pt idx="1">
                    <c:v>1.4</c:v>
                  </c:pt>
                  <c:pt idx="2">
                    <c:v>1.4</c:v>
                  </c:pt>
                  <c:pt idx="3">
                    <c:v>1.7</c:v>
                  </c:pt>
                  <c:pt idx="4">
                    <c:v>2.1</c:v>
                  </c:pt>
                  <c:pt idx="5">
                    <c:v>2.2999999999999998</c:v>
                  </c:pt>
                  <c:pt idx="6">
                    <c:v>2.4</c:v>
                  </c:pt>
                  <c:pt idx="7">
                    <c:v>4</c:v>
                  </c:pt>
                  <c:pt idx="8">
                    <c:v>0.8</c:v>
                  </c:pt>
                </c:numCache>
              </c:numRef>
            </c:plus>
            <c:minus>
              <c:numLit>
                <c:formatCode>General</c:formatCode>
                <c:ptCount val="1"/>
                <c:pt idx="0">
                  <c:v>1</c:v>
                </c:pt>
              </c:numLit>
            </c:minus>
            <c:spPr>
              <a:ln>
                <a:solidFill>
                  <a:srgbClr val="BFBFBF"/>
                </a:solidFill>
              </a:ln>
            </c:spPr>
          </c:errBars>
          <c:cat>
            <c:strRef>
              <c:f>'fig B.13'!$B$2:$J$2</c:f>
              <c:strCache>
                <c:ptCount val="9"/>
                <c:pt idx="0">
                  <c:v>NSW</c:v>
                </c:pt>
                <c:pt idx="1">
                  <c:v>Vic</c:v>
                </c:pt>
                <c:pt idx="2">
                  <c:v>Qld</c:v>
                </c:pt>
                <c:pt idx="3">
                  <c:v>WA</c:v>
                </c:pt>
                <c:pt idx="4">
                  <c:v>SA</c:v>
                </c:pt>
                <c:pt idx="5">
                  <c:v>Tas</c:v>
                </c:pt>
                <c:pt idx="6">
                  <c:v>ACT</c:v>
                </c:pt>
                <c:pt idx="7">
                  <c:v>NT</c:v>
                </c:pt>
                <c:pt idx="8">
                  <c:v>Aust</c:v>
                </c:pt>
              </c:strCache>
            </c:strRef>
          </c:cat>
          <c:val>
            <c:numRef>
              <c:f>'fig B.13'!$B$7:$J$7</c:f>
              <c:numCache>
                <c:formatCode>#\ ###\ ##0.0;\-#\ ###\ ##0.0;"–"</c:formatCode>
                <c:ptCount val="9"/>
                <c:pt idx="0">
                  <c:v>58.1</c:v>
                </c:pt>
                <c:pt idx="1">
                  <c:v>59.7</c:v>
                </c:pt>
                <c:pt idx="2">
                  <c:v>54.8</c:v>
                </c:pt>
                <c:pt idx="3">
                  <c:v>56.4</c:v>
                </c:pt>
                <c:pt idx="4">
                  <c:v>54.8</c:v>
                </c:pt>
                <c:pt idx="5">
                  <c:v>53.4</c:v>
                </c:pt>
                <c:pt idx="6">
                  <c:v>66</c:v>
                </c:pt>
                <c:pt idx="7">
                  <c:v>55.1</c:v>
                </c:pt>
                <c:pt idx="8">
                  <c:v>57.4</c:v>
                </c:pt>
              </c:numCache>
            </c:numRef>
          </c:val>
        </c:ser>
        <c:ser>
          <c:idx val="3"/>
          <c:order val="3"/>
          <c:tx>
            <c:strRef>
              <c:f>'fig B.13'!$A$9</c:f>
              <c:strCache>
                <c:ptCount val="1"/>
                <c:pt idx="0">
                  <c:v>2014</c:v>
                </c:pt>
              </c:strCache>
            </c:strRef>
          </c:tx>
          <c:spPr>
            <a:solidFill>
              <a:srgbClr val="78A22F"/>
            </a:solidFill>
            <a:ln>
              <a:solidFill>
                <a:srgbClr val="78A22F"/>
              </a:solidFill>
            </a:ln>
          </c:spPr>
          <c:invertIfNegative val="0"/>
          <c:errBars>
            <c:errBarType val="both"/>
            <c:errValType val="cust"/>
            <c:noEndCap val="0"/>
            <c:plus>
              <c:numRef>
                <c:f>'fig B.13'!$B$10:$J$10</c:f>
                <c:numCache>
                  <c:formatCode>General</c:formatCode>
                  <c:ptCount val="9"/>
                  <c:pt idx="0">
                    <c:v>1.5</c:v>
                  </c:pt>
                  <c:pt idx="1">
                    <c:v>1.6</c:v>
                  </c:pt>
                  <c:pt idx="2">
                    <c:v>1.7</c:v>
                  </c:pt>
                  <c:pt idx="3">
                    <c:v>1.8</c:v>
                  </c:pt>
                  <c:pt idx="4">
                    <c:v>1.6</c:v>
                  </c:pt>
                  <c:pt idx="5">
                    <c:v>2.8</c:v>
                  </c:pt>
                  <c:pt idx="6">
                    <c:v>3.3</c:v>
                  </c:pt>
                  <c:pt idx="7">
                    <c:v>1</c:v>
                  </c:pt>
                  <c:pt idx="8">
                    <c:v>0.7</c:v>
                  </c:pt>
                </c:numCache>
              </c:numRef>
            </c:plus>
            <c:minus>
              <c:numLit>
                <c:formatCode>General</c:formatCode>
                <c:ptCount val="1"/>
                <c:pt idx="0">
                  <c:v>1</c:v>
                </c:pt>
              </c:numLit>
            </c:minus>
            <c:spPr>
              <a:ln>
                <a:solidFill>
                  <a:srgbClr val="BFBFBF"/>
                </a:solidFill>
              </a:ln>
            </c:spPr>
          </c:errBars>
          <c:cat>
            <c:strRef>
              <c:f>'fig B.13'!$B$2:$J$2</c:f>
              <c:strCache>
                <c:ptCount val="9"/>
                <c:pt idx="0">
                  <c:v>NSW</c:v>
                </c:pt>
                <c:pt idx="1">
                  <c:v>Vic</c:v>
                </c:pt>
                <c:pt idx="2">
                  <c:v>Qld</c:v>
                </c:pt>
                <c:pt idx="3">
                  <c:v>WA</c:v>
                </c:pt>
                <c:pt idx="4">
                  <c:v>SA</c:v>
                </c:pt>
                <c:pt idx="5">
                  <c:v>Tas</c:v>
                </c:pt>
                <c:pt idx="6">
                  <c:v>ACT</c:v>
                </c:pt>
                <c:pt idx="7">
                  <c:v>NT</c:v>
                </c:pt>
                <c:pt idx="8">
                  <c:v>Aust</c:v>
                </c:pt>
              </c:strCache>
            </c:strRef>
          </c:cat>
          <c:val>
            <c:numRef>
              <c:f>'fig B.13'!$B$9:$J$9</c:f>
              <c:numCache>
                <c:formatCode>#\ ###\ ##0.0;\-#\ ###\ ##0.0;"–"</c:formatCode>
                <c:ptCount val="9"/>
                <c:pt idx="0">
                  <c:v>58.8</c:v>
                </c:pt>
                <c:pt idx="1">
                  <c:v>58.3</c:v>
                </c:pt>
                <c:pt idx="2">
                  <c:v>55.8</c:v>
                </c:pt>
                <c:pt idx="3">
                  <c:v>57.3</c:v>
                </c:pt>
                <c:pt idx="4">
                  <c:v>52.1</c:v>
                </c:pt>
                <c:pt idx="5">
                  <c:v>51.9</c:v>
                </c:pt>
                <c:pt idx="6">
                  <c:v>67.599999999999994</c:v>
                </c:pt>
                <c:pt idx="7">
                  <c:v>60.5</c:v>
                </c:pt>
                <c:pt idx="8">
                  <c:v>57.5</c:v>
                </c:pt>
              </c:numCache>
            </c:numRef>
          </c:val>
        </c:ser>
        <c:ser>
          <c:idx val="4"/>
          <c:order val="4"/>
          <c:tx>
            <c:strRef>
              <c:f>'fig B.13'!$A$11</c:f>
              <c:strCache>
                <c:ptCount val="1"/>
                <c:pt idx="0">
                  <c:v>2015</c:v>
                </c:pt>
              </c:strCache>
            </c:strRef>
          </c:tx>
          <c:spPr>
            <a:solidFill>
              <a:srgbClr val="265A9A"/>
            </a:solidFill>
            <a:ln>
              <a:solidFill>
                <a:srgbClr val="265A9A"/>
              </a:solidFill>
            </a:ln>
          </c:spPr>
          <c:invertIfNegative val="0"/>
          <c:errBars>
            <c:errBarType val="both"/>
            <c:errValType val="cust"/>
            <c:noEndCap val="0"/>
            <c:plus>
              <c:numRef>
                <c:f>'fig B.13'!$B$12:$J$12</c:f>
                <c:numCache>
                  <c:formatCode>General</c:formatCode>
                  <c:ptCount val="9"/>
                  <c:pt idx="0">
                    <c:v>1.5</c:v>
                  </c:pt>
                  <c:pt idx="1">
                    <c:v>1.2</c:v>
                  </c:pt>
                  <c:pt idx="2">
                    <c:v>1.3</c:v>
                  </c:pt>
                  <c:pt idx="3">
                    <c:v>1.9</c:v>
                  </c:pt>
                  <c:pt idx="4">
                    <c:v>1.9</c:v>
                  </c:pt>
                  <c:pt idx="5">
                    <c:v>2</c:v>
                  </c:pt>
                  <c:pt idx="6">
                    <c:v>3.4</c:v>
                  </c:pt>
                  <c:pt idx="7">
                    <c:v>3.2</c:v>
                  </c:pt>
                  <c:pt idx="8">
                    <c:v>0.6</c:v>
                  </c:pt>
                </c:numCache>
              </c:numRef>
            </c:plus>
            <c:minus>
              <c:numLit>
                <c:formatCode>General</c:formatCode>
                <c:ptCount val="1"/>
                <c:pt idx="0">
                  <c:v>1</c:v>
                </c:pt>
              </c:numLit>
            </c:minus>
            <c:spPr>
              <a:ln>
                <a:solidFill>
                  <a:srgbClr val="BFBFBF"/>
                </a:solidFill>
              </a:ln>
            </c:spPr>
          </c:errBars>
          <c:cat>
            <c:strRef>
              <c:f>'fig B.13'!$B$2:$J$2</c:f>
              <c:strCache>
                <c:ptCount val="9"/>
                <c:pt idx="0">
                  <c:v>NSW</c:v>
                </c:pt>
                <c:pt idx="1">
                  <c:v>Vic</c:v>
                </c:pt>
                <c:pt idx="2">
                  <c:v>Qld</c:v>
                </c:pt>
                <c:pt idx="3">
                  <c:v>WA</c:v>
                </c:pt>
                <c:pt idx="4">
                  <c:v>SA</c:v>
                </c:pt>
                <c:pt idx="5">
                  <c:v>Tas</c:v>
                </c:pt>
                <c:pt idx="6">
                  <c:v>ACT</c:v>
                </c:pt>
                <c:pt idx="7">
                  <c:v>NT</c:v>
                </c:pt>
                <c:pt idx="8">
                  <c:v>Aust</c:v>
                </c:pt>
              </c:strCache>
            </c:strRef>
          </c:cat>
          <c:val>
            <c:numRef>
              <c:f>'fig B.13'!$B$11:$J$11</c:f>
              <c:numCache>
                <c:formatCode>#\ ###\ ##0.0;\-#\ ###\ ##0.0;"–"</c:formatCode>
                <c:ptCount val="9"/>
                <c:pt idx="0">
                  <c:v>60.2</c:v>
                </c:pt>
                <c:pt idx="1">
                  <c:v>62.2</c:v>
                </c:pt>
                <c:pt idx="2">
                  <c:v>57.3</c:v>
                </c:pt>
                <c:pt idx="3">
                  <c:v>60.2</c:v>
                </c:pt>
                <c:pt idx="4">
                  <c:v>56.8</c:v>
                </c:pt>
                <c:pt idx="5">
                  <c:v>55.3</c:v>
                </c:pt>
                <c:pt idx="6">
                  <c:v>69.2</c:v>
                </c:pt>
                <c:pt idx="7">
                  <c:v>59.3</c:v>
                </c:pt>
                <c:pt idx="8">
                  <c:v>60</c:v>
                </c:pt>
              </c:numCache>
            </c:numRef>
          </c:val>
        </c:ser>
        <c:dLbls>
          <c:showLegendKey val="0"/>
          <c:showVal val="0"/>
          <c:showCatName val="0"/>
          <c:showSerName val="0"/>
          <c:showPercent val="0"/>
          <c:showBubbleSize val="0"/>
        </c:dLbls>
        <c:gapWidth val="150"/>
        <c:axId val="128428672"/>
        <c:axId val="128434560"/>
      </c:barChart>
      <c:catAx>
        <c:axId val="128428672"/>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28434560"/>
        <c:crosses val="autoZero"/>
        <c:auto val="1"/>
        <c:lblAlgn val="ctr"/>
        <c:lblOffset val="100"/>
        <c:noMultiLvlLbl val="0"/>
      </c:catAx>
      <c:valAx>
        <c:axId val="128434560"/>
        <c:scaling>
          <c:orientation val="minMax"/>
          <c:max val="100"/>
          <c:min val="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28428672"/>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egendEntry>
        <c:idx val="1"/>
        <c:delete val="1"/>
      </c:legendEntry>
      <c:legendEntry>
        <c:idx val="2"/>
        <c:delete val="1"/>
      </c:legendEntry>
      <c:legendEntry>
        <c:idx val="3"/>
        <c:delete val="1"/>
      </c:legendEntry>
      <c:layout/>
      <c:overlay val="0"/>
      <c:spPr>
        <a:noFill/>
        <a:ln>
          <a:noFill/>
          <a:round/>
        </a:ln>
        <a:effectLst/>
        <a:extLst>
          <a:ext uri="{91240B29-F687-4F45-9708-019B960494DF}">
            <a14:hiddenLine xmlns:a14="http://schemas.microsoft.com/office/drawing/2010/main">
              <a:no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B.5'!$A$4</c:f>
              <c:strCache>
                <c:ptCount val="1"/>
                <c:pt idx="0">
                  <c:v>Bachelor degree or above</c:v>
                </c:pt>
              </c:strCache>
            </c:strRef>
          </c:tx>
          <c:spPr>
            <a:pattFill prst="ltUpDiag">
              <a:fgClr>
                <a:srgbClr val="FFFFFF"/>
              </a:fgClr>
              <a:bgClr>
                <a:srgbClr val="78A22F"/>
              </a:bgClr>
            </a:pattFill>
            <a:ln>
              <a:solidFill>
                <a:srgbClr val="78A22F"/>
              </a:solidFill>
            </a:ln>
          </c:spPr>
          <c:invertIfNegative val="0"/>
          <c:errBars>
            <c:errBarType val="both"/>
            <c:errValType val="cust"/>
            <c:noEndCap val="0"/>
            <c:plus>
              <c:numRef>
                <c:f>'fig B.5'!$B$10:$J$10</c:f>
                <c:numCache>
                  <c:formatCode>General</c:formatCode>
                  <c:ptCount val="9"/>
                  <c:pt idx="0">
                    <c:v>2.4021712000000002</c:v>
                  </c:pt>
                  <c:pt idx="1">
                    <c:v>2.2536662999999999</c:v>
                  </c:pt>
                  <c:pt idx="2">
                    <c:v>2.9791517999999999</c:v>
                  </c:pt>
                  <c:pt idx="3">
                    <c:v>4.5940573999999996</c:v>
                  </c:pt>
                  <c:pt idx="4">
                    <c:v>3.1199941</c:v>
                  </c:pt>
                  <c:pt idx="5">
                    <c:v>5.4378238999999997</c:v>
                  </c:pt>
                  <c:pt idx="6">
                    <c:v>10.671386800000001</c:v>
                  </c:pt>
                  <c:pt idx="7">
                    <c:v>0</c:v>
                  </c:pt>
                  <c:pt idx="8">
                    <c:v>1.2361797999999999</c:v>
                  </c:pt>
                </c:numCache>
              </c:numRef>
            </c:plus>
            <c:minus>
              <c:numRef>
                <c:f>'fig B.5'!$B$10:$J$10</c:f>
                <c:numCache>
                  <c:formatCode>General</c:formatCode>
                  <c:ptCount val="9"/>
                  <c:pt idx="0">
                    <c:v>2.4021712000000002</c:v>
                  </c:pt>
                  <c:pt idx="1">
                    <c:v>2.2536662999999999</c:v>
                  </c:pt>
                  <c:pt idx="2">
                    <c:v>2.9791517999999999</c:v>
                  </c:pt>
                  <c:pt idx="3">
                    <c:v>4.5940573999999996</c:v>
                  </c:pt>
                  <c:pt idx="4">
                    <c:v>3.1199941</c:v>
                  </c:pt>
                  <c:pt idx="5">
                    <c:v>5.4378238999999997</c:v>
                  </c:pt>
                  <c:pt idx="6">
                    <c:v>10.671386800000001</c:v>
                  </c:pt>
                  <c:pt idx="7">
                    <c:v>0</c:v>
                  </c:pt>
                  <c:pt idx="8">
                    <c:v>1.2361797999999999</c:v>
                  </c:pt>
                </c:numCache>
              </c:numRef>
            </c:minus>
            <c:spPr>
              <a:ln>
                <a:solidFill>
                  <a:srgbClr val="000000"/>
                </a:solidFill>
              </a:ln>
            </c:spPr>
          </c:errBars>
          <c:cat>
            <c:strRef>
              <c:f>'fig B.5'!$B$2:$J$2</c:f>
              <c:strCache>
                <c:ptCount val="9"/>
                <c:pt idx="0">
                  <c:v>NSW</c:v>
                </c:pt>
                <c:pt idx="1">
                  <c:v>Vic</c:v>
                </c:pt>
                <c:pt idx="2">
                  <c:v>Qld</c:v>
                </c:pt>
                <c:pt idx="3">
                  <c:v>WA</c:v>
                </c:pt>
                <c:pt idx="4">
                  <c:v>SA</c:v>
                </c:pt>
                <c:pt idx="5">
                  <c:v>Tas</c:v>
                </c:pt>
                <c:pt idx="6">
                  <c:v>ACT</c:v>
                </c:pt>
                <c:pt idx="7">
                  <c:v>NT</c:v>
                </c:pt>
                <c:pt idx="8">
                  <c:v>Aust</c:v>
                </c:pt>
              </c:strCache>
            </c:strRef>
          </c:cat>
          <c:val>
            <c:numRef>
              <c:f>'fig B.5'!$B$4:$J$4</c:f>
              <c:numCache>
                <c:formatCode>###\ ###\ ##0.0;\-###\ ###\ ##0.0;"–"</c:formatCode>
                <c:ptCount val="9"/>
                <c:pt idx="0">
                  <c:v>12.9424539</c:v>
                </c:pt>
                <c:pt idx="1">
                  <c:v>14.458850099999999</c:v>
                </c:pt>
                <c:pt idx="2">
                  <c:v>15.1765094</c:v>
                </c:pt>
                <c:pt idx="3">
                  <c:v>16.2591687</c:v>
                </c:pt>
                <c:pt idx="4">
                  <c:v>12.1067684</c:v>
                </c:pt>
                <c:pt idx="5">
                  <c:v>7.9646017999999996</c:v>
                </c:pt>
                <c:pt idx="6">
                  <c:v>14.9779736</c:v>
                </c:pt>
                <c:pt idx="7">
                  <c:v>0</c:v>
                </c:pt>
                <c:pt idx="8">
                  <c:v>14.162147300000001</c:v>
                </c:pt>
              </c:numCache>
            </c:numRef>
          </c:val>
        </c:ser>
        <c:ser>
          <c:idx val="1"/>
          <c:order val="1"/>
          <c:tx>
            <c:strRef>
              <c:f>'fig B.5'!$A$5</c:f>
              <c:strCache>
                <c:ptCount val="1"/>
                <c:pt idx="0">
                  <c:v>Diploma or advanced diploma</c:v>
                </c:pt>
              </c:strCache>
            </c:strRef>
          </c:tx>
          <c:spPr>
            <a:solidFill>
              <a:srgbClr val="387DD2"/>
            </a:solidFill>
            <a:ln>
              <a:solidFill>
                <a:srgbClr val="387DD2"/>
              </a:solidFill>
            </a:ln>
          </c:spPr>
          <c:invertIfNegative val="0"/>
          <c:errBars>
            <c:errBarType val="both"/>
            <c:errValType val="cust"/>
            <c:noEndCap val="0"/>
            <c:plus>
              <c:numRef>
                <c:f>'fig B.5'!$B$11:$J$11</c:f>
                <c:numCache>
                  <c:formatCode>General</c:formatCode>
                  <c:ptCount val="9"/>
                  <c:pt idx="0">
                    <c:v>1.1831543</c:v>
                  </c:pt>
                  <c:pt idx="1">
                    <c:v>1.2797727000000001</c:v>
                  </c:pt>
                  <c:pt idx="2">
                    <c:v>2.2323840000000001</c:v>
                  </c:pt>
                  <c:pt idx="3">
                    <c:v>1.8740064999999999</c:v>
                  </c:pt>
                  <c:pt idx="4">
                    <c:v>2.1272877000000001</c:v>
                  </c:pt>
                  <c:pt idx="5">
                    <c:v>2.0998120999999998</c:v>
                  </c:pt>
                  <c:pt idx="6">
                    <c:v>0</c:v>
                  </c:pt>
                  <c:pt idx="7">
                    <c:v>0</c:v>
                  </c:pt>
                  <c:pt idx="8">
                    <c:v>0.79000570000000003</c:v>
                  </c:pt>
                </c:numCache>
              </c:numRef>
            </c:plus>
            <c:minus>
              <c:numRef>
                <c:f>'fig B.5'!$B$11:$J$11</c:f>
                <c:numCache>
                  <c:formatCode>General</c:formatCode>
                  <c:ptCount val="9"/>
                  <c:pt idx="0">
                    <c:v>1.1831543</c:v>
                  </c:pt>
                  <c:pt idx="1">
                    <c:v>1.2797727000000001</c:v>
                  </c:pt>
                  <c:pt idx="2">
                    <c:v>2.2323840000000001</c:v>
                  </c:pt>
                  <c:pt idx="3">
                    <c:v>1.8740064999999999</c:v>
                  </c:pt>
                  <c:pt idx="4">
                    <c:v>2.1272877000000001</c:v>
                  </c:pt>
                  <c:pt idx="5">
                    <c:v>2.0998120999999998</c:v>
                  </c:pt>
                  <c:pt idx="6">
                    <c:v>0</c:v>
                  </c:pt>
                  <c:pt idx="7">
                    <c:v>0</c:v>
                  </c:pt>
                  <c:pt idx="8">
                    <c:v>0.79000570000000003</c:v>
                  </c:pt>
                </c:numCache>
              </c:numRef>
            </c:minus>
            <c:spPr>
              <a:ln>
                <a:solidFill>
                  <a:srgbClr val="BFBFBF"/>
                </a:solidFill>
              </a:ln>
            </c:spPr>
          </c:errBars>
          <c:cat>
            <c:strRef>
              <c:f>'fig B.5'!$B$2:$J$2</c:f>
              <c:strCache>
                <c:ptCount val="9"/>
                <c:pt idx="0">
                  <c:v>NSW</c:v>
                </c:pt>
                <c:pt idx="1">
                  <c:v>Vic</c:v>
                </c:pt>
                <c:pt idx="2">
                  <c:v>Qld</c:v>
                </c:pt>
                <c:pt idx="3">
                  <c:v>WA</c:v>
                </c:pt>
                <c:pt idx="4">
                  <c:v>SA</c:v>
                </c:pt>
                <c:pt idx="5">
                  <c:v>Tas</c:v>
                </c:pt>
                <c:pt idx="6">
                  <c:v>ACT</c:v>
                </c:pt>
                <c:pt idx="7">
                  <c:v>NT</c:v>
                </c:pt>
                <c:pt idx="8">
                  <c:v>Aust</c:v>
                </c:pt>
              </c:strCache>
            </c:strRef>
          </c:cat>
          <c:val>
            <c:numRef>
              <c:f>'fig B.5'!$B$5:$J$5</c:f>
              <c:numCache>
                <c:formatCode>###\ ###\ ##0.0;\-###\ ###\ ##0.0;"–"</c:formatCode>
                <c:ptCount val="9"/>
                <c:pt idx="0">
                  <c:v>2.0195439999999998</c:v>
                </c:pt>
                <c:pt idx="1">
                  <c:v>2.903044</c:v>
                </c:pt>
                <c:pt idx="2">
                  <c:v>3.2992412</c:v>
                </c:pt>
                <c:pt idx="3">
                  <c:v>2.1393643</c:v>
                </c:pt>
                <c:pt idx="4">
                  <c:v>2.1925642999999999</c:v>
                </c:pt>
                <c:pt idx="5">
                  <c:v>2.6548672999999998</c:v>
                </c:pt>
                <c:pt idx="6">
                  <c:v>0</c:v>
                </c:pt>
                <c:pt idx="7">
                  <c:v>0</c:v>
                </c:pt>
                <c:pt idx="8">
                  <c:v>2.5125283</c:v>
                </c:pt>
              </c:numCache>
            </c:numRef>
          </c:val>
        </c:ser>
        <c:ser>
          <c:idx val="2"/>
          <c:order val="2"/>
          <c:tx>
            <c:strRef>
              <c:f>'fig B.5'!$A$6</c:f>
              <c:strCache>
                <c:ptCount val="1"/>
                <c:pt idx="0">
                  <c:v>Certificate III or IV</c:v>
                </c:pt>
              </c:strCache>
            </c:strRef>
          </c:tx>
          <c:spPr>
            <a:solidFill>
              <a:srgbClr val="000000"/>
            </a:solidFill>
            <a:ln>
              <a:solidFill>
                <a:srgbClr val="000000"/>
              </a:solidFill>
            </a:ln>
          </c:spPr>
          <c:invertIfNegative val="0"/>
          <c:errBars>
            <c:errBarType val="both"/>
            <c:errValType val="cust"/>
            <c:noEndCap val="0"/>
            <c:plus>
              <c:numRef>
                <c:f>'fig B.5'!$B$12:$J$12</c:f>
                <c:numCache>
                  <c:formatCode>General</c:formatCode>
                  <c:ptCount val="9"/>
                  <c:pt idx="0">
                    <c:v>1.9541748999999999</c:v>
                  </c:pt>
                  <c:pt idx="1">
                    <c:v>3.0545684999999998</c:v>
                  </c:pt>
                  <c:pt idx="2">
                    <c:v>1.7838160000000001</c:v>
                  </c:pt>
                  <c:pt idx="3">
                    <c:v>2.9716401000000001</c:v>
                  </c:pt>
                  <c:pt idx="4">
                    <c:v>3.8731673999999998</c:v>
                  </c:pt>
                  <c:pt idx="5">
                    <c:v>3.2041341999999999</c:v>
                  </c:pt>
                  <c:pt idx="6">
                    <c:v>4.4272499999999999</c:v>
                  </c:pt>
                  <c:pt idx="7">
                    <c:v>0</c:v>
                  </c:pt>
                  <c:pt idx="8">
                    <c:v>0.92894639999999995</c:v>
                  </c:pt>
                </c:numCache>
              </c:numRef>
            </c:plus>
            <c:minus>
              <c:numRef>
                <c:f>'fig B.5'!$B$12:$J$12</c:f>
                <c:numCache>
                  <c:formatCode>General</c:formatCode>
                  <c:ptCount val="9"/>
                  <c:pt idx="0">
                    <c:v>1.9541748999999999</c:v>
                  </c:pt>
                  <c:pt idx="1">
                    <c:v>3.0545684999999998</c:v>
                  </c:pt>
                  <c:pt idx="2">
                    <c:v>1.7838160000000001</c:v>
                  </c:pt>
                  <c:pt idx="3">
                    <c:v>2.9716401000000001</c:v>
                  </c:pt>
                  <c:pt idx="4">
                    <c:v>3.8731673999999998</c:v>
                  </c:pt>
                  <c:pt idx="5">
                    <c:v>3.2041341999999999</c:v>
                  </c:pt>
                  <c:pt idx="6">
                    <c:v>4.4272499999999999</c:v>
                  </c:pt>
                  <c:pt idx="7">
                    <c:v>0</c:v>
                  </c:pt>
                  <c:pt idx="8">
                    <c:v>0.92894639999999995</c:v>
                  </c:pt>
                </c:numCache>
              </c:numRef>
            </c:minus>
            <c:spPr>
              <a:ln>
                <a:solidFill>
                  <a:srgbClr val="BFBFBF"/>
                </a:solidFill>
              </a:ln>
            </c:spPr>
          </c:errBars>
          <c:cat>
            <c:strRef>
              <c:f>'fig B.5'!$B$2:$J$2</c:f>
              <c:strCache>
                <c:ptCount val="9"/>
                <c:pt idx="0">
                  <c:v>NSW</c:v>
                </c:pt>
                <c:pt idx="1">
                  <c:v>Vic</c:v>
                </c:pt>
                <c:pt idx="2">
                  <c:v>Qld</c:v>
                </c:pt>
                <c:pt idx="3">
                  <c:v>WA</c:v>
                </c:pt>
                <c:pt idx="4">
                  <c:v>SA</c:v>
                </c:pt>
                <c:pt idx="5">
                  <c:v>Tas</c:v>
                </c:pt>
                <c:pt idx="6">
                  <c:v>ACT</c:v>
                </c:pt>
                <c:pt idx="7">
                  <c:v>NT</c:v>
                </c:pt>
                <c:pt idx="8">
                  <c:v>Aust</c:v>
                </c:pt>
              </c:strCache>
            </c:strRef>
          </c:cat>
          <c:val>
            <c:numRef>
              <c:f>'fig B.5'!$B$6:$J$6</c:f>
              <c:numCache>
                <c:formatCode>###\ ###\ ##0.0;\-###\ ###\ ##0.0;"–"</c:formatCode>
                <c:ptCount val="9"/>
                <c:pt idx="0">
                  <c:v>7.9044517000000001</c:v>
                </c:pt>
                <c:pt idx="1">
                  <c:v>7.1307779</c:v>
                </c:pt>
                <c:pt idx="2">
                  <c:v>3.6951501000000002</c:v>
                </c:pt>
                <c:pt idx="3">
                  <c:v>7.7628361999999997</c:v>
                </c:pt>
                <c:pt idx="4">
                  <c:v>4.4804576000000003</c:v>
                </c:pt>
                <c:pt idx="5">
                  <c:v>5.6047197999999998</c:v>
                </c:pt>
                <c:pt idx="6">
                  <c:v>4.845815</c:v>
                </c:pt>
                <c:pt idx="7">
                  <c:v>0</c:v>
                </c:pt>
                <c:pt idx="8">
                  <c:v>6.3087800999999999</c:v>
                </c:pt>
              </c:numCache>
            </c:numRef>
          </c:val>
        </c:ser>
        <c:ser>
          <c:idx val="3"/>
          <c:order val="3"/>
          <c:tx>
            <c:strRef>
              <c:f>'fig B.5'!$A$7</c:f>
              <c:strCache>
                <c:ptCount val="1"/>
                <c:pt idx="0">
                  <c:v>Certificate I or II or n.f.d.</c:v>
                </c:pt>
              </c:strCache>
            </c:strRef>
          </c:tx>
          <c:spPr>
            <a:solidFill>
              <a:srgbClr val="B2D673"/>
            </a:solidFill>
            <a:ln>
              <a:solidFill>
                <a:srgbClr val="B2D673"/>
              </a:solidFill>
            </a:ln>
          </c:spPr>
          <c:invertIfNegative val="0"/>
          <c:errBars>
            <c:errBarType val="both"/>
            <c:errValType val="cust"/>
            <c:noEndCap val="0"/>
            <c:plus>
              <c:numRef>
                <c:f>'fig B.5'!$B$13:$J$13</c:f>
                <c:numCache>
                  <c:formatCode>General</c:formatCode>
                  <c:ptCount val="9"/>
                  <c:pt idx="0">
                    <c:v>0.87685959999999996</c:v>
                  </c:pt>
                  <c:pt idx="1">
                    <c:v>0</c:v>
                  </c:pt>
                  <c:pt idx="2">
                    <c:v>0</c:v>
                  </c:pt>
                  <c:pt idx="3">
                    <c:v>0</c:v>
                  </c:pt>
                  <c:pt idx="4">
                    <c:v>0</c:v>
                  </c:pt>
                  <c:pt idx="5">
                    <c:v>0</c:v>
                  </c:pt>
                  <c:pt idx="6">
                    <c:v>0</c:v>
                  </c:pt>
                  <c:pt idx="7">
                    <c:v>0</c:v>
                  </c:pt>
                  <c:pt idx="8">
                    <c:v>0.46061229999999997</c:v>
                  </c:pt>
                </c:numCache>
              </c:numRef>
            </c:plus>
            <c:minus>
              <c:numRef>
                <c:f>'fig B.5'!$B$13:$J$13</c:f>
                <c:numCache>
                  <c:formatCode>General</c:formatCode>
                  <c:ptCount val="9"/>
                  <c:pt idx="0">
                    <c:v>0.87685959999999996</c:v>
                  </c:pt>
                  <c:pt idx="1">
                    <c:v>0</c:v>
                  </c:pt>
                  <c:pt idx="2">
                    <c:v>0</c:v>
                  </c:pt>
                  <c:pt idx="3">
                    <c:v>0</c:v>
                  </c:pt>
                  <c:pt idx="4">
                    <c:v>0</c:v>
                  </c:pt>
                  <c:pt idx="5">
                    <c:v>0</c:v>
                  </c:pt>
                  <c:pt idx="6">
                    <c:v>0</c:v>
                  </c:pt>
                  <c:pt idx="7">
                    <c:v>0</c:v>
                  </c:pt>
                  <c:pt idx="8">
                    <c:v>0.46061229999999997</c:v>
                  </c:pt>
                </c:numCache>
              </c:numRef>
            </c:minus>
            <c:spPr>
              <a:ln>
                <a:solidFill>
                  <a:srgbClr val="78A22F"/>
                </a:solidFill>
              </a:ln>
            </c:spPr>
          </c:errBars>
          <c:cat>
            <c:strRef>
              <c:f>'fig B.5'!$B$2:$J$2</c:f>
              <c:strCache>
                <c:ptCount val="9"/>
                <c:pt idx="0">
                  <c:v>NSW</c:v>
                </c:pt>
                <c:pt idx="1">
                  <c:v>Vic</c:v>
                </c:pt>
                <c:pt idx="2">
                  <c:v>Qld</c:v>
                </c:pt>
                <c:pt idx="3">
                  <c:v>WA</c:v>
                </c:pt>
                <c:pt idx="4">
                  <c:v>SA</c:v>
                </c:pt>
                <c:pt idx="5">
                  <c:v>Tas</c:v>
                </c:pt>
                <c:pt idx="6">
                  <c:v>ACT</c:v>
                </c:pt>
                <c:pt idx="7">
                  <c:v>NT</c:v>
                </c:pt>
                <c:pt idx="8">
                  <c:v>Aust</c:v>
                </c:pt>
              </c:strCache>
            </c:strRef>
          </c:cat>
          <c:val>
            <c:numRef>
              <c:f>'fig B.5'!$B$7:$J$7</c:f>
              <c:numCache>
                <c:formatCode>###\ ###\ ##0.0;\-###\ ###\ ##0.0;"–"</c:formatCode>
                <c:ptCount val="9"/>
                <c:pt idx="0">
                  <c:v>1.0206298</c:v>
                </c:pt>
                <c:pt idx="1">
                  <c:v>0</c:v>
                </c:pt>
                <c:pt idx="2">
                  <c:v>0</c:v>
                </c:pt>
                <c:pt idx="3">
                  <c:v>0</c:v>
                </c:pt>
                <c:pt idx="4">
                  <c:v>0</c:v>
                </c:pt>
                <c:pt idx="5">
                  <c:v>0</c:v>
                </c:pt>
                <c:pt idx="6">
                  <c:v>0</c:v>
                </c:pt>
                <c:pt idx="7">
                  <c:v>0</c:v>
                </c:pt>
                <c:pt idx="8">
                  <c:v>1.0571839999999999</c:v>
                </c:pt>
              </c:numCache>
            </c:numRef>
          </c:val>
        </c:ser>
        <c:ser>
          <c:idx val="4"/>
          <c:order val="4"/>
          <c:tx>
            <c:strRef>
              <c:f>'fig B.5'!$A$8</c:f>
              <c:strCache>
                <c:ptCount val="1"/>
                <c:pt idx="0">
                  <c:v>School level study</c:v>
                </c:pt>
              </c:strCache>
            </c:strRef>
          </c:tx>
          <c:spPr>
            <a:solidFill>
              <a:srgbClr val="265A9A"/>
            </a:solidFill>
            <a:ln>
              <a:solidFill>
                <a:srgbClr val="265A9A"/>
              </a:solidFill>
            </a:ln>
          </c:spPr>
          <c:invertIfNegative val="0"/>
          <c:errBars>
            <c:errBarType val="both"/>
            <c:errValType val="cust"/>
            <c:noEndCap val="0"/>
            <c:plus>
              <c:numRef>
                <c:f>'fig B.5'!$B$14:$J$14</c:f>
                <c:numCache>
                  <c:formatCode>General</c:formatCode>
                  <c:ptCount val="9"/>
                  <c:pt idx="0">
                    <c:v>3.2698347000000001</c:v>
                  </c:pt>
                  <c:pt idx="1">
                    <c:v>2.5166832000000001</c:v>
                  </c:pt>
                  <c:pt idx="2">
                    <c:v>3.1995091000000002</c:v>
                  </c:pt>
                  <c:pt idx="3">
                    <c:v>4.2560650000000004</c:v>
                  </c:pt>
                  <c:pt idx="4">
                    <c:v>5.0434969000000001</c:v>
                  </c:pt>
                  <c:pt idx="5">
                    <c:v>5.0748441</c:v>
                  </c:pt>
                  <c:pt idx="6">
                    <c:v>12.227571299999999</c:v>
                  </c:pt>
                  <c:pt idx="7">
                    <c:v>7.4758816000000001</c:v>
                  </c:pt>
                  <c:pt idx="8">
                    <c:v>1.1096979</c:v>
                  </c:pt>
                </c:numCache>
              </c:numRef>
            </c:plus>
            <c:minus>
              <c:numRef>
                <c:f>'fig B.5'!$B$14:$J$14</c:f>
                <c:numCache>
                  <c:formatCode>General</c:formatCode>
                  <c:ptCount val="9"/>
                  <c:pt idx="0">
                    <c:v>3.2698347000000001</c:v>
                  </c:pt>
                  <c:pt idx="1">
                    <c:v>2.5166832000000001</c:v>
                  </c:pt>
                  <c:pt idx="2">
                    <c:v>3.1995091000000002</c:v>
                  </c:pt>
                  <c:pt idx="3">
                    <c:v>4.2560650000000004</c:v>
                  </c:pt>
                  <c:pt idx="4">
                    <c:v>5.0434969000000001</c:v>
                  </c:pt>
                  <c:pt idx="5">
                    <c:v>5.0748441</c:v>
                  </c:pt>
                  <c:pt idx="6">
                    <c:v>12.227571299999999</c:v>
                  </c:pt>
                  <c:pt idx="7">
                    <c:v>7.4758816000000001</c:v>
                  </c:pt>
                  <c:pt idx="8">
                    <c:v>1.1096979</c:v>
                  </c:pt>
                </c:numCache>
              </c:numRef>
            </c:minus>
            <c:spPr>
              <a:ln>
                <a:solidFill>
                  <a:srgbClr val="BFBFBF"/>
                </a:solidFill>
              </a:ln>
            </c:spPr>
          </c:errBars>
          <c:cat>
            <c:strRef>
              <c:f>'fig B.5'!$B$2:$J$2</c:f>
              <c:strCache>
                <c:ptCount val="9"/>
                <c:pt idx="0">
                  <c:v>NSW</c:v>
                </c:pt>
                <c:pt idx="1">
                  <c:v>Vic</c:v>
                </c:pt>
                <c:pt idx="2">
                  <c:v>Qld</c:v>
                </c:pt>
                <c:pt idx="3">
                  <c:v>WA</c:v>
                </c:pt>
                <c:pt idx="4">
                  <c:v>SA</c:v>
                </c:pt>
                <c:pt idx="5">
                  <c:v>Tas</c:v>
                </c:pt>
                <c:pt idx="6">
                  <c:v>ACT</c:v>
                </c:pt>
                <c:pt idx="7">
                  <c:v>NT</c:v>
                </c:pt>
                <c:pt idx="8">
                  <c:v>Aust</c:v>
                </c:pt>
              </c:strCache>
            </c:strRef>
          </c:cat>
          <c:val>
            <c:numRef>
              <c:f>'fig B.5'!$B$8:$J$8</c:f>
              <c:numCache>
                <c:formatCode>###\ ###\ ##0.0;\-###\ ###\ ##0.0;"–"</c:formatCode>
                <c:ptCount val="9"/>
                <c:pt idx="0">
                  <c:v>59.565689499999998</c:v>
                </c:pt>
                <c:pt idx="1">
                  <c:v>62.711386699999998</c:v>
                </c:pt>
                <c:pt idx="2">
                  <c:v>51.369185100000003</c:v>
                </c:pt>
                <c:pt idx="3">
                  <c:v>53.056234699999997</c:v>
                </c:pt>
                <c:pt idx="4">
                  <c:v>63.870352699999998</c:v>
                </c:pt>
                <c:pt idx="5">
                  <c:v>61.356932200000003</c:v>
                </c:pt>
                <c:pt idx="6">
                  <c:v>69.603524199999995</c:v>
                </c:pt>
                <c:pt idx="7">
                  <c:v>56.862745099999998</c:v>
                </c:pt>
                <c:pt idx="8">
                  <c:v>58.433445499999998</c:v>
                </c:pt>
              </c:numCache>
            </c:numRef>
          </c:val>
        </c:ser>
        <c:ser>
          <c:idx val="5"/>
          <c:order val="5"/>
          <c:tx>
            <c:strRef>
              <c:f>'fig B.5'!$A$9</c:f>
              <c:strCache>
                <c:ptCount val="1"/>
                <c:pt idx="0">
                  <c:v>Not enrolled</c:v>
                </c:pt>
              </c:strCache>
            </c:strRef>
          </c:tx>
          <c:spPr>
            <a:solidFill>
              <a:srgbClr val="78A22F"/>
            </a:solidFill>
            <a:ln>
              <a:solidFill>
                <a:srgbClr val="78A22F"/>
              </a:solidFill>
            </a:ln>
          </c:spPr>
          <c:invertIfNegative val="0"/>
          <c:errBars>
            <c:errBarType val="both"/>
            <c:errValType val="cust"/>
            <c:noEndCap val="0"/>
            <c:plus>
              <c:numRef>
                <c:f>'fig B.5'!$B$15:$J$15</c:f>
                <c:numCache>
                  <c:formatCode>General</c:formatCode>
                  <c:ptCount val="9"/>
                  <c:pt idx="0">
                    <c:v>2.8107807</c:v>
                  </c:pt>
                  <c:pt idx="1">
                    <c:v>0.98555910000000002</c:v>
                  </c:pt>
                  <c:pt idx="2">
                    <c:v>3.4658912000000002</c:v>
                  </c:pt>
                  <c:pt idx="3">
                    <c:v>5.7791553000000002</c:v>
                  </c:pt>
                  <c:pt idx="4">
                    <c:v>3.2767495000000002</c:v>
                  </c:pt>
                  <c:pt idx="5">
                    <c:v>5.1940920000000004</c:v>
                  </c:pt>
                  <c:pt idx="6">
                    <c:v>6.3557224999999997</c:v>
                  </c:pt>
                  <c:pt idx="7">
                    <c:v>6.3324131000000001</c:v>
                  </c:pt>
                  <c:pt idx="8">
                    <c:v>0.89389839999999998</c:v>
                  </c:pt>
                </c:numCache>
              </c:numRef>
            </c:plus>
            <c:minus>
              <c:numRef>
                <c:f>'fig B.5'!$B$15:$J$15</c:f>
                <c:numCache>
                  <c:formatCode>General</c:formatCode>
                  <c:ptCount val="9"/>
                  <c:pt idx="0">
                    <c:v>2.8107807</c:v>
                  </c:pt>
                  <c:pt idx="1">
                    <c:v>0.98555910000000002</c:v>
                  </c:pt>
                  <c:pt idx="2">
                    <c:v>3.4658912000000002</c:v>
                  </c:pt>
                  <c:pt idx="3">
                    <c:v>5.7791553000000002</c:v>
                  </c:pt>
                  <c:pt idx="4">
                    <c:v>3.2767495000000002</c:v>
                  </c:pt>
                  <c:pt idx="5">
                    <c:v>5.1940920000000004</c:v>
                  </c:pt>
                  <c:pt idx="6">
                    <c:v>6.3557224999999997</c:v>
                  </c:pt>
                  <c:pt idx="7">
                    <c:v>6.3324131000000001</c:v>
                  </c:pt>
                  <c:pt idx="8">
                    <c:v>0.89389839999999998</c:v>
                  </c:pt>
                </c:numCache>
              </c:numRef>
            </c:minus>
            <c:spPr>
              <a:ln>
                <a:solidFill>
                  <a:srgbClr val="BFBFBF"/>
                </a:solidFill>
              </a:ln>
            </c:spPr>
          </c:errBars>
          <c:cat>
            <c:strRef>
              <c:f>'fig B.5'!$B$2:$J$2</c:f>
              <c:strCache>
                <c:ptCount val="9"/>
                <c:pt idx="0">
                  <c:v>NSW</c:v>
                </c:pt>
                <c:pt idx="1">
                  <c:v>Vic</c:v>
                </c:pt>
                <c:pt idx="2">
                  <c:v>Qld</c:v>
                </c:pt>
                <c:pt idx="3">
                  <c:v>WA</c:v>
                </c:pt>
                <c:pt idx="4">
                  <c:v>SA</c:v>
                </c:pt>
                <c:pt idx="5">
                  <c:v>Tas</c:v>
                </c:pt>
                <c:pt idx="6">
                  <c:v>ACT</c:v>
                </c:pt>
                <c:pt idx="7">
                  <c:v>NT</c:v>
                </c:pt>
                <c:pt idx="8">
                  <c:v>Aust</c:v>
                </c:pt>
              </c:strCache>
            </c:strRef>
          </c:cat>
          <c:val>
            <c:numRef>
              <c:f>'fig B.5'!$B$9:$J$9</c:f>
              <c:numCache>
                <c:formatCode>###\ ###\ ##0.0;\-###\ ###\ ##0.0;"–"</c:formatCode>
                <c:ptCount val="9"/>
                <c:pt idx="0">
                  <c:v>15.3745928</c:v>
                </c:pt>
                <c:pt idx="1">
                  <c:v>10.343855700000001</c:v>
                </c:pt>
                <c:pt idx="2">
                  <c:v>25.1732102</c:v>
                </c:pt>
                <c:pt idx="3">
                  <c:v>16.198043999999999</c:v>
                </c:pt>
                <c:pt idx="4">
                  <c:v>15.729266000000001</c:v>
                </c:pt>
                <c:pt idx="5">
                  <c:v>18.879055999999999</c:v>
                </c:pt>
                <c:pt idx="6">
                  <c:v>11.894273099999999</c:v>
                </c:pt>
                <c:pt idx="7">
                  <c:v>33.9869281</c:v>
                </c:pt>
                <c:pt idx="8">
                  <c:v>16.8531613</c:v>
                </c:pt>
              </c:numCache>
            </c:numRef>
          </c:val>
        </c:ser>
        <c:dLbls>
          <c:showLegendKey val="0"/>
          <c:showVal val="0"/>
          <c:showCatName val="0"/>
          <c:showSerName val="0"/>
          <c:showPercent val="0"/>
          <c:showBubbleSize val="0"/>
        </c:dLbls>
        <c:gapWidth val="150"/>
        <c:axId val="140103680"/>
        <c:axId val="140105216"/>
      </c:barChart>
      <c:catAx>
        <c:axId val="140103680"/>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40105216"/>
        <c:crosses val="autoZero"/>
        <c:auto val="1"/>
        <c:lblAlgn val="ctr"/>
        <c:lblOffset val="100"/>
        <c:noMultiLvlLbl val="0"/>
      </c:catAx>
      <c:valAx>
        <c:axId val="140105216"/>
        <c:scaling>
          <c:orientation val="minMax"/>
          <c:max val="100"/>
        </c:scaling>
        <c:delete val="0"/>
        <c:axPos val="l"/>
        <c:majorGridlines>
          <c:spPr>
            <a:ln>
              <a:noFill/>
            </a:ln>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40103680"/>
        <c:crosses val="autoZero"/>
        <c:crossBetween val="between"/>
        <c:majorUnit val="20"/>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57112962962963"/>
          <c:y val="5.5436507936507937E-2"/>
          <c:w val="0.85841833333333328"/>
          <c:h val="0.70334506172839506"/>
        </c:manualLayout>
      </c:layout>
      <c:barChart>
        <c:barDir val="col"/>
        <c:grouping val="clustered"/>
        <c:varyColors val="0"/>
        <c:ser>
          <c:idx val="0"/>
          <c:order val="0"/>
          <c:tx>
            <c:strRef>
              <c:f>'fig B.5'!$A$41</c:f>
              <c:strCache>
                <c:ptCount val="1"/>
                <c:pt idx="0">
                  <c:v>Bachelor degree or above</c:v>
                </c:pt>
              </c:strCache>
            </c:strRef>
          </c:tx>
          <c:spPr>
            <a:pattFill prst="ltUpDiag">
              <a:fgClr>
                <a:srgbClr val="FFFFFF"/>
              </a:fgClr>
              <a:bgClr>
                <a:srgbClr val="78A22F"/>
              </a:bgClr>
            </a:pattFill>
            <a:ln>
              <a:solidFill>
                <a:srgbClr val="78A22F"/>
              </a:solidFill>
            </a:ln>
          </c:spPr>
          <c:invertIfNegative val="0"/>
          <c:errBars>
            <c:errBarType val="both"/>
            <c:errValType val="cust"/>
            <c:noEndCap val="0"/>
            <c:plus>
              <c:numRef>
                <c:f>'fig B.5'!#REF!</c:f>
                <c:numCache>
                  <c:formatCode>General</c:formatCode>
                  <c:ptCount val="1"/>
                  <c:pt idx="0">
                    <c:v>1</c:v>
                  </c:pt>
                </c:numCache>
              </c:numRef>
            </c:plus>
            <c:minus>
              <c:numRef>
                <c:f>'fig B.5'!#REF!</c:f>
                <c:numCache>
                  <c:formatCode>General</c:formatCode>
                  <c:ptCount val="1"/>
                  <c:pt idx="0">
                    <c:v>1</c:v>
                  </c:pt>
                </c:numCache>
              </c:numRef>
            </c:minus>
            <c:spPr>
              <a:ln>
                <a:solidFill>
                  <a:srgbClr val="000000"/>
                </a:solidFill>
              </a:ln>
            </c:spPr>
          </c:errBars>
          <c:cat>
            <c:strRef>
              <c:f>'fig B.5'!$B$39:$J$39</c:f>
              <c:strCache>
                <c:ptCount val="9"/>
                <c:pt idx="0">
                  <c:v>NSW</c:v>
                </c:pt>
                <c:pt idx="1">
                  <c:v>Vic</c:v>
                </c:pt>
                <c:pt idx="2">
                  <c:v>Qld</c:v>
                </c:pt>
                <c:pt idx="3">
                  <c:v>WA</c:v>
                </c:pt>
                <c:pt idx="4">
                  <c:v>SA</c:v>
                </c:pt>
                <c:pt idx="5">
                  <c:v>Tas</c:v>
                </c:pt>
                <c:pt idx="6">
                  <c:v>ACT</c:v>
                </c:pt>
                <c:pt idx="7">
                  <c:v>NT</c:v>
                </c:pt>
                <c:pt idx="8">
                  <c:v>Aust</c:v>
                </c:pt>
              </c:strCache>
            </c:strRef>
          </c:cat>
          <c:val>
            <c:numRef>
              <c:f>'fig B.5'!$B$41:$J$41</c:f>
              <c:numCache>
                <c:formatCode>###\ ###\ ##0.0;\-###\ ###\ ##0.0;"–"</c:formatCode>
                <c:ptCount val="9"/>
                <c:pt idx="0">
                  <c:v>32.801556400000003</c:v>
                </c:pt>
                <c:pt idx="1">
                  <c:v>34.709768799999999</c:v>
                </c:pt>
                <c:pt idx="2">
                  <c:v>23.3183857</c:v>
                </c:pt>
                <c:pt idx="3">
                  <c:v>25.351351399999999</c:v>
                </c:pt>
                <c:pt idx="4">
                  <c:v>33.3333333</c:v>
                </c:pt>
                <c:pt idx="5">
                  <c:v>17.777777799999999</c:v>
                </c:pt>
                <c:pt idx="6">
                  <c:v>30.847457599999998</c:v>
                </c:pt>
                <c:pt idx="7">
                  <c:v>14.634146299999999</c:v>
                </c:pt>
                <c:pt idx="8">
                  <c:v>30.131586899999999</c:v>
                </c:pt>
              </c:numCache>
            </c:numRef>
          </c:val>
        </c:ser>
        <c:ser>
          <c:idx val="1"/>
          <c:order val="1"/>
          <c:tx>
            <c:strRef>
              <c:f>'fig B.5'!$A$42</c:f>
              <c:strCache>
                <c:ptCount val="1"/>
                <c:pt idx="0">
                  <c:v>Diploma or advanced diploma</c:v>
                </c:pt>
              </c:strCache>
            </c:strRef>
          </c:tx>
          <c:spPr>
            <a:solidFill>
              <a:srgbClr val="387DD2"/>
            </a:solidFill>
            <a:ln>
              <a:solidFill>
                <a:srgbClr val="387DD2"/>
              </a:solidFill>
            </a:ln>
          </c:spPr>
          <c:invertIfNegative val="0"/>
          <c:errBars>
            <c:errBarType val="both"/>
            <c:errValType val="cust"/>
            <c:noEndCap val="0"/>
            <c:plus>
              <c:numRef>
                <c:f>'fig B.5'!#REF!</c:f>
                <c:numCache>
                  <c:formatCode>General</c:formatCode>
                  <c:ptCount val="1"/>
                  <c:pt idx="0">
                    <c:v>1</c:v>
                  </c:pt>
                </c:numCache>
              </c:numRef>
            </c:plus>
            <c:minus>
              <c:numRef>
                <c:f>'fig B.5'!#REF!</c:f>
                <c:numCache>
                  <c:formatCode>General</c:formatCode>
                  <c:ptCount val="1"/>
                  <c:pt idx="0">
                    <c:v>1</c:v>
                  </c:pt>
                </c:numCache>
              </c:numRef>
            </c:minus>
            <c:spPr>
              <a:ln>
                <a:solidFill>
                  <a:srgbClr val="BFBFBF"/>
                </a:solidFill>
              </a:ln>
            </c:spPr>
          </c:errBars>
          <c:cat>
            <c:strRef>
              <c:f>'fig B.5'!$B$39:$J$39</c:f>
              <c:strCache>
                <c:ptCount val="9"/>
                <c:pt idx="0">
                  <c:v>NSW</c:v>
                </c:pt>
                <c:pt idx="1">
                  <c:v>Vic</c:v>
                </c:pt>
                <c:pt idx="2">
                  <c:v>Qld</c:v>
                </c:pt>
                <c:pt idx="3">
                  <c:v>WA</c:v>
                </c:pt>
                <c:pt idx="4">
                  <c:v>SA</c:v>
                </c:pt>
                <c:pt idx="5">
                  <c:v>Tas</c:v>
                </c:pt>
                <c:pt idx="6">
                  <c:v>ACT</c:v>
                </c:pt>
                <c:pt idx="7">
                  <c:v>NT</c:v>
                </c:pt>
                <c:pt idx="8">
                  <c:v>Aust</c:v>
                </c:pt>
              </c:strCache>
            </c:strRef>
          </c:cat>
          <c:val>
            <c:numRef>
              <c:f>'fig B.5'!$B$42:$J$42</c:f>
              <c:numCache>
                <c:formatCode>###\ ###\ ##0.0;\-###\ ###\ ##0.0;"–"</c:formatCode>
                <c:ptCount val="9"/>
                <c:pt idx="0">
                  <c:v>4.3385214000000003</c:v>
                </c:pt>
                <c:pt idx="1">
                  <c:v>5.4270882</c:v>
                </c:pt>
                <c:pt idx="2">
                  <c:v>4.1853512999999998</c:v>
                </c:pt>
                <c:pt idx="3">
                  <c:v>4.7567567999999998</c:v>
                </c:pt>
                <c:pt idx="4">
                  <c:v>3.4391533999999999</c:v>
                </c:pt>
                <c:pt idx="5">
                  <c:v>0</c:v>
                </c:pt>
                <c:pt idx="6">
                  <c:v>0</c:v>
                </c:pt>
                <c:pt idx="7">
                  <c:v>0</c:v>
                </c:pt>
                <c:pt idx="8">
                  <c:v>4.8026195999999999</c:v>
                </c:pt>
              </c:numCache>
            </c:numRef>
          </c:val>
        </c:ser>
        <c:ser>
          <c:idx val="2"/>
          <c:order val="2"/>
          <c:tx>
            <c:strRef>
              <c:f>'fig B.5'!$A$43</c:f>
              <c:strCache>
                <c:ptCount val="1"/>
                <c:pt idx="0">
                  <c:v>Certificate III or IV</c:v>
                </c:pt>
              </c:strCache>
            </c:strRef>
          </c:tx>
          <c:spPr>
            <a:solidFill>
              <a:srgbClr val="000000"/>
            </a:solidFill>
            <a:ln>
              <a:solidFill>
                <a:srgbClr val="000000"/>
              </a:solidFill>
            </a:ln>
          </c:spPr>
          <c:invertIfNegative val="0"/>
          <c:errBars>
            <c:errBarType val="both"/>
            <c:errValType val="cust"/>
            <c:noEndCap val="0"/>
            <c:plus>
              <c:numRef>
                <c:f>'fig B.5'!#REF!</c:f>
                <c:numCache>
                  <c:formatCode>General</c:formatCode>
                  <c:ptCount val="1"/>
                  <c:pt idx="0">
                    <c:v>1</c:v>
                  </c:pt>
                </c:numCache>
              </c:numRef>
            </c:plus>
            <c:minus>
              <c:numRef>
                <c:f>'fig B.5'!#REF!</c:f>
                <c:numCache>
                  <c:formatCode>General</c:formatCode>
                  <c:ptCount val="1"/>
                  <c:pt idx="0">
                    <c:v>1</c:v>
                  </c:pt>
                </c:numCache>
              </c:numRef>
            </c:minus>
            <c:spPr>
              <a:ln>
                <a:solidFill>
                  <a:srgbClr val="BFBFBF"/>
                </a:solidFill>
              </a:ln>
            </c:spPr>
          </c:errBars>
          <c:cat>
            <c:strRef>
              <c:f>'fig B.5'!$B$39:$J$39</c:f>
              <c:strCache>
                <c:ptCount val="9"/>
                <c:pt idx="0">
                  <c:v>NSW</c:v>
                </c:pt>
                <c:pt idx="1">
                  <c:v>Vic</c:v>
                </c:pt>
                <c:pt idx="2">
                  <c:v>Qld</c:v>
                </c:pt>
                <c:pt idx="3">
                  <c:v>WA</c:v>
                </c:pt>
                <c:pt idx="4">
                  <c:v>SA</c:v>
                </c:pt>
                <c:pt idx="5">
                  <c:v>Tas</c:v>
                </c:pt>
                <c:pt idx="6">
                  <c:v>ACT</c:v>
                </c:pt>
                <c:pt idx="7">
                  <c:v>NT</c:v>
                </c:pt>
                <c:pt idx="8">
                  <c:v>Aust</c:v>
                </c:pt>
              </c:strCache>
            </c:strRef>
          </c:cat>
          <c:val>
            <c:numRef>
              <c:f>'fig B.5'!$B$43:$J$43</c:f>
              <c:numCache>
                <c:formatCode>###\ ###\ ##0.0;\-###\ ###\ ##0.0;"–"</c:formatCode>
                <c:ptCount val="9"/>
                <c:pt idx="0">
                  <c:v>6.4591440000000002</c:v>
                </c:pt>
                <c:pt idx="1">
                  <c:v>5.1203398</c:v>
                </c:pt>
                <c:pt idx="2">
                  <c:v>8.0119580999999993</c:v>
                </c:pt>
                <c:pt idx="3">
                  <c:v>4</c:v>
                </c:pt>
                <c:pt idx="4">
                  <c:v>4.2328042000000003</c:v>
                </c:pt>
                <c:pt idx="5">
                  <c:v>11.7460317</c:v>
                </c:pt>
                <c:pt idx="6">
                  <c:v>10.5084746</c:v>
                </c:pt>
                <c:pt idx="7">
                  <c:v>6.0975609999999998</c:v>
                </c:pt>
                <c:pt idx="8">
                  <c:v>6.1184889</c:v>
                </c:pt>
              </c:numCache>
            </c:numRef>
          </c:val>
        </c:ser>
        <c:ser>
          <c:idx val="3"/>
          <c:order val="3"/>
          <c:tx>
            <c:strRef>
              <c:f>'fig B.5'!$A$44</c:f>
              <c:strCache>
                <c:ptCount val="1"/>
                <c:pt idx="0">
                  <c:v>Certificate I or II or n.f.d.</c:v>
                </c:pt>
              </c:strCache>
            </c:strRef>
          </c:tx>
          <c:spPr>
            <a:solidFill>
              <a:srgbClr val="B2D673"/>
            </a:solidFill>
            <a:ln>
              <a:solidFill>
                <a:srgbClr val="B2D673"/>
              </a:solidFill>
            </a:ln>
          </c:spPr>
          <c:invertIfNegative val="0"/>
          <c:errBars>
            <c:errBarType val="both"/>
            <c:errValType val="cust"/>
            <c:noEndCap val="0"/>
            <c:plus>
              <c:numRef>
                <c:f>'fig B.5'!#REF!</c:f>
                <c:numCache>
                  <c:formatCode>General</c:formatCode>
                  <c:ptCount val="1"/>
                  <c:pt idx="0">
                    <c:v>1</c:v>
                  </c:pt>
                </c:numCache>
              </c:numRef>
            </c:plus>
            <c:minus>
              <c:numRef>
                <c:f>'fig B.5'!#REF!</c:f>
                <c:numCache>
                  <c:formatCode>General</c:formatCode>
                  <c:ptCount val="1"/>
                  <c:pt idx="0">
                    <c:v>1</c:v>
                  </c:pt>
                </c:numCache>
              </c:numRef>
            </c:minus>
            <c:spPr>
              <a:ln>
                <a:solidFill>
                  <a:srgbClr val="78A22F"/>
                </a:solidFill>
              </a:ln>
            </c:spPr>
          </c:errBars>
          <c:cat>
            <c:strRef>
              <c:f>'fig B.5'!$B$39:$J$39</c:f>
              <c:strCache>
                <c:ptCount val="9"/>
                <c:pt idx="0">
                  <c:v>NSW</c:v>
                </c:pt>
                <c:pt idx="1">
                  <c:v>Vic</c:v>
                </c:pt>
                <c:pt idx="2">
                  <c:v>Qld</c:v>
                </c:pt>
                <c:pt idx="3">
                  <c:v>WA</c:v>
                </c:pt>
                <c:pt idx="4">
                  <c:v>SA</c:v>
                </c:pt>
                <c:pt idx="5">
                  <c:v>Tas</c:v>
                </c:pt>
                <c:pt idx="6">
                  <c:v>ACT</c:v>
                </c:pt>
                <c:pt idx="7">
                  <c:v>NT</c:v>
                </c:pt>
                <c:pt idx="8">
                  <c:v>Aust</c:v>
                </c:pt>
              </c:strCache>
            </c:strRef>
          </c:cat>
          <c:val>
            <c:numRef>
              <c:f>'fig B.5'!$B$44:$J$44</c:f>
              <c:numCache>
                <c:formatCode>###\ ###\ ##0.0;\-###\ ###\ ##0.0;"–"</c:formatCode>
                <c:ptCount val="9"/>
                <c:pt idx="0">
                  <c:v>1.459144</c:v>
                </c:pt>
                <c:pt idx="1">
                  <c:v>1.6753184999999999</c:v>
                </c:pt>
                <c:pt idx="2">
                  <c:v>0</c:v>
                </c:pt>
                <c:pt idx="3">
                  <c:v>2.5405405000000001</c:v>
                </c:pt>
                <c:pt idx="4">
                  <c:v>3.1746032</c:v>
                </c:pt>
                <c:pt idx="5">
                  <c:v>0</c:v>
                </c:pt>
                <c:pt idx="6">
                  <c:v>0</c:v>
                </c:pt>
                <c:pt idx="7">
                  <c:v>0</c:v>
                </c:pt>
                <c:pt idx="8">
                  <c:v>1.3037414000000001</c:v>
                </c:pt>
              </c:numCache>
            </c:numRef>
          </c:val>
        </c:ser>
        <c:ser>
          <c:idx val="4"/>
          <c:order val="4"/>
          <c:tx>
            <c:strRef>
              <c:f>'fig B.5'!$A$45</c:f>
              <c:strCache>
                <c:ptCount val="1"/>
                <c:pt idx="0">
                  <c:v>School level study</c:v>
                </c:pt>
              </c:strCache>
            </c:strRef>
          </c:tx>
          <c:spPr>
            <a:solidFill>
              <a:srgbClr val="265A9A"/>
            </a:solidFill>
            <a:ln>
              <a:solidFill>
                <a:srgbClr val="265A9A"/>
              </a:solidFill>
            </a:ln>
          </c:spPr>
          <c:invertIfNegative val="0"/>
          <c:errBars>
            <c:errBarType val="both"/>
            <c:errValType val="cust"/>
            <c:noEndCap val="0"/>
            <c:plus>
              <c:numRef>
                <c:f>'fig B.5'!#REF!</c:f>
                <c:numCache>
                  <c:formatCode>General</c:formatCode>
                  <c:ptCount val="1"/>
                  <c:pt idx="0">
                    <c:v>1</c:v>
                  </c:pt>
                </c:numCache>
              </c:numRef>
            </c:plus>
            <c:minus>
              <c:numRef>
                <c:f>'fig B.5'!#REF!</c:f>
                <c:numCache>
                  <c:formatCode>General</c:formatCode>
                  <c:ptCount val="1"/>
                  <c:pt idx="0">
                    <c:v>1</c:v>
                  </c:pt>
                </c:numCache>
              </c:numRef>
            </c:minus>
            <c:spPr>
              <a:ln>
                <a:solidFill>
                  <a:srgbClr val="BFBFBF"/>
                </a:solidFill>
              </a:ln>
            </c:spPr>
          </c:errBars>
          <c:cat>
            <c:strRef>
              <c:f>'fig B.5'!$B$39:$J$39</c:f>
              <c:strCache>
                <c:ptCount val="9"/>
                <c:pt idx="0">
                  <c:v>NSW</c:v>
                </c:pt>
                <c:pt idx="1">
                  <c:v>Vic</c:v>
                </c:pt>
                <c:pt idx="2">
                  <c:v>Qld</c:v>
                </c:pt>
                <c:pt idx="3">
                  <c:v>WA</c:v>
                </c:pt>
                <c:pt idx="4">
                  <c:v>SA</c:v>
                </c:pt>
                <c:pt idx="5">
                  <c:v>Tas</c:v>
                </c:pt>
                <c:pt idx="6">
                  <c:v>ACT</c:v>
                </c:pt>
                <c:pt idx="7">
                  <c:v>NT</c:v>
                </c:pt>
                <c:pt idx="8">
                  <c:v>Aust</c:v>
                </c:pt>
              </c:strCache>
            </c:strRef>
          </c:cat>
          <c:val>
            <c:numRef>
              <c:f>'fig B.5'!$B$45:$J$45</c:f>
              <c:numCache>
                <c:formatCode>###\ ###\ ##0.0;\-###\ ###\ ##0.0;"–"</c:formatCode>
                <c:ptCount val="9"/>
                <c:pt idx="0">
                  <c:v>0.79766539999999997</c:v>
                </c:pt>
                <c:pt idx="1">
                  <c:v>0</c:v>
                </c:pt>
                <c:pt idx="2">
                  <c:v>0</c:v>
                </c:pt>
                <c:pt idx="3">
                  <c:v>0</c:v>
                </c:pt>
                <c:pt idx="4">
                  <c:v>1.9400352999999999</c:v>
                </c:pt>
                <c:pt idx="5">
                  <c:v>0</c:v>
                </c:pt>
                <c:pt idx="6">
                  <c:v>0</c:v>
                </c:pt>
                <c:pt idx="7">
                  <c:v>0</c:v>
                </c:pt>
                <c:pt idx="8">
                  <c:v>0.30319570000000001</c:v>
                </c:pt>
              </c:numCache>
            </c:numRef>
          </c:val>
        </c:ser>
        <c:ser>
          <c:idx val="5"/>
          <c:order val="5"/>
          <c:tx>
            <c:strRef>
              <c:f>'fig B.5'!$A$46</c:f>
              <c:strCache>
                <c:ptCount val="1"/>
                <c:pt idx="0">
                  <c:v>Not enrolled</c:v>
                </c:pt>
              </c:strCache>
            </c:strRef>
          </c:tx>
          <c:spPr>
            <a:solidFill>
              <a:srgbClr val="78A22F"/>
            </a:solidFill>
            <a:ln>
              <a:solidFill>
                <a:srgbClr val="78A22F"/>
              </a:solidFill>
            </a:ln>
          </c:spPr>
          <c:invertIfNegative val="0"/>
          <c:errBars>
            <c:errBarType val="both"/>
            <c:errValType val="cust"/>
            <c:noEndCap val="0"/>
            <c:plus>
              <c:numRef>
                <c:f>'fig B.5'!#REF!</c:f>
                <c:numCache>
                  <c:formatCode>General</c:formatCode>
                  <c:ptCount val="1"/>
                  <c:pt idx="0">
                    <c:v>1</c:v>
                  </c:pt>
                </c:numCache>
              </c:numRef>
            </c:plus>
            <c:minus>
              <c:numRef>
                <c:f>'fig B.5'!#REF!</c:f>
                <c:numCache>
                  <c:formatCode>General</c:formatCode>
                  <c:ptCount val="1"/>
                  <c:pt idx="0">
                    <c:v>1</c:v>
                  </c:pt>
                </c:numCache>
              </c:numRef>
            </c:minus>
            <c:spPr>
              <a:ln>
                <a:solidFill>
                  <a:srgbClr val="BFBFBF"/>
                </a:solidFill>
              </a:ln>
            </c:spPr>
          </c:errBars>
          <c:cat>
            <c:strRef>
              <c:f>'fig B.5'!$B$39:$J$39</c:f>
              <c:strCache>
                <c:ptCount val="9"/>
                <c:pt idx="0">
                  <c:v>NSW</c:v>
                </c:pt>
                <c:pt idx="1">
                  <c:v>Vic</c:v>
                </c:pt>
                <c:pt idx="2">
                  <c:v>Qld</c:v>
                </c:pt>
                <c:pt idx="3">
                  <c:v>WA</c:v>
                </c:pt>
                <c:pt idx="4">
                  <c:v>SA</c:v>
                </c:pt>
                <c:pt idx="5">
                  <c:v>Tas</c:v>
                </c:pt>
                <c:pt idx="6">
                  <c:v>ACT</c:v>
                </c:pt>
                <c:pt idx="7">
                  <c:v>NT</c:v>
                </c:pt>
                <c:pt idx="8">
                  <c:v>Aust</c:v>
                </c:pt>
              </c:strCache>
            </c:strRef>
          </c:cat>
          <c:val>
            <c:numRef>
              <c:f>'fig B.5'!$B$46:$J$46</c:f>
              <c:numCache>
                <c:formatCode>###\ ###\ ##0.0;\-###\ ###\ ##0.0;"–"</c:formatCode>
                <c:ptCount val="9"/>
                <c:pt idx="0">
                  <c:v>54.143968899999997</c:v>
                </c:pt>
                <c:pt idx="1">
                  <c:v>51.604530400000002</c:v>
                </c:pt>
                <c:pt idx="2">
                  <c:v>60.986547100000003</c:v>
                </c:pt>
                <c:pt idx="3">
                  <c:v>62.432432400000003</c:v>
                </c:pt>
                <c:pt idx="4">
                  <c:v>53.791887099999997</c:v>
                </c:pt>
                <c:pt idx="5">
                  <c:v>64.761904799999996</c:v>
                </c:pt>
                <c:pt idx="6">
                  <c:v>57.627118600000003</c:v>
                </c:pt>
                <c:pt idx="7">
                  <c:v>75</c:v>
                </c:pt>
                <c:pt idx="8">
                  <c:v>56.473227799999997</c:v>
                </c:pt>
              </c:numCache>
            </c:numRef>
          </c:val>
        </c:ser>
        <c:dLbls>
          <c:showLegendKey val="0"/>
          <c:showVal val="0"/>
          <c:showCatName val="0"/>
          <c:showSerName val="0"/>
          <c:showPercent val="0"/>
          <c:showBubbleSize val="0"/>
        </c:dLbls>
        <c:gapWidth val="150"/>
        <c:axId val="140042240"/>
        <c:axId val="140043776"/>
      </c:barChart>
      <c:catAx>
        <c:axId val="140042240"/>
        <c:scaling>
          <c:orientation val="minMax"/>
        </c:scaling>
        <c:delete val="0"/>
        <c:axPos val="b"/>
        <c:numFmt formatCode="General" sourceLinked="1"/>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40043776"/>
        <c:crosses val="autoZero"/>
        <c:auto val="1"/>
        <c:lblAlgn val="ctr"/>
        <c:lblOffset val="100"/>
        <c:noMultiLvlLbl val="0"/>
      </c:catAx>
      <c:valAx>
        <c:axId val="140043776"/>
        <c:scaling>
          <c:orientation val="minMax"/>
          <c:max val="100"/>
          <c:min val="0"/>
        </c:scaling>
        <c:delete val="0"/>
        <c:axPos val="l"/>
        <c:majorGridlines>
          <c:spPr>
            <a:ln>
              <a:noFill/>
            </a:ln>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40042240"/>
        <c:crosses val="autoZero"/>
        <c:crossBetween val="between"/>
        <c:majorUnit val="20"/>
      </c:valAx>
      <c:spPr>
        <a:noFill/>
        <a:ln>
          <a:noFill/>
        </a:ln>
      </c:spPr>
    </c:plotArea>
    <c:legend>
      <c:legendPos val="b"/>
      <c:layout>
        <c:manualLayout>
          <c:xMode val="edge"/>
          <c:yMode val="edge"/>
          <c:x val="8.4897962962962953E-2"/>
          <c:y val="0.84957283950617279"/>
          <c:w val="0.86548185185185189"/>
          <c:h val="0.12606882716049381"/>
        </c:manualLayout>
      </c:layout>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30034920363903"/>
          <c:y val="5.174074074074074E-2"/>
          <c:w val="0.85982928521679902"/>
          <c:h val="0.75573888888888885"/>
        </c:manualLayout>
      </c:layout>
      <c:barChart>
        <c:barDir val="col"/>
        <c:grouping val="clustered"/>
        <c:varyColors val="0"/>
        <c:ser>
          <c:idx val="0"/>
          <c:order val="0"/>
          <c:tx>
            <c:strRef>
              <c:f>'fig B.6'!$A$3</c:f>
              <c:strCache>
                <c:ptCount val="1"/>
                <c:pt idx="0">
                  <c:v>15–19</c:v>
                </c:pt>
              </c:strCache>
            </c:strRef>
          </c:tx>
          <c:spPr>
            <a:solidFill>
              <a:srgbClr val="387DD2"/>
            </a:solidFill>
            <a:ln>
              <a:solidFill>
                <a:srgbClr val="387DD2"/>
              </a:solidFill>
            </a:ln>
          </c:spPr>
          <c:invertIfNegative val="0"/>
          <c:errBars>
            <c:errBarType val="both"/>
            <c:errValType val="cust"/>
            <c:noEndCap val="0"/>
            <c:plus>
              <c:numRef>
                <c:f>'fig B.6'!$B$10:$J$10</c:f>
                <c:numCache>
                  <c:formatCode>General</c:formatCode>
                  <c:ptCount val="9"/>
                  <c:pt idx="0">
                    <c:v>1.5769028</c:v>
                  </c:pt>
                  <c:pt idx="1">
                    <c:v>1.2185395000000001</c:v>
                  </c:pt>
                  <c:pt idx="2">
                    <c:v>1.9207244999999999</c:v>
                  </c:pt>
                  <c:pt idx="3">
                    <c:v>3.9634809999999998</c:v>
                  </c:pt>
                  <c:pt idx="4">
                    <c:v>3.2303399000000002</c:v>
                  </c:pt>
                  <c:pt idx="5">
                    <c:v>4.4316956000000003</c:v>
                  </c:pt>
                  <c:pt idx="6">
                    <c:v>5.7765788000000002</c:v>
                  </c:pt>
                  <c:pt idx="7">
                    <c:v>7.4595587999999999</c:v>
                  </c:pt>
                  <c:pt idx="8">
                    <c:v>0.28142590000000001</c:v>
                  </c:pt>
                </c:numCache>
              </c:numRef>
            </c:plus>
            <c:minus>
              <c:numRef>
                <c:f>'fig B.6'!$B$10:$J$10</c:f>
                <c:numCache>
                  <c:formatCode>General</c:formatCode>
                  <c:ptCount val="9"/>
                  <c:pt idx="0">
                    <c:v>1.5769028</c:v>
                  </c:pt>
                  <c:pt idx="1">
                    <c:v>1.2185395000000001</c:v>
                  </c:pt>
                  <c:pt idx="2">
                    <c:v>1.9207244999999999</c:v>
                  </c:pt>
                  <c:pt idx="3">
                    <c:v>3.9634809999999998</c:v>
                  </c:pt>
                  <c:pt idx="4">
                    <c:v>3.2303399000000002</c:v>
                  </c:pt>
                  <c:pt idx="5">
                    <c:v>4.4316956000000003</c:v>
                  </c:pt>
                  <c:pt idx="6">
                    <c:v>5.7765788000000002</c:v>
                  </c:pt>
                  <c:pt idx="7">
                    <c:v>7.4595587999999999</c:v>
                  </c:pt>
                  <c:pt idx="8">
                    <c:v>0.28142590000000001</c:v>
                  </c:pt>
                </c:numCache>
              </c:numRef>
            </c:minus>
            <c:spPr>
              <a:ln>
                <a:solidFill>
                  <a:srgbClr val="BFBFBF"/>
                </a:solidFill>
              </a:ln>
            </c:spPr>
          </c:errBars>
          <c:cat>
            <c:strRef>
              <c:f>'fig B.6'!$B$2:$J$2</c:f>
              <c:strCache>
                <c:ptCount val="9"/>
                <c:pt idx="0">
                  <c:v>NSW</c:v>
                </c:pt>
                <c:pt idx="1">
                  <c:v>Vic</c:v>
                </c:pt>
                <c:pt idx="2">
                  <c:v>Qld</c:v>
                </c:pt>
                <c:pt idx="3">
                  <c:v>WA</c:v>
                </c:pt>
                <c:pt idx="4">
                  <c:v>SA</c:v>
                </c:pt>
                <c:pt idx="5">
                  <c:v>Tas</c:v>
                </c:pt>
                <c:pt idx="6">
                  <c:v>ACT</c:v>
                </c:pt>
                <c:pt idx="7">
                  <c:v>NT</c:v>
                </c:pt>
                <c:pt idx="8">
                  <c:v>Aust</c:v>
                </c:pt>
              </c:strCache>
            </c:strRef>
          </c:cat>
          <c:val>
            <c:numRef>
              <c:f>'fig B.6'!$B$3:$J$3</c:f>
              <c:numCache>
                <c:formatCode>#\ ###\ ##0.0;\-#\ ###\ ##0.0;"–"</c:formatCode>
                <c:ptCount val="9"/>
                <c:pt idx="0">
                  <c:v>88.230184600000001</c:v>
                </c:pt>
                <c:pt idx="1">
                  <c:v>89.148816199999999</c:v>
                </c:pt>
                <c:pt idx="2">
                  <c:v>81.425272199999995</c:v>
                </c:pt>
                <c:pt idx="3">
                  <c:v>88.630806800000002</c:v>
                </c:pt>
                <c:pt idx="4">
                  <c:v>87.893231599999993</c:v>
                </c:pt>
                <c:pt idx="5">
                  <c:v>87.610619499999999</c:v>
                </c:pt>
                <c:pt idx="6">
                  <c:v>93.832599099999996</c:v>
                </c:pt>
                <c:pt idx="7">
                  <c:v>81.699346399999996</c:v>
                </c:pt>
                <c:pt idx="8">
                  <c:v>87.437358399999994</c:v>
                </c:pt>
              </c:numCache>
            </c:numRef>
          </c:val>
        </c:ser>
        <c:ser>
          <c:idx val="1"/>
          <c:order val="1"/>
          <c:tx>
            <c:strRef>
              <c:f>'fig B.6'!$A$4</c:f>
              <c:strCache>
                <c:ptCount val="1"/>
                <c:pt idx="0">
                  <c:v>20–24</c:v>
                </c:pt>
              </c:strCache>
            </c:strRef>
          </c:tx>
          <c:spPr>
            <a:solidFill>
              <a:srgbClr val="000000"/>
            </a:solidFill>
            <a:ln>
              <a:solidFill>
                <a:srgbClr val="000000"/>
              </a:solidFill>
            </a:ln>
          </c:spPr>
          <c:invertIfNegative val="0"/>
          <c:errBars>
            <c:errBarType val="both"/>
            <c:errValType val="cust"/>
            <c:noEndCap val="0"/>
            <c:plus>
              <c:numRef>
                <c:f>'fig B.6'!$B$11:$J$11</c:f>
                <c:numCache>
                  <c:formatCode>General</c:formatCode>
                  <c:ptCount val="9"/>
                  <c:pt idx="0">
                    <c:v>3.6574024999999999</c:v>
                  </c:pt>
                  <c:pt idx="1">
                    <c:v>3.3803006999999998</c:v>
                  </c:pt>
                  <c:pt idx="2">
                    <c:v>3.9776484000000001</c:v>
                  </c:pt>
                  <c:pt idx="3">
                    <c:v>5.1439266999999997</c:v>
                  </c:pt>
                  <c:pt idx="4">
                    <c:v>5.8378763999999999</c:v>
                  </c:pt>
                  <c:pt idx="5">
                    <c:v>11.216344400000001</c:v>
                  </c:pt>
                  <c:pt idx="6">
                    <c:v>8.5039376000000004</c:v>
                  </c:pt>
                  <c:pt idx="7">
                    <c:v>10.73658</c:v>
                  </c:pt>
                  <c:pt idx="8">
                    <c:v>1.6973539</c:v>
                  </c:pt>
                </c:numCache>
              </c:numRef>
            </c:plus>
            <c:minus>
              <c:numRef>
                <c:f>'fig B.6'!$B$11:$J$11</c:f>
                <c:numCache>
                  <c:formatCode>General</c:formatCode>
                  <c:ptCount val="9"/>
                  <c:pt idx="0">
                    <c:v>3.6574024999999999</c:v>
                  </c:pt>
                  <c:pt idx="1">
                    <c:v>3.3803006999999998</c:v>
                  </c:pt>
                  <c:pt idx="2">
                    <c:v>3.9776484000000001</c:v>
                  </c:pt>
                  <c:pt idx="3">
                    <c:v>5.1439266999999997</c:v>
                  </c:pt>
                  <c:pt idx="4">
                    <c:v>5.8378763999999999</c:v>
                  </c:pt>
                  <c:pt idx="5">
                    <c:v>11.216344400000001</c:v>
                  </c:pt>
                  <c:pt idx="6">
                    <c:v>8.5039376000000004</c:v>
                  </c:pt>
                  <c:pt idx="7">
                    <c:v>10.73658</c:v>
                  </c:pt>
                  <c:pt idx="8">
                    <c:v>1.6973539</c:v>
                  </c:pt>
                </c:numCache>
              </c:numRef>
            </c:minus>
            <c:spPr>
              <a:ln>
                <a:solidFill>
                  <a:srgbClr val="BFBFBF"/>
                </a:solidFill>
              </a:ln>
            </c:spPr>
          </c:errBars>
          <c:cat>
            <c:strRef>
              <c:f>'fig B.6'!$B$2:$J$2</c:f>
              <c:strCache>
                <c:ptCount val="9"/>
                <c:pt idx="0">
                  <c:v>NSW</c:v>
                </c:pt>
                <c:pt idx="1">
                  <c:v>Vic</c:v>
                </c:pt>
                <c:pt idx="2">
                  <c:v>Qld</c:v>
                </c:pt>
                <c:pt idx="3">
                  <c:v>WA</c:v>
                </c:pt>
                <c:pt idx="4">
                  <c:v>SA</c:v>
                </c:pt>
                <c:pt idx="5">
                  <c:v>Tas</c:v>
                </c:pt>
                <c:pt idx="6">
                  <c:v>ACT</c:v>
                </c:pt>
                <c:pt idx="7">
                  <c:v>NT</c:v>
                </c:pt>
                <c:pt idx="8">
                  <c:v>Aust</c:v>
                </c:pt>
              </c:strCache>
            </c:strRef>
          </c:cat>
          <c:val>
            <c:numRef>
              <c:f>'fig B.6'!$B$4:$J$4</c:f>
              <c:numCache>
                <c:formatCode>#\ ###\ ##0.0;\-#\ ###\ ##0.0;"–"</c:formatCode>
                <c:ptCount val="9"/>
                <c:pt idx="0">
                  <c:v>72.7821012</c:v>
                </c:pt>
                <c:pt idx="1">
                  <c:v>74.870221799999996</c:v>
                </c:pt>
                <c:pt idx="2">
                  <c:v>73.064274999999995</c:v>
                </c:pt>
                <c:pt idx="3">
                  <c:v>77.351351399999999</c:v>
                </c:pt>
                <c:pt idx="4">
                  <c:v>69.576719600000004</c:v>
                </c:pt>
                <c:pt idx="5">
                  <c:v>58.730158699999997</c:v>
                </c:pt>
                <c:pt idx="6">
                  <c:v>82.711864399999996</c:v>
                </c:pt>
                <c:pt idx="7">
                  <c:v>77.439024399999994</c:v>
                </c:pt>
                <c:pt idx="8">
                  <c:v>73.549208699999994</c:v>
                </c:pt>
              </c:numCache>
            </c:numRef>
          </c:val>
        </c:ser>
        <c:ser>
          <c:idx val="2"/>
          <c:order val="2"/>
          <c:tx>
            <c:strRef>
              <c:f>'fig B.6'!$A$5</c:f>
              <c:strCache>
                <c:ptCount val="1"/>
                <c:pt idx="0">
                  <c:v>15–24</c:v>
                </c:pt>
              </c:strCache>
            </c:strRef>
          </c:tx>
          <c:spPr>
            <a:solidFill>
              <a:srgbClr val="B2D673"/>
            </a:solidFill>
            <a:ln>
              <a:solidFill>
                <a:srgbClr val="B2D673"/>
              </a:solidFill>
            </a:ln>
          </c:spPr>
          <c:invertIfNegative val="0"/>
          <c:errBars>
            <c:errBarType val="both"/>
            <c:errValType val="cust"/>
            <c:noEndCap val="0"/>
            <c:plus>
              <c:numRef>
                <c:f>'fig B.6'!$B$12:$J$12</c:f>
                <c:numCache>
                  <c:formatCode>General</c:formatCode>
                  <c:ptCount val="9"/>
                  <c:pt idx="0">
                    <c:v>1.7438331</c:v>
                  </c:pt>
                  <c:pt idx="1">
                    <c:v>2.2144550999999999</c:v>
                  </c:pt>
                  <c:pt idx="2">
                    <c:v>2.5195916</c:v>
                  </c:pt>
                  <c:pt idx="3">
                    <c:v>3.2576678999999999</c:v>
                  </c:pt>
                  <c:pt idx="4">
                    <c:v>3.0106112</c:v>
                  </c:pt>
                  <c:pt idx="5">
                    <c:v>5.7240615999999997</c:v>
                  </c:pt>
                  <c:pt idx="6">
                    <c:v>4.6237884999999999</c:v>
                  </c:pt>
                  <c:pt idx="7">
                    <c:v>5.6598240000000004</c:v>
                  </c:pt>
                  <c:pt idx="8">
                    <c:v>0.94476190000000004</c:v>
                  </c:pt>
                </c:numCache>
              </c:numRef>
            </c:plus>
            <c:minus>
              <c:numRef>
                <c:f>'fig B.6'!$B$12:$J$12</c:f>
                <c:numCache>
                  <c:formatCode>General</c:formatCode>
                  <c:ptCount val="9"/>
                  <c:pt idx="0">
                    <c:v>1.7438331</c:v>
                  </c:pt>
                  <c:pt idx="1">
                    <c:v>2.2144550999999999</c:v>
                  </c:pt>
                  <c:pt idx="2">
                    <c:v>2.5195916</c:v>
                  </c:pt>
                  <c:pt idx="3">
                    <c:v>3.2576678999999999</c:v>
                  </c:pt>
                  <c:pt idx="4">
                    <c:v>3.0106112</c:v>
                  </c:pt>
                  <c:pt idx="5">
                    <c:v>5.7240615999999997</c:v>
                  </c:pt>
                  <c:pt idx="6">
                    <c:v>4.6237884999999999</c:v>
                  </c:pt>
                  <c:pt idx="7">
                    <c:v>5.6598240000000004</c:v>
                  </c:pt>
                  <c:pt idx="8">
                    <c:v>0.94476190000000004</c:v>
                  </c:pt>
                </c:numCache>
              </c:numRef>
            </c:minus>
            <c:spPr>
              <a:ln>
                <a:solidFill>
                  <a:srgbClr val="78A22F"/>
                </a:solidFill>
              </a:ln>
            </c:spPr>
          </c:errBars>
          <c:cat>
            <c:strRef>
              <c:f>'fig B.6'!$B$2:$J$2</c:f>
              <c:strCache>
                <c:ptCount val="9"/>
                <c:pt idx="0">
                  <c:v>NSW</c:v>
                </c:pt>
                <c:pt idx="1">
                  <c:v>Vic</c:v>
                </c:pt>
                <c:pt idx="2">
                  <c:v>Qld</c:v>
                </c:pt>
                <c:pt idx="3">
                  <c:v>WA</c:v>
                </c:pt>
                <c:pt idx="4">
                  <c:v>SA</c:v>
                </c:pt>
                <c:pt idx="5">
                  <c:v>Tas</c:v>
                </c:pt>
                <c:pt idx="6">
                  <c:v>ACT</c:v>
                </c:pt>
                <c:pt idx="7">
                  <c:v>NT</c:v>
                </c:pt>
                <c:pt idx="8">
                  <c:v>Aust</c:v>
                </c:pt>
              </c:strCache>
            </c:strRef>
          </c:cat>
          <c:val>
            <c:numRef>
              <c:f>'fig B.6'!$B$5:$J$5</c:f>
              <c:numCache>
                <c:formatCode>#\ ###\ ##0.0;\-#\ ###\ ##0.0;"–"</c:formatCode>
                <c:ptCount val="9"/>
                <c:pt idx="0">
                  <c:v>80.270713700000002</c:v>
                </c:pt>
                <c:pt idx="1">
                  <c:v>81.635284999999996</c:v>
                </c:pt>
                <c:pt idx="2">
                  <c:v>77.099356499999999</c:v>
                </c:pt>
                <c:pt idx="3">
                  <c:v>82.712155999999993</c:v>
                </c:pt>
                <c:pt idx="4">
                  <c:v>78.920896200000001</c:v>
                </c:pt>
                <c:pt idx="5">
                  <c:v>74.884437599999998</c:v>
                </c:pt>
                <c:pt idx="6">
                  <c:v>85.305343500000006</c:v>
                </c:pt>
                <c:pt idx="7">
                  <c:v>80</c:v>
                </c:pt>
                <c:pt idx="8">
                  <c:v>80.125684800000002</c:v>
                </c:pt>
              </c:numCache>
            </c:numRef>
          </c:val>
        </c:ser>
        <c:ser>
          <c:idx val="3"/>
          <c:order val="3"/>
          <c:tx>
            <c:strRef>
              <c:f>'fig B.6'!$A$6</c:f>
              <c:strCache>
                <c:ptCount val="1"/>
                <c:pt idx="0">
                  <c:v>17­24</c:v>
                </c:pt>
              </c:strCache>
            </c:strRef>
          </c:tx>
          <c:spPr>
            <a:solidFill>
              <a:srgbClr val="265A9A"/>
            </a:solidFill>
            <a:ln>
              <a:solidFill>
                <a:srgbClr val="265A9A"/>
              </a:solidFill>
            </a:ln>
          </c:spPr>
          <c:invertIfNegative val="0"/>
          <c:errBars>
            <c:errBarType val="both"/>
            <c:errValType val="cust"/>
            <c:noEndCap val="0"/>
            <c:plus>
              <c:numRef>
                <c:f>'fig B.6'!$B$13:$J$13</c:f>
                <c:numCache>
                  <c:formatCode>General</c:formatCode>
                  <c:ptCount val="9"/>
                  <c:pt idx="0">
                    <c:v>2.2756164000000001</c:v>
                  </c:pt>
                  <c:pt idx="1">
                    <c:v>2.3311264</c:v>
                  </c:pt>
                  <c:pt idx="2">
                    <c:v>2.1535137999999998</c:v>
                  </c:pt>
                  <c:pt idx="3">
                    <c:v>2.3879638999999999</c:v>
                  </c:pt>
                  <c:pt idx="4">
                    <c:v>2.2119026000000002</c:v>
                  </c:pt>
                  <c:pt idx="5">
                    <c:v>2.0355604999999999</c:v>
                  </c:pt>
                  <c:pt idx="6">
                    <c:v>2.4559579</c:v>
                  </c:pt>
                  <c:pt idx="7">
                    <c:v>2.3212864</c:v>
                  </c:pt>
                  <c:pt idx="8">
                    <c:v>2.2669324999999998</c:v>
                  </c:pt>
                </c:numCache>
              </c:numRef>
            </c:plus>
            <c:minus>
              <c:numRef>
                <c:f>'fig B.6'!$B$13:$J$13</c:f>
                <c:numCache>
                  <c:formatCode>General</c:formatCode>
                  <c:ptCount val="9"/>
                  <c:pt idx="0">
                    <c:v>2.2756164000000001</c:v>
                  </c:pt>
                  <c:pt idx="1">
                    <c:v>2.3311264</c:v>
                  </c:pt>
                  <c:pt idx="2">
                    <c:v>2.1535137999999998</c:v>
                  </c:pt>
                  <c:pt idx="3">
                    <c:v>2.3879638999999999</c:v>
                  </c:pt>
                  <c:pt idx="4">
                    <c:v>2.2119026000000002</c:v>
                  </c:pt>
                  <c:pt idx="5">
                    <c:v>2.0355604999999999</c:v>
                  </c:pt>
                  <c:pt idx="6">
                    <c:v>2.4559579</c:v>
                  </c:pt>
                  <c:pt idx="7">
                    <c:v>2.3212864</c:v>
                  </c:pt>
                  <c:pt idx="8">
                    <c:v>2.2669324999999998</c:v>
                  </c:pt>
                </c:numCache>
              </c:numRef>
            </c:minus>
            <c:spPr>
              <a:ln>
                <a:solidFill>
                  <a:srgbClr val="BFBFBF"/>
                </a:solidFill>
              </a:ln>
            </c:spPr>
          </c:errBars>
          <c:cat>
            <c:strRef>
              <c:f>'fig B.6'!$B$2:$J$2</c:f>
              <c:strCache>
                <c:ptCount val="9"/>
                <c:pt idx="0">
                  <c:v>NSW</c:v>
                </c:pt>
                <c:pt idx="1">
                  <c:v>Vic</c:v>
                </c:pt>
                <c:pt idx="2">
                  <c:v>Qld</c:v>
                </c:pt>
                <c:pt idx="3">
                  <c:v>WA</c:v>
                </c:pt>
                <c:pt idx="4">
                  <c:v>SA</c:v>
                </c:pt>
                <c:pt idx="5">
                  <c:v>Tas</c:v>
                </c:pt>
                <c:pt idx="6">
                  <c:v>ACT</c:v>
                </c:pt>
                <c:pt idx="7">
                  <c:v>NT</c:v>
                </c:pt>
                <c:pt idx="8">
                  <c:v>Aust</c:v>
                </c:pt>
              </c:strCache>
            </c:strRef>
          </c:cat>
          <c:val>
            <c:numRef>
              <c:f>'fig B.6'!$B$6:$J$6</c:f>
              <c:numCache>
                <c:formatCode>#\ ###\ ##0.0;\-#\ ###\ ##0.0;"–"</c:formatCode>
                <c:ptCount val="9"/>
                <c:pt idx="0">
                  <c:v>76.330690799999999</c:v>
                </c:pt>
                <c:pt idx="1">
                  <c:v>78.192657699999998</c:v>
                </c:pt>
                <c:pt idx="2">
                  <c:v>72.235022999999998</c:v>
                </c:pt>
                <c:pt idx="3">
                  <c:v>80.099150100000003</c:v>
                </c:pt>
                <c:pt idx="4">
                  <c:v>74.193548399999997</c:v>
                </c:pt>
                <c:pt idx="5">
                  <c:v>68.278530000000003</c:v>
                </c:pt>
                <c:pt idx="6">
                  <c:v>82.379862700000004</c:v>
                </c:pt>
                <c:pt idx="7">
                  <c:v>77.862595400000004</c:v>
                </c:pt>
                <c:pt idx="8">
                  <c:v>76.039408899999998</c:v>
                </c:pt>
              </c:numCache>
            </c:numRef>
          </c:val>
        </c:ser>
        <c:ser>
          <c:idx val="4"/>
          <c:order val="4"/>
          <c:tx>
            <c:strRef>
              <c:f>'fig B.6'!$A$7</c:f>
              <c:strCache>
                <c:ptCount val="1"/>
                <c:pt idx="0">
                  <c:v>15–64</c:v>
                </c:pt>
              </c:strCache>
            </c:strRef>
          </c:tx>
          <c:spPr>
            <a:solidFill>
              <a:srgbClr val="78A22F"/>
            </a:solidFill>
            <a:ln>
              <a:solidFill>
                <a:srgbClr val="78A22F"/>
              </a:solidFill>
            </a:ln>
          </c:spPr>
          <c:invertIfNegative val="0"/>
          <c:errBars>
            <c:errBarType val="both"/>
            <c:errValType val="cust"/>
            <c:noEndCap val="0"/>
            <c:plus>
              <c:numRef>
                <c:f>'fig B.6'!$B$14:$J$14</c:f>
                <c:numCache>
                  <c:formatCode>General</c:formatCode>
                  <c:ptCount val="9"/>
                  <c:pt idx="0">
                    <c:v>1.0547222999999999</c:v>
                  </c:pt>
                  <c:pt idx="1">
                    <c:v>1.0628298</c:v>
                  </c:pt>
                  <c:pt idx="2">
                    <c:v>1.2468026000000001</c:v>
                  </c:pt>
                  <c:pt idx="3">
                    <c:v>1.4363482000000001</c:v>
                  </c:pt>
                  <c:pt idx="4">
                    <c:v>2.0542682000000001</c:v>
                  </c:pt>
                  <c:pt idx="5">
                    <c:v>1.9915765999999999</c:v>
                  </c:pt>
                  <c:pt idx="6">
                    <c:v>2.0176471</c:v>
                  </c:pt>
                  <c:pt idx="7">
                    <c:v>1.8027820999999999</c:v>
                  </c:pt>
                  <c:pt idx="8">
                    <c:v>0.52468029999999999</c:v>
                  </c:pt>
                </c:numCache>
              </c:numRef>
            </c:plus>
            <c:minus>
              <c:numRef>
                <c:f>'fig B.6'!$B$14:$J$14</c:f>
                <c:numCache>
                  <c:formatCode>General</c:formatCode>
                  <c:ptCount val="9"/>
                  <c:pt idx="0">
                    <c:v>1.0547222999999999</c:v>
                  </c:pt>
                  <c:pt idx="1">
                    <c:v>1.0628298</c:v>
                  </c:pt>
                  <c:pt idx="2">
                    <c:v>1.2468026000000001</c:v>
                  </c:pt>
                  <c:pt idx="3">
                    <c:v>1.4363482000000001</c:v>
                  </c:pt>
                  <c:pt idx="4">
                    <c:v>2.0542682000000001</c:v>
                  </c:pt>
                  <c:pt idx="5">
                    <c:v>1.9915765999999999</c:v>
                  </c:pt>
                  <c:pt idx="6">
                    <c:v>2.0176471</c:v>
                  </c:pt>
                  <c:pt idx="7">
                    <c:v>1.8027820999999999</c:v>
                  </c:pt>
                  <c:pt idx="8">
                    <c:v>0.52468029999999999</c:v>
                  </c:pt>
                </c:numCache>
              </c:numRef>
            </c:minus>
            <c:spPr>
              <a:ln>
                <a:solidFill>
                  <a:srgbClr val="BFBFBF"/>
                </a:solidFill>
              </a:ln>
            </c:spPr>
          </c:errBars>
          <c:cat>
            <c:strRef>
              <c:f>'fig B.6'!$B$2:$J$2</c:f>
              <c:strCache>
                <c:ptCount val="9"/>
                <c:pt idx="0">
                  <c:v>NSW</c:v>
                </c:pt>
                <c:pt idx="1">
                  <c:v>Vic</c:v>
                </c:pt>
                <c:pt idx="2">
                  <c:v>Qld</c:v>
                </c:pt>
                <c:pt idx="3">
                  <c:v>WA</c:v>
                </c:pt>
                <c:pt idx="4">
                  <c:v>SA</c:v>
                </c:pt>
                <c:pt idx="5">
                  <c:v>Tas</c:v>
                </c:pt>
                <c:pt idx="6">
                  <c:v>ACT</c:v>
                </c:pt>
                <c:pt idx="7">
                  <c:v>NT</c:v>
                </c:pt>
                <c:pt idx="8">
                  <c:v>Aust</c:v>
                </c:pt>
              </c:strCache>
            </c:strRef>
          </c:cat>
          <c:val>
            <c:numRef>
              <c:f>'fig B.6'!$B$7:$J$7</c:f>
              <c:numCache>
                <c:formatCode>#\ ###\ ##0.0;\-#\ ###\ ##0.0;"–"</c:formatCode>
                <c:ptCount val="9"/>
                <c:pt idx="0">
                  <c:v>64.205848000000003</c:v>
                </c:pt>
                <c:pt idx="1">
                  <c:v>63.9526933</c:v>
                </c:pt>
                <c:pt idx="2">
                  <c:v>64.401625999999993</c:v>
                </c:pt>
                <c:pt idx="3">
                  <c:v>66.197262100000003</c:v>
                </c:pt>
                <c:pt idx="4">
                  <c:v>61.115653700000003</c:v>
                </c:pt>
                <c:pt idx="5">
                  <c:v>58.598531199999996</c:v>
                </c:pt>
                <c:pt idx="6">
                  <c:v>73.654497599999999</c:v>
                </c:pt>
                <c:pt idx="7">
                  <c:v>74.824729099999999</c:v>
                </c:pt>
                <c:pt idx="8">
                  <c:v>64.347942500000002</c:v>
                </c:pt>
              </c:numCache>
            </c:numRef>
          </c:val>
        </c:ser>
        <c:dLbls>
          <c:showLegendKey val="0"/>
          <c:showVal val="0"/>
          <c:showCatName val="0"/>
          <c:showSerName val="0"/>
          <c:showPercent val="0"/>
          <c:showBubbleSize val="0"/>
        </c:dLbls>
        <c:gapWidth val="150"/>
        <c:axId val="360422784"/>
        <c:axId val="360424576"/>
      </c:barChart>
      <c:catAx>
        <c:axId val="360422784"/>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60424576"/>
        <c:crosses val="autoZero"/>
        <c:auto val="1"/>
        <c:lblAlgn val="ctr"/>
        <c:lblOffset val="100"/>
        <c:noMultiLvlLbl val="0"/>
      </c:catAx>
      <c:valAx>
        <c:axId val="360424576"/>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US"/>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60422784"/>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1"/>
          <c:order val="0"/>
          <c:tx>
            <c:strRef>
              <c:f>'fig B.7'!$B$4</c:f>
              <c:strCache>
                <c:ptCount val="1"/>
                <c:pt idx="0">
                  <c:v>2011 to 2014</c:v>
                </c:pt>
              </c:strCache>
            </c:strRef>
          </c:tx>
          <c:spPr>
            <a:solidFill>
              <a:srgbClr val="78A22F"/>
            </a:solidFill>
            <a:ln>
              <a:solidFill>
                <a:srgbClr val="78A22F"/>
              </a:solidFill>
            </a:ln>
          </c:spPr>
          <c:invertIfNegative val="0"/>
          <c:errBars>
            <c:errBarType val="both"/>
            <c:errValType val="cust"/>
            <c:noEndCap val="0"/>
            <c:plus>
              <c:numRef>
                <c:f>'fig B.7'!$C$5:$K$5</c:f>
                <c:numCache>
                  <c:formatCode>General</c:formatCode>
                  <c:ptCount val="9"/>
                  <c:pt idx="0">
                    <c:v>2.5</c:v>
                  </c:pt>
                  <c:pt idx="1">
                    <c:v>2.8</c:v>
                  </c:pt>
                  <c:pt idx="2">
                    <c:v>3</c:v>
                  </c:pt>
                  <c:pt idx="3">
                    <c:v>2.9</c:v>
                  </c:pt>
                  <c:pt idx="4">
                    <c:v>3.5</c:v>
                  </c:pt>
                  <c:pt idx="5">
                    <c:v>5.5</c:v>
                  </c:pt>
                  <c:pt idx="6">
                    <c:v>6.3</c:v>
                  </c:pt>
                  <c:pt idx="7">
                    <c:v>9.1999999999999993</c:v>
                  </c:pt>
                  <c:pt idx="8">
                    <c:v>1.4</c:v>
                  </c:pt>
                </c:numCache>
              </c:numRef>
            </c:plus>
            <c:minus>
              <c:numRef>
                <c:f>'fig B.7'!$C$5:$K$5</c:f>
                <c:numCache>
                  <c:formatCode>General</c:formatCode>
                  <c:ptCount val="9"/>
                  <c:pt idx="0">
                    <c:v>2.5</c:v>
                  </c:pt>
                  <c:pt idx="1">
                    <c:v>2.8</c:v>
                  </c:pt>
                  <c:pt idx="2">
                    <c:v>3</c:v>
                  </c:pt>
                  <c:pt idx="3">
                    <c:v>2.9</c:v>
                  </c:pt>
                  <c:pt idx="4">
                    <c:v>3.5</c:v>
                  </c:pt>
                  <c:pt idx="5">
                    <c:v>5.5</c:v>
                  </c:pt>
                  <c:pt idx="6">
                    <c:v>6.3</c:v>
                  </c:pt>
                  <c:pt idx="7">
                    <c:v>9.1999999999999993</c:v>
                  </c:pt>
                  <c:pt idx="8">
                    <c:v>1.4</c:v>
                  </c:pt>
                </c:numCache>
              </c:numRef>
            </c:minus>
            <c:spPr>
              <a:ln>
                <a:solidFill>
                  <a:srgbClr val="BFBFBF"/>
                </a:solidFill>
              </a:ln>
            </c:spPr>
          </c:errBars>
          <c:cat>
            <c:strRef>
              <c:f>'fig B.7'!$C$2:$K$2</c:f>
              <c:strCache>
                <c:ptCount val="9"/>
                <c:pt idx="0">
                  <c:v>NSW</c:v>
                </c:pt>
                <c:pt idx="1">
                  <c:v>Vic</c:v>
                </c:pt>
                <c:pt idx="2">
                  <c:v>Qld</c:v>
                </c:pt>
                <c:pt idx="3">
                  <c:v>WA</c:v>
                </c:pt>
                <c:pt idx="4">
                  <c:v>SA</c:v>
                </c:pt>
                <c:pt idx="5">
                  <c:v>Tas</c:v>
                </c:pt>
                <c:pt idx="6">
                  <c:v>ACT</c:v>
                </c:pt>
                <c:pt idx="7">
                  <c:v>NT</c:v>
                </c:pt>
                <c:pt idx="8">
                  <c:v>Aust</c:v>
                </c:pt>
              </c:strCache>
            </c:strRef>
          </c:cat>
          <c:val>
            <c:numRef>
              <c:f>'fig B.7'!$C$4:$K$4</c:f>
              <c:numCache>
                <c:formatCode>###\ ###\ ##0.0;\-###\ ###\ ##0.0;"–"</c:formatCode>
                <c:ptCount val="9"/>
                <c:pt idx="0">
                  <c:v>74.599999999999994</c:v>
                </c:pt>
                <c:pt idx="1">
                  <c:v>77.099999999999994</c:v>
                </c:pt>
                <c:pt idx="2">
                  <c:v>72</c:v>
                </c:pt>
                <c:pt idx="3">
                  <c:v>77.900000000000006</c:v>
                </c:pt>
                <c:pt idx="4">
                  <c:v>74</c:v>
                </c:pt>
                <c:pt idx="5">
                  <c:v>75.599999999999994</c:v>
                </c:pt>
                <c:pt idx="6">
                  <c:v>82.3</c:v>
                </c:pt>
                <c:pt idx="7">
                  <c:v>68.7</c:v>
                </c:pt>
                <c:pt idx="8">
                  <c:v>75.099999999999994</c:v>
                </c:pt>
              </c:numCache>
            </c:numRef>
          </c:val>
        </c:ser>
        <c:ser>
          <c:idx val="2"/>
          <c:order val="1"/>
          <c:tx>
            <c:strRef>
              <c:f>'fig B.7'!$B$6</c:f>
              <c:strCache>
                <c:ptCount val="1"/>
                <c:pt idx="0">
                  <c:v>2012</c:v>
                </c:pt>
              </c:strCache>
            </c:strRef>
          </c:tx>
          <c:spPr>
            <a:solidFill>
              <a:srgbClr val="78A22F"/>
            </a:solidFill>
            <a:ln>
              <a:solidFill>
                <a:srgbClr val="78A22F"/>
              </a:solidFill>
            </a:ln>
          </c:spPr>
          <c:invertIfNegative val="0"/>
          <c:errBars>
            <c:errBarType val="both"/>
            <c:errValType val="cust"/>
            <c:noEndCap val="0"/>
            <c:plus>
              <c:numRef>
                <c:f>'fig B.7'!$C$7:$K$7</c:f>
                <c:numCache>
                  <c:formatCode>General</c:formatCode>
                  <c:ptCount val="9"/>
                  <c:pt idx="0">
                    <c:v>2.8</c:v>
                  </c:pt>
                  <c:pt idx="1">
                    <c:v>2.9</c:v>
                  </c:pt>
                  <c:pt idx="2">
                    <c:v>3.2</c:v>
                  </c:pt>
                  <c:pt idx="3">
                    <c:v>3.2</c:v>
                  </c:pt>
                  <c:pt idx="4">
                    <c:v>3.6</c:v>
                  </c:pt>
                  <c:pt idx="5">
                    <c:v>6.2</c:v>
                  </c:pt>
                  <c:pt idx="6">
                    <c:v>5.5</c:v>
                  </c:pt>
                  <c:pt idx="7">
                    <c:v>7.6</c:v>
                  </c:pt>
                  <c:pt idx="8">
                    <c:v>1.3</c:v>
                  </c:pt>
                </c:numCache>
              </c:numRef>
            </c:plus>
            <c:minus>
              <c:numRef>
                <c:f>'fig B.7'!$C$7:$K$7</c:f>
                <c:numCache>
                  <c:formatCode>General</c:formatCode>
                  <c:ptCount val="9"/>
                  <c:pt idx="0">
                    <c:v>2.8</c:v>
                  </c:pt>
                  <c:pt idx="1">
                    <c:v>2.9</c:v>
                  </c:pt>
                  <c:pt idx="2">
                    <c:v>3.2</c:v>
                  </c:pt>
                  <c:pt idx="3">
                    <c:v>3.2</c:v>
                  </c:pt>
                  <c:pt idx="4">
                    <c:v>3.6</c:v>
                  </c:pt>
                  <c:pt idx="5">
                    <c:v>6.2</c:v>
                  </c:pt>
                  <c:pt idx="6">
                    <c:v>5.5</c:v>
                  </c:pt>
                  <c:pt idx="7">
                    <c:v>7.6</c:v>
                  </c:pt>
                  <c:pt idx="8">
                    <c:v>1.3</c:v>
                  </c:pt>
                </c:numCache>
              </c:numRef>
            </c:minus>
            <c:spPr>
              <a:ln>
                <a:solidFill>
                  <a:srgbClr val="BFBFBF"/>
                </a:solidFill>
              </a:ln>
            </c:spPr>
          </c:errBars>
          <c:cat>
            <c:strRef>
              <c:f>'fig B.7'!$C$2:$K$2</c:f>
              <c:strCache>
                <c:ptCount val="9"/>
                <c:pt idx="0">
                  <c:v>NSW</c:v>
                </c:pt>
                <c:pt idx="1">
                  <c:v>Vic</c:v>
                </c:pt>
                <c:pt idx="2">
                  <c:v>Qld</c:v>
                </c:pt>
                <c:pt idx="3">
                  <c:v>WA</c:v>
                </c:pt>
                <c:pt idx="4">
                  <c:v>SA</c:v>
                </c:pt>
                <c:pt idx="5">
                  <c:v>Tas</c:v>
                </c:pt>
                <c:pt idx="6">
                  <c:v>ACT</c:v>
                </c:pt>
                <c:pt idx="7">
                  <c:v>NT</c:v>
                </c:pt>
                <c:pt idx="8">
                  <c:v>Aust</c:v>
                </c:pt>
              </c:strCache>
            </c:strRef>
          </c:cat>
          <c:val>
            <c:numRef>
              <c:f>'fig B.7'!$C$6:$K$6</c:f>
              <c:numCache>
                <c:formatCode>###\ ###\ ##0.0;\-###\ ###\ ##0.0;"–"</c:formatCode>
                <c:ptCount val="9"/>
                <c:pt idx="0">
                  <c:v>78.2</c:v>
                </c:pt>
                <c:pt idx="1">
                  <c:v>75.400000000000006</c:v>
                </c:pt>
                <c:pt idx="2">
                  <c:v>72.2</c:v>
                </c:pt>
                <c:pt idx="3">
                  <c:v>77.3</c:v>
                </c:pt>
                <c:pt idx="4">
                  <c:v>72.7</c:v>
                </c:pt>
                <c:pt idx="5">
                  <c:v>67.5</c:v>
                </c:pt>
                <c:pt idx="6">
                  <c:v>82.6</c:v>
                </c:pt>
                <c:pt idx="7">
                  <c:v>69.2</c:v>
                </c:pt>
                <c:pt idx="8">
                  <c:v>75.5</c:v>
                </c:pt>
              </c:numCache>
            </c:numRef>
          </c:val>
        </c:ser>
        <c:ser>
          <c:idx val="3"/>
          <c:order val="2"/>
          <c:tx>
            <c:strRef>
              <c:f>'fig B.7'!$B$8</c:f>
              <c:strCache>
                <c:ptCount val="1"/>
                <c:pt idx="0">
                  <c:v>2013</c:v>
                </c:pt>
              </c:strCache>
            </c:strRef>
          </c:tx>
          <c:spPr>
            <a:solidFill>
              <a:srgbClr val="78A22F"/>
            </a:solidFill>
            <a:ln>
              <a:solidFill>
                <a:srgbClr val="78A22F"/>
              </a:solidFill>
            </a:ln>
          </c:spPr>
          <c:invertIfNegative val="0"/>
          <c:errBars>
            <c:errBarType val="both"/>
            <c:errValType val="cust"/>
            <c:noEndCap val="0"/>
            <c:plus>
              <c:numRef>
                <c:f>'fig B.7'!$C$9:$K$9</c:f>
                <c:numCache>
                  <c:formatCode>General</c:formatCode>
                  <c:ptCount val="9"/>
                  <c:pt idx="0">
                    <c:v>1.8364904</c:v>
                  </c:pt>
                  <c:pt idx="1">
                    <c:v>2.4518106999999998</c:v>
                  </c:pt>
                  <c:pt idx="2">
                    <c:v>3.2059864</c:v>
                  </c:pt>
                  <c:pt idx="3">
                    <c:v>3.8344881000000002</c:v>
                  </c:pt>
                  <c:pt idx="4">
                    <c:v>4.1855017999999999</c:v>
                  </c:pt>
                  <c:pt idx="5">
                    <c:v>8.0119056999999998</c:v>
                  </c:pt>
                  <c:pt idx="6">
                    <c:v>7.5141739000000003</c:v>
                  </c:pt>
                  <c:pt idx="7">
                    <c:v>11.3101877</c:v>
                  </c:pt>
                  <c:pt idx="8">
                    <c:v>1.0168375000000001</c:v>
                  </c:pt>
                </c:numCache>
              </c:numRef>
            </c:plus>
            <c:minus>
              <c:numRef>
                <c:f>'fig B.7'!$C$9:$K$9</c:f>
                <c:numCache>
                  <c:formatCode>General</c:formatCode>
                  <c:ptCount val="9"/>
                  <c:pt idx="0">
                    <c:v>1.8364904</c:v>
                  </c:pt>
                  <c:pt idx="1">
                    <c:v>2.4518106999999998</c:v>
                  </c:pt>
                  <c:pt idx="2">
                    <c:v>3.2059864</c:v>
                  </c:pt>
                  <c:pt idx="3">
                    <c:v>3.8344881000000002</c:v>
                  </c:pt>
                  <c:pt idx="4">
                    <c:v>4.1855017999999999</c:v>
                  </c:pt>
                  <c:pt idx="5">
                    <c:v>8.0119056999999998</c:v>
                  </c:pt>
                  <c:pt idx="6">
                    <c:v>7.5141739000000003</c:v>
                  </c:pt>
                  <c:pt idx="7">
                    <c:v>11.3101877</c:v>
                  </c:pt>
                  <c:pt idx="8">
                    <c:v>1.0168375000000001</c:v>
                  </c:pt>
                </c:numCache>
              </c:numRef>
            </c:minus>
            <c:spPr>
              <a:ln>
                <a:solidFill>
                  <a:srgbClr val="EEECE1"/>
                </a:solidFill>
              </a:ln>
            </c:spPr>
          </c:errBars>
          <c:cat>
            <c:strRef>
              <c:f>'fig B.7'!$C$2:$K$2</c:f>
              <c:strCache>
                <c:ptCount val="9"/>
                <c:pt idx="0">
                  <c:v>NSW</c:v>
                </c:pt>
                <c:pt idx="1">
                  <c:v>Vic</c:v>
                </c:pt>
                <c:pt idx="2">
                  <c:v>Qld</c:v>
                </c:pt>
                <c:pt idx="3">
                  <c:v>WA</c:v>
                </c:pt>
                <c:pt idx="4">
                  <c:v>SA</c:v>
                </c:pt>
                <c:pt idx="5">
                  <c:v>Tas</c:v>
                </c:pt>
                <c:pt idx="6">
                  <c:v>ACT</c:v>
                </c:pt>
                <c:pt idx="7">
                  <c:v>NT</c:v>
                </c:pt>
                <c:pt idx="8">
                  <c:v>Aust</c:v>
                </c:pt>
              </c:strCache>
            </c:strRef>
          </c:cat>
          <c:val>
            <c:numRef>
              <c:f>'fig B.7'!$C$8:$K$8</c:f>
              <c:numCache>
                <c:formatCode>###\ ###\ ##0.0;\-###\ ###\ ##0.0;"–"</c:formatCode>
                <c:ptCount val="9"/>
                <c:pt idx="0">
                  <c:v>73.785310699999997</c:v>
                </c:pt>
                <c:pt idx="1">
                  <c:v>73.853537099999997</c:v>
                </c:pt>
                <c:pt idx="2">
                  <c:v>68.058622799999995</c:v>
                </c:pt>
                <c:pt idx="3">
                  <c:v>74.355083500000006</c:v>
                </c:pt>
                <c:pt idx="4">
                  <c:v>74.951830400000006</c:v>
                </c:pt>
                <c:pt idx="5">
                  <c:v>64.044943799999999</c:v>
                </c:pt>
                <c:pt idx="6">
                  <c:v>80.678851199999997</c:v>
                </c:pt>
                <c:pt idx="7">
                  <c:v>77.835051500000006</c:v>
                </c:pt>
                <c:pt idx="8">
                  <c:v>72.677619500000006</c:v>
                </c:pt>
              </c:numCache>
            </c:numRef>
          </c:val>
        </c:ser>
        <c:ser>
          <c:idx val="7"/>
          <c:order val="3"/>
          <c:tx>
            <c:strRef>
              <c:f>'fig B.7'!$B$10</c:f>
              <c:strCache>
                <c:ptCount val="1"/>
                <c:pt idx="0">
                  <c:v>2014</c:v>
                </c:pt>
              </c:strCache>
            </c:strRef>
          </c:tx>
          <c:spPr>
            <a:solidFill>
              <a:srgbClr val="78A22F"/>
            </a:solidFill>
            <a:ln>
              <a:solidFill>
                <a:srgbClr val="78A22F"/>
              </a:solidFill>
            </a:ln>
          </c:spPr>
          <c:invertIfNegative val="0"/>
          <c:errBars>
            <c:errBarType val="both"/>
            <c:errValType val="cust"/>
            <c:noEndCap val="0"/>
            <c:plus>
              <c:numRef>
                <c:f>'fig B.7'!$C$11:$K$11</c:f>
                <c:numCache>
                  <c:formatCode>General</c:formatCode>
                  <c:ptCount val="9"/>
                  <c:pt idx="0">
                    <c:v>2.7174432999999998</c:v>
                  </c:pt>
                  <c:pt idx="1">
                    <c:v>2.82437</c:v>
                  </c:pt>
                  <c:pt idx="2">
                    <c:v>3.7962590999999999</c:v>
                  </c:pt>
                  <c:pt idx="3">
                    <c:v>3.9814698000000002</c:v>
                  </c:pt>
                  <c:pt idx="4">
                    <c:v>4.8493275000000002</c:v>
                  </c:pt>
                  <c:pt idx="5">
                    <c:v>6.6947410999999999</c:v>
                  </c:pt>
                  <c:pt idx="6">
                    <c:v>10.971462600000001</c:v>
                  </c:pt>
                  <c:pt idx="7">
                    <c:v>5.3548558999999996</c:v>
                  </c:pt>
                  <c:pt idx="8">
                    <c:v>1.3798010999999999</c:v>
                  </c:pt>
                </c:numCache>
              </c:numRef>
            </c:plus>
            <c:minus>
              <c:numRef>
                <c:f>'fig B.7'!$C$11:$K$11</c:f>
                <c:numCache>
                  <c:formatCode>General</c:formatCode>
                  <c:ptCount val="9"/>
                  <c:pt idx="0">
                    <c:v>2.7174432999999998</c:v>
                  </c:pt>
                  <c:pt idx="1">
                    <c:v>2.82437</c:v>
                  </c:pt>
                  <c:pt idx="2">
                    <c:v>3.7962590999999999</c:v>
                  </c:pt>
                  <c:pt idx="3">
                    <c:v>3.9814698000000002</c:v>
                  </c:pt>
                  <c:pt idx="4">
                    <c:v>4.8493275000000002</c:v>
                  </c:pt>
                  <c:pt idx="5">
                    <c:v>6.6947410999999999</c:v>
                  </c:pt>
                  <c:pt idx="6">
                    <c:v>10.971462600000001</c:v>
                  </c:pt>
                  <c:pt idx="7">
                    <c:v>5.3548558999999996</c:v>
                  </c:pt>
                  <c:pt idx="8">
                    <c:v>1.3798010999999999</c:v>
                  </c:pt>
                </c:numCache>
              </c:numRef>
            </c:minus>
            <c:spPr>
              <a:ln>
                <a:solidFill>
                  <a:srgbClr val="BFBFBF"/>
                </a:solidFill>
              </a:ln>
            </c:spPr>
          </c:errBars>
          <c:cat>
            <c:strRef>
              <c:f>'fig B.7'!$C$2:$K$2</c:f>
              <c:strCache>
                <c:ptCount val="9"/>
                <c:pt idx="0">
                  <c:v>NSW</c:v>
                </c:pt>
                <c:pt idx="1">
                  <c:v>Vic</c:v>
                </c:pt>
                <c:pt idx="2">
                  <c:v>Qld</c:v>
                </c:pt>
                <c:pt idx="3">
                  <c:v>WA</c:v>
                </c:pt>
                <c:pt idx="4">
                  <c:v>SA</c:v>
                </c:pt>
                <c:pt idx="5">
                  <c:v>Tas</c:v>
                </c:pt>
                <c:pt idx="6">
                  <c:v>ACT</c:v>
                </c:pt>
                <c:pt idx="7">
                  <c:v>NT</c:v>
                </c:pt>
                <c:pt idx="8">
                  <c:v>Aust</c:v>
                </c:pt>
              </c:strCache>
            </c:strRef>
          </c:cat>
          <c:val>
            <c:numRef>
              <c:f>'fig B.7'!$C$10:$K$10</c:f>
              <c:numCache>
                <c:formatCode>###\ ###\ ##0.0;\-###\ ###\ ##0.0;"–"</c:formatCode>
                <c:ptCount val="9"/>
                <c:pt idx="0">
                  <c:v>72.789115600000002</c:v>
                </c:pt>
                <c:pt idx="1">
                  <c:v>76.876155299999994</c:v>
                </c:pt>
                <c:pt idx="2">
                  <c:v>68.674698800000002</c:v>
                </c:pt>
                <c:pt idx="3">
                  <c:v>76.071293100000005</c:v>
                </c:pt>
                <c:pt idx="4">
                  <c:v>69.656992099999997</c:v>
                </c:pt>
                <c:pt idx="5">
                  <c:v>65.789473700000002</c:v>
                </c:pt>
                <c:pt idx="6">
                  <c:v>81.428571399999996</c:v>
                </c:pt>
                <c:pt idx="7">
                  <c:v>74.208144799999999</c:v>
                </c:pt>
                <c:pt idx="8">
                  <c:v>73.225243000000006</c:v>
                </c:pt>
              </c:numCache>
            </c:numRef>
          </c:val>
        </c:ser>
        <c:ser>
          <c:idx val="0"/>
          <c:order val="4"/>
          <c:tx>
            <c:strRef>
              <c:f>'fig B.7'!$B$12</c:f>
              <c:strCache>
                <c:ptCount val="1"/>
                <c:pt idx="0">
                  <c:v>2015</c:v>
                </c:pt>
              </c:strCache>
            </c:strRef>
          </c:tx>
          <c:spPr>
            <a:solidFill>
              <a:srgbClr val="265A9A"/>
            </a:solidFill>
            <a:ln>
              <a:solidFill>
                <a:srgbClr val="265A9A"/>
              </a:solidFill>
            </a:ln>
          </c:spPr>
          <c:invertIfNegative val="0"/>
          <c:errBars>
            <c:errBarType val="both"/>
            <c:errValType val="cust"/>
            <c:noEndCap val="0"/>
            <c:plus>
              <c:numRef>
                <c:f>'fig B.7'!$C$13:$K$13</c:f>
                <c:numCache>
                  <c:formatCode>General</c:formatCode>
                  <c:ptCount val="9"/>
                  <c:pt idx="0">
                    <c:v>2.4599297999999998</c:v>
                  </c:pt>
                  <c:pt idx="1">
                    <c:v>2.9650916</c:v>
                  </c:pt>
                  <c:pt idx="2">
                    <c:v>3.7236845999999999</c:v>
                  </c:pt>
                  <c:pt idx="3">
                    <c:v>4.1179943999999997</c:v>
                  </c:pt>
                  <c:pt idx="4">
                    <c:v>5.5881752999999996</c:v>
                  </c:pt>
                  <c:pt idx="5">
                    <c:v>9.4944585999999997</c:v>
                  </c:pt>
                  <c:pt idx="6">
                    <c:v>6.4656118999999999</c:v>
                  </c:pt>
                  <c:pt idx="7">
                    <c:v>8.6762143999999992</c:v>
                  </c:pt>
                  <c:pt idx="8">
                    <c:v>1.3908164000000001</c:v>
                  </c:pt>
                </c:numCache>
              </c:numRef>
            </c:plus>
            <c:minus>
              <c:numRef>
                <c:f>'fig B.7'!$C$13:$K$13</c:f>
                <c:numCache>
                  <c:formatCode>General</c:formatCode>
                  <c:ptCount val="9"/>
                  <c:pt idx="0">
                    <c:v>2.4599297999999998</c:v>
                  </c:pt>
                  <c:pt idx="1">
                    <c:v>2.9650916</c:v>
                  </c:pt>
                  <c:pt idx="2">
                    <c:v>3.7236845999999999</c:v>
                  </c:pt>
                  <c:pt idx="3">
                    <c:v>4.1179943999999997</c:v>
                  </c:pt>
                  <c:pt idx="4">
                    <c:v>5.5881752999999996</c:v>
                  </c:pt>
                  <c:pt idx="5">
                    <c:v>9.4944585999999997</c:v>
                  </c:pt>
                  <c:pt idx="6">
                    <c:v>6.4656118999999999</c:v>
                  </c:pt>
                  <c:pt idx="7">
                    <c:v>8.6762143999999992</c:v>
                  </c:pt>
                  <c:pt idx="8">
                    <c:v>1.3908164000000001</c:v>
                  </c:pt>
                </c:numCache>
              </c:numRef>
            </c:minus>
            <c:spPr>
              <a:ln>
                <a:solidFill>
                  <a:srgbClr val="BFBFBF"/>
                </a:solidFill>
              </a:ln>
            </c:spPr>
          </c:errBars>
          <c:cat>
            <c:strRef>
              <c:f>'fig B.7'!$C$2:$K$2</c:f>
              <c:strCache>
                <c:ptCount val="9"/>
                <c:pt idx="0">
                  <c:v>NSW</c:v>
                </c:pt>
                <c:pt idx="1">
                  <c:v>Vic</c:v>
                </c:pt>
                <c:pt idx="2">
                  <c:v>Qld</c:v>
                </c:pt>
                <c:pt idx="3">
                  <c:v>WA</c:v>
                </c:pt>
                <c:pt idx="4">
                  <c:v>SA</c:v>
                </c:pt>
                <c:pt idx="5">
                  <c:v>Tas</c:v>
                </c:pt>
                <c:pt idx="6">
                  <c:v>ACT</c:v>
                </c:pt>
                <c:pt idx="7">
                  <c:v>NT</c:v>
                </c:pt>
                <c:pt idx="8">
                  <c:v>Aust</c:v>
                </c:pt>
              </c:strCache>
            </c:strRef>
          </c:cat>
          <c:val>
            <c:numRef>
              <c:f>'fig B.7'!$C$12:$K$12</c:f>
              <c:numCache>
                <c:formatCode>###\ ###\ ##0.0;\-###\ ###\ ##0.0;"–"</c:formatCode>
                <c:ptCount val="9"/>
                <c:pt idx="0">
                  <c:v>72.918785400000004</c:v>
                </c:pt>
                <c:pt idx="1">
                  <c:v>75.072833200000005</c:v>
                </c:pt>
                <c:pt idx="2">
                  <c:v>70.398997300000005</c:v>
                </c:pt>
                <c:pt idx="3">
                  <c:v>76.021798399999994</c:v>
                </c:pt>
                <c:pt idx="4">
                  <c:v>70.119521899999995</c:v>
                </c:pt>
                <c:pt idx="5">
                  <c:v>61.3793103</c:v>
                </c:pt>
                <c:pt idx="6">
                  <c:v>76.240208899999999</c:v>
                </c:pt>
                <c:pt idx="7">
                  <c:v>72.222222200000004</c:v>
                </c:pt>
                <c:pt idx="8">
                  <c:v>72.950525299999995</c:v>
                </c:pt>
              </c:numCache>
            </c:numRef>
          </c:val>
        </c:ser>
        <c:dLbls>
          <c:showLegendKey val="0"/>
          <c:showVal val="0"/>
          <c:showCatName val="0"/>
          <c:showSerName val="0"/>
          <c:showPercent val="0"/>
          <c:showBubbleSize val="0"/>
        </c:dLbls>
        <c:gapWidth val="150"/>
        <c:axId val="360470784"/>
        <c:axId val="360476672"/>
      </c:barChart>
      <c:catAx>
        <c:axId val="360470784"/>
        <c:scaling>
          <c:orientation val="minMax"/>
        </c:scaling>
        <c:delete val="0"/>
        <c:axPos val="b"/>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60476672"/>
        <c:crosses val="autoZero"/>
        <c:auto val="1"/>
        <c:lblAlgn val="ctr"/>
        <c:lblOffset val="100"/>
        <c:noMultiLvlLbl val="0"/>
      </c:catAx>
      <c:valAx>
        <c:axId val="360476672"/>
        <c:scaling>
          <c:orientation val="minMax"/>
          <c:max val="100"/>
          <c:min val="0"/>
        </c:scaling>
        <c:delete val="0"/>
        <c:axPos val="l"/>
        <c:majorGridlines>
          <c:spPr>
            <a:ln>
              <a:noFill/>
            </a:ln>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60470784"/>
        <c:crosses val="autoZero"/>
        <c:crossBetween val="between"/>
        <c:majorUnit val="20"/>
      </c:valAx>
      <c:spPr>
        <a:noFill/>
        <a:ln>
          <a:noFill/>
        </a:ln>
      </c:spPr>
    </c:plotArea>
    <c:legend>
      <c:legendPos val="b"/>
      <c:legendEntry>
        <c:idx val="1"/>
        <c:delete val="1"/>
      </c:legendEntry>
      <c:legendEntry>
        <c:idx val="2"/>
        <c:delete val="1"/>
      </c:legendEntry>
      <c:legendEntry>
        <c:idx val="3"/>
        <c:delete val="1"/>
      </c:legendEntry>
      <c:layout/>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644574074074074"/>
          <c:y val="4.7154814814814816E-2"/>
          <c:w val="0.87238833333333332"/>
          <c:h val="0.71956629629629631"/>
        </c:manualLayout>
      </c:layout>
      <c:barChart>
        <c:barDir val="col"/>
        <c:grouping val="clustered"/>
        <c:varyColors val="0"/>
        <c:ser>
          <c:idx val="0"/>
          <c:order val="0"/>
          <c:tx>
            <c:strRef>
              <c:f>'fig B.8'!$A$3</c:f>
              <c:strCache>
                <c:ptCount val="1"/>
                <c:pt idx="0">
                  <c:v>Participation</c:v>
                </c:pt>
              </c:strCache>
            </c:strRef>
          </c:tx>
          <c:spPr>
            <a:solidFill>
              <a:srgbClr val="265A9A"/>
            </a:solidFill>
            <a:ln>
              <a:solidFill>
                <a:srgbClr val="265A9A"/>
              </a:solidFill>
            </a:ln>
          </c:spPr>
          <c:invertIfNegative val="0"/>
          <c:cat>
            <c:strRef>
              <c:f>'fig B.8'!$B$2:$E$2</c:f>
              <c:strCache>
                <c:ptCount val="4"/>
                <c:pt idx="0">
                  <c:v>Disability </c:v>
                </c:pt>
                <c:pt idx="1">
                  <c:v>Regional and remote</c:v>
                </c:pt>
                <c:pt idx="2">
                  <c:v>Aboriginal and Torres Strait Islander</c:v>
                </c:pt>
                <c:pt idx="3">
                  <c:v>Low SES</c:v>
                </c:pt>
              </c:strCache>
            </c:strRef>
          </c:cat>
          <c:val>
            <c:numRef>
              <c:f>'fig B.8'!$B$3:$E$3</c:f>
              <c:numCache>
                <c:formatCode>#,##0.0</c:formatCode>
                <c:ptCount val="4"/>
                <c:pt idx="0">
                  <c:v>5.7962826686136015</c:v>
                </c:pt>
                <c:pt idx="1">
                  <c:v>20.090605848142975</c:v>
                </c:pt>
                <c:pt idx="2">
                  <c:v>1.6</c:v>
                </c:pt>
                <c:pt idx="3">
                  <c:v>14.9</c:v>
                </c:pt>
              </c:numCache>
            </c:numRef>
          </c:val>
        </c:ser>
        <c:ser>
          <c:idx val="1"/>
          <c:order val="1"/>
          <c:tx>
            <c:strRef>
              <c:f>'fig B.8'!$A$4</c:f>
              <c:strCache>
                <c:ptCount val="1"/>
                <c:pt idx="0">
                  <c:v>Representation in the community</c:v>
                </c:pt>
              </c:strCache>
            </c:strRef>
          </c:tx>
          <c:spPr>
            <a:solidFill>
              <a:srgbClr val="78A22F"/>
            </a:solidFill>
            <a:ln>
              <a:solidFill>
                <a:srgbClr val="78A22F"/>
              </a:solidFill>
            </a:ln>
          </c:spPr>
          <c:invertIfNegative val="0"/>
          <c:cat>
            <c:strRef>
              <c:f>'fig B.8'!$B$2:$E$2</c:f>
              <c:strCache>
                <c:ptCount val="4"/>
                <c:pt idx="0">
                  <c:v>Disability </c:v>
                </c:pt>
                <c:pt idx="1">
                  <c:v>Regional and remote</c:v>
                </c:pt>
                <c:pt idx="2">
                  <c:v>Aboriginal and Torres Strait Islander</c:v>
                </c:pt>
                <c:pt idx="3">
                  <c:v>Low SES</c:v>
                </c:pt>
              </c:strCache>
            </c:strRef>
          </c:cat>
          <c:val>
            <c:numRef>
              <c:f>'fig B.8'!$B$4:$E$4</c:f>
              <c:numCache>
                <c:formatCode>###\ ###\ ##0.0;\-###\ ###\ ##0.0;"–"</c:formatCode>
                <c:ptCount val="4"/>
                <c:pt idx="0">
                  <c:v>18.3</c:v>
                </c:pt>
                <c:pt idx="1">
                  <c:v>29.07488366132797</c:v>
                </c:pt>
                <c:pt idx="2">
                  <c:v>3.0656524916836512</c:v>
                </c:pt>
                <c:pt idx="3">
                  <c:v>25</c:v>
                </c:pt>
              </c:numCache>
            </c:numRef>
          </c:val>
        </c:ser>
        <c:dLbls>
          <c:showLegendKey val="0"/>
          <c:showVal val="0"/>
          <c:showCatName val="0"/>
          <c:showSerName val="0"/>
          <c:showPercent val="0"/>
          <c:showBubbleSize val="0"/>
        </c:dLbls>
        <c:gapWidth val="150"/>
        <c:axId val="360523648"/>
        <c:axId val="360525184"/>
      </c:barChart>
      <c:catAx>
        <c:axId val="360523648"/>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60525184"/>
        <c:crosses val="autoZero"/>
        <c:auto val="1"/>
        <c:lblAlgn val="ctr"/>
        <c:lblOffset val="100"/>
        <c:noMultiLvlLbl val="0"/>
      </c:catAx>
      <c:valAx>
        <c:axId val="360525184"/>
        <c:scaling>
          <c:orientation val="minMax"/>
          <c:max val="4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60523648"/>
        <c:crosses val="autoZero"/>
        <c:crossBetween val="between"/>
        <c:majorUnit val="1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'fig B.10'!$A$3</c:f>
              <c:strCache>
                <c:ptCount val="1"/>
                <c:pt idx="0">
                  <c:v>2011 to 2014</c:v>
                </c:pt>
              </c:strCache>
            </c:strRef>
          </c:tx>
          <c:spPr>
            <a:solidFill>
              <a:srgbClr val="78A22F"/>
            </a:solidFill>
            <a:ln>
              <a:solidFill>
                <a:srgbClr val="78A22F"/>
              </a:solidFill>
            </a:ln>
          </c:spPr>
          <c:invertIfNegative val="0"/>
          <c:errBars>
            <c:errBarType val="both"/>
            <c:errValType val="cust"/>
            <c:noEndCap val="0"/>
            <c:plus>
              <c:numRef>
                <c:f>'fig B.10'!$B$4:$J$4</c:f>
                <c:numCache>
                  <c:formatCode>General</c:formatCode>
                  <c:ptCount val="9"/>
                  <c:pt idx="0">
                    <c:v>1.3</c:v>
                  </c:pt>
                  <c:pt idx="1">
                    <c:v>1.3</c:v>
                  </c:pt>
                  <c:pt idx="2">
                    <c:v>1.6</c:v>
                  </c:pt>
                  <c:pt idx="3">
                    <c:v>2.2999999999999998</c:v>
                  </c:pt>
                  <c:pt idx="4">
                    <c:v>1.8</c:v>
                  </c:pt>
                  <c:pt idx="5">
                    <c:v>2.2000000000000002</c:v>
                  </c:pt>
                  <c:pt idx="6">
                    <c:v>2.5</c:v>
                  </c:pt>
                  <c:pt idx="7">
                    <c:v>2.8</c:v>
                  </c:pt>
                  <c:pt idx="8">
                    <c:v>0.7</c:v>
                  </c:pt>
                </c:numCache>
              </c:numRef>
            </c:plus>
            <c:minus>
              <c:numRef>
                <c:f>'fig B.10'!$B$4:$J$4</c:f>
                <c:numCache>
                  <c:formatCode>General</c:formatCode>
                  <c:ptCount val="9"/>
                  <c:pt idx="0">
                    <c:v>1.3</c:v>
                  </c:pt>
                  <c:pt idx="1">
                    <c:v>1.3</c:v>
                  </c:pt>
                  <c:pt idx="2">
                    <c:v>1.6</c:v>
                  </c:pt>
                  <c:pt idx="3">
                    <c:v>2.2999999999999998</c:v>
                  </c:pt>
                  <c:pt idx="4">
                    <c:v>1.8</c:v>
                  </c:pt>
                  <c:pt idx="5">
                    <c:v>2.2000000000000002</c:v>
                  </c:pt>
                  <c:pt idx="6">
                    <c:v>2.5</c:v>
                  </c:pt>
                  <c:pt idx="7">
                    <c:v>2.8</c:v>
                  </c:pt>
                  <c:pt idx="8">
                    <c:v>0.7</c:v>
                  </c:pt>
                </c:numCache>
              </c:numRef>
            </c:minus>
            <c:spPr>
              <a:ln>
                <a:solidFill>
                  <a:srgbClr val="BFBFBF"/>
                </a:solidFill>
              </a:ln>
            </c:spPr>
          </c:errBars>
          <c:cat>
            <c:strRef>
              <c:f>'fig B.10'!$B$2:$J$2</c:f>
              <c:strCache>
                <c:ptCount val="9"/>
                <c:pt idx="0">
                  <c:v>NSW</c:v>
                </c:pt>
                <c:pt idx="1">
                  <c:v>Vic</c:v>
                </c:pt>
                <c:pt idx="2">
                  <c:v>Qld</c:v>
                </c:pt>
                <c:pt idx="3">
                  <c:v>WA</c:v>
                </c:pt>
                <c:pt idx="4">
                  <c:v>SA</c:v>
                </c:pt>
                <c:pt idx="5">
                  <c:v>Tas</c:v>
                </c:pt>
                <c:pt idx="6">
                  <c:v>ACT</c:v>
                </c:pt>
                <c:pt idx="7">
                  <c:v>NT</c:v>
                </c:pt>
                <c:pt idx="8">
                  <c:v>Aust</c:v>
                </c:pt>
              </c:strCache>
            </c:strRef>
          </c:cat>
          <c:val>
            <c:numRef>
              <c:f>'fig B.10'!$B$3:$J$3</c:f>
              <c:numCache>
                <c:formatCode>#\ ###\ ##0.0;\-#\ ###\ ##0.0;"–"</c:formatCode>
                <c:ptCount val="9"/>
                <c:pt idx="0">
                  <c:v>69.099999999999994</c:v>
                </c:pt>
                <c:pt idx="1">
                  <c:v>68.400000000000006</c:v>
                </c:pt>
                <c:pt idx="2">
                  <c:v>64.2</c:v>
                </c:pt>
                <c:pt idx="3">
                  <c:v>63.9</c:v>
                </c:pt>
                <c:pt idx="4">
                  <c:v>63.1</c:v>
                </c:pt>
                <c:pt idx="5">
                  <c:v>62.3</c:v>
                </c:pt>
                <c:pt idx="6">
                  <c:v>77.5</c:v>
                </c:pt>
                <c:pt idx="7">
                  <c:v>59</c:v>
                </c:pt>
                <c:pt idx="8">
                  <c:v>66.900000000000006</c:v>
                </c:pt>
              </c:numCache>
            </c:numRef>
          </c:val>
        </c:ser>
        <c:ser>
          <c:idx val="1"/>
          <c:order val="1"/>
          <c:tx>
            <c:strRef>
              <c:f>'fig B.10'!$A$5</c:f>
              <c:strCache>
                <c:ptCount val="1"/>
                <c:pt idx="0">
                  <c:v>2012</c:v>
                </c:pt>
              </c:strCache>
            </c:strRef>
          </c:tx>
          <c:spPr>
            <a:solidFill>
              <a:srgbClr val="78A22F"/>
            </a:solidFill>
            <a:ln>
              <a:solidFill>
                <a:srgbClr val="78A22F"/>
              </a:solidFill>
            </a:ln>
          </c:spPr>
          <c:invertIfNegative val="0"/>
          <c:errBars>
            <c:errBarType val="both"/>
            <c:errValType val="cust"/>
            <c:noEndCap val="0"/>
            <c:plus>
              <c:numRef>
                <c:f>'fig B.10'!$B$6:$J$6</c:f>
                <c:numCache>
                  <c:formatCode>General</c:formatCode>
                  <c:ptCount val="9"/>
                  <c:pt idx="0">
                    <c:v>1</c:v>
                  </c:pt>
                  <c:pt idx="1">
                    <c:v>1.3</c:v>
                  </c:pt>
                  <c:pt idx="2">
                    <c:v>1.8</c:v>
                  </c:pt>
                  <c:pt idx="3">
                    <c:v>1.5</c:v>
                  </c:pt>
                  <c:pt idx="4">
                    <c:v>1.6</c:v>
                  </c:pt>
                  <c:pt idx="5">
                    <c:v>2.8</c:v>
                  </c:pt>
                  <c:pt idx="6">
                    <c:v>2.6</c:v>
                  </c:pt>
                  <c:pt idx="7">
                    <c:v>3.4</c:v>
                  </c:pt>
                  <c:pt idx="8">
                    <c:v>0.6</c:v>
                  </c:pt>
                </c:numCache>
              </c:numRef>
            </c:plus>
            <c:minus>
              <c:numRef>
                <c:f>'fig B.10'!$B$6:$J$6</c:f>
                <c:numCache>
                  <c:formatCode>General</c:formatCode>
                  <c:ptCount val="9"/>
                  <c:pt idx="0">
                    <c:v>1</c:v>
                  </c:pt>
                  <c:pt idx="1">
                    <c:v>1.3</c:v>
                  </c:pt>
                  <c:pt idx="2">
                    <c:v>1.8</c:v>
                  </c:pt>
                  <c:pt idx="3">
                    <c:v>1.5</c:v>
                  </c:pt>
                  <c:pt idx="4">
                    <c:v>1.6</c:v>
                  </c:pt>
                  <c:pt idx="5">
                    <c:v>2.8</c:v>
                  </c:pt>
                  <c:pt idx="6">
                    <c:v>2.6</c:v>
                  </c:pt>
                  <c:pt idx="7">
                    <c:v>3.4</c:v>
                  </c:pt>
                  <c:pt idx="8">
                    <c:v>0.6</c:v>
                  </c:pt>
                </c:numCache>
              </c:numRef>
            </c:minus>
            <c:spPr>
              <a:ln>
                <a:solidFill>
                  <a:srgbClr val="BFBFBF"/>
                </a:solidFill>
              </a:ln>
            </c:spPr>
          </c:errBars>
          <c:cat>
            <c:strRef>
              <c:f>'fig B.10'!$B$2:$J$2</c:f>
              <c:strCache>
                <c:ptCount val="9"/>
                <c:pt idx="0">
                  <c:v>NSW</c:v>
                </c:pt>
                <c:pt idx="1">
                  <c:v>Vic</c:v>
                </c:pt>
                <c:pt idx="2">
                  <c:v>Qld</c:v>
                </c:pt>
                <c:pt idx="3">
                  <c:v>WA</c:v>
                </c:pt>
                <c:pt idx="4">
                  <c:v>SA</c:v>
                </c:pt>
                <c:pt idx="5">
                  <c:v>Tas</c:v>
                </c:pt>
                <c:pt idx="6">
                  <c:v>ACT</c:v>
                </c:pt>
                <c:pt idx="7">
                  <c:v>NT</c:v>
                </c:pt>
                <c:pt idx="8">
                  <c:v>Aust</c:v>
                </c:pt>
              </c:strCache>
            </c:strRef>
          </c:cat>
          <c:val>
            <c:numRef>
              <c:f>'fig B.10'!$B$5:$J$5</c:f>
              <c:numCache>
                <c:formatCode>#\ ###\ ##0.0;\-#\ ###\ ##0.0;"–"</c:formatCode>
                <c:ptCount val="9"/>
                <c:pt idx="0">
                  <c:v>71.8</c:v>
                </c:pt>
                <c:pt idx="1">
                  <c:v>70.3</c:v>
                </c:pt>
                <c:pt idx="2">
                  <c:v>65.099999999999994</c:v>
                </c:pt>
                <c:pt idx="3">
                  <c:v>68.5</c:v>
                </c:pt>
                <c:pt idx="4">
                  <c:v>64.5</c:v>
                </c:pt>
                <c:pt idx="5">
                  <c:v>65.099999999999994</c:v>
                </c:pt>
                <c:pt idx="6">
                  <c:v>78.2</c:v>
                </c:pt>
                <c:pt idx="7">
                  <c:v>62.6</c:v>
                </c:pt>
                <c:pt idx="8">
                  <c:v>69.099999999999994</c:v>
                </c:pt>
              </c:numCache>
            </c:numRef>
          </c:val>
        </c:ser>
        <c:ser>
          <c:idx val="2"/>
          <c:order val="2"/>
          <c:tx>
            <c:strRef>
              <c:f>'fig B.10'!$A$7</c:f>
              <c:strCache>
                <c:ptCount val="1"/>
                <c:pt idx="0">
                  <c:v>2013</c:v>
                </c:pt>
              </c:strCache>
            </c:strRef>
          </c:tx>
          <c:spPr>
            <a:solidFill>
              <a:srgbClr val="78A22F"/>
            </a:solidFill>
            <a:ln>
              <a:solidFill>
                <a:srgbClr val="78A22F"/>
              </a:solidFill>
            </a:ln>
          </c:spPr>
          <c:invertIfNegative val="0"/>
          <c:errBars>
            <c:errBarType val="both"/>
            <c:errValType val="cust"/>
            <c:noEndCap val="0"/>
            <c:plus>
              <c:numRef>
                <c:f>'fig B.10'!$B$8:$J$8</c:f>
                <c:numCache>
                  <c:formatCode>General</c:formatCode>
                  <c:ptCount val="9"/>
                  <c:pt idx="0">
                    <c:v>1.5</c:v>
                  </c:pt>
                  <c:pt idx="1">
                    <c:v>1.4</c:v>
                  </c:pt>
                  <c:pt idx="2">
                    <c:v>1.2</c:v>
                  </c:pt>
                  <c:pt idx="3">
                    <c:v>1.5</c:v>
                  </c:pt>
                  <c:pt idx="4">
                    <c:v>2</c:v>
                  </c:pt>
                  <c:pt idx="5">
                    <c:v>2.2999999999999998</c:v>
                  </c:pt>
                  <c:pt idx="6">
                    <c:v>2.6</c:v>
                  </c:pt>
                  <c:pt idx="7">
                    <c:v>4.0999999999999996</c:v>
                  </c:pt>
                  <c:pt idx="8">
                    <c:v>0.7</c:v>
                  </c:pt>
                </c:numCache>
              </c:numRef>
            </c:plus>
            <c:minus>
              <c:numRef>
                <c:f>'fig B.10'!$B$8:$J$8</c:f>
                <c:numCache>
                  <c:formatCode>General</c:formatCode>
                  <c:ptCount val="9"/>
                  <c:pt idx="0">
                    <c:v>1.5</c:v>
                  </c:pt>
                  <c:pt idx="1">
                    <c:v>1.4</c:v>
                  </c:pt>
                  <c:pt idx="2">
                    <c:v>1.2</c:v>
                  </c:pt>
                  <c:pt idx="3">
                    <c:v>1.5</c:v>
                  </c:pt>
                  <c:pt idx="4">
                    <c:v>2</c:v>
                  </c:pt>
                  <c:pt idx="5">
                    <c:v>2.2999999999999998</c:v>
                  </c:pt>
                  <c:pt idx="6">
                    <c:v>2.6</c:v>
                  </c:pt>
                  <c:pt idx="7">
                    <c:v>4.0999999999999996</c:v>
                  </c:pt>
                  <c:pt idx="8">
                    <c:v>0.7</c:v>
                  </c:pt>
                </c:numCache>
              </c:numRef>
            </c:minus>
            <c:spPr>
              <a:ln>
                <a:solidFill>
                  <a:srgbClr val="BFBFBF"/>
                </a:solidFill>
              </a:ln>
            </c:spPr>
          </c:errBars>
          <c:cat>
            <c:strRef>
              <c:f>'fig B.10'!$B$2:$J$2</c:f>
              <c:strCache>
                <c:ptCount val="9"/>
                <c:pt idx="0">
                  <c:v>NSW</c:v>
                </c:pt>
                <c:pt idx="1">
                  <c:v>Vic</c:v>
                </c:pt>
                <c:pt idx="2">
                  <c:v>Qld</c:v>
                </c:pt>
                <c:pt idx="3">
                  <c:v>WA</c:v>
                </c:pt>
                <c:pt idx="4">
                  <c:v>SA</c:v>
                </c:pt>
                <c:pt idx="5">
                  <c:v>Tas</c:v>
                </c:pt>
                <c:pt idx="6">
                  <c:v>ACT</c:v>
                </c:pt>
                <c:pt idx="7">
                  <c:v>NT</c:v>
                </c:pt>
                <c:pt idx="8">
                  <c:v>Aust</c:v>
                </c:pt>
              </c:strCache>
            </c:strRef>
          </c:cat>
          <c:val>
            <c:numRef>
              <c:f>'fig B.10'!$B$7:$J$7</c:f>
              <c:numCache>
                <c:formatCode>#\ ###\ ##0.0;\-#\ ###\ ##0.0;"–"</c:formatCode>
                <c:ptCount val="9"/>
                <c:pt idx="0">
                  <c:v>68.7</c:v>
                </c:pt>
                <c:pt idx="1">
                  <c:v>69.2</c:v>
                </c:pt>
                <c:pt idx="2">
                  <c:v>63.6</c:v>
                </c:pt>
                <c:pt idx="3">
                  <c:v>65.7</c:v>
                </c:pt>
                <c:pt idx="4">
                  <c:v>65.400000000000006</c:v>
                </c:pt>
                <c:pt idx="5">
                  <c:v>64.599999999999994</c:v>
                </c:pt>
                <c:pt idx="6">
                  <c:v>75.400000000000006</c:v>
                </c:pt>
                <c:pt idx="7">
                  <c:v>64.099999999999994</c:v>
                </c:pt>
                <c:pt idx="8">
                  <c:v>67.2</c:v>
                </c:pt>
              </c:numCache>
            </c:numRef>
          </c:val>
        </c:ser>
        <c:ser>
          <c:idx val="3"/>
          <c:order val="3"/>
          <c:tx>
            <c:strRef>
              <c:f>'fig B.10'!$A$9</c:f>
              <c:strCache>
                <c:ptCount val="1"/>
                <c:pt idx="0">
                  <c:v>2014</c:v>
                </c:pt>
              </c:strCache>
            </c:strRef>
          </c:tx>
          <c:spPr>
            <a:solidFill>
              <a:srgbClr val="78A22F"/>
            </a:solidFill>
            <a:ln>
              <a:solidFill>
                <a:srgbClr val="78A22F"/>
              </a:solidFill>
            </a:ln>
          </c:spPr>
          <c:invertIfNegative val="0"/>
          <c:errBars>
            <c:errBarType val="both"/>
            <c:errValType val="cust"/>
            <c:noEndCap val="0"/>
            <c:plus>
              <c:numRef>
                <c:f>'fig B.10'!$B$10:$J$10</c:f>
                <c:numCache>
                  <c:formatCode>General</c:formatCode>
                  <c:ptCount val="9"/>
                  <c:pt idx="0">
                    <c:v>1.4</c:v>
                  </c:pt>
                  <c:pt idx="1">
                    <c:v>1.5</c:v>
                  </c:pt>
                  <c:pt idx="2">
                    <c:v>1.5</c:v>
                  </c:pt>
                  <c:pt idx="3">
                    <c:v>1.8</c:v>
                  </c:pt>
                  <c:pt idx="4">
                    <c:v>1.5</c:v>
                  </c:pt>
                  <c:pt idx="5">
                    <c:v>2.5</c:v>
                  </c:pt>
                  <c:pt idx="6">
                    <c:v>3.4</c:v>
                  </c:pt>
                  <c:pt idx="7">
                    <c:v>2</c:v>
                  </c:pt>
                  <c:pt idx="8">
                    <c:v>0.7</c:v>
                  </c:pt>
                </c:numCache>
              </c:numRef>
            </c:plus>
            <c:minus>
              <c:numRef>
                <c:f>'fig B.10'!$B$10:$J$10</c:f>
                <c:numCache>
                  <c:formatCode>General</c:formatCode>
                  <c:ptCount val="9"/>
                  <c:pt idx="0">
                    <c:v>1.4</c:v>
                  </c:pt>
                  <c:pt idx="1">
                    <c:v>1.5</c:v>
                  </c:pt>
                  <c:pt idx="2">
                    <c:v>1.5</c:v>
                  </c:pt>
                  <c:pt idx="3">
                    <c:v>1.8</c:v>
                  </c:pt>
                  <c:pt idx="4">
                    <c:v>1.5</c:v>
                  </c:pt>
                  <c:pt idx="5">
                    <c:v>2.5</c:v>
                  </c:pt>
                  <c:pt idx="6">
                    <c:v>3.4</c:v>
                  </c:pt>
                  <c:pt idx="7">
                    <c:v>2</c:v>
                  </c:pt>
                  <c:pt idx="8">
                    <c:v>0.7</c:v>
                  </c:pt>
                </c:numCache>
              </c:numRef>
            </c:minus>
            <c:spPr>
              <a:ln>
                <a:solidFill>
                  <a:srgbClr val="BFBFBF"/>
                </a:solidFill>
              </a:ln>
            </c:spPr>
          </c:errBars>
          <c:cat>
            <c:strRef>
              <c:f>'fig B.10'!$B$2:$J$2</c:f>
              <c:strCache>
                <c:ptCount val="9"/>
                <c:pt idx="0">
                  <c:v>NSW</c:v>
                </c:pt>
                <c:pt idx="1">
                  <c:v>Vic</c:v>
                </c:pt>
                <c:pt idx="2">
                  <c:v>Qld</c:v>
                </c:pt>
                <c:pt idx="3">
                  <c:v>WA</c:v>
                </c:pt>
                <c:pt idx="4">
                  <c:v>SA</c:v>
                </c:pt>
                <c:pt idx="5">
                  <c:v>Tas</c:v>
                </c:pt>
                <c:pt idx="6">
                  <c:v>ACT</c:v>
                </c:pt>
                <c:pt idx="7">
                  <c:v>NT</c:v>
                </c:pt>
                <c:pt idx="8">
                  <c:v>Aust</c:v>
                </c:pt>
              </c:strCache>
            </c:strRef>
          </c:cat>
          <c:val>
            <c:numRef>
              <c:f>'fig B.10'!$B$9:$J$9</c:f>
              <c:numCache>
                <c:formatCode>#\ ###\ ##0.0;\-#\ ###\ ##0.0;"–"</c:formatCode>
                <c:ptCount val="9"/>
                <c:pt idx="0">
                  <c:v>70.599999999999994</c:v>
                </c:pt>
                <c:pt idx="1">
                  <c:v>70.099999999999994</c:v>
                </c:pt>
                <c:pt idx="2">
                  <c:v>66.5</c:v>
                </c:pt>
                <c:pt idx="3">
                  <c:v>67.099999999999994</c:v>
                </c:pt>
                <c:pt idx="4">
                  <c:v>64.900000000000006</c:v>
                </c:pt>
                <c:pt idx="5">
                  <c:v>63.2</c:v>
                </c:pt>
                <c:pt idx="6">
                  <c:v>78.7</c:v>
                </c:pt>
                <c:pt idx="7">
                  <c:v>69.8</c:v>
                </c:pt>
                <c:pt idx="8">
                  <c:v>68.8</c:v>
                </c:pt>
              </c:numCache>
            </c:numRef>
          </c:val>
        </c:ser>
        <c:ser>
          <c:idx val="4"/>
          <c:order val="4"/>
          <c:tx>
            <c:strRef>
              <c:f>'fig B.10'!$A$11</c:f>
              <c:strCache>
                <c:ptCount val="1"/>
                <c:pt idx="0">
                  <c:v>2015</c:v>
                </c:pt>
              </c:strCache>
            </c:strRef>
          </c:tx>
          <c:spPr>
            <a:solidFill>
              <a:srgbClr val="265A9A"/>
            </a:solidFill>
            <a:ln>
              <a:solidFill>
                <a:srgbClr val="265A9A"/>
              </a:solidFill>
            </a:ln>
          </c:spPr>
          <c:invertIfNegative val="0"/>
          <c:errBars>
            <c:errBarType val="both"/>
            <c:errValType val="cust"/>
            <c:noEndCap val="0"/>
            <c:plus>
              <c:numRef>
                <c:f>'fig B.10'!$B$12:$J$12</c:f>
                <c:numCache>
                  <c:formatCode>General</c:formatCode>
                  <c:ptCount val="9"/>
                  <c:pt idx="0">
                    <c:v>1.2</c:v>
                  </c:pt>
                  <c:pt idx="1">
                    <c:v>1.1000000000000001</c:v>
                  </c:pt>
                  <c:pt idx="2">
                    <c:v>1.6</c:v>
                  </c:pt>
                  <c:pt idx="3">
                    <c:v>1.9</c:v>
                  </c:pt>
                  <c:pt idx="4">
                    <c:v>1.8</c:v>
                  </c:pt>
                  <c:pt idx="5">
                    <c:v>2.7</c:v>
                  </c:pt>
                  <c:pt idx="6">
                    <c:v>2.7</c:v>
                  </c:pt>
                  <c:pt idx="7">
                    <c:v>2.8</c:v>
                  </c:pt>
                  <c:pt idx="8">
                    <c:v>0.7</c:v>
                  </c:pt>
                </c:numCache>
              </c:numRef>
            </c:plus>
            <c:minus>
              <c:numRef>
                <c:f>'fig B.10'!$B$12:$J$12</c:f>
                <c:numCache>
                  <c:formatCode>General</c:formatCode>
                  <c:ptCount val="9"/>
                  <c:pt idx="0">
                    <c:v>1.2</c:v>
                  </c:pt>
                  <c:pt idx="1">
                    <c:v>1.1000000000000001</c:v>
                  </c:pt>
                  <c:pt idx="2">
                    <c:v>1.6</c:v>
                  </c:pt>
                  <c:pt idx="3">
                    <c:v>1.9</c:v>
                  </c:pt>
                  <c:pt idx="4">
                    <c:v>1.8</c:v>
                  </c:pt>
                  <c:pt idx="5">
                    <c:v>2.7</c:v>
                  </c:pt>
                  <c:pt idx="6">
                    <c:v>2.7</c:v>
                  </c:pt>
                  <c:pt idx="7">
                    <c:v>2.8</c:v>
                  </c:pt>
                  <c:pt idx="8">
                    <c:v>0.7</c:v>
                  </c:pt>
                </c:numCache>
              </c:numRef>
            </c:minus>
            <c:spPr>
              <a:ln>
                <a:solidFill>
                  <a:srgbClr val="BFBFBF"/>
                </a:solidFill>
              </a:ln>
            </c:spPr>
          </c:errBars>
          <c:cat>
            <c:strRef>
              <c:f>'fig B.10'!$B$2:$J$2</c:f>
              <c:strCache>
                <c:ptCount val="9"/>
                <c:pt idx="0">
                  <c:v>NSW</c:v>
                </c:pt>
                <c:pt idx="1">
                  <c:v>Vic</c:v>
                </c:pt>
                <c:pt idx="2">
                  <c:v>Qld</c:v>
                </c:pt>
                <c:pt idx="3">
                  <c:v>WA</c:v>
                </c:pt>
                <c:pt idx="4">
                  <c:v>SA</c:v>
                </c:pt>
                <c:pt idx="5">
                  <c:v>Tas</c:v>
                </c:pt>
                <c:pt idx="6">
                  <c:v>ACT</c:v>
                </c:pt>
                <c:pt idx="7">
                  <c:v>NT</c:v>
                </c:pt>
                <c:pt idx="8">
                  <c:v>Aust</c:v>
                </c:pt>
              </c:strCache>
            </c:strRef>
          </c:cat>
          <c:val>
            <c:numRef>
              <c:f>'fig B.10'!$B$11:$J$11</c:f>
              <c:numCache>
                <c:formatCode>#\ ###\ ##0.0;\-#\ ###\ ##0.0;"–"</c:formatCode>
                <c:ptCount val="9"/>
                <c:pt idx="0">
                  <c:v>71.099999999999994</c:v>
                </c:pt>
                <c:pt idx="1">
                  <c:v>72.2</c:v>
                </c:pt>
                <c:pt idx="2">
                  <c:v>67</c:v>
                </c:pt>
                <c:pt idx="3">
                  <c:v>69.599999999999994</c:v>
                </c:pt>
                <c:pt idx="4">
                  <c:v>68.900000000000006</c:v>
                </c:pt>
                <c:pt idx="5">
                  <c:v>66.8</c:v>
                </c:pt>
                <c:pt idx="6">
                  <c:v>81.2</c:v>
                </c:pt>
                <c:pt idx="7">
                  <c:v>68.2</c:v>
                </c:pt>
                <c:pt idx="8">
                  <c:v>70.3</c:v>
                </c:pt>
              </c:numCache>
            </c:numRef>
          </c:val>
        </c:ser>
        <c:dLbls>
          <c:showLegendKey val="0"/>
          <c:showVal val="0"/>
          <c:showCatName val="0"/>
          <c:showSerName val="0"/>
          <c:showPercent val="0"/>
          <c:showBubbleSize val="0"/>
        </c:dLbls>
        <c:gapWidth val="150"/>
        <c:axId val="360592512"/>
        <c:axId val="360594048"/>
      </c:barChart>
      <c:catAx>
        <c:axId val="360592512"/>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60594048"/>
        <c:crosses val="autoZero"/>
        <c:auto val="1"/>
        <c:lblAlgn val="ctr"/>
        <c:lblOffset val="100"/>
        <c:noMultiLvlLbl val="0"/>
      </c:catAx>
      <c:valAx>
        <c:axId val="360594048"/>
        <c:scaling>
          <c:orientation val="minMax"/>
        </c:scaling>
        <c:delete val="0"/>
        <c:axPos val="l"/>
        <c:majorGridlines>
          <c:spPr>
            <a:ln>
              <a:noFill/>
            </a:ln>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60592512"/>
        <c:crosses val="autoZero"/>
        <c:crossBetween val="between"/>
        <c:majorUnit val="20"/>
      </c:valAx>
      <c:spPr>
        <a:noFill/>
        <a:ln>
          <a:noFill/>
        </a:ln>
      </c:spPr>
    </c:plotArea>
    <c:legend>
      <c:legendPos val="b"/>
      <c:legendEntry>
        <c:idx val="1"/>
        <c:delete val="1"/>
      </c:legendEntry>
      <c:legendEntry>
        <c:idx val="2"/>
        <c:delete val="1"/>
      </c:legendEntry>
      <c:legendEntry>
        <c:idx val="3"/>
        <c:delete val="1"/>
      </c:legendEntry>
      <c:layout/>
      <c:overlay val="0"/>
      <c:spPr>
        <a:ln>
          <a:noFill/>
        </a:ln>
      </c:spPr>
      <c:txPr>
        <a:bodyPr/>
        <a:lstStyle/>
        <a:p>
          <a:pPr>
            <a:defRPr sz="900" b="0" i="0">
              <a:latin typeface="Arial"/>
            </a:defRPr>
          </a:pPr>
          <a:endParaRPr lang="en-US"/>
        </a:p>
      </c:tx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30037037037037"/>
          <c:y val="5.174074074074074E-2"/>
          <c:w val="0.85982925925925924"/>
          <c:h val="0.74633148148148143"/>
        </c:manualLayout>
      </c:layout>
      <c:barChart>
        <c:barDir val="col"/>
        <c:grouping val="clustered"/>
        <c:varyColors val="0"/>
        <c:ser>
          <c:idx val="0"/>
          <c:order val="0"/>
          <c:tx>
            <c:strRef>
              <c:f>'fig B.11'!$A$4</c:f>
              <c:strCache>
                <c:ptCount val="1"/>
                <c:pt idx="0">
                  <c:v>2011 to 2014</c:v>
                </c:pt>
              </c:strCache>
            </c:strRef>
          </c:tx>
          <c:spPr>
            <a:solidFill>
              <a:srgbClr val="78A22F"/>
            </a:solidFill>
            <a:ln>
              <a:solidFill>
                <a:srgbClr val="78A22F"/>
              </a:solidFill>
            </a:ln>
          </c:spPr>
          <c:invertIfNegative val="0"/>
          <c:errBars>
            <c:errBarType val="both"/>
            <c:errValType val="cust"/>
            <c:noEndCap val="0"/>
            <c:plus>
              <c:numRef>
                <c:f>'fig B.11'!$B$5:$J$5</c:f>
                <c:numCache>
                  <c:formatCode>General</c:formatCode>
                  <c:ptCount val="9"/>
                  <c:pt idx="0">
                    <c:v>2.7</c:v>
                  </c:pt>
                  <c:pt idx="1">
                    <c:v>2.8</c:v>
                  </c:pt>
                  <c:pt idx="2">
                    <c:v>3.4</c:v>
                  </c:pt>
                  <c:pt idx="3">
                    <c:v>3.2</c:v>
                  </c:pt>
                  <c:pt idx="4">
                    <c:v>3.3</c:v>
                  </c:pt>
                  <c:pt idx="5">
                    <c:v>5.9</c:v>
                  </c:pt>
                  <c:pt idx="6">
                    <c:v>4.3</c:v>
                  </c:pt>
                  <c:pt idx="7">
                    <c:v>8.4</c:v>
                  </c:pt>
                  <c:pt idx="8">
                    <c:v>1.3</c:v>
                  </c:pt>
                </c:numCache>
              </c:numRef>
            </c:plus>
            <c:minus>
              <c:numRef>
                <c:f>'fig B.11'!$B$5:$J$5</c:f>
                <c:numCache>
                  <c:formatCode>General</c:formatCode>
                  <c:ptCount val="9"/>
                  <c:pt idx="0">
                    <c:v>2.7</c:v>
                  </c:pt>
                  <c:pt idx="1">
                    <c:v>2.8</c:v>
                  </c:pt>
                  <c:pt idx="2">
                    <c:v>3.4</c:v>
                  </c:pt>
                  <c:pt idx="3">
                    <c:v>3.2</c:v>
                  </c:pt>
                  <c:pt idx="4">
                    <c:v>3.3</c:v>
                  </c:pt>
                  <c:pt idx="5">
                    <c:v>5.9</c:v>
                  </c:pt>
                  <c:pt idx="6">
                    <c:v>4.3</c:v>
                  </c:pt>
                  <c:pt idx="7">
                    <c:v>8.4</c:v>
                  </c:pt>
                  <c:pt idx="8">
                    <c:v>1.3</c:v>
                  </c:pt>
                </c:numCache>
              </c:numRef>
            </c:minus>
            <c:spPr>
              <a:ln>
                <a:solidFill>
                  <a:srgbClr val="BFBFBF"/>
                </a:solidFill>
              </a:ln>
            </c:spPr>
          </c:errBars>
          <c:cat>
            <c:strRef>
              <c:f>'fig B.11'!$B$2:$J$2</c:f>
              <c:strCache>
                <c:ptCount val="9"/>
                <c:pt idx="0">
                  <c:v>NSW</c:v>
                </c:pt>
                <c:pt idx="1">
                  <c:v>Vic</c:v>
                </c:pt>
                <c:pt idx="2">
                  <c:v>Qld</c:v>
                </c:pt>
                <c:pt idx="3">
                  <c:v>WA</c:v>
                </c:pt>
                <c:pt idx="4">
                  <c:v>SA</c:v>
                </c:pt>
                <c:pt idx="5">
                  <c:v>Tas</c:v>
                </c:pt>
                <c:pt idx="6">
                  <c:v>ACT</c:v>
                </c:pt>
                <c:pt idx="7">
                  <c:v>NT</c:v>
                </c:pt>
                <c:pt idx="8">
                  <c:v>Aust</c:v>
                </c:pt>
              </c:strCache>
            </c:strRef>
          </c:cat>
          <c:val>
            <c:numRef>
              <c:f>'fig B.11'!$B$4:$J$4</c:f>
              <c:numCache>
                <c:formatCode>###\ ###\ ##0.0;\-###\ ###\ ##0.0;"–"</c:formatCode>
                <c:ptCount val="9"/>
                <c:pt idx="0">
                  <c:v>83.5</c:v>
                </c:pt>
                <c:pt idx="1">
                  <c:v>86.1</c:v>
                </c:pt>
                <c:pt idx="2">
                  <c:v>83</c:v>
                </c:pt>
                <c:pt idx="3">
                  <c:v>83.8</c:v>
                </c:pt>
                <c:pt idx="4">
                  <c:v>84</c:v>
                </c:pt>
                <c:pt idx="5">
                  <c:v>78.2</c:v>
                </c:pt>
                <c:pt idx="6">
                  <c:v>90.1</c:v>
                </c:pt>
                <c:pt idx="7">
                  <c:v>72.8</c:v>
                </c:pt>
                <c:pt idx="8">
                  <c:v>84.1</c:v>
                </c:pt>
              </c:numCache>
            </c:numRef>
          </c:val>
        </c:ser>
        <c:ser>
          <c:idx val="1"/>
          <c:order val="1"/>
          <c:tx>
            <c:strRef>
              <c:f>'fig B.11'!$A$6</c:f>
              <c:strCache>
                <c:ptCount val="1"/>
                <c:pt idx="0">
                  <c:v>2012</c:v>
                </c:pt>
              </c:strCache>
            </c:strRef>
          </c:tx>
          <c:spPr>
            <a:solidFill>
              <a:srgbClr val="78A22F"/>
            </a:solidFill>
            <a:ln>
              <a:solidFill>
                <a:srgbClr val="78A22F"/>
              </a:solidFill>
            </a:ln>
          </c:spPr>
          <c:invertIfNegative val="0"/>
          <c:errBars>
            <c:errBarType val="both"/>
            <c:errValType val="cust"/>
            <c:noEndCap val="0"/>
            <c:plus>
              <c:numRef>
                <c:f>'fig B.11'!$B$7:$J$7</c:f>
                <c:numCache>
                  <c:formatCode>General</c:formatCode>
                  <c:ptCount val="9"/>
                  <c:pt idx="0">
                    <c:v>2.4</c:v>
                  </c:pt>
                  <c:pt idx="1">
                    <c:v>2.4</c:v>
                  </c:pt>
                  <c:pt idx="2">
                    <c:v>3</c:v>
                  </c:pt>
                  <c:pt idx="3">
                    <c:v>2.8</c:v>
                  </c:pt>
                  <c:pt idx="4">
                    <c:v>3.6</c:v>
                  </c:pt>
                  <c:pt idx="5">
                    <c:v>7.9</c:v>
                  </c:pt>
                  <c:pt idx="6">
                    <c:v>4</c:v>
                  </c:pt>
                  <c:pt idx="7">
                    <c:v>8.1</c:v>
                  </c:pt>
                  <c:pt idx="8">
                    <c:v>1.3</c:v>
                  </c:pt>
                </c:numCache>
              </c:numRef>
            </c:plus>
            <c:minus>
              <c:numRef>
                <c:f>'fig B.11'!$B$7:$J$7</c:f>
                <c:numCache>
                  <c:formatCode>General</c:formatCode>
                  <c:ptCount val="9"/>
                  <c:pt idx="0">
                    <c:v>2.4</c:v>
                  </c:pt>
                  <c:pt idx="1">
                    <c:v>2.4</c:v>
                  </c:pt>
                  <c:pt idx="2">
                    <c:v>3</c:v>
                  </c:pt>
                  <c:pt idx="3">
                    <c:v>2.8</c:v>
                  </c:pt>
                  <c:pt idx="4">
                    <c:v>3.6</c:v>
                  </c:pt>
                  <c:pt idx="5">
                    <c:v>7.9</c:v>
                  </c:pt>
                  <c:pt idx="6">
                    <c:v>4</c:v>
                  </c:pt>
                  <c:pt idx="7">
                    <c:v>8.1</c:v>
                  </c:pt>
                  <c:pt idx="8">
                    <c:v>1.3</c:v>
                  </c:pt>
                </c:numCache>
              </c:numRef>
            </c:minus>
            <c:spPr>
              <a:ln>
                <a:solidFill>
                  <a:srgbClr val="BFBFBF"/>
                </a:solidFill>
              </a:ln>
            </c:spPr>
          </c:errBars>
          <c:cat>
            <c:strRef>
              <c:f>'fig B.11'!$B$2:$J$2</c:f>
              <c:strCache>
                <c:ptCount val="9"/>
                <c:pt idx="0">
                  <c:v>NSW</c:v>
                </c:pt>
                <c:pt idx="1">
                  <c:v>Vic</c:v>
                </c:pt>
                <c:pt idx="2">
                  <c:v>Qld</c:v>
                </c:pt>
                <c:pt idx="3">
                  <c:v>WA</c:v>
                </c:pt>
                <c:pt idx="4">
                  <c:v>SA</c:v>
                </c:pt>
                <c:pt idx="5">
                  <c:v>Tas</c:v>
                </c:pt>
                <c:pt idx="6">
                  <c:v>ACT</c:v>
                </c:pt>
                <c:pt idx="7">
                  <c:v>NT</c:v>
                </c:pt>
                <c:pt idx="8">
                  <c:v>Aust</c:v>
                </c:pt>
              </c:strCache>
            </c:strRef>
          </c:cat>
          <c:val>
            <c:numRef>
              <c:f>'fig B.11'!$B$6:$J$6</c:f>
              <c:numCache>
                <c:formatCode>###\ ###\ ##0.0;\-###\ ###\ ##0.0;"–"</c:formatCode>
                <c:ptCount val="9"/>
                <c:pt idx="0">
                  <c:v>87.9</c:v>
                </c:pt>
                <c:pt idx="1">
                  <c:v>88</c:v>
                </c:pt>
                <c:pt idx="2">
                  <c:v>85.8</c:v>
                </c:pt>
                <c:pt idx="3">
                  <c:v>81.3</c:v>
                </c:pt>
                <c:pt idx="4">
                  <c:v>81</c:v>
                </c:pt>
                <c:pt idx="5">
                  <c:v>71.2</c:v>
                </c:pt>
                <c:pt idx="6">
                  <c:v>93.7</c:v>
                </c:pt>
                <c:pt idx="7">
                  <c:v>68.8</c:v>
                </c:pt>
                <c:pt idx="8">
                  <c:v>85.9</c:v>
                </c:pt>
              </c:numCache>
            </c:numRef>
          </c:val>
        </c:ser>
        <c:ser>
          <c:idx val="2"/>
          <c:order val="2"/>
          <c:tx>
            <c:strRef>
              <c:f>'fig B.11'!$A$8</c:f>
              <c:strCache>
                <c:ptCount val="1"/>
                <c:pt idx="0">
                  <c:v>2013</c:v>
                </c:pt>
              </c:strCache>
            </c:strRef>
          </c:tx>
          <c:spPr>
            <a:solidFill>
              <a:srgbClr val="78A22F"/>
            </a:solidFill>
            <a:ln>
              <a:solidFill>
                <a:srgbClr val="78A22F"/>
              </a:solidFill>
            </a:ln>
          </c:spPr>
          <c:invertIfNegative val="0"/>
          <c:errBars>
            <c:errBarType val="both"/>
            <c:errValType val="cust"/>
            <c:noEndCap val="0"/>
            <c:plus>
              <c:numRef>
                <c:f>'fig B.11'!$B$9:$J$9</c:f>
                <c:numCache>
                  <c:formatCode>General</c:formatCode>
                  <c:ptCount val="9"/>
                  <c:pt idx="0">
                    <c:v>2.6</c:v>
                  </c:pt>
                  <c:pt idx="1">
                    <c:v>2.6</c:v>
                  </c:pt>
                  <c:pt idx="2">
                    <c:v>2.2999999999999998</c:v>
                  </c:pt>
                  <c:pt idx="3">
                    <c:v>4.7</c:v>
                  </c:pt>
                  <c:pt idx="4">
                    <c:v>3.9</c:v>
                  </c:pt>
                  <c:pt idx="5">
                    <c:v>5.2</c:v>
                  </c:pt>
                  <c:pt idx="6">
                    <c:v>4.3</c:v>
                  </c:pt>
                  <c:pt idx="7">
                    <c:v>14.2</c:v>
                  </c:pt>
                  <c:pt idx="8">
                    <c:v>1.5</c:v>
                  </c:pt>
                </c:numCache>
              </c:numRef>
            </c:plus>
            <c:minus>
              <c:numRef>
                <c:f>'fig B.11'!$B$9:$J$9</c:f>
                <c:numCache>
                  <c:formatCode>General</c:formatCode>
                  <c:ptCount val="9"/>
                  <c:pt idx="0">
                    <c:v>2.6</c:v>
                  </c:pt>
                  <c:pt idx="1">
                    <c:v>2.6</c:v>
                  </c:pt>
                  <c:pt idx="2">
                    <c:v>2.2999999999999998</c:v>
                  </c:pt>
                  <c:pt idx="3">
                    <c:v>4.7</c:v>
                  </c:pt>
                  <c:pt idx="4">
                    <c:v>3.9</c:v>
                  </c:pt>
                  <c:pt idx="5">
                    <c:v>5.2</c:v>
                  </c:pt>
                  <c:pt idx="6">
                    <c:v>4.3</c:v>
                  </c:pt>
                  <c:pt idx="7">
                    <c:v>14.2</c:v>
                  </c:pt>
                  <c:pt idx="8">
                    <c:v>1.5</c:v>
                  </c:pt>
                </c:numCache>
              </c:numRef>
            </c:minus>
            <c:spPr>
              <a:ln>
                <a:solidFill>
                  <a:srgbClr val="BFBFBF"/>
                </a:solidFill>
              </a:ln>
            </c:spPr>
          </c:errBars>
          <c:cat>
            <c:strRef>
              <c:f>'fig B.11'!$B$2:$J$2</c:f>
              <c:strCache>
                <c:ptCount val="9"/>
                <c:pt idx="0">
                  <c:v>NSW</c:v>
                </c:pt>
                <c:pt idx="1">
                  <c:v>Vic</c:v>
                </c:pt>
                <c:pt idx="2">
                  <c:v>Qld</c:v>
                </c:pt>
                <c:pt idx="3">
                  <c:v>WA</c:v>
                </c:pt>
                <c:pt idx="4">
                  <c:v>SA</c:v>
                </c:pt>
                <c:pt idx="5">
                  <c:v>Tas</c:v>
                </c:pt>
                <c:pt idx="6">
                  <c:v>ACT</c:v>
                </c:pt>
                <c:pt idx="7">
                  <c:v>NT</c:v>
                </c:pt>
                <c:pt idx="8">
                  <c:v>Aust</c:v>
                </c:pt>
              </c:strCache>
            </c:strRef>
          </c:cat>
          <c:val>
            <c:numRef>
              <c:f>'fig B.11'!$B$8:$J$8</c:f>
              <c:numCache>
                <c:formatCode>###\ ###\ ##0.0;\-###\ ###\ ##0.0;"–"</c:formatCode>
                <c:ptCount val="9"/>
                <c:pt idx="0">
                  <c:v>86.1</c:v>
                </c:pt>
                <c:pt idx="1">
                  <c:v>90.1</c:v>
                </c:pt>
                <c:pt idx="2">
                  <c:v>86.7</c:v>
                </c:pt>
                <c:pt idx="3">
                  <c:v>82.6</c:v>
                </c:pt>
                <c:pt idx="4">
                  <c:v>85.3</c:v>
                </c:pt>
                <c:pt idx="5">
                  <c:v>83.3</c:v>
                </c:pt>
                <c:pt idx="6">
                  <c:v>92.4</c:v>
                </c:pt>
                <c:pt idx="7">
                  <c:v>69.2</c:v>
                </c:pt>
                <c:pt idx="8">
                  <c:v>86.7</c:v>
                </c:pt>
              </c:numCache>
            </c:numRef>
          </c:val>
        </c:ser>
        <c:ser>
          <c:idx val="3"/>
          <c:order val="3"/>
          <c:tx>
            <c:strRef>
              <c:f>'fig B.11'!$A$10</c:f>
              <c:strCache>
                <c:ptCount val="1"/>
                <c:pt idx="0">
                  <c:v>2014</c:v>
                </c:pt>
              </c:strCache>
            </c:strRef>
          </c:tx>
          <c:spPr>
            <a:solidFill>
              <a:srgbClr val="78A22F"/>
            </a:solidFill>
            <a:ln>
              <a:solidFill>
                <a:srgbClr val="78A22F"/>
              </a:solidFill>
            </a:ln>
          </c:spPr>
          <c:invertIfNegative val="0"/>
          <c:errBars>
            <c:errBarType val="both"/>
            <c:errValType val="cust"/>
            <c:noEndCap val="0"/>
            <c:plus>
              <c:numRef>
                <c:f>'fig B.11'!$B$11:$J$11</c:f>
                <c:numCache>
                  <c:formatCode>General</c:formatCode>
                  <c:ptCount val="9"/>
                  <c:pt idx="0">
                    <c:v>3</c:v>
                  </c:pt>
                  <c:pt idx="1">
                    <c:v>3.1</c:v>
                  </c:pt>
                  <c:pt idx="2">
                    <c:v>2.6</c:v>
                  </c:pt>
                  <c:pt idx="3">
                    <c:v>4.0999999999999996</c:v>
                  </c:pt>
                  <c:pt idx="4">
                    <c:v>3.5</c:v>
                  </c:pt>
                  <c:pt idx="5">
                    <c:v>5.4</c:v>
                  </c:pt>
                  <c:pt idx="6">
                    <c:v>8.6</c:v>
                  </c:pt>
                  <c:pt idx="7">
                    <c:v>6.7</c:v>
                  </c:pt>
                  <c:pt idx="8">
                    <c:v>1.5</c:v>
                  </c:pt>
                </c:numCache>
              </c:numRef>
            </c:plus>
            <c:minus>
              <c:numRef>
                <c:f>'fig B.11'!$B$11:$J$11</c:f>
                <c:numCache>
                  <c:formatCode>General</c:formatCode>
                  <c:ptCount val="9"/>
                  <c:pt idx="0">
                    <c:v>3</c:v>
                  </c:pt>
                  <c:pt idx="1">
                    <c:v>3.1</c:v>
                  </c:pt>
                  <c:pt idx="2">
                    <c:v>2.6</c:v>
                  </c:pt>
                  <c:pt idx="3">
                    <c:v>4.0999999999999996</c:v>
                  </c:pt>
                  <c:pt idx="4">
                    <c:v>3.5</c:v>
                  </c:pt>
                  <c:pt idx="5">
                    <c:v>5.4</c:v>
                  </c:pt>
                  <c:pt idx="6">
                    <c:v>8.6</c:v>
                  </c:pt>
                  <c:pt idx="7">
                    <c:v>6.7</c:v>
                  </c:pt>
                  <c:pt idx="8">
                    <c:v>1.5</c:v>
                  </c:pt>
                </c:numCache>
              </c:numRef>
            </c:minus>
            <c:spPr>
              <a:ln>
                <a:solidFill>
                  <a:srgbClr val="BFBFBF"/>
                </a:solidFill>
              </a:ln>
            </c:spPr>
          </c:errBars>
          <c:cat>
            <c:strRef>
              <c:f>'fig B.11'!$B$2:$J$2</c:f>
              <c:strCache>
                <c:ptCount val="9"/>
                <c:pt idx="0">
                  <c:v>NSW</c:v>
                </c:pt>
                <c:pt idx="1">
                  <c:v>Vic</c:v>
                </c:pt>
                <c:pt idx="2">
                  <c:v>Qld</c:v>
                </c:pt>
                <c:pt idx="3">
                  <c:v>WA</c:v>
                </c:pt>
                <c:pt idx="4">
                  <c:v>SA</c:v>
                </c:pt>
                <c:pt idx="5">
                  <c:v>Tas</c:v>
                </c:pt>
                <c:pt idx="6">
                  <c:v>ACT</c:v>
                </c:pt>
                <c:pt idx="7">
                  <c:v>NT</c:v>
                </c:pt>
                <c:pt idx="8">
                  <c:v>Aust</c:v>
                </c:pt>
              </c:strCache>
            </c:strRef>
          </c:cat>
          <c:val>
            <c:numRef>
              <c:f>'fig B.11'!$B$10:$J$10</c:f>
              <c:numCache>
                <c:formatCode>###\ ###\ ##0.0;\-###\ ###\ ##0.0;"–"</c:formatCode>
                <c:ptCount val="9"/>
                <c:pt idx="0">
                  <c:v>86.4</c:v>
                </c:pt>
                <c:pt idx="1">
                  <c:v>89</c:v>
                </c:pt>
                <c:pt idx="2">
                  <c:v>85.3</c:v>
                </c:pt>
                <c:pt idx="3">
                  <c:v>81.900000000000006</c:v>
                </c:pt>
                <c:pt idx="4">
                  <c:v>82.8</c:v>
                </c:pt>
                <c:pt idx="5">
                  <c:v>75.3</c:v>
                </c:pt>
                <c:pt idx="6">
                  <c:v>93.4</c:v>
                </c:pt>
                <c:pt idx="7">
                  <c:v>82.2</c:v>
                </c:pt>
                <c:pt idx="8">
                  <c:v>86.1</c:v>
                </c:pt>
              </c:numCache>
            </c:numRef>
          </c:val>
        </c:ser>
        <c:ser>
          <c:idx val="4"/>
          <c:order val="4"/>
          <c:tx>
            <c:strRef>
              <c:f>'fig B.11'!$A$12</c:f>
              <c:strCache>
                <c:ptCount val="1"/>
                <c:pt idx="0">
                  <c:v>2015</c:v>
                </c:pt>
              </c:strCache>
            </c:strRef>
          </c:tx>
          <c:spPr>
            <a:solidFill>
              <a:srgbClr val="265A9A"/>
            </a:solidFill>
            <a:ln>
              <a:solidFill>
                <a:srgbClr val="265A9A"/>
              </a:solidFill>
            </a:ln>
          </c:spPr>
          <c:invertIfNegative val="0"/>
          <c:errBars>
            <c:errBarType val="both"/>
            <c:errValType val="cust"/>
            <c:noEndCap val="0"/>
            <c:plus>
              <c:numRef>
                <c:f>'fig B.11'!$B$13:$J$13</c:f>
                <c:numCache>
                  <c:formatCode>General</c:formatCode>
                  <c:ptCount val="9"/>
                  <c:pt idx="0">
                    <c:v>2.4</c:v>
                  </c:pt>
                  <c:pt idx="1">
                    <c:v>2.2000000000000002</c:v>
                  </c:pt>
                  <c:pt idx="2">
                    <c:v>2.2999999999999998</c:v>
                  </c:pt>
                  <c:pt idx="3">
                    <c:v>3.6</c:v>
                  </c:pt>
                  <c:pt idx="4">
                    <c:v>4.5</c:v>
                  </c:pt>
                  <c:pt idx="5">
                    <c:v>8.4</c:v>
                  </c:pt>
                  <c:pt idx="6">
                    <c:v>4.2</c:v>
                  </c:pt>
                  <c:pt idx="7">
                    <c:v>4.4000000000000004</c:v>
                  </c:pt>
                  <c:pt idx="8">
                    <c:v>1.1000000000000001</c:v>
                  </c:pt>
                </c:numCache>
              </c:numRef>
            </c:plus>
            <c:minus>
              <c:numRef>
                <c:f>'fig B.11'!$B$13:$J$13</c:f>
                <c:numCache>
                  <c:formatCode>General</c:formatCode>
                  <c:ptCount val="9"/>
                  <c:pt idx="0">
                    <c:v>2.4</c:v>
                  </c:pt>
                  <c:pt idx="1">
                    <c:v>2.2000000000000002</c:v>
                  </c:pt>
                  <c:pt idx="2">
                    <c:v>2.2999999999999998</c:v>
                  </c:pt>
                  <c:pt idx="3">
                    <c:v>3.6</c:v>
                  </c:pt>
                  <c:pt idx="4">
                    <c:v>4.5</c:v>
                  </c:pt>
                  <c:pt idx="5">
                    <c:v>8.4</c:v>
                  </c:pt>
                  <c:pt idx="6">
                    <c:v>4.2</c:v>
                  </c:pt>
                  <c:pt idx="7">
                    <c:v>4.4000000000000004</c:v>
                  </c:pt>
                  <c:pt idx="8">
                    <c:v>1.1000000000000001</c:v>
                  </c:pt>
                </c:numCache>
              </c:numRef>
            </c:minus>
            <c:spPr>
              <a:ln>
                <a:solidFill>
                  <a:srgbClr val="BFBFBF"/>
                </a:solidFill>
              </a:ln>
            </c:spPr>
          </c:errBars>
          <c:cat>
            <c:strRef>
              <c:f>'fig B.11'!$B$2:$J$2</c:f>
              <c:strCache>
                <c:ptCount val="9"/>
                <c:pt idx="0">
                  <c:v>NSW</c:v>
                </c:pt>
                <c:pt idx="1">
                  <c:v>Vic</c:v>
                </c:pt>
                <c:pt idx="2">
                  <c:v>Qld</c:v>
                </c:pt>
                <c:pt idx="3">
                  <c:v>WA</c:v>
                </c:pt>
                <c:pt idx="4">
                  <c:v>SA</c:v>
                </c:pt>
                <c:pt idx="5">
                  <c:v>Tas</c:v>
                </c:pt>
                <c:pt idx="6">
                  <c:v>ACT</c:v>
                </c:pt>
                <c:pt idx="7">
                  <c:v>NT</c:v>
                </c:pt>
                <c:pt idx="8">
                  <c:v>Aust</c:v>
                </c:pt>
              </c:strCache>
            </c:strRef>
          </c:cat>
          <c:val>
            <c:numRef>
              <c:f>'fig B.11'!$B$12:$J$12</c:f>
              <c:numCache>
                <c:formatCode>###\ ###\ ##0.0;\-###\ ###\ ##0.0;"–"</c:formatCode>
                <c:ptCount val="9"/>
                <c:pt idx="0">
                  <c:v>88.8</c:v>
                </c:pt>
                <c:pt idx="1">
                  <c:v>89.5</c:v>
                </c:pt>
                <c:pt idx="2">
                  <c:v>88</c:v>
                </c:pt>
                <c:pt idx="3">
                  <c:v>86.5</c:v>
                </c:pt>
                <c:pt idx="4">
                  <c:v>86.9</c:v>
                </c:pt>
                <c:pt idx="5">
                  <c:v>72.7</c:v>
                </c:pt>
                <c:pt idx="6">
                  <c:v>99.1</c:v>
                </c:pt>
                <c:pt idx="7">
                  <c:v>87.7</c:v>
                </c:pt>
                <c:pt idx="8">
                  <c:v>88.4</c:v>
                </c:pt>
              </c:numCache>
            </c:numRef>
          </c:val>
        </c:ser>
        <c:dLbls>
          <c:showLegendKey val="0"/>
          <c:showVal val="0"/>
          <c:showCatName val="0"/>
          <c:showSerName val="0"/>
          <c:showPercent val="0"/>
          <c:showBubbleSize val="0"/>
        </c:dLbls>
        <c:gapWidth val="150"/>
        <c:axId val="361453056"/>
        <c:axId val="361454592"/>
      </c:barChart>
      <c:catAx>
        <c:axId val="361453056"/>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361454592"/>
        <c:crosses val="autoZero"/>
        <c:auto val="1"/>
        <c:lblAlgn val="ctr"/>
        <c:lblOffset val="100"/>
        <c:noMultiLvlLbl val="0"/>
      </c:catAx>
      <c:valAx>
        <c:axId val="361454592"/>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361453056"/>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egendEntry>
        <c:idx val="1"/>
        <c:delete val="1"/>
      </c:legendEntry>
      <c:legendEntry>
        <c:idx val="2"/>
        <c:delete val="1"/>
      </c:legendEntry>
      <c:legendEntry>
        <c:idx val="3"/>
        <c:delete val="1"/>
      </c:legendEntry>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59666666666666"/>
          <c:y val="6.5772128060263654E-2"/>
          <c:w val="0.85982925925925924"/>
          <c:h val="0.74211629629629627"/>
        </c:manualLayout>
      </c:layout>
      <c:barChart>
        <c:barDir val="col"/>
        <c:grouping val="clustered"/>
        <c:varyColors val="0"/>
        <c:ser>
          <c:idx val="0"/>
          <c:order val="0"/>
          <c:tx>
            <c:strRef>
              <c:f>'fig B.11'!$A$18</c:f>
              <c:strCache>
                <c:ptCount val="1"/>
                <c:pt idx="0">
                  <c:v>2011 to 2014</c:v>
                </c:pt>
              </c:strCache>
            </c:strRef>
          </c:tx>
          <c:spPr>
            <a:solidFill>
              <a:srgbClr val="78A22F"/>
            </a:solidFill>
            <a:ln>
              <a:solidFill>
                <a:srgbClr val="78A22F"/>
              </a:solidFill>
            </a:ln>
          </c:spPr>
          <c:invertIfNegative val="0"/>
          <c:errBars>
            <c:errBarType val="both"/>
            <c:errValType val="cust"/>
            <c:noEndCap val="0"/>
            <c:plus>
              <c:numRef>
                <c:f>'fig B.11'!$B$19:$J$19</c:f>
                <c:numCache>
                  <c:formatCode>General</c:formatCode>
                  <c:ptCount val="9"/>
                  <c:pt idx="0">
                    <c:v>1</c:v>
                  </c:pt>
                  <c:pt idx="1">
                    <c:v>1.2</c:v>
                  </c:pt>
                  <c:pt idx="2">
                    <c:v>1.5</c:v>
                  </c:pt>
                  <c:pt idx="3">
                    <c:v>1.6</c:v>
                  </c:pt>
                  <c:pt idx="4">
                    <c:v>1.7</c:v>
                  </c:pt>
                  <c:pt idx="5">
                    <c:v>2.2000000000000002</c:v>
                  </c:pt>
                  <c:pt idx="6">
                    <c:v>2</c:v>
                  </c:pt>
                  <c:pt idx="7">
                    <c:v>3.2</c:v>
                  </c:pt>
                  <c:pt idx="8">
                    <c:v>0.5</c:v>
                  </c:pt>
                </c:numCache>
              </c:numRef>
            </c:plus>
            <c:minus>
              <c:numRef>
                <c:f>'fig B.11'!$B$19:$J$19</c:f>
                <c:numCache>
                  <c:formatCode>General</c:formatCode>
                  <c:ptCount val="9"/>
                  <c:pt idx="0">
                    <c:v>1</c:v>
                  </c:pt>
                  <c:pt idx="1">
                    <c:v>1.2</c:v>
                  </c:pt>
                  <c:pt idx="2">
                    <c:v>1.5</c:v>
                  </c:pt>
                  <c:pt idx="3">
                    <c:v>1.6</c:v>
                  </c:pt>
                  <c:pt idx="4">
                    <c:v>1.7</c:v>
                  </c:pt>
                  <c:pt idx="5">
                    <c:v>2.2000000000000002</c:v>
                  </c:pt>
                  <c:pt idx="6">
                    <c:v>2</c:v>
                  </c:pt>
                  <c:pt idx="7">
                    <c:v>3.2</c:v>
                  </c:pt>
                  <c:pt idx="8">
                    <c:v>0.5</c:v>
                  </c:pt>
                </c:numCache>
              </c:numRef>
            </c:minus>
            <c:spPr>
              <a:ln>
                <a:solidFill>
                  <a:srgbClr val="BFBFBF"/>
                </a:solidFill>
              </a:ln>
            </c:spPr>
          </c:errBars>
          <c:cat>
            <c:strRef>
              <c:f>'fig B.11'!$B$16:$J$16</c:f>
              <c:strCache>
                <c:ptCount val="9"/>
                <c:pt idx="0">
                  <c:v>NSW</c:v>
                </c:pt>
                <c:pt idx="1">
                  <c:v>Vic</c:v>
                </c:pt>
                <c:pt idx="2">
                  <c:v>Qld</c:v>
                </c:pt>
                <c:pt idx="3">
                  <c:v>WA</c:v>
                </c:pt>
                <c:pt idx="4">
                  <c:v>SA</c:v>
                </c:pt>
                <c:pt idx="5">
                  <c:v>Tas</c:v>
                </c:pt>
                <c:pt idx="6">
                  <c:v>ACT</c:v>
                </c:pt>
                <c:pt idx="7">
                  <c:v>NT</c:v>
                </c:pt>
                <c:pt idx="8">
                  <c:v>Aust</c:v>
                </c:pt>
              </c:strCache>
            </c:strRef>
          </c:cat>
          <c:val>
            <c:numRef>
              <c:f>'fig B.11'!$B$18:$J$18</c:f>
              <c:numCache>
                <c:formatCode>###\ ###\ ##0.0;\-###\ ###\ ##0.0;"–"</c:formatCode>
                <c:ptCount val="9"/>
                <c:pt idx="0">
                  <c:v>78.2</c:v>
                </c:pt>
                <c:pt idx="1">
                  <c:v>78.599999999999994</c:v>
                </c:pt>
                <c:pt idx="2">
                  <c:v>75.3</c:v>
                </c:pt>
                <c:pt idx="3">
                  <c:v>75.8</c:v>
                </c:pt>
                <c:pt idx="4">
                  <c:v>73.7</c:v>
                </c:pt>
                <c:pt idx="5">
                  <c:v>68.5</c:v>
                </c:pt>
                <c:pt idx="6">
                  <c:v>88.4</c:v>
                </c:pt>
                <c:pt idx="7">
                  <c:v>68.8</c:v>
                </c:pt>
                <c:pt idx="8">
                  <c:v>77</c:v>
                </c:pt>
              </c:numCache>
            </c:numRef>
          </c:val>
        </c:ser>
        <c:ser>
          <c:idx val="1"/>
          <c:order val="1"/>
          <c:tx>
            <c:strRef>
              <c:f>'fig B.11'!$A$20</c:f>
              <c:strCache>
                <c:ptCount val="1"/>
                <c:pt idx="0">
                  <c:v>2012</c:v>
                </c:pt>
              </c:strCache>
            </c:strRef>
          </c:tx>
          <c:spPr>
            <a:solidFill>
              <a:srgbClr val="78A22F"/>
            </a:solidFill>
            <a:ln>
              <a:solidFill>
                <a:srgbClr val="78A22F"/>
              </a:solidFill>
            </a:ln>
          </c:spPr>
          <c:invertIfNegative val="0"/>
          <c:errBars>
            <c:errBarType val="both"/>
            <c:errValType val="cust"/>
            <c:noEndCap val="0"/>
            <c:plus>
              <c:numRef>
                <c:f>'fig B.11'!$B$21:$J$21</c:f>
                <c:numCache>
                  <c:formatCode>General</c:formatCode>
                  <c:ptCount val="9"/>
                  <c:pt idx="0">
                    <c:v>0.8</c:v>
                  </c:pt>
                  <c:pt idx="1">
                    <c:v>1.3</c:v>
                  </c:pt>
                  <c:pt idx="2">
                    <c:v>1.3</c:v>
                  </c:pt>
                  <c:pt idx="3">
                    <c:v>1.3</c:v>
                  </c:pt>
                  <c:pt idx="4">
                    <c:v>1.5</c:v>
                  </c:pt>
                  <c:pt idx="5">
                    <c:v>2.4</c:v>
                  </c:pt>
                  <c:pt idx="6">
                    <c:v>1.8</c:v>
                  </c:pt>
                  <c:pt idx="7">
                    <c:v>3.2</c:v>
                  </c:pt>
                  <c:pt idx="8">
                    <c:v>0.5</c:v>
                  </c:pt>
                </c:numCache>
              </c:numRef>
            </c:plus>
            <c:minus>
              <c:numRef>
                <c:f>'fig B.11'!$B$21:$J$21</c:f>
                <c:numCache>
                  <c:formatCode>General</c:formatCode>
                  <c:ptCount val="9"/>
                  <c:pt idx="0">
                    <c:v>0.8</c:v>
                  </c:pt>
                  <c:pt idx="1">
                    <c:v>1.3</c:v>
                  </c:pt>
                  <c:pt idx="2">
                    <c:v>1.3</c:v>
                  </c:pt>
                  <c:pt idx="3">
                    <c:v>1.3</c:v>
                  </c:pt>
                  <c:pt idx="4">
                    <c:v>1.5</c:v>
                  </c:pt>
                  <c:pt idx="5">
                    <c:v>2.4</c:v>
                  </c:pt>
                  <c:pt idx="6">
                    <c:v>1.8</c:v>
                  </c:pt>
                  <c:pt idx="7">
                    <c:v>3.2</c:v>
                  </c:pt>
                  <c:pt idx="8">
                    <c:v>0.5</c:v>
                  </c:pt>
                </c:numCache>
              </c:numRef>
            </c:minus>
            <c:spPr>
              <a:ln>
                <a:solidFill>
                  <a:srgbClr val="BFBFBF"/>
                </a:solidFill>
              </a:ln>
            </c:spPr>
          </c:errBars>
          <c:cat>
            <c:strRef>
              <c:f>'fig B.11'!$B$16:$J$16</c:f>
              <c:strCache>
                <c:ptCount val="9"/>
                <c:pt idx="0">
                  <c:v>NSW</c:v>
                </c:pt>
                <c:pt idx="1">
                  <c:v>Vic</c:v>
                </c:pt>
                <c:pt idx="2">
                  <c:v>Qld</c:v>
                </c:pt>
                <c:pt idx="3">
                  <c:v>WA</c:v>
                </c:pt>
                <c:pt idx="4">
                  <c:v>SA</c:v>
                </c:pt>
                <c:pt idx="5">
                  <c:v>Tas</c:v>
                </c:pt>
                <c:pt idx="6">
                  <c:v>ACT</c:v>
                </c:pt>
                <c:pt idx="7">
                  <c:v>NT</c:v>
                </c:pt>
                <c:pt idx="8">
                  <c:v>Aust</c:v>
                </c:pt>
              </c:strCache>
            </c:strRef>
          </c:cat>
          <c:val>
            <c:numRef>
              <c:f>'fig B.11'!$B$20:$J$20</c:f>
              <c:numCache>
                <c:formatCode>###\ ###\ ##0.0;\-###\ ###\ ##0.0;"–"</c:formatCode>
                <c:ptCount val="9"/>
                <c:pt idx="0">
                  <c:v>80.8</c:v>
                </c:pt>
                <c:pt idx="1">
                  <c:v>80.900000000000006</c:v>
                </c:pt>
                <c:pt idx="2">
                  <c:v>78</c:v>
                </c:pt>
                <c:pt idx="3">
                  <c:v>78.2</c:v>
                </c:pt>
                <c:pt idx="4">
                  <c:v>74.099999999999994</c:v>
                </c:pt>
                <c:pt idx="5">
                  <c:v>69.599999999999994</c:v>
                </c:pt>
                <c:pt idx="6">
                  <c:v>90.6</c:v>
                </c:pt>
                <c:pt idx="7">
                  <c:v>73.7</c:v>
                </c:pt>
                <c:pt idx="8">
                  <c:v>79.3</c:v>
                </c:pt>
              </c:numCache>
            </c:numRef>
          </c:val>
        </c:ser>
        <c:ser>
          <c:idx val="2"/>
          <c:order val="2"/>
          <c:tx>
            <c:strRef>
              <c:f>'fig B.11'!$A$22</c:f>
              <c:strCache>
                <c:ptCount val="1"/>
                <c:pt idx="0">
                  <c:v>2013</c:v>
                </c:pt>
              </c:strCache>
            </c:strRef>
          </c:tx>
          <c:spPr>
            <a:solidFill>
              <a:srgbClr val="78A22F"/>
            </a:solidFill>
            <a:ln>
              <a:solidFill>
                <a:srgbClr val="78A22F"/>
              </a:solidFill>
            </a:ln>
          </c:spPr>
          <c:invertIfNegative val="0"/>
          <c:errBars>
            <c:errBarType val="both"/>
            <c:errValType val="cust"/>
            <c:noEndCap val="0"/>
            <c:plus>
              <c:numRef>
                <c:f>'fig B.11'!$B$23:$J$23</c:f>
                <c:numCache>
                  <c:formatCode>General</c:formatCode>
                  <c:ptCount val="9"/>
                  <c:pt idx="0">
                    <c:v>1.1000000000000001</c:v>
                  </c:pt>
                  <c:pt idx="1">
                    <c:v>1.4</c:v>
                  </c:pt>
                  <c:pt idx="2">
                    <c:v>1.2</c:v>
                  </c:pt>
                  <c:pt idx="3">
                    <c:v>1.5</c:v>
                  </c:pt>
                  <c:pt idx="4">
                    <c:v>1.5</c:v>
                  </c:pt>
                  <c:pt idx="5">
                    <c:v>2.7</c:v>
                  </c:pt>
                  <c:pt idx="6">
                    <c:v>1.9</c:v>
                  </c:pt>
                  <c:pt idx="7">
                    <c:v>3.7</c:v>
                  </c:pt>
                  <c:pt idx="8">
                    <c:v>0.6</c:v>
                  </c:pt>
                </c:numCache>
              </c:numRef>
            </c:plus>
            <c:minus>
              <c:numRef>
                <c:f>'fig B.11'!$B$23:$J$23</c:f>
                <c:numCache>
                  <c:formatCode>General</c:formatCode>
                  <c:ptCount val="9"/>
                  <c:pt idx="0">
                    <c:v>1.1000000000000001</c:v>
                  </c:pt>
                  <c:pt idx="1">
                    <c:v>1.4</c:v>
                  </c:pt>
                  <c:pt idx="2">
                    <c:v>1.2</c:v>
                  </c:pt>
                  <c:pt idx="3">
                    <c:v>1.5</c:v>
                  </c:pt>
                  <c:pt idx="4">
                    <c:v>1.5</c:v>
                  </c:pt>
                  <c:pt idx="5">
                    <c:v>2.7</c:v>
                  </c:pt>
                  <c:pt idx="6">
                    <c:v>1.9</c:v>
                  </c:pt>
                  <c:pt idx="7">
                    <c:v>3.7</c:v>
                  </c:pt>
                  <c:pt idx="8">
                    <c:v>0.6</c:v>
                  </c:pt>
                </c:numCache>
              </c:numRef>
            </c:minus>
            <c:spPr>
              <a:ln>
                <a:solidFill>
                  <a:srgbClr val="BFBFBF"/>
                </a:solidFill>
              </a:ln>
            </c:spPr>
          </c:errBars>
          <c:cat>
            <c:strRef>
              <c:f>'fig B.11'!$B$16:$J$16</c:f>
              <c:strCache>
                <c:ptCount val="9"/>
                <c:pt idx="0">
                  <c:v>NSW</c:v>
                </c:pt>
                <c:pt idx="1">
                  <c:v>Vic</c:v>
                </c:pt>
                <c:pt idx="2">
                  <c:v>Qld</c:v>
                </c:pt>
                <c:pt idx="3">
                  <c:v>WA</c:v>
                </c:pt>
                <c:pt idx="4">
                  <c:v>SA</c:v>
                </c:pt>
                <c:pt idx="5">
                  <c:v>Tas</c:v>
                </c:pt>
                <c:pt idx="6">
                  <c:v>ACT</c:v>
                </c:pt>
                <c:pt idx="7">
                  <c:v>NT</c:v>
                </c:pt>
                <c:pt idx="8">
                  <c:v>Aust</c:v>
                </c:pt>
              </c:strCache>
            </c:strRef>
          </c:cat>
          <c:val>
            <c:numRef>
              <c:f>'fig B.11'!$B$22:$J$22</c:f>
              <c:numCache>
                <c:formatCode>###\ ###\ ##0.0;\-###\ ###\ ##0.0;"–"</c:formatCode>
                <c:ptCount val="9"/>
                <c:pt idx="0">
                  <c:v>79</c:v>
                </c:pt>
                <c:pt idx="1">
                  <c:v>80.599999999999994</c:v>
                </c:pt>
                <c:pt idx="2">
                  <c:v>76.900000000000006</c:v>
                </c:pt>
                <c:pt idx="3">
                  <c:v>77.8</c:v>
                </c:pt>
                <c:pt idx="4">
                  <c:v>74.900000000000006</c:v>
                </c:pt>
                <c:pt idx="5">
                  <c:v>70.400000000000006</c:v>
                </c:pt>
                <c:pt idx="6">
                  <c:v>89.7</c:v>
                </c:pt>
                <c:pt idx="7">
                  <c:v>72.900000000000006</c:v>
                </c:pt>
                <c:pt idx="8">
                  <c:v>78.5</c:v>
                </c:pt>
              </c:numCache>
            </c:numRef>
          </c:val>
        </c:ser>
        <c:ser>
          <c:idx val="3"/>
          <c:order val="3"/>
          <c:tx>
            <c:strRef>
              <c:f>'fig B.11'!$A$24</c:f>
              <c:strCache>
                <c:ptCount val="1"/>
                <c:pt idx="0">
                  <c:v>2014</c:v>
                </c:pt>
              </c:strCache>
            </c:strRef>
          </c:tx>
          <c:spPr>
            <a:solidFill>
              <a:srgbClr val="78A22F"/>
            </a:solidFill>
            <a:ln>
              <a:solidFill>
                <a:srgbClr val="78A22F"/>
              </a:solidFill>
            </a:ln>
          </c:spPr>
          <c:invertIfNegative val="0"/>
          <c:errBars>
            <c:errBarType val="both"/>
            <c:errValType val="cust"/>
            <c:noEndCap val="0"/>
            <c:plus>
              <c:numRef>
                <c:f>'fig B.11'!$B$25:$J$25</c:f>
                <c:numCache>
                  <c:formatCode>General</c:formatCode>
                  <c:ptCount val="9"/>
                  <c:pt idx="0">
                    <c:v>1.0945138999999999</c:v>
                  </c:pt>
                  <c:pt idx="1">
                    <c:v>1.346322</c:v>
                  </c:pt>
                  <c:pt idx="2">
                    <c:v>1.4908060000000001</c:v>
                  </c:pt>
                  <c:pt idx="3">
                    <c:v>1.5632002</c:v>
                  </c:pt>
                  <c:pt idx="4">
                    <c:v>1.1680295999999999</c:v>
                  </c:pt>
                  <c:pt idx="5">
                    <c:v>2.3895894000000002</c:v>
                  </c:pt>
                  <c:pt idx="6">
                    <c:v>2.3019383000000002</c:v>
                  </c:pt>
                  <c:pt idx="7">
                    <c:v>4.2</c:v>
                  </c:pt>
                  <c:pt idx="8">
                    <c:v>0.56697359999999997</c:v>
                  </c:pt>
                </c:numCache>
              </c:numRef>
            </c:plus>
            <c:minus>
              <c:numRef>
                <c:f>'fig B.11'!$B$25:$J$25</c:f>
                <c:numCache>
                  <c:formatCode>General</c:formatCode>
                  <c:ptCount val="9"/>
                  <c:pt idx="0">
                    <c:v>1.0945138999999999</c:v>
                  </c:pt>
                  <c:pt idx="1">
                    <c:v>1.346322</c:v>
                  </c:pt>
                  <c:pt idx="2">
                    <c:v>1.4908060000000001</c:v>
                  </c:pt>
                  <c:pt idx="3">
                    <c:v>1.5632002</c:v>
                  </c:pt>
                  <c:pt idx="4">
                    <c:v>1.1680295999999999</c:v>
                  </c:pt>
                  <c:pt idx="5">
                    <c:v>2.3895894000000002</c:v>
                  </c:pt>
                  <c:pt idx="6">
                    <c:v>2.3019383000000002</c:v>
                  </c:pt>
                  <c:pt idx="7">
                    <c:v>4.2</c:v>
                  </c:pt>
                  <c:pt idx="8">
                    <c:v>0.56697359999999997</c:v>
                  </c:pt>
                </c:numCache>
              </c:numRef>
            </c:minus>
            <c:spPr>
              <a:ln>
                <a:solidFill>
                  <a:srgbClr val="BFBFBF"/>
                </a:solidFill>
              </a:ln>
            </c:spPr>
          </c:errBars>
          <c:cat>
            <c:strRef>
              <c:f>'fig B.11'!$B$16:$J$16</c:f>
              <c:strCache>
                <c:ptCount val="9"/>
                <c:pt idx="0">
                  <c:v>NSW</c:v>
                </c:pt>
                <c:pt idx="1">
                  <c:v>Vic</c:v>
                </c:pt>
                <c:pt idx="2">
                  <c:v>Qld</c:v>
                </c:pt>
                <c:pt idx="3">
                  <c:v>WA</c:v>
                </c:pt>
                <c:pt idx="4">
                  <c:v>SA</c:v>
                </c:pt>
                <c:pt idx="5">
                  <c:v>Tas</c:v>
                </c:pt>
                <c:pt idx="6">
                  <c:v>ACT</c:v>
                </c:pt>
                <c:pt idx="7">
                  <c:v>NT</c:v>
                </c:pt>
                <c:pt idx="8">
                  <c:v>Aust</c:v>
                </c:pt>
              </c:strCache>
            </c:strRef>
          </c:cat>
          <c:val>
            <c:numRef>
              <c:f>'fig B.11'!$B$24:$J$24</c:f>
              <c:numCache>
                <c:formatCode>###\ ###\ ##0.0;\-###\ ###\ ##0.0;"–"</c:formatCode>
                <c:ptCount val="9"/>
                <c:pt idx="0">
                  <c:v>79.450453100000004</c:v>
                </c:pt>
                <c:pt idx="1">
                  <c:v>79.706074299999997</c:v>
                </c:pt>
                <c:pt idx="2">
                  <c:v>77.810714300000001</c:v>
                </c:pt>
                <c:pt idx="3">
                  <c:v>77.518697799999998</c:v>
                </c:pt>
                <c:pt idx="4">
                  <c:v>73.959175400000007</c:v>
                </c:pt>
                <c:pt idx="5">
                  <c:v>69.249065599999994</c:v>
                </c:pt>
                <c:pt idx="6">
                  <c:v>89.338235299999994</c:v>
                </c:pt>
                <c:pt idx="7">
                  <c:v>79.375</c:v>
                </c:pt>
                <c:pt idx="8">
                  <c:v>78.561757999999998</c:v>
                </c:pt>
              </c:numCache>
            </c:numRef>
          </c:val>
        </c:ser>
        <c:ser>
          <c:idx val="4"/>
          <c:order val="4"/>
          <c:tx>
            <c:strRef>
              <c:f>'fig B.11'!$A$26</c:f>
              <c:strCache>
                <c:ptCount val="1"/>
                <c:pt idx="0">
                  <c:v>2015</c:v>
                </c:pt>
              </c:strCache>
            </c:strRef>
          </c:tx>
          <c:spPr>
            <a:solidFill>
              <a:srgbClr val="265A9A"/>
            </a:solidFill>
            <a:ln>
              <a:solidFill>
                <a:srgbClr val="265A9A"/>
              </a:solidFill>
            </a:ln>
          </c:spPr>
          <c:invertIfNegative val="0"/>
          <c:errBars>
            <c:errBarType val="both"/>
            <c:errValType val="cust"/>
            <c:noEndCap val="0"/>
            <c:plus>
              <c:numRef>
                <c:f>'fig B.11'!$B$27:$J$27</c:f>
                <c:numCache>
                  <c:formatCode>General</c:formatCode>
                  <c:ptCount val="9"/>
                  <c:pt idx="0">
                    <c:v>1.1000000000000001</c:v>
                  </c:pt>
                  <c:pt idx="1">
                    <c:v>1.1000000000000001</c:v>
                  </c:pt>
                  <c:pt idx="2">
                    <c:v>1.1000000000000001</c:v>
                  </c:pt>
                  <c:pt idx="3">
                    <c:v>1.5</c:v>
                  </c:pt>
                  <c:pt idx="4">
                    <c:v>1.6</c:v>
                  </c:pt>
                  <c:pt idx="5">
                    <c:v>2.2999999999999998</c:v>
                  </c:pt>
                  <c:pt idx="6">
                    <c:v>1.9</c:v>
                  </c:pt>
                  <c:pt idx="7">
                    <c:v>2.2000000000000002</c:v>
                  </c:pt>
                  <c:pt idx="8">
                    <c:v>0.6</c:v>
                  </c:pt>
                </c:numCache>
              </c:numRef>
            </c:plus>
            <c:minus>
              <c:numRef>
                <c:f>'fig B.11'!$B$27:$J$27</c:f>
                <c:numCache>
                  <c:formatCode>General</c:formatCode>
                  <c:ptCount val="9"/>
                  <c:pt idx="0">
                    <c:v>1.1000000000000001</c:v>
                  </c:pt>
                  <c:pt idx="1">
                    <c:v>1.1000000000000001</c:v>
                  </c:pt>
                  <c:pt idx="2">
                    <c:v>1.1000000000000001</c:v>
                  </c:pt>
                  <c:pt idx="3">
                    <c:v>1.5</c:v>
                  </c:pt>
                  <c:pt idx="4">
                    <c:v>1.6</c:v>
                  </c:pt>
                  <c:pt idx="5">
                    <c:v>2.2999999999999998</c:v>
                  </c:pt>
                  <c:pt idx="6">
                    <c:v>1.9</c:v>
                  </c:pt>
                  <c:pt idx="7">
                    <c:v>2.2000000000000002</c:v>
                  </c:pt>
                  <c:pt idx="8">
                    <c:v>0.6</c:v>
                  </c:pt>
                </c:numCache>
              </c:numRef>
            </c:minus>
            <c:spPr>
              <a:ln>
                <a:solidFill>
                  <a:srgbClr val="BFBFBF"/>
                </a:solidFill>
              </a:ln>
            </c:spPr>
          </c:errBars>
          <c:cat>
            <c:strRef>
              <c:f>'fig B.11'!$B$16:$J$16</c:f>
              <c:strCache>
                <c:ptCount val="9"/>
                <c:pt idx="0">
                  <c:v>NSW</c:v>
                </c:pt>
                <c:pt idx="1">
                  <c:v>Vic</c:v>
                </c:pt>
                <c:pt idx="2">
                  <c:v>Qld</c:v>
                </c:pt>
                <c:pt idx="3">
                  <c:v>WA</c:v>
                </c:pt>
                <c:pt idx="4">
                  <c:v>SA</c:v>
                </c:pt>
                <c:pt idx="5">
                  <c:v>Tas</c:v>
                </c:pt>
                <c:pt idx="6">
                  <c:v>ACT</c:v>
                </c:pt>
                <c:pt idx="7">
                  <c:v>NT</c:v>
                </c:pt>
                <c:pt idx="8">
                  <c:v>Aust</c:v>
                </c:pt>
              </c:strCache>
            </c:strRef>
          </c:cat>
          <c:val>
            <c:numRef>
              <c:f>'fig B.11'!$B$26:$J$26</c:f>
              <c:numCache>
                <c:formatCode>###\ ###\ ##0.0;\-###\ ###\ ##0.0;"–"</c:formatCode>
                <c:ptCount val="9"/>
                <c:pt idx="0">
                  <c:v>81</c:v>
                </c:pt>
                <c:pt idx="1">
                  <c:v>82.3</c:v>
                </c:pt>
                <c:pt idx="2">
                  <c:v>79.2</c:v>
                </c:pt>
                <c:pt idx="3">
                  <c:v>80</c:v>
                </c:pt>
                <c:pt idx="4">
                  <c:v>76.7</c:v>
                </c:pt>
                <c:pt idx="5">
                  <c:v>71.5</c:v>
                </c:pt>
                <c:pt idx="6">
                  <c:v>91.1</c:v>
                </c:pt>
                <c:pt idx="7">
                  <c:v>79.8</c:v>
                </c:pt>
                <c:pt idx="8">
                  <c:v>80.5</c:v>
                </c:pt>
              </c:numCache>
            </c:numRef>
          </c:val>
        </c:ser>
        <c:dLbls>
          <c:showLegendKey val="0"/>
          <c:showVal val="0"/>
          <c:showCatName val="0"/>
          <c:showSerName val="0"/>
          <c:showPercent val="0"/>
          <c:showBubbleSize val="0"/>
        </c:dLbls>
        <c:gapWidth val="150"/>
        <c:axId val="128329600"/>
        <c:axId val="128331136"/>
      </c:barChart>
      <c:catAx>
        <c:axId val="128329600"/>
        <c:scaling>
          <c:orientation val="minMax"/>
        </c:scaling>
        <c:delete val="0"/>
        <c:axPos val="b"/>
        <c:numFmt formatCode="General" sourceLinked="0"/>
        <c:majorTickMark val="none"/>
        <c:minorTickMark val="none"/>
        <c:tickLblPos val="nextTo"/>
        <c:spPr>
          <a:ln>
            <a:solidFill>
              <a:srgbClr val="BFBFBF"/>
            </a:solidFill>
          </a:ln>
        </c:spPr>
        <c:txPr>
          <a:bodyPr/>
          <a:lstStyle/>
          <a:p>
            <a:pPr>
              <a:defRPr sz="900" b="0" i="0">
                <a:latin typeface="Arial"/>
                <a:ea typeface="Arial"/>
                <a:cs typeface="Arial"/>
              </a:defRPr>
            </a:pPr>
            <a:endParaRPr lang="en-US"/>
          </a:p>
        </c:txPr>
        <c:crossAx val="128331136"/>
        <c:crosses val="autoZero"/>
        <c:auto val="1"/>
        <c:lblAlgn val="ctr"/>
        <c:lblOffset val="100"/>
        <c:noMultiLvlLbl val="0"/>
      </c:catAx>
      <c:valAx>
        <c:axId val="128331136"/>
        <c:scaling>
          <c:orientation val="minMax"/>
          <c:max val="100"/>
        </c:scaling>
        <c:delete val="0"/>
        <c:axPos val="l"/>
        <c:majorGridlines>
          <c:spPr>
            <a:ln w="9525" cap="flat" cmpd="sng" algn="ctr">
              <a:noFill/>
              <a:prstDash val="solid"/>
              <a:round/>
            </a:ln>
            <a:effectLst/>
            <a:extLst>
              <a:ext uri="{91240B29-F687-4F45-9708-019B960494DF}">
                <a14:hiddenLine xmlns:a14="http://schemas.microsoft.com/office/drawing/2010/main" w="9525" cap="flat" cmpd="sng" algn="ctr">
                  <a:solidFill>
                    <a:sysClr val="windowText" lastClr="000000">
                      <a:tint val="75000"/>
                      <a:shade val="95000"/>
                      <a:satMod val="105000"/>
                    </a:sysClr>
                  </a:solidFill>
                  <a:prstDash val="solid"/>
                  <a:round/>
                </a14:hiddenLine>
              </a:ext>
            </a:extLst>
          </c:spPr>
        </c:majorGridlines>
        <c:title>
          <c:tx>
            <c:rich>
              <a:bodyPr rot="-5400000" vert="horz"/>
              <a:lstStyle/>
              <a:p>
                <a:pPr>
                  <a:defRPr sz="900">
                    <a:latin typeface="arial"/>
                    <a:ea typeface="arial"/>
                    <a:cs typeface="arial"/>
                  </a:defRPr>
                </a:pPr>
                <a:r>
                  <a:rPr lang="en-AU"/>
                  <a:t>Per cent</a:t>
                </a:r>
              </a:p>
            </c:rich>
          </c:tx>
          <c:layout/>
          <c:overlay val="0"/>
        </c:title>
        <c:numFmt formatCode="0" sourceLinked="0"/>
        <c:majorTickMark val="out"/>
        <c:minorTickMark val="none"/>
        <c:tickLblPos val="nextTo"/>
        <c:spPr>
          <a:ln>
            <a:solidFill>
              <a:srgbClr val="BFBFBF"/>
            </a:solidFill>
          </a:ln>
        </c:spPr>
        <c:txPr>
          <a:bodyPr/>
          <a:lstStyle/>
          <a:p>
            <a:pPr>
              <a:defRPr sz="900" b="0" i="0">
                <a:latin typeface="Arial"/>
                <a:ea typeface="Arial"/>
                <a:cs typeface="Arial"/>
              </a:defRPr>
            </a:pPr>
            <a:endParaRPr lang="en-US"/>
          </a:p>
        </c:txPr>
        <c:crossAx val="128329600"/>
        <c:crosses val="autoZero"/>
        <c:crossBetween val="between"/>
        <c:majorUnit val="20"/>
      </c:valAx>
      <c:spPr>
        <a:noFill/>
        <a:ln>
          <a:noFill/>
          <a:round/>
        </a:ln>
        <a:effectLst/>
        <a:extLst>
          <a:ext uri="{91240B29-F687-4F45-9708-019B960494DF}">
            <a14:hiddenLine xmlns:a14="http://schemas.microsoft.com/office/drawing/2010/main">
              <a:solidFill>
                <a:sysClr val="windowText" lastClr="000000"/>
              </a:solidFill>
              <a:round/>
            </a14:hiddenLine>
          </a:ext>
        </a:extLst>
      </c:spPr>
    </c:plotArea>
    <c:legend>
      <c:legendPos val="b"/>
      <c:legendEntry>
        <c:idx val="1"/>
        <c:delete val="1"/>
      </c:legendEntry>
      <c:legendEntry>
        <c:idx val="2"/>
        <c:delete val="1"/>
      </c:legendEntry>
      <c:legendEntry>
        <c:idx val="3"/>
        <c:delete val="1"/>
      </c:legendEntry>
      <c:layout/>
      <c:overlay val="0"/>
      <c:spPr>
        <a:noFill/>
        <a:ln>
          <a:noFill/>
          <a:round/>
        </a:ln>
        <a:effectLst/>
        <a:extLst>
          <a:ext uri="{91240B29-F687-4F45-9708-019B960494DF}">
            <a14:hiddenLine xmlns:a14="http://schemas.microsoft.com/office/drawing/2010/main">
              <a:solidFill>
                <a:sysClr val="windowText" lastClr="000000"/>
              </a:solidFill>
              <a:round/>
            </a14:hiddenLine>
          </a:ext>
        </a:extLst>
      </c:spPr>
      <c:txPr>
        <a:bodyPr/>
        <a:lstStyle/>
        <a:p>
          <a:pPr>
            <a:defRPr sz="900" b="0" i="0">
              <a:latin typeface="Arial"/>
            </a:defRPr>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7A96E-3B85-4DFB-9CD4-EC3DBB4D2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723</TotalTime>
  <Pages>24</Pages>
  <Words>5866</Words>
  <Characters>33824</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Sector Overview B - Child Care, Education and Training - Report on Goverment Services 2017</vt:lpstr>
    </vt:vector>
  </TitlesOfParts>
  <Company>Productivity Commission</Company>
  <LinksUpToDate>false</LinksUpToDate>
  <CharactersWithSpaces>39611</CharactersWithSpaces>
  <SharedDoc>false</SharedDoc>
  <HLinks>
    <vt:vector size="36" baseType="variant">
      <vt:variant>
        <vt:i4>1638452</vt:i4>
      </vt:variant>
      <vt:variant>
        <vt:i4>32</vt:i4>
      </vt:variant>
      <vt:variant>
        <vt:i4>0</vt:i4>
      </vt:variant>
      <vt:variant>
        <vt:i4>5</vt:i4>
      </vt:variant>
      <vt:variant>
        <vt:lpwstr/>
      </vt:variant>
      <vt:variant>
        <vt:lpwstr>_Toc306790890</vt:lpwstr>
      </vt:variant>
      <vt:variant>
        <vt:i4>1572916</vt:i4>
      </vt:variant>
      <vt:variant>
        <vt:i4>26</vt:i4>
      </vt:variant>
      <vt:variant>
        <vt:i4>0</vt:i4>
      </vt:variant>
      <vt:variant>
        <vt:i4>5</vt:i4>
      </vt:variant>
      <vt:variant>
        <vt:lpwstr/>
      </vt:variant>
      <vt:variant>
        <vt:lpwstr>_Toc306790889</vt:lpwstr>
      </vt:variant>
      <vt:variant>
        <vt:i4>1572916</vt:i4>
      </vt:variant>
      <vt:variant>
        <vt:i4>20</vt:i4>
      </vt:variant>
      <vt:variant>
        <vt:i4>0</vt:i4>
      </vt:variant>
      <vt:variant>
        <vt:i4>5</vt:i4>
      </vt:variant>
      <vt:variant>
        <vt:lpwstr/>
      </vt:variant>
      <vt:variant>
        <vt:lpwstr>_Toc306790888</vt:lpwstr>
      </vt:variant>
      <vt:variant>
        <vt:i4>1572916</vt:i4>
      </vt:variant>
      <vt:variant>
        <vt:i4>14</vt:i4>
      </vt:variant>
      <vt:variant>
        <vt:i4>0</vt:i4>
      </vt:variant>
      <vt:variant>
        <vt:i4>5</vt:i4>
      </vt:variant>
      <vt:variant>
        <vt:lpwstr/>
      </vt:variant>
      <vt:variant>
        <vt:lpwstr>_Toc306790887</vt:lpwstr>
      </vt:variant>
      <vt:variant>
        <vt:i4>1572916</vt:i4>
      </vt:variant>
      <vt:variant>
        <vt:i4>8</vt:i4>
      </vt:variant>
      <vt:variant>
        <vt:i4>0</vt:i4>
      </vt:variant>
      <vt:variant>
        <vt:i4>5</vt:i4>
      </vt:variant>
      <vt:variant>
        <vt:lpwstr/>
      </vt:variant>
      <vt:variant>
        <vt:lpwstr>_Toc306790886</vt:lpwstr>
      </vt:variant>
      <vt:variant>
        <vt:i4>1572916</vt:i4>
      </vt:variant>
      <vt:variant>
        <vt:i4>2</vt:i4>
      </vt:variant>
      <vt:variant>
        <vt:i4>0</vt:i4>
      </vt:variant>
      <vt:variant>
        <vt:i4>5</vt:i4>
      </vt:variant>
      <vt:variant>
        <vt:lpwstr/>
      </vt:variant>
      <vt:variant>
        <vt:lpwstr>_Toc306790885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Sector Overview B - Child Care, Education and Training - Report on Goverment Services 2017</dc:title>
  <dc:creator>Steering Committee for the Review of Government Service Provision</dc:creator>
  <cp:lastModifiedBy>Frech, Tanya</cp:lastModifiedBy>
  <cp:revision>67</cp:revision>
  <cp:lastPrinted>2017-01-22T23:09:00Z</cp:lastPrinted>
  <dcterms:created xsi:type="dcterms:W3CDTF">2016-11-28T02:06:00Z</dcterms:created>
  <dcterms:modified xsi:type="dcterms:W3CDTF">2017-01-22T23:10:00Z</dcterms:modified>
</cp:coreProperties>
</file>