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Pr="001F7D2F" w:rsidRDefault="001A548F" w:rsidP="001A548F">
      <w:pPr>
        <w:pStyle w:val="Heading1"/>
        <w:spacing w:before="0"/>
        <w:rPr>
          <w:color w:val="000000" w:themeColor="text1"/>
        </w:rPr>
      </w:pPr>
      <w:bookmarkStart w:id="0" w:name="ChapterNumber"/>
      <w:bookmarkStart w:id="1" w:name="_Toc440965320"/>
      <w:r w:rsidRPr="001F7D2F">
        <w:rPr>
          <w:color w:val="000000" w:themeColor="text1"/>
        </w:rPr>
        <w:t>9</w:t>
      </w:r>
      <w:bookmarkEnd w:id="0"/>
      <w:r w:rsidRPr="001F7D2F">
        <w:rPr>
          <w:color w:val="000000" w:themeColor="text1"/>
        </w:rPr>
        <w:tab/>
      </w:r>
      <w:bookmarkStart w:id="2" w:name="ChapterTitle"/>
      <w:r w:rsidR="00EF13F9" w:rsidRPr="001F7D2F">
        <w:rPr>
          <w:color w:val="000000" w:themeColor="text1"/>
        </w:rPr>
        <w:t xml:space="preserve">Emergency services for fire </w:t>
      </w:r>
      <w:r w:rsidR="002E480A" w:rsidRPr="001F7D2F">
        <w:rPr>
          <w:color w:val="000000" w:themeColor="text1"/>
        </w:rPr>
        <w:t>event</w:t>
      </w:r>
      <w:bookmarkEnd w:id="2"/>
      <w:bookmarkEnd w:id="1"/>
      <w:r w:rsidR="003F35C0" w:rsidRPr="001F7D2F">
        <w:rPr>
          <w:color w:val="000000" w:themeColor="text1"/>
        </w:rPr>
        <w:t>s</w:t>
      </w:r>
    </w:p>
    <w:p w:rsidR="002F26CB" w:rsidRDefault="001A548F" w:rsidP="001A548F">
      <w:pPr>
        <w:pStyle w:val="Heading4"/>
        <w:rPr>
          <w:noProof/>
        </w:rPr>
      </w:pPr>
      <w:bookmarkStart w:id="3" w:name="begin"/>
      <w:bookmarkEnd w:id="3"/>
      <w:r w:rsidRPr="006313C7">
        <w:t>CONTENTS</w:t>
      </w:r>
    </w:p>
    <w:p w:rsidR="002F26CB" w:rsidRDefault="002F26CB">
      <w:pPr>
        <w:pStyle w:val="TOC2"/>
        <w:tabs>
          <w:tab w:val="left" w:pos="1134"/>
        </w:tabs>
        <w:rPr>
          <w:rFonts w:asciiTheme="minorHAnsi" w:eastAsiaTheme="minorEastAsia" w:hAnsiTheme="minorHAnsi" w:cstheme="minorBidi"/>
          <w:noProof/>
          <w:sz w:val="22"/>
          <w:szCs w:val="22"/>
          <w:lang w:eastAsia="en-AU"/>
        </w:rPr>
      </w:pPr>
      <w:r w:rsidRPr="00D56F23">
        <w:rPr>
          <w:noProof/>
        </w:rPr>
        <w:t>9.1</w:t>
      </w:r>
      <w:r>
        <w:rPr>
          <w:rFonts w:asciiTheme="minorHAnsi" w:eastAsiaTheme="minorEastAsia" w:hAnsiTheme="minorHAnsi" w:cstheme="minorBidi"/>
          <w:noProof/>
          <w:sz w:val="22"/>
          <w:szCs w:val="22"/>
          <w:lang w:eastAsia="en-AU"/>
        </w:rPr>
        <w:tab/>
      </w:r>
      <w:r w:rsidRPr="00D56F23">
        <w:rPr>
          <w:noProof/>
        </w:rPr>
        <w:t>Profile of emergency services for fire events</w:t>
      </w:r>
      <w:r>
        <w:rPr>
          <w:noProof/>
          <w:webHidden/>
        </w:rPr>
        <w:tab/>
      </w:r>
      <w:r w:rsidR="00CF43AE">
        <w:rPr>
          <w:noProof/>
          <w:webHidden/>
        </w:rPr>
        <w:t>9.</w:t>
      </w:r>
      <w:r w:rsidR="002C6D1E">
        <w:rPr>
          <w:noProof/>
          <w:webHidden/>
        </w:rPr>
        <w:t>1</w:t>
      </w:r>
    </w:p>
    <w:p w:rsidR="002F26CB" w:rsidRDefault="002F26CB">
      <w:pPr>
        <w:pStyle w:val="TOC2"/>
        <w:tabs>
          <w:tab w:val="left" w:pos="1134"/>
        </w:tabs>
        <w:rPr>
          <w:rFonts w:asciiTheme="minorHAnsi" w:eastAsiaTheme="minorEastAsia" w:hAnsiTheme="minorHAnsi" w:cstheme="minorBidi"/>
          <w:noProof/>
          <w:sz w:val="22"/>
          <w:szCs w:val="22"/>
          <w:lang w:eastAsia="en-AU"/>
        </w:rPr>
      </w:pPr>
      <w:r w:rsidRPr="00D56F23">
        <w:rPr>
          <w:noProof/>
        </w:rPr>
        <w:t>9.2</w:t>
      </w:r>
      <w:r>
        <w:rPr>
          <w:rFonts w:asciiTheme="minorHAnsi" w:eastAsiaTheme="minorEastAsia" w:hAnsiTheme="minorHAnsi" w:cstheme="minorBidi"/>
          <w:noProof/>
          <w:sz w:val="22"/>
          <w:szCs w:val="22"/>
          <w:lang w:eastAsia="en-AU"/>
        </w:rPr>
        <w:tab/>
      </w:r>
      <w:r w:rsidRPr="00D56F23">
        <w:rPr>
          <w:noProof/>
        </w:rPr>
        <w:t>Fram</w:t>
      </w:r>
      <w:r w:rsidR="00C045C8" w:rsidRPr="00D56F23">
        <w:rPr>
          <w:noProof/>
        </w:rPr>
        <w:t>ework of performance indicators</w:t>
      </w:r>
      <w:r>
        <w:rPr>
          <w:noProof/>
          <w:webHidden/>
        </w:rPr>
        <w:tab/>
      </w:r>
      <w:r w:rsidR="00CF43AE">
        <w:rPr>
          <w:noProof/>
          <w:webHidden/>
        </w:rPr>
        <w:t>9.</w:t>
      </w:r>
      <w:r w:rsidR="002C6D1E">
        <w:rPr>
          <w:noProof/>
          <w:webHidden/>
        </w:rPr>
        <w:t>3</w:t>
      </w:r>
    </w:p>
    <w:p w:rsidR="002F26CB" w:rsidRDefault="002F26CB">
      <w:pPr>
        <w:pStyle w:val="TOC2"/>
        <w:tabs>
          <w:tab w:val="left" w:pos="1134"/>
        </w:tabs>
        <w:rPr>
          <w:rFonts w:asciiTheme="minorHAnsi" w:eastAsiaTheme="minorEastAsia" w:hAnsiTheme="minorHAnsi" w:cstheme="minorBidi"/>
          <w:noProof/>
          <w:sz w:val="22"/>
          <w:szCs w:val="22"/>
          <w:lang w:eastAsia="en-AU"/>
        </w:rPr>
      </w:pPr>
      <w:r w:rsidRPr="00D56F23">
        <w:rPr>
          <w:noProof/>
        </w:rPr>
        <w:t>9.3</w:t>
      </w:r>
      <w:r>
        <w:rPr>
          <w:rFonts w:asciiTheme="minorHAnsi" w:eastAsiaTheme="minorEastAsia" w:hAnsiTheme="minorHAnsi" w:cstheme="minorBidi"/>
          <w:noProof/>
          <w:sz w:val="22"/>
          <w:szCs w:val="22"/>
          <w:lang w:eastAsia="en-AU"/>
        </w:rPr>
        <w:tab/>
      </w:r>
      <w:r w:rsidRPr="00D56F23">
        <w:rPr>
          <w:noProof/>
        </w:rPr>
        <w:t>Key</w:t>
      </w:r>
      <w:r w:rsidR="00C045C8" w:rsidRPr="00D56F23">
        <w:rPr>
          <w:noProof/>
        </w:rPr>
        <w:t xml:space="preserve"> performance indicator results</w:t>
      </w:r>
      <w:r>
        <w:rPr>
          <w:noProof/>
          <w:webHidden/>
        </w:rPr>
        <w:tab/>
      </w:r>
      <w:r w:rsidR="00CF43AE">
        <w:rPr>
          <w:noProof/>
          <w:webHidden/>
        </w:rPr>
        <w:t>9.</w:t>
      </w:r>
      <w:r w:rsidR="002C6D1E">
        <w:rPr>
          <w:noProof/>
          <w:webHidden/>
        </w:rPr>
        <w:t>5</w:t>
      </w:r>
    </w:p>
    <w:p w:rsidR="002F26CB" w:rsidRDefault="002F26CB">
      <w:pPr>
        <w:pStyle w:val="TOC2"/>
        <w:tabs>
          <w:tab w:val="left" w:pos="1134"/>
        </w:tabs>
        <w:rPr>
          <w:rFonts w:asciiTheme="minorHAnsi" w:eastAsiaTheme="minorEastAsia" w:hAnsiTheme="minorHAnsi" w:cstheme="minorBidi"/>
          <w:noProof/>
          <w:sz w:val="22"/>
          <w:szCs w:val="22"/>
          <w:lang w:eastAsia="en-AU"/>
        </w:rPr>
      </w:pPr>
      <w:r w:rsidRPr="00D56F23">
        <w:rPr>
          <w:noProof/>
        </w:rPr>
        <w:t>9.</w:t>
      </w:r>
      <w:r w:rsidR="0067515A" w:rsidRPr="00D56F23">
        <w:rPr>
          <w:noProof/>
        </w:rPr>
        <w:t>4</w:t>
      </w:r>
      <w:r>
        <w:rPr>
          <w:rFonts w:asciiTheme="minorHAnsi" w:eastAsiaTheme="minorEastAsia" w:hAnsiTheme="minorHAnsi" w:cstheme="minorBidi"/>
          <w:noProof/>
          <w:sz w:val="22"/>
          <w:szCs w:val="22"/>
          <w:lang w:eastAsia="en-AU"/>
        </w:rPr>
        <w:tab/>
      </w:r>
      <w:r w:rsidRPr="00D56F23">
        <w:rPr>
          <w:noProof/>
        </w:rPr>
        <w:t>Definitions of key terms</w:t>
      </w:r>
      <w:r>
        <w:rPr>
          <w:noProof/>
          <w:webHidden/>
        </w:rPr>
        <w:tab/>
      </w:r>
      <w:r w:rsidR="00CF43AE">
        <w:rPr>
          <w:noProof/>
          <w:webHidden/>
        </w:rPr>
        <w:t>9.</w:t>
      </w:r>
      <w:r w:rsidR="002C6D1E">
        <w:rPr>
          <w:noProof/>
          <w:webHidden/>
        </w:rPr>
        <w:t>23</w:t>
      </w:r>
    </w:p>
    <w:p w:rsidR="002F26CB" w:rsidRDefault="002F26CB">
      <w:pPr>
        <w:pStyle w:val="TOC2"/>
        <w:tabs>
          <w:tab w:val="left" w:pos="1320"/>
        </w:tabs>
        <w:rPr>
          <w:rFonts w:asciiTheme="minorHAnsi" w:eastAsiaTheme="minorEastAsia" w:hAnsiTheme="minorHAnsi" w:cstheme="minorBidi"/>
          <w:noProof/>
          <w:sz w:val="22"/>
          <w:szCs w:val="22"/>
          <w:lang w:eastAsia="en-AU"/>
        </w:rPr>
      </w:pPr>
      <w:r w:rsidRPr="00D56F23">
        <w:rPr>
          <w:noProof/>
        </w:rPr>
        <w:t>9.</w:t>
      </w:r>
      <w:r w:rsidR="00CF29EE" w:rsidRPr="00D56F23">
        <w:rPr>
          <w:noProof/>
        </w:rPr>
        <w:t>5</w:t>
      </w:r>
      <w:r>
        <w:rPr>
          <w:rFonts w:asciiTheme="minorHAnsi" w:eastAsiaTheme="minorEastAsia" w:hAnsiTheme="minorHAnsi" w:cstheme="minorBidi"/>
          <w:noProof/>
          <w:sz w:val="22"/>
          <w:szCs w:val="22"/>
          <w:lang w:eastAsia="en-AU"/>
        </w:rPr>
        <w:tab/>
      </w:r>
      <w:r w:rsidRPr="00D56F23">
        <w:rPr>
          <w:noProof/>
        </w:rPr>
        <w:t>References</w:t>
      </w:r>
      <w:r>
        <w:rPr>
          <w:noProof/>
          <w:webHidden/>
        </w:rPr>
        <w:tab/>
      </w:r>
      <w:r w:rsidR="00CF43AE">
        <w:rPr>
          <w:noProof/>
          <w:webHidden/>
        </w:rPr>
        <w:t>9.</w:t>
      </w:r>
      <w:r w:rsidR="002C6D1E">
        <w:rPr>
          <w:noProof/>
          <w:webHidden/>
        </w:rPr>
        <w:t>24</w:t>
      </w:r>
    </w:p>
    <w:p w:rsidR="001A548F" w:rsidRDefault="001A548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A548F" w:rsidTr="00117B3B">
        <w:tc>
          <w:tcPr>
            <w:tcW w:w="8771" w:type="dxa"/>
            <w:tcBorders>
              <w:top w:val="single" w:sz="6" w:space="0" w:color="78A22F"/>
              <w:left w:val="nil"/>
              <w:bottom w:val="nil"/>
              <w:right w:val="nil"/>
            </w:tcBorders>
            <w:shd w:val="clear" w:color="auto" w:fill="F2F2F2"/>
          </w:tcPr>
          <w:p w:rsidR="001A548F" w:rsidRDefault="001A548F">
            <w:pPr>
              <w:pStyle w:val="BoxTitle"/>
            </w:pPr>
            <w:r>
              <w:t>Attachment tables</w:t>
            </w:r>
          </w:p>
        </w:tc>
      </w:tr>
      <w:tr w:rsidR="001A548F" w:rsidTr="00117B3B">
        <w:trPr>
          <w:cantSplit/>
        </w:trPr>
        <w:tc>
          <w:tcPr>
            <w:tcW w:w="8771" w:type="dxa"/>
            <w:tcBorders>
              <w:top w:val="nil"/>
              <w:left w:val="nil"/>
              <w:bottom w:val="nil"/>
              <w:right w:val="nil"/>
            </w:tcBorders>
            <w:shd w:val="clear" w:color="auto" w:fill="F2F2F2"/>
          </w:tcPr>
          <w:p w:rsidR="001A548F" w:rsidRDefault="000F0D46" w:rsidP="00E76EBE">
            <w:pPr>
              <w:pStyle w:val="Box"/>
            </w:pPr>
            <w:r w:rsidRPr="000F0D46">
              <w:t>Attachment tables are identified in references</w:t>
            </w:r>
            <w:r>
              <w:t xml:space="preserve"> throughout this chapter by a ‘</w:t>
            </w:r>
            <w:proofErr w:type="spellStart"/>
            <w:r>
              <w:t>9</w:t>
            </w:r>
            <w:r w:rsidRPr="000F0D46">
              <w:t>A</w:t>
            </w:r>
            <w:proofErr w:type="spellEnd"/>
            <w:r w:rsidRPr="000F0D46">
              <w:t>’ prefix (for example, table </w:t>
            </w:r>
            <w:proofErr w:type="spellStart"/>
            <w:r>
              <w:t>9</w:t>
            </w:r>
            <w:r w:rsidRPr="000F0D46">
              <w:t>A.1</w:t>
            </w:r>
            <w:proofErr w:type="spellEnd"/>
            <w:r w:rsidRPr="000F0D46">
              <w:t xml:space="preserve">) and are available </w:t>
            </w:r>
            <w:r w:rsidR="00E76EBE" w:rsidRPr="00E76EBE">
              <w:t xml:space="preserve">from the website </w:t>
            </w:r>
            <w:proofErr w:type="spellStart"/>
            <w:r w:rsidR="00E76EBE" w:rsidRPr="00E76EBE">
              <w:t>www.pc.gov.au</w:t>
            </w:r>
            <w:proofErr w:type="spellEnd"/>
            <w:r w:rsidR="00E76EBE" w:rsidRPr="00E76EBE">
              <w:t>/</w:t>
            </w:r>
            <w:proofErr w:type="spellStart"/>
            <w:r w:rsidR="00E76EBE" w:rsidRPr="00E76EBE">
              <w:t>rogs</w:t>
            </w:r>
            <w:proofErr w:type="spellEnd"/>
            <w:r w:rsidR="00E76EBE" w:rsidRPr="00E76EBE">
              <w:t>/2017.</w:t>
            </w:r>
          </w:p>
        </w:tc>
      </w:tr>
      <w:tr w:rsidR="001A548F" w:rsidTr="00117B3B">
        <w:trPr>
          <w:cantSplit/>
        </w:trPr>
        <w:tc>
          <w:tcPr>
            <w:tcW w:w="8771" w:type="dxa"/>
            <w:tcBorders>
              <w:top w:val="nil"/>
              <w:left w:val="nil"/>
              <w:bottom w:val="single" w:sz="6" w:space="0" w:color="78A22F"/>
              <w:right w:val="nil"/>
            </w:tcBorders>
            <w:shd w:val="clear" w:color="auto" w:fill="F2F2F2"/>
          </w:tcPr>
          <w:p w:rsidR="001A548F" w:rsidRDefault="001A548F">
            <w:pPr>
              <w:pStyle w:val="Box"/>
              <w:spacing w:before="0" w:line="120" w:lineRule="exact"/>
            </w:pPr>
          </w:p>
        </w:tc>
      </w:tr>
      <w:tr w:rsidR="001A548F" w:rsidRPr="000863A5" w:rsidTr="00117B3B">
        <w:tc>
          <w:tcPr>
            <w:tcW w:w="8771" w:type="dxa"/>
            <w:tcBorders>
              <w:top w:val="single" w:sz="6" w:space="0" w:color="78A22F"/>
              <w:left w:val="nil"/>
              <w:bottom w:val="nil"/>
              <w:right w:val="nil"/>
            </w:tcBorders>
          </w:tcPr>
          <w:p w:rsidR="001A548F" w:rsidRPr="00AE522B" w:rsidRDefault="001A548F" w:rsidP="00117B3B">
            <w:pPr>
              <w:pStyle w:val="BoxSpaceBelow"/>
              <w:rPr>
                <w:color w:val="FF00FF"/>
              </w:rPr>
            </w:pPr>
          </w:p>
        </w:tc>
      </w:tr>
    </w:tbl>
    <w:p w:rsidR="007E6528" w:rsidRDefault="007E6528" w:rsidP="007E6528">
      <w:pPr>
        <w:pStyle w:val="BodyText"/>
      </w:pPr>
      <w:r>
        <w:t>This chapter reports performance information for emergency services for fire events.</w:t>
      </w:r>
    </w:p>
    <w:p w:rsidR="007E6528" w:rsidRDefault="007E6528" w:rsidP="007E6528">
      <w:pPr>
        <w:pStyle w:val="BodyText"/>
      </w:pPr>
      <w:r>
        <w:t>In future reports, the scope of this chapter will be extended to include other emergency services that prepare for, respond to, and recover from, any emergency event.</w:t>
      </w:r>
    </w:p>
    <w:p w:rsidR="007E6528" w:rsidRDefault="007E6528" w:rsidP="007E6528">
      <w:pPr>
        <w:pStyle w:val="BodyText"/>
        <w:rPr>
          <w:rStyle w:val="DraftingNote"/>
          <w:b w:val="0"/>
          <w:color w:val="auto"/>
          <w:u w:val="none"/>
        </w:rPr>
      </w:pPr>
      <w:r>
        <w:t xml:space="preserve">All abbreviations used in this Report are available in a complete list in volume A: Approach to performance reporting. </w:t>
      </w:r>
    </w:p>
    <w:p w:rsidR="001A548F" w:rsidRPr="0085146E" w:rsidRDefault="001A548F" w:rsidP="001A548F">
      <w:pPr>
        <w:pStyle w:val="Heading2"/>
        <w:rPr>
          <w:color w:val="000000" w:themeColor="text1"/>
        </w:rPr>
      </w:pPr>
      <w:bookmarkStart w:id="4" w:name="_Toc440965321"/>
      <w:r>
        <w:t>9.</w:t>
      </w:r>
      <w:r w:rsidR="002C6D1E">
        <w:rPr>
          <w:noProof/>
        </w:rPr>
        <w:t>1</w:t>
      </w:r>
      <w:r>
        <w:tab/>
      </w:r>
      <w:r w:rsidRPr="00A05A09">
        <w:t xml:space="preserve">Profile of </w:t>
      </w:r>
      <w:r w:rsidRPr="0085146E">
        <w:rPr>
          <w:color w:val="000000" w:themeColor="text1"/>
        </w:rPr>
        <w:t>emergency services for fire events</w:t>
      </w:r>
      <w:bookmarkEnd w:id="4"/>
    </w:p>
    <w:p w:rsidR="00B71F6B" w:rsidRPr="0085146E" w:rsidRDefault="00B71F6B" w:rsidP="00B71F6B">
      <w:pPr>
        <w:pStyle w:val="Heading3"/>
        <w:rPr>
          <w:color w:val="000000" w:themeColor="text1"/>
        </w:rPr>
      </w:pPr>
      <w:r w:rsidRPr="0085146E">
        <w:rPr>
          <w:color w:val="000000" w:themeColor="text1"/>
        </w:rPr>
        <w:t>Service overview</w:t>
      </w:r>
    </w:p>
    <w:p w:rsidR="001A548F" w:rsidRPr="00A05A09" w:rsidRDefault="001A548F" w:rsidP="001A548F">
      <w:pPr>
        <w:pStyle w:val="BodyText"/>
      </w:pPr>
      <w:r w:rsidRPr="00A05A09">
        <w:t>A fire event is an incident that is reported to a fire service organisation and requires a response. Fire events include (but are not limited to):</w:t>
      </w:r>
    </w:p>
    <w:p w:rsidR="001A548F" w:rsidRPr="00A31AAF" w:rsidRDefault="001A548F" w:rsidP="001A548F">
      <w:pPr>
        <w:pStyle w:val="ListBullet"/>
      </w:pPr>
      <w:r w:rsidRPr="00A31AAF">
        <w:t>structure fires (that is, fires inside a building or structure), regardless of whether there is damage to the structure</w:t>
      </w:r>
    </w:p>
    <w:p w:rsidR="001A548F" w:rsidRPr="00A31AAF" w:rsidRDefault="001A548F" w:rsidP="001A548F">
      <w:pPr>
        <w:pStyle w:val="ListBullet"/>
      </w:pPr>
      <w:r w:rsidRPr="00A31AAF">
        <w:t>landscape fires, including bushfires and grass fires, regardless of the size of the area burn</w:t>
      </w:r>
    </w:p>
    <w:p w:rsidR="001A548F" w:rsidRDefault="001A548F" w:rsidP="001A548F">
      <w:pPr>
        <w:pStyle w:val="ListBullet"/>
      </w:pPr>
      <w:r w:rsidRPr="00A31AAF">
        <w:t>other fires, including vehicle and other mobile property fires, and outside rubbish fires.</w:t>
      </w:r>
    </w:p>
    <w:p w:rsidR="001A548F" w:rsidRPr="002605A8" w:rsidRDefault="001A548F" w:rsidP="001A548F">
      <w:pPr>
        <w:pStyle w:val="Heading3"/>
      </w:pPr>
      <w:r>
        <w:lastRenderedPageBreak/>
        <w:t>Roles and responsibilities</w:t>
      </w:r>
    </w:p>
    <w:p w:rsidR="001A548F" w:rsidRPr="00762260" w:rsidRDefault="004F30B3" w:rsidP="00762260">
      <w:pPr>
        <w:pStyle w:val="BodyText"/>
      </w:pPr>
      <w:r w:rsidRPr="00762260">
        <w:t>Fire</w:t>
      </w:r>
      <w:r w:rsidR="001A548F" w:rsidRPr="00762260">
        <w:t xml:space="preserve"> service organisations are one of the primary agencies involved in providing emergency management services for fire events. The role of fire service organisations varies across jurisdictions but commonly includes prevention/mitigation, preparedness, response and recovery activities and services for each jurisdiction. Detailed activities by jurisdiction are available in table </w:t>
      </w:r>
      <w:proofErr w:type="spellStart"/>
      <w:r w:rsidR="001A548F" w:rsidRPr="00762260">
        <w:t>9A.1</w:t>
      </w:r>
      <w:proofErr w:type="spellEnd"/>
      <w:r w:rsidR="001A548F" w:rsidRPr="00762260">
        <w:t>.</w:t>
      </w:r>
    </w:p>
    <w:p w:rsidR="001A548F" w:rsidRPr="00762260" w:rsidRDefault="001A548F" w:rsidP="00762260">
      <w:pPr>
        <w:pStyle w:val="BodyText"/>
      </w:pPr>
      <w:r w:rsidRPr="00762260">
        <w:t xml:space="preserve">Each </w:t>
      </w:r>
      <w:r w:rsidR="009C34E2" w:rsidRPr="00762260">
        <w:t xml:space="preserve">State and Territory government </w:t>
      </w:r>
      <w:r w:rsidRPr="00762260">
        <w:t>operates multiple fire service agencies, which service different populations and geographic areas according to specified governance arrangements (table </w:t>
      </w:r>
      <w:proofErr w:type="spellStart"/>
      <w:r w:rsidRPr="00762260">
        <w:t>9A.2</w:t>
      </w:r>
      <w:proofErr w:type="spellEnd"/>
      <w:r w:rsidRPr="00762260">
        <w:t>). Fire service organisations work closely with other government departments and agencies that also have responsibilities in the case of fire events</w:t>
      </w:r>
      <w:r w:rsidR="0036235C" w:rsidRPr="00762260">
        <w:t xml:space="preserve"> </w:t>
      </w:r>
      <w:r w:rsidRPr="00762260">
        <w:t>(</w:t>
      </w:r>
      <w:r w:rsidR="0036235C" w:rsidRPr="00762260">
        <w:t xml:space="preserve">see </w:t>
      </w:r>
      <w:r w:rsidRPr="00762260">
        <w:t>Emergency management sector overview —table </w:t>
      </w:r>
      <w:proofErr w:type="spellStart"/>
      <w:r w:rsidRPr="00762260">
        <w:t>DA.1</w:t>
      </w:r>
      <w:proofErr w:type="spellEnd"/>
      <w:r w:rsidR="0036235C" w:rsidRPr="00762260">
        <w:t xml:space="preserve"> for a summary of emergency management organisations</w:t>
      </w:r>
      <w:r w:rsidRPr="00762260">
        <w:t>).</w:t>
      </w:r>
    </w:p>
    <w:p w:rsidR="001A548F" w:rsidRPr="00762260" w:rsidRDefault="001A548F" w:rsidP="00762260">
      <w:pPr>
        <w:pStyle w:val="BodyText"/>
      </w:pPr>
      <w:r w:rsidRPr="00762260">
        <w:t xml:space="preserve">This chapter covers the finances and activities of urban and rural fire service agencies and, for selected tables and jurisdictions, the fire event finances and activities of land management agencies (tables </w:t>
      </w:r>
      <w:proofErr w:type="spellStart"/>
      <w:r w:rsidRPr="00762260">
        <w:t>9A.2</w:t>
      </w:r>
      <w:proofErr w:type="spellEnd"/>
      <w:r w:rsidRPr="00762260">
        <w:t>–3).</w:t>
      </w:r>
    </w:p>
    <w:p w:rsidR="001A548F" w:rsidRPr="00D53333" w:rsidRDefault="001A548F" w:rsidP="001A548F">
      <w:pPr>
        <w:pStyle w:val="Heading3"/>
      </w:pPr>
      <w:r>
        <w:t>F</w:t>
      </w:r>
      <w:r w:rsidRPr="00A90E73">
        <w:t>unding</w:t>
      </w:r>
    </w:p>
    <w:p w:rsidR="00A73EBE" w:rsidRDefault="00A70065" w:rsidP="001A548F">
      <w:pPr>
        <w:pStyle w:val="BodyText"/>
        <w:rPr>
          <w:color w:val="000000" w:themeColor="text1"/>
        </w:rPr>
      </w:pPr>
      <w:r>
        <w:t>T</w:t>
      </w:r>
      <w:r w:rsidR="003D65C7" w:rsidRPr="002C5FB5">
        <w:t xml:space="preserve">he total </w:t>
      </w:r>
      <w:r>
        <w:t>revenue</w:t>
      </w:r>
      <w:r w:rsidRPr="002C5FB5">
        <w:t xml:space="preserve"> </w:t>
      </w:r>
      <w:r w:rsidR="003D65C7" w:rsidRPr="002C5FB5">
        <w:t>of fire service organisations</w:t>
      </w:r>
      <w:r w:rsidR="003D65C7">
        <w:t xml:space="preserve"> </w:t>
      </w:r>
      <w:r>
        <w:t xml:space="preserve">in 2015-16 </w:t>
      </w:r>
      <w:r w:rsidR="003D65C7">
        <w:t xml:space="preserve">was </w:t>
      </w:r>
      <w:r w:rsidR="00904637" w:rsidRPr="00441237">
        <w:t>$3.7</w:t>
      </w:r>
      <w:r w:rsidR="003D65C7" w:rsidRPr="00441237">
        <w:t xml:space="preserve"> billion</w:t>
      </w:r>
      <w:r w:rsidR="005D2194">
        <w:t xml:space="preserve"> </w:t>
      </w:r>
      <w:r w:rsidR="001A548F">
        <w:rPr>
          <w:color w:val="000000" w:themeColor="text1"/>
        </w:rPr>
        <w:t>(table</w:t>
      </w:r>
      <w:r>
        <w:rPr>
          <w:color w:val="000000" w:themeColor="text1"/>
        </w:rPr>
        <w:t> </w:t>
      </w:r>
      <w:r w:rsidR="001A548F">
        <w:rPr>
          <w:color w:val="000000" w:themeColor="text1"/>
        </w:rPr>
        <w:t xml:space="preserve">9.1). </w:t>
      </w:r>
    </w:p>
    <w:p w:rsidR="00FF1301" w:rsidRDefault="00FF1301" w:rsidP="00FF1301">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FF1301" w:rsidTr="00FF1301">
        <w:tc>
          <w:tcPr>
            <w:tcW w:w="8771" w:type="dxa"/>
            <w:tcBorders>
              <w:top w:val="single" w:sz="6" w:space="0" w:color="78A22F"/>
              <w:left w:val="nil"/>
              <w:bottom w:val="nil"/>
              <w:right w:val="nil"/>
            </w:tcBorders>
            <w:shd w:val="clear" w:color="auto" w:fill="auto"/>
          </w:tcPr>
          <w:p w:rsidR="00FF1301" w:rsidRPr="00784A05" w:rsidRDefault="00FF1301" w:rsidP="00421668">
            <w:pPr>
              <w:pStyle w:val="TableTitle"/>
            </w:pPr>
            <w:r>
              <w:rPr>
                <w:b w:val="0"/>
              </w:rPr>
              <w:t>Table 9</w:t>
            </w:r>
            <w:r w:rsidR="00421668">
              <w:rPr>
                <w:b w:val="0"/>
              </w:rPr>
              <w:t>.1</w:t>
            </w:r>
            <w:r>
              <w:tab/>
            </w:r>
            <w:r w:rsidRPr="00D53333">
              <w:t xml:space="preserve">Real </w:t>
            </w:r>
            <w:r w:rsidRPr="00A90E73">
              <w:t>revenue</w:t>
            </w:r>
            <w:r w:rsidRPr="00D53333">
              <w:t xml:space="preserve"> of fire service organisations (201</w:t>
            </w:r>
            <w:r>
              <w:t>5</w:t>
            </w:r>
            <w:r>
              <w:noBreakHyphen/>
            </w:r>
            <w:r w:rsidRPr="00D53333">
              <w:t>1</w:t>
            </w:r>
            <w:r>
              <w:t>6</w:t>
            </w:r>
            <w:r w:rsidRPr="00D53333">
              <w:t xml:space="preserve"> dollars) ($ million)</w:t>
            </w:r>
            <w:r>
              <w:rPr>
                <w:rStyle w:val="NoteLabel"/>
                <w:b/>
              </w:rPr>
              <w:t>a</w:t>
            </w:r>
            <w:r w:rsidR="00B146F6">
              <w:rPr>
                <w:rStyle w:val="NoteLabel"/>
                <w:b/>
              </w:rPr>
              <w:t>, b</w:t>
            </w:r>
          </w:p>
        </w:tc>
      </w:tr>
      <w:tr w:rsidR="00FF1301" w:rsidTr="00FF1301">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848"/>
              <w:gridCol w:w="848"/>
              <w:gridCol w:w="848"/>
              <w:gridCol w:w="849"/>
              <w:gridCol w:w="849"/>
              <w:gridCol w:w="849"/>
              <w:gridCol w:w="849"/>
              <w:gridCol w:w="849"/>
              <w:gridCol w:w="849"/>
              <w:gridCol w:w="849"/>
            </w:tblGrid>
            <w:tr w:rsidR="00FF1301" w:rsidTr="00FF1301">
              <w:tc>
                <w:tcPr>
                  <w:tcW w:w="500" w:type="pct"/>
                  <w:tcBorders>
                    <w:top w:val="single" w:sz="6" w:space="0" w:color="BFBFBF"/>
                    <w:bottom w:val="single" w:sz="6" w:space="0" w:color="BFBFBF"/>
                  </w:tcBorders>
                  <w:shd w:val="clear" w:color="auto" w:fill="auto"/>
                  <w:tcMar>
                    <w:top w:w="28" w:type="dxa"/>
                  </w:tcMar>
                </w:tcPr>
                <w:p w:rsidR="00FF1301" w:rsidRDefault="00FF1301" w:rsidP="00FF1301">
                  <w:pPr>
                    <w:pStyle w:val="TableColumnHeading"/>
                    <w:ind w:right="28"/>
                    <w:jc w:val="left"/>
                  </w:pPr>
                </w:p>
              </w:tc>
              <w:tc>
                <w:tcPr>
                  <w:tcW w:w="500" w:type="pct"/>
                  <w:tcBorders>
                    <w:top w:val="single" w:sz="6" w:space="0" w:color="BFBFBF"/>
                    <w:bottom w:val="single" w:sz="6" w:space="0" w:color="BFBFBF"/>
                  </w:tcBorders>
                  <w:shd w:val="clear" w:color="auto" w:fill="auto"/>
                </w:tcPr>
                <w:p w:rsidR="00FF1301" w:rsidRPr="00056686" w:rsidRDefault="00FF1301" w:rsidP="00056686">
                  <w:pPr>
                    <w:pStyle w:val="TableColumnHeading"/>
                  </w:pPr>
                  <w:r w:rsidRPr="00056686">
                    <w:t>NSW</w:t>
                  </w:r>
                </w:p>
              </w:tc>
              <w:tc>
                <w:tcPr>
                  <w:tcW w:w="500" w:type="pct"/>
                  <w:tcBorders>
                    <w:top w:val="single" w:sz="6" w:space="0" w:color="BFBFBF"/>
                    <w:bottom w:val="single" w:sz="6" w:space="0" w:color="BFBFBF"/>
                  </w:tcBorders>
                  <w:shd w:val="clear" w:color="auto" w:fill="auto"/>
                </w:tcPr>
                <w:p w:rsidR="00FF1301" w:rsidRPr="00056686" w:rsidRDefault="00FF1301" w:rsidP="00056686">
                  <w:pPr>
                    <w:pStyle w:val="TableColumnHeading"/>
                  </w:pPr>
                  <w:r w:rsidRPr="00056686">
                    <w:t>Vic</w:t>
                  </w:r>
                </w:p>
              </w:tc>
              <w:tc>
                <w:tcPr>
                  <w:tcW w:w="500" w:type="pct"/>
                  <w:tcBorders>
                    <w:top w:val="single" w:sz="6" w:space="0" w:color="BFBFBF"/>
                    <w:bottom w:val="single" w:sz="6" w:space="0" w:color="BFBFBF"/>
                  </w:tcBorders>
                  <w:shd w:val="clear" w:color="auto" w:fill="auto"/>
                </w:tcPr>
                <w:p w:rsidR="00FF1301" w:rsidRPr="00056686" w:rsidRDefault="00FF1301" w:rsidP="00056686">
                  <w:pPr>
                    <w:pStyle w:val="TableColumnHeading"/>
                  </w:pPr>
                  <w:r w:rsidRPr="00056686">
                    <w:t>Qld</w:t>
                  </w:r>
                </w:p>
              </w:tc>
              <w:tc>
                <w:tcPr>
                  <w:tcW w:w="500" w:type="pct"/>
                  <w:tcBorders>
                    <w:top w:val="single" w:sz="6" w:space="0" w:color="BFBFBF"/>
                    <w:bottom w:val="single" w:sz="6" w:space="0" w:color="BFBFBF"/>
                  </w:tcBorders>
                  <w:shd w:val="clear" w:color="auto" w:fill="auto"/>
                </w:tcPr>
                <w:p w:rsidR="00FF1301" w:rsidRPr="00056686" w:rsidRDefault="00FF1301" w:rsidP="00056686">
                  <w:pPr>
                    <w:pStyle w:val="TableColumnHeading"/>
                  </w:pPr>
                  <w:r w:rsidRPr="00056686">
                    <w:t>WA</w:t>
                  </w:r>
                </w:p>
              </w:tc>
              <w:tc>
                <w:tcPr>
                  <w:tcW w:w="500" w:type="pct"/>
                  <w:tcBorders>
                    <w:top w:val="single" w:sz="6" w:space="0" w:color="BFBFBF"/>
                    <w:bottom w:val="single" w:sz="6" w:space="0" w:color="BFBFBF"/>
                  </w:tcBorders>
                  <w:shd w:val="clear" w:color="auto" w:fill="auto"/>
                </w:tcPr>
                <w:p w:rsidR="00FF1301" w:rsidRPr="00056686" w:rsidRDefault="00FF1301" w:rsidP="00056686">
                  <w:pPr>
                    <w:pStyle w:val="TableColumnHeading"/>
                  </w:pPr>
                  <w:r w:rsidRPr="00056686">
                    <w:t>SA</w:t>
                  </w:r>
                </w:p>
              </w:tc>
              <w:tc>
                <w:tcPr>
                  <w:tcW w:w="500" w:type="pct"/>
                  <w:tcBorders>
                    <w:top w:val="single" w:sz="6" w:space="0" w:color="BFBFBF"/>
                    <w:bottom w:val="single" w:sz="6" w:space="0" w:color="BFBFBF"/>
                  </w:tcBorders>
                  <w:shd w:val="clear" w:color="auto" w:fill="auto"/>
                </w:tcPr>
                <w:p w:rsidR="00FF1301" w:rsidRPr="00056686" w:rsidRDefault="00FF1301" w:rsidP="00056686">
                  <w:pPr>
                    <w:pStyle w:val="TableColumnHeading"/>
                  </w:pPr>
                  <w:proofErr w:type="spellStart"/>
                  <w:r w:rsidRPr="00056686">
                    <w:t>Tas</w:t>
                  </w:r>
                  <w:proofErr w:type="spellEnd"/>
                </w:p>
              </w:tc>
              <w:tc>
                <w:tcPr>
                  <w:tcW w:w="500" w:type="pct"/>
                  <w:tcBorders>
                    <w:top w:val="single" w:sz="6" w:space="0" w:color="BFBFBF"/>
                    <w:bottom w:val="single" w:sz="6" w:space="0" w:color="BFBFBF"/>
                  </w:tcBorders>
                  <w:shd w:val="clear" w:color="auto" w:fill="auto"/>
                </w:tcPr>
                <w:p w:rsidR="00FF1301" w:rsidRPr="00056686" w:rsidRDefault="00FF1301" w:rsidP="00056686">
                  <w:pPr>
                    <w:pStyle w:val="TableColumnHeading"/>
                  </w:pPr>
                  <w:r w:rsidRPr="00056686">
                    <w:t>ACT</w:t>
                  </w:r>
                </w:p>
              </w:tc>
              <w:tc>
                <w:tcPr>
                  <w:tcW w:w="500" w:type="pct"/>
                  <w:tcBorders>
                    <w:top w:val="single" w:sz="6" w:space="0" w:color="BFBFBF"/>
                    <w:bottom w:val="single" w:sz="6" w:space="0" w:color="BFBFBF"/>
                  </w:tcBorders>
                  <w:shd w:val="clear" w:color="auto" w:fill="auto"/>
                </w:tcPr>
                <w:p w:rsidR="00FF1301" w:rsidRPr="00056686" w:rsidRDefault="00FF1301" w:rsidP="00056686">
                  <w:pPr>
                    <w:pStyle w:val="TableColumnHeading"/>
                  </w:pPr>
                  <w:r w:rsidRPr="00056686">
                    <w:t>NT</w:t>
                  </w:r>
                </w:p>
              </w:tc>
              <w:tc>
                <w:tcPr>
                  <w:tcW w:w="500" w:type="pct"/>
                  <w:tcBorders>
                    <w:top w:val="single" w:sz="6" w:space="0" w:color="BFBFBF"/>
                    <w:bottom w:val="single" w:sz="6" w:space="0" w:color="BFBFBF"/>
                  </w:tcBorders>
                  <w:shd w:val="clear" w:color="auto" w:fill="auto"/>
                </w:tcPr>
                <w:p w:rsidR="00FF1301" w:rsidRDefault="00FF1301" w:rsidP="00FF1301">
                  <w:pPr>
                    <w:pStyle w:val="TableColumnHeading"/>
                    <w:ind w:right="28"/>
                  </w:pPr>
                  <w:proofErr w:type="spellStart"/>
                  <w:r>
                    <w:t>Aust</w:t>
                  </w:r>
                  <w:proofErr w:type="spellEnd"/>
                </w:p>
              </w:tc>
            </w:tr>
            <w:tr w:rsidR="004066F3" w:rsidRPr="004066F3" w:rsidTr="00520BCF">
              <w:tc>
                <w:tcPr>
                  <w:tcW w:w="500" w:type="pct"/>
                  <w:tcBorders>
                    <w:top w:val="single" w:sz="6" w:space="0" w:color="BFBFBF"/>
                  </w:tcBorders>
                </w:tcPr>
                <w:p w:rsidR="004066F3" w:rsidRPr="004066F3" w:rsidRDefault="004066F3" w:rsidP="00FF1301">
                  <w:pPr>
                    <w:pStyle w:val="TableBodyText"/>
                    <w:ind w:right="28"/>
                    <w:jc w:val="left"/>
                    <w:rPr>
                      <w:szCs w:val="18"/>
                    </w:rPr>
                  </w:pPr>
                  <w:r w:rsidRPr="004066F3">
                    <w:rPr>
                      <w:szCs w:val="18"/>
                    </w:rPr>
                    <w:t>2011-12</w:t>
                  </w:r>
                </w:p>
              </w:tc>
              <w:tc>
                <w:tcPr>
                  <w:tcW w:w="500" w:type="pct"/>
                  <w:tcBorders>
                    <w:top w:val="single" w:sz="6" w:space="0" w:color="BFBFBF"/>
                  </w:tcBorders>
                  <w:vAlign w:val="center"/>
                </w:tcPr>
                <w:p w:rsidR="004066F3" w:rsidRPr="004066F3" w:rsidRDefault="004066F3" w:rsidP="00056686">
                  <w:pPr>
                    <w:pStyle w:val="TableBodyText"/>
                  </w:pPr>
                  <w:r w:rsidRPr="004066F3">
                    <w:t>1 016.8</w:t>
                  </w:r>
                </w:p>
              </w:tc>
              <w:tc>
                <w:tcPr>
                  <w:tcW w:w="500" w:type="pct"/>
                  <w:tcBorders>
                    <w:top w:val="single" w:sz="6" w:space="0" w:color="BFBFBF"/>
                  </w:tcBorders>
                  <w:vAlign w:val="center"/>
                </w:tcPr>
                <w:p w:rsidR="004066F3" w:rsidRPr="004066F3" w:rsidRDefault="004066F3" w:rsidP="00056686">
                  <w:pPr>
                    <w:pStyle w:val="TableBodyText"/>
                  </w:pPr>
                  <w:r w:rsidRPr="004066F3">
                    <w:t>1 242.5</w:t>
                  </w:r>
                </w:p>
              </w:tc>
              <w:tc>
                <w:tcPr>
                  <w:tcW w:w="500" w:type="pct"/>
                  <w:tcBorders>
                    <w:top w:val="single" w:sz="6" w:space="0" w:color="BFBFBF"/>
                  </w:tcBorders>
                  <w:vAlign w:val="center"/>
                </w:tcPr>
                <w:p w:rsidR="004066F3" w:rsidRPr="004066F3" w:rsidRDefault="004066F3" w:rsidP="00056686">
                  <w:pPr>
                    <w:pStyle w:val="TableBodyText"/>
                  </w:pPr>
                  <w:r w:rsidRPr="004066F3">
                    <w:t xml:space="preserve"> 536.3</w:t>
                  </w:r>
                </w:p>
              </w:tc>
              <w:tc>
                <w:tcPr>
                  <w:tcW w:w="500" w:type="pct"/>
                  <w:tcBorders>
                    <w:top w:val="single" w:sz="6" w:space="0" w:color="BFBFBF"/>
                  </w:tcBorders>
                  <w:vAlign w:val="center"/>
                </w:tcPr>
                <w:p w:rsidR="004066F3" w:rsidRPr="004066F3" w:rsidRDefault="004066F3" w:rsidP="00056686">
                  <w:pPr>
                    <w:pStyle w:val="TableBodyText"/>
                  </w:pPr>
                  <w:r w:rsidRPr="004066F3">
                    <w:t xml:space="preserve"> 436.6</w:t>
                  </w:r>
                </w:p>
              </w:tc>
              <w:tc>
                <w:tcPr>
                  <w:tcW w:w="500" w:type="pct"/>
                  <w:tcBorders>
                    <w:top w:val="single" w:sz="6" w:space="0" w:color="BFBFBF"/>
                  </w:tcBorders>
                  <w:vAlign w:val="center"/>
                </w:tcPr>
                <w:p w:rsidR="004066F3" w:rsidRPr="004066F3" w:rsidRDefault="004066F3" w:rsidP="00056686">
                  <w:pPr>
                    <w:pStyle w:val="TableBodyText"/>
                  </w:pPr>
                  <w:r w:rsidRPr="004066F3">
                    <w:t xml:space="preserve"> 190.6</w:t>
                  </w:r>
                </w:p>
              </w:tc>
              <w:tc>
                <w:tcPr>
                  <w:tcW w:w="500" w:type="pct"/>
                  <w:tcBorders>
                    <w:top w:val="single" w:sz="6" w:space="0" w:color="BFBFBF"/>
                  </w:tcBorders>
                  <w:vAlign w:val="center"/>
                </w:tcPr>
                <w:p w:rsidR="004066F3" w:rsidRPr="004066F3" w:rsidRDefault="004066F3" w:rsidP="00056686">
                  <w:pPr>
                    <w:pStyle w:val="TableBodyText"/>
                  </w:pPr>
                  <w:r w:rsidRPr="004066F3">
                    <w:t xml:space="preserve"> 72.8</w:t>
                  </w:r>
                </w:p>
              </w:tc>
              <w:tc>
                <w:tcPr>
                  <w:tcW w:w="500" w:type="pct"/>
                  <w:tcBorders>
                    <w:top w:val="single" w:sz="6" w:space="0" w:color="BFBFBF"/>
                  </w:tcBorders>
                  <w:vAlign w:val="center"/>
                </w:tcPr>
                <w:p w:rsidR="004066F3" w:rsidRPr="004066F3" w:rsidRDefault="004066F3" w:rsidP="00056686">
                  <w:pPr>
                    <w:pStyle w:val="TableBodyText"/>
                  </w:pPr>
                  <w:r w:rsidRPr="004066F3">
                    <w:t xml:space="preserve"> 68.7</w:t>
                  </w:r>
                </w:p>
              </w:tc>
              <w:tc>
                <w:tcPr>
                  <w:tcW w:w="500" w:type="pct"/>
                  <w:tcBorders>
                    <w:top w:val="single" w:sz="6" w:space="0" w:color="BFBFBF"/>
                  </w:tcBorders>
                  <w:vAlign w:val="center"/>
                </w:tcPr>
                <w:p w:rsidR="004066F3" w:rsidRPr="004066F3" w:rsidRDefault="004066F3" w:rsidP="00056686">
                  <w:pPr>
                    <w:pStyle w:val="TableBodyText"/>
                  </w:pPr>
                  <w:r w:rsidRPr="004066F3">
                    <w:t xml:space="preserve"> 38.6</w:t>
                  </w:r>
                </w:p>
              </w:tc>
              <w:tc>
                <w:tcPr>
                  <w:tcW w:w="500" w:type="pct"/>
                  <w:tcBorders>
                    <w:top w:val="single" w:sz="6" w:space="0" w:color="BFBFBF"/>
                  </w:tcBorders>
                  <w:vAlign w:val="center"/>
                </w:tcPr>
                <w:p w:rsidR="004066F3" w:rsidRPr="004066F3" w:rsidRDefault="004066F3">
                  <w:pPr>
                    <w:jc w:val="right"/>
                    <w:rPr>
                      <w:rFonts w:ascii="Arial" w:hAnsi="Arial" w:cs="Arial"/>
                      <w:bCs/>
                      <w:sz w:val="18"/>
                      <w:szCs w:val="18"/>
                    </w:rPr>
                  </w:pPr>
                  <w:r w:rsidRPr="004066F3">
                    <w:rPr>
                      <w:rFonts w:ascii="Arial" w:hAnsi="Arial" w:cs="Arial"/>
                      <w:bCs/>
                      <w:sz w:val="18"/>
                      <w:szCs w:val="18"/>
                    </w:rPr>
                    <w:t>3 602.9</w:t>
                  </w:r>
                </w:p>
              </w:tc>
            </w:tr>
            <w:tr w:rsidR="004066F3" w:rsidRPr="004066F3" w:rsidTr="00520BCF">
              <w:tc>
                <w:tcPr>
                  <w:tcW w:w="500" w:type="pct"/>
                </w:tcPr>
                <w:p w:rsidR="004066F3" w:rsidRPr="004066F3" w:rsidRDefault="004066F3" w:rsidP="00FF1301">
                  <w:pPr>
                    <w:pStyle w:val="TableBodyText"/>
                    <w:ind w:right="28"/>
                    <w:jc w:val="left"/>
                    <w:rPr>
                      <w:szCs w:val="18"/>
                    </w:rPr>
                  </w:pPr>
                  <w:r w:rsidRPr="004066F3">
                    <w:rPr>
                      <w:szCs w:val="18"/>
                    </w:rPr>
                    <w:t>2012-13</w:t>
                  </w:r>
                </w:p>
              </w:tc>
              <w:tc>
                <w:tcPr>
                  <w:tcW w:w="500" w:type="pct"/>
                  <w:vAlign w:val="center"/>
                </w:tcPr>
                <w:p w:rsidR="004066F3" w:rsidRPr="004066F3" w:rsidRDefault="004066F3" w:rsidP="00056686">
                  <w:pPr>
                    <w:pStyle w:val="TableBodyText"/>
                  </w:pPr>
                  <w:r w:rsidRPr="004066F3">
                    <w:t>1 063.8</w:t>
                  </w:r>
                </w:p>
              </w:tc>
              <w:tc>
                <w:tcPr>
                  <w:tcW w:w="500" w:type="pct"/>
                  <w:vAlign w:val="center"/>
                </w:tcPr>
                <w:p w:rsidR="004066F3" w:rsidRPr="004066F3" w:rsidRDefault="004066F3" w:rsidP="00056686">
                  <w:pPr>
                    <w:pStyle w:val="TableBodyText"/>
                  </w:pPr>
                  <w:r w:rsidRPr="004066F3">
                    <w:t>1 203.1</w:t>
                  </w:r>
                </w:p>
              </w:tc>
              <w:tc>
                <w:tcPr>
                  <w:tcW w:w="500" w:type="pct"/>
                  <w:vAlign w:val="center"/>
                </w:tcPr>
                <w:p w:rsidR="004066F3" w:rsidRPr="004066F3" w:rsidRDefault="004066F3" w:rsidP="00056686">
                  <w:pPr>
                    <w:pStyle w:val="TableBodyText"/>
                  </w:pPr>
                  <w:r w:rsidRPr="004066F3">
                    <w:t xml:space="preserve"> 528.8</w:t>
                  </w:r>
                </w:p>
              </w:tc>
              <w:tc>
                <w:tcPr>
                  <w:tcW w:w="500" w:type="pct"/>
                  <w:vAlign w:val="center"/>
                </w:tcPr>
                <w:p w:rsidR="004066F3" w:rsidRPr="004066F3" w:rsidRDefault="004066F3" w:rsidP="00056686">
                  <w:pPr>
                    <w:pStyle w:val="TableBodyText"/>
                  </w:pPr>
                  <w:r w:rsidRPr="004066F3">
                    <w:t xml:space="preserve"> 380.5</w:t>
                  </w:r>
                </w:p>
              </w:tc>
              <w:tc>
                <w:tcPr>
                  <w:tcW w:w="500" w:type="pct"/>
                  <w:vAlign w:val="center"/>
                </w:tcPr>
                <w:p w:rsidR="004066F3" w:rsidRPr="004066F3" w:rsidRDefault="004066F3" w:rsidP="00056686">
                  <w:pPr>
                    <w:pStyle w:val="TableBodyText"/>
                  </w:pPr>
                  <w:r w:rsidRPr="004066F3">
                    <w:t xml:space="preserve"> 187.1</w:t>
                  </w:r>
                </w:p>
              </w:tc>
              <w:tc>
                <w:tcPr>
                  <w:tcW w:w="500" w:type="pct"/>
                  <w:vAlign w:val="center"/>
                </w:tcPr>
                <w:p w:rsidR="004066F3" w:rsidRPr="004066F3" w:rsidRDefault="004066F3" w:rsidP="00056686">
                  <w:pPr>
                    <w:pStyle w:val="TableBodyText"/>
                  </w:pPr>
                  <w:r w:rsidRPr="004066F3">
                    <w:t xml:space="preserve"> 87.5</w:t>
                  </w:r>
                </w:p>
              </w:tc>
              <w:tc>
                <w:tcPr>
                  <w:tcW w:w="500" w:type="pct"/>
                  <w:vAlign w:val="center"/>
                </w:tcPr>
                <w:p w:rsidR="004066F3" w:rsidRPr="004066F3" w:rsidRDefault="004066F3" w:rsidP="00056686">
                  <w:pPr>
                    <w:pStyle w:val="TableBodyText"/>
                  </w:pPr>
                  <w:r w:rsidRPr="004066F3">
                    <w:t xml:space="preserve"> 64.2</w:t>
                  </w:r>
                </w:p>
              </w:tc>
              <w:tc>
                <w:tcPr>
                  <w:tcW w:w="500" w:type="pct"/>
                  <w:vAlign w:val="center"/>
                </w:tcPr>
                <w:p w:rsidR="004066F3" w:rsidRPr="004066F3" w:rsidRDefault="004066F3" w:rsidP="00056686">
                  <w:pPr>
                    <w:pStyle w:val="TableBodyText"/>
                  </w:pPr>
                  <w:r w:rsidRPr="004066F3">
                    <w:t xml:space="preserve"> 51.2</w:t>
                  </w:r>
                </w:p>
              </w:tc>
              <w:tc>
                <w:tcPr>
                  <w:tcW w:w="500" w:type="pct"/>
                  <w:vAlign w:val="center"/>
                </w:tcPr>
                <w:p w:rsidR="004066F3" w:rsidRPr="004066F3" w:rsidRDefault="004066F3">
                  <w:pPr>
                    <w:jc w:val="right"/>
                    <w:rPr>
                      <w:rFonts w:ascii="Arial" w:hAnsi="Arial" w:cs="Arial"/>
                      <w:bCs/>
                      <w:sz w:val="18"/>
                      <w:szCs w:val="18"/>
                    </w:rPr>
                  </w:pPr>
                  <w:r w:rsidRPr="004066F3">
                    <w:rPr>
                      <w:rFonts w:ascii="Arial" w:hAnsi="Arial" w:cs="Arial"/>
                      <w:bCs/>
                      <w:sz w:val="18"/>
                      <w:szCs w:val="18"/>
                    </w:rPr>
                    <w:t>3 566.1</w:t>
                  </w:r>
                </w:p>
              </w:tc>
            </w:tr>
            <w:tr w:rsidR="004066F3" w:rsidRPr="004066F3" w:rsidTr="00520BCF">
              <w:tc>
                <w:tcPr>
                  <w:tcW w:w="500" w:type="pct"/>
                  <w:shd w:val="clear" w:color="auto" w:fill="auto"/>
                </w:tcPr>
                <w:p w:rsidR="004066F3" w:rsidRPr="004066F3" w:rsidRDefault="004066F3" w:rsidP="00FF1301">
                  <w:pPr>
                    <w:pStyle w:val="TableBodyText"/>
                    <w:ind w:right="28"/>
                    <w:jc w:val="left"/>
                    <w:rPr>
                      <w:szCs w:val="18"/>
                    </w:rPr>
                  </w:pPr>
                  <w:r w:rsidRPr="004066F3">
                    <w:rPr>
                      <w:szCs w:val="18"/>
                    </w:rPr>
                    <w:t>2013-14</w:t>
                  </w:r>
                </w:p>
              </w:tc>
              <w:tc>
                <w:tcPr>
                  <w:tcW w:w="500" w:type="pct"/>
                  <w:shd w:val="clear" w:color="auto" w:fill="auto"/>
                  <w:vAlign w:val="center"/>
                </w:tcPr>
                <w:p w:rsidR="004066F3" w:rsidRPr="004066F3" w:rsidRDefault="004066F3" w:rsidP="00056686">
                  <w:pPr>
                    <w:pStyle w:val="TableBodyText"/>
                  </w:pPr>
                  <w:r w:rsidRPr="004066F3">
                    <w:t>1 140.6</w:t>
                  </w:r>
                </w:p>
              </w:tc>
              <w:tc>
                <w:tcPr>
                  <w:tcW w:w="500" w:type="pct"/>
                  <w:shd w:val="clear" w:color="auto" w:fill="auto"/>
                  <w:vAlign w:val="center"/>
                </w:tcPr>
                <w:p w:rsidR="004066F3" w:rsidRPr="004066F3" w:rsidRDefault="004066F3" w:rsidP="00056686">
                  <w:pPr>
                    <w:pStyle w:val="TableBodyText"/>
                  </w:pPr>
                  <w:r w:rsidRPr="004066F3">
                    <w:t>1 238.6</w:t>
                  </w:r>
                </w:p>
              </w:tc>
              <w:tc>
                <w:tcPr>
                  <w:tcW w:w="500" w:type="pct"/>
                  <w:shd w:val="clear" w:color="auto" w:fill="auto"/>
                  <w:vAlign w:val="center"/>
                </w:tcPr>
                <w:p w:rsidR="004066F3" w:rsidRPr="004066F3" w:rsidRDefault="004066F3" w:rsidP="00056686">
                  <w:pPr>
                    <w:pStyle w:val="TableBodyText"/>
                  </w:pPr>
                  <w:r w:rsidRPr="004066F3">
                    <w:t xml:space="preserve"> 644.0</w:t>
                  </w:r>
                </w:p>
              </w:tc>
              <w:tc>
                <w:tcPr>
                  <w:tcW w:w="500" w:type="pct"/>
                  <w:shd w:val="clear" w:color="auto" w:fill="auto"/>
                  <w:vAlign w:val="center"/>
                </w:tcPr>
                <w:p w:rsidR="004066F3" w:rsidRPr="004066F3" w:rsidRDefault="004066F3" w:rsidP="00056686">
                  <w:pPr>
                    <w:pStyle w:val="TableBodyText"/>
                  </w:pPr>
                  <w:r w:rsidRPr="004066F3">
                    <w:t xml:space="preserve"> 353.2</w:t>
                  </w:r>
                </w:p>
              </w:tc>
              <w:tc>
                <w:tcPr>
                  <w:tcW w:w="500" w:type="pct"/>
                  <w:shd w:val="clear" w:color="auto" w:fill="auto"/>
                  <w:vAlign w:val="center"/>
                </w:tcPr>
                <w:p w:rsidR="004066F3" w:rsidRPr="004066F3" w:rsidRDefault="004066F3" w:rsidP="00056686">
                  <w:pPr>
                    <w:pStyle w:val="TableBodyText"/>
                  </w:pPr>
                  <w:r w:rsidRPr="004066F3">
                    <w:t xml:space="preserve"> 215.1</w:t>
                  </w:r>
                </w:p>
              </w:tc>
              <w:tc>
                <w:tcPr>
                  <w:tcW w:w="500" w:type="pct"/>
                  <w:shd w:val="clear" w:color="auto" w:fill="auto"/>
                  <w:vAlign w:val="center"/>
                </w:tcPr>
                <w:p w:rsidR="004066F3" w:rsidRPr="004066F3" w:rsidRDefault="004066F3" w:rsidP="00056686">
                  <w:pPr>
                    <w:pStyle w:val="TableBodyText"/>
                  </w:pPr>
                  <w:r w:rsidRPr="004066F3">
                    <w:t xml:space="preserve"> 76.7</w:t>
                  </w:r>
                </w:p>
              </w:tc>
              <w:tc>
                <w:tcPr>
                  <w:tcW w:w="500" w:type="pct"/>
                  <w:shd w:val="clear" w:color="auto" w:fill="auto"/>
                  <w:vAlign w:val="center"/>
                </w:tcPr>
                <w:p w:rsidR="004066F3" w:rsidRPr="004066F3" w:rsidRDefault="004066F3" w:rsidP="00056686">
                  <w:pPr>
                    <w:pStyle w:val="TableBodyText"/>
                  </w:pPr>
                  <w:r w:rsidRPr="004066F3">
                    <w:t xml:space="preserve"> 65.0</w:t>
                  </w:r>
                </w:p>
              </w:tc>
              <w:tc>
                <w:tcPr>
                  <w:tcW w:w="500" w:type="pct"/>
                  <w:shd w:val="clear" w:color="auto" w:fill="auto"/>
                  <w:vAlign w:val="center"/>
                </w:tcPr>
                <w:p w:rsidR="004066F3" w:rsidRPr="004066F3" w:rsidRDefault="004066F3" w:rsidP="00056686">
                  <w:pPr>
                    <w:pStyle w:val="TableBodyText"/>
                  </w:pPr>
                  <w:r w:rsidRPr="004066F3">
                    <w:t xml:space="preserve"> 33.7</w:t>
                  </w:r>
                </w:p>
              </w:tc>
              <w:tc>
                <w:tcPr>
                  <w:tcW w:w="500" w:type="pct"/>
                  <w:shd w:val="clear" w:color="auto" w:fill="auto"/>
                  <w:vAlign w:val="center"/>
                </w:tcPr>
                <w:p w:rsidR="004066F3" w:rsidRPr="004066F3" w:rsidRDefault="004066F3">
                  <w:pPr>
                    <w:jc w:val="right"/>
                    <w:rPr>
                      <w:rFonts w:ascii="Arial" w:hAnsi="Arial" w:cs="Arial"/>
                      <w:bCs/>
                      <w:sz w:val="18"/>
                      <w:szCs w:val="18"/>
                    </w:rPr>
                  </w:pPr>
                  <w:r w:rsidRPr="004066F3">
                    <w:rPr>
                      <w:rFonts w:ascii="Arial" w:hAnsi="Arial" w:cs="Arial"/>
                      <w:bCs/>
                      <w:sz w:val="18"/>
                      <w:szCs w:val="18"/>
                    </w:rPr>
                    <w:t>3 767.0</w:t>
                  </w:r>
                </w:p>
              </w:tc>
            </w:tr>
            <w:tr w:rsidR="00BF5F6A" w:rsidRPr="004066F3" w:rsidTr="00520BCF">
              <w:tc>
                <w:tcPr>
                  <w:tcW w:w="500" w:type="pct"/>
                  <w:shd w:val="clear" w:color="auto" w:fill="auto"/>
                </w:tcPr>
                <w:p w:rsidR="00BF5F6A" w:rsidRPr="004D7604" w:rsidRDefault="00BF5F6A" w:rsidP="00FF1301">
                  <w:pPr>
                    <w:pStyle w:val="TableBodyText"/>
                    <w:ind w:right="28"/>
                    <w:jc w:val="left"/>
                    <w:rPr>
                      <w:szCs w:val="18"/>
                    </w:rPr>
                  </w:pPr>
                  <w:r w:rsidRPr="004D7604">
                    <w:rPr>
                      <w:szCs w:val="18"/>
                    </w:rPr>
                    <w:t>2014-15</w:t>
                  </w:r>
                </w:p>
              </w:tc>
              <w:tc>
                <w:tcPr>
                  <w:tcW w:w="500" w:type="pct"/>
                  <w:shd w:val="clear" w:color="auto" w:fill="auto"/>
                  <w:vAlign w:val="center"/>
                </w:tcPr>
                <w:p w:rsidR="00BF5F6A" w:rsidRPr="00BF5F6A" w:rsidRDefault="00BF5F6A" w:rsidP="00056686">
                  <w:pPr>
                    <w:pStyle w:val="TableBodyText"/>
                  </w:pPr>
                  <w:r w:rsidRPr="00BF5F6A">
                    <w:t>1 044.0</w:t>
                  </w:r>
                </w:p>
              </w:tc>
              <w:tc>
                <w:tcPr>
                  <w:tcW w:w="500" w:type="pct"/>
                  <w:shd w:val="clear" w:color="auto" w:fill="auto"/>
                  <w:vAlign w:val="center"/>
                </w:tcPr>
                <w:p w:rsidR="00BF5F6A" w:rsidRPr="00BF5F6A" w:rsidRDefault="00BF5F6A" w:rsidP="00056686">
                  <w:pPr>
                    <w:pStyle w:val="TableBodyText"/>
                  </w:pPr>
                  <w:r w:rsidRPr="00BF5F6A">
                    <w:t>1 166.6</w:t>
                  </w:r>
                </w:p>
              </w:tc>
              <w:tc>
                <w:tcPr>
                  <w:tcW w:w="500" w:type="pct"/>
                  <w:shd w:val="clear" w:color="auto" w:fill="auto"/>
                  <w:vAlign w:val="center"/>
                </w:tcPr>
                <w:p w:rsidR="00BF5F6A" w:rsidRPr="00BF5F6A" w:rsidRDefault="00BF5F6A" w:rsidP="00056686">
                  <w:pPr>
                    <w:pStyle w:val="TableBodyText"/>
                  </w:pPr>
                  <w:r w:rsidRPr="00BF5F6A">
                    <w:t xml:space="preserve"> 637.4</w:t>
                  </w:r>
                </w:p>
              </w:tc>
              <w:tc>
                <w:tcPr>
                  <w:tcW w:w="500" w:type="pct"/>
                  <w:shd w:val="clear" w:color="auto" w:fill="auto"/>
                  <w:vAlign w:val="center"/>
                </w:tcPr>
                <w:p w:rsidR="00BF5F6A" w:rsidRPr="00BF5F6A" w:rsidRDefault="00BF5F6A" w:rsidP="00056686">
                  <w:pPr>
                    <w:pStyle w:val="TableBodyText"/>
                  </w:pPr>
                  <w:r w:rsidRPr="00BF5F6A">
                    <w:t xml:space="preserve"> 374.2</w:t>
                  </w:r>
                </w:p>
              </w:tc>
              <w:tc>
                <w:tcPr>
                  <w:tcW w:w="500" w:type="pct"/>
                  <w:shd w:val="clear" w:color="auto" w:fill="auto"/>
                  <w:vAlign w:val="center"/>
                </w:tcPr>
                <w:p w:rsidR="00BF5F6A" w:rsidRPr="00BF5F6A" w:rsidRDefault="00BF5F6A" w:rsidP="00056686">
                  <w:pPr>
                    <w:pStyle w:val="TableBodyText"/>
                  </w:pPr>
                  <w:r w:rsidRPr="00BF5F6A">
                    <w:t xml:space="preserve"> 217.3</w:t>
                  </w:r>
                </w:p>
              </w:tc>
              <w:tc>
                <w:tcPr>
                  <w:tcW w:w="500" w:type="pct"/>
                  <w:shd w:val="clear" w:color="auto" w:fill="auto"/>
                  <w:vAlign w:val="center"/>
                </w:tcPr>
                <w:p w:rsidR="00BF5F6A" w:rsidRPr="00BF5F6A" w:rsidRDefault="00BF5F6A" w:rsidP="00056686">
                  <w:pPr>
                    <w:pStyle w:val="TableBodyText"/>
                  </w:pPr>
                  <w:r w:rsidRPr="00BF5F6A">
                    <w:t xml:space="preserve"> 75.7</w:t>
                  </w:r>
                </w:p>
              </w:tc>
              <w:tc>
                <w:tcPr>
                  <w:tcW w:w="500" w:type="pct"/>
                  <w:shd w:val="clear" w:color="auto" w:fill="auto"/>
                  <w:vAlign w:val="center"/>
                </w:tcPr>
                <w:p w:rsidR="00BF5F6A" w:rsidRPr="00BF5F6A" w:rsidRDefault="00BF5F6A" w:rsidP="00056686">
                  <w:pPr>
                    <w:pStyle w:val="TableBodyText"/>
                  </w:pPr>
                  <w:r w:rsidRPr="00BF5F6A">
                    <w:t xml:space="preserve"> 69.9</w:t>
                  </w:r>
                </w:p>
              </w:tc>
              <w:tc>
                <w:tcPr>
                  <w:tcW w:w="500" w:type="pct"/>
                  <w:shd w:val="clear" w:color="auto" w:fill="auto"/>
                  <w:vAlign w:val="center"/>
                </w:tcPr>
                <w:p w:rsidR="00BF5F6A" w:rsidRPr="00BF5F6A" w:rsidRDefault="00BF5F6A" w:rsidP="00056686">
                  <w:pPr>
                    <w:pStyle w:val="TableBodyText"/>
                  </w:pPr>
                  <w:r w:rsidRPr="00BF5F6A">
                    <w:t xml:space="preserve"> 39.7</w:t>
                  </w:r>
                </w:p>
              </w:tc>
              <w:tc>
                <w:tcPr>
                  <w:tcW w:w="500" w:type="pct"/>
                  <w:shd w:val="clear" w:color="auto" w:fill="auto"/>
                  <w:vAlign w:val="center"/>
                </w:tcPr>
                <w:p w:rsidR="00BF5F6A" w:rsidRPr="00BF5F6A" w:rsidRDefault="00BF5F6A">
                  <w:pPr>
                    <w:jc w:val="right"/>
                    <w:rPr>
                      <w:rFonts w:ascii="Arial" w:hAnsi="Arial" w:cs="Arial"/>
                      <w:bCs/>
                      <w:sz w:val="18"/>
                      <w:szCs w:val="18"/>
                    </w:rPr>
                  </w:pPr>
                  <w:r w:rsidRPr="00BF5F6A">
                    <w:rPr>
                      <w:rFonts w:ascii="Arial" w:hAnsi="Arial" w:cs="Arial"/>
                      <w:bCs/>
                      <w:sz w:val="18"/>
                      <w:szCs w:val="18"/>
                    </w:rPr>
                    <w:t>3 624.6</w:t>
                  </w:r>
                </w:p>
              </w:tc>
            </w:tr>
            <w:tr w:rsidR="004D7604" w:rsidRPr="00D867A8" w:rsidTr="00520BCF">
              <w:tc>
                <w:tcPr>
                  <w:tcW w:w="500" w:type="pct"/>
                  <w:tcBorders>
                    <w:bottom w:val="single" w:sz="6" w:space="0" w:color="BFBFBF"/>
                  </w:tcBorders>
                  <w:shd w:val="clear" w:color="auto" w:fill="auto"/>
                </w:tcPr>
                <w:p w:rsidR="004D7604" w:rsidRPr="004D7604" w:rsidRDefault="004D7604" w:rsidP="00FF1301">
                  <w:pPr>
                    <w:pStyle w:val="TableBodyText"/>
                    <w:ind w:right="28"/>
                    <w:jc w:val="left"/>
                    <w:rPr>
                      <w:szCs w:val="18"/>
                    </w:rPr>
                  </w:pPr>
                  <w:r w:rsidRPr="004D7604">
                    <w:rPr>
                      <w:szCs w:val="18"/>
                    </w:rPr>
                    <w:t>2015-16</w:t>
                  </w:r>
                </w:p>
              </w:tc>
              <w:tc>
                <w:tcPr>
                  <w:tcW w:w="500" w:type="pct"/>
                  <w:tcBorders>
                    <w:bottom w:val="single" w:sz="6" w:space="0" w:color="BFBFBF"/>
                  </w:tcBorders>
                  <w:shd w:val="clear" w:color="auto" w:fill="auto"/>
                  <w:vAlign w:val="center"/>
                </w:tcPr>
                <w:p w:rsidR="004D7604" w:rsidRPr="004D7604" w:rsidRDefault="004D7604" w:rsidP="00056686">
                  <w:pPr>
                    <w:pStyle w:val="TableBodyText"/>
                  </w:pPr>
                  <w:r w:rsidRPr="004D7604">
                    <w:t>1 052.1</w:t>
                  </w:r>
                </w:p>
              </w:tc>
              <w:tc>
                <w:tcPr>
                  <w:tcW w:w="500" w:type="pct"/>
                  <w:tcBorders>
                    <w:bottom w:val="single" w:sz="6" w:space="0" w:color="BFBFBF"/>
                  </w:tcBorders>
                  <w:shd w:val="clear" w:color="auto" w:fill="auto"/>
                  <w:vAlign w:val="center"/>
                </w:tcPr>
                <w:p w:rsidR="004D7604" w:rsidRPr="004D7604" w:rsidRDefault="004D7604" w:rsidP="00056686">
                  <w:pPr>
                    <w:pStyle w:val="TableBodyText"/>
                  </w:pPr>
                  <w:r w:rsidRPr="004D7604">
                    <w:t>1 221.3</w:t>
                  </w:r>
                </w:p>
              </w:tc>
              <w:tc>
                <w:tcPr>
                  <w:tcW w:w="500" w:type="pct"/>
                  <w:tcBorders>
                    <w:bottom w:val="single" w:sz="6" w:space="0" w:color="BFBFBF"/>
                  </w:tcBorders>
                  <w:shd w:val="clear" w:color="auto" w:fill="auto"/>
                  <w:vAlign w:val="center"/>
                </w:tcPr>
                <w:p w:rsidR="004D7604" w:rsidRPr="004D7604" w:rsidRDefault="004D7604" w:rsidP="00056686">
                  <w:pPr>
                    <w:pStyle w:val="TableBodyText"/>
                  </w:pPr>
                  <w:r w:rsidRPr="004D7604">
                    <w:t xml:space="preserve"> 602.1</w:t>
                  </w:r>
                </w:p>
              </w:tc>
              <w:tc>
                <w:tcPr>
                  <w:tcW w:w="500" w:type="pct"/>
                  <w:tcBorders>
                    <w:bottom w:val="single" w:sz="6" w:space="0" w:color="BFBFBF"/>
                  </w:tcBorders>
                  <w:shd w:val="clear" w:color="auto" w:fill="auto"/>
                  <w:vAlign w:val="center"/>
                </w:tcPr>
                <w:p w:rsidR="004D7604" w:rsidRPr="004D7604" w:rsidRDefault="004D7604" w:rsidP="00056686">
                  <w:pPr>
                    <w:pStyle w:val="TableBodyText"/>
                  </w:pPr>
                  <w:r w:rsidRPr="004D7604">
                    <w:t xml:space="preserve"> 395.3</w:t>
                  </w:r>
                </w:p>
              </w:tc>
              <w:tc>
                <w:tcPr>
                  <w:tcW w:w="500" w:type="pct"/>
                  <w:tcBorders>
                    <w:bottom w:val="single" w:sz="6" w:space="0" w:color="BFBFBF"/>
                  </w:tcBorders>
                  <w:shd w:val="clear" w:color="auto" w:fill="auto"/>
                  <w:vAlign w:val="center"/>
                </w:tcPr>
                <w:p w:rsidR="004D7604" w:rsidRPr="004D7604" w:rsidRDefault="004D7604" w:rsidP="00056686">
                  <w:pPr>
                    <w:pStyle w:val="TableBodyText"/>
                  </w:pPr>
                  <w:r w:rsidRPr="004D7604">
                    <w:t xml:space="preserve"> 222.2</w:t>
                  </w:r>
                </w:p>
              </w:tc>
              <w:tc>
                <w:tcPr>
                  <w:tcW w:w="500" w:type="pct"/>
                  <w:tcBorders>
                    <w:bottom w:val="single" w:sz="6" w:space="0" w:color="BFBFBF"/>
                  </w:tcBorders>
                  <w:shd w:val="clear" w:color="auto" w:fill="auto"/>
                  <w:vAlign w:val="center"/>
                </w:tcPr>
                <w:p w:rsidR="004D7604" w:rsidRPr="004D7604" w:rsidRDefault="004D7604" w:rsidP="00056686">
                  <w:pPr>
                    <w:pStyle w:val="TableBodyText"/>
                  </w:pPr>
                  <w:r w:rsidRPr="004D7604">
                    <w:t xml:space="preserve"> 136.5</w:t>
                  </w:r>
                </w:p>
              </w:tc>
              <w:tc>
                <w:tcPr>
                  <w:tcW w:w="500" w:type="pct"/>
                  <w:tcBorders>
                    <w:bottom w:val="single" w:sz="6" w:space="0" w:color="BFBFBF"/>
                  </w:tcBorders>
                  <w:shd w:val="clear" w:color="auto" w:fill="auto"/>
                  <w:vAlign w:val="center"/>
                </w:tcPr>
                <w:p w:rsidR="004D7604" w:rsidRPr="004D7604" w:rsidRDefault="004D7604" w:rsidP="00056686">
                  <w:pPr>
                    <w:pStyle w:val="TableBodyText"/>
                  </w:pPr>
                  <w:r w:rsidRPr="004D7604">
                    <w:t xml:space="preserve"> 69.1</w:t>
                  </w:r>
                </w:p>
              </w:tc>
              <w:tc>
                <w:tcPr>
                  <w:tcW w:w="500" w:type="pct"/>
                  <w:tcBorders>
                    <w:bottom w:val="single" w:sz="6" w:space="0" w:color="BFBFBF"/>
                  </w:tcBorders>
                  <w:shd w:val="clear" w:color="auto" w:fill="auto"/>
                  <w:vAlign w:val="center"/>
                </w:tcPr>
                <w:p w:rsidR="004D7604" w:rsidRPr="004D7604" w:rsidRDefault="004D7604" w:rsidP="00056686">
                  <w:pPr>
                    <w:pStyle w:val="TableBodyText"/>
                  </w:pPr>
                  <w:r w:rsidRPr="004D7604">
                    <w:t xml:space="preserve"> 34.8</w:t>
                  </w:r>
                </w:p>
              </w:tc>
              <w:tc>
                <w:tcPr>
                  <w:tcW w:w="500" w:type="pct"/>
                  <w:tcBorders>
                    <w:bottom w:val="single" w:sz="6" w:space="0" w:color="BFBFBF"/>
                  </w:tcBorders>
                  <w:shd w:val="clear" w:color="auto" w:fill="auto"/>
                  <w:vAlign w:val="center"/>
                </w:tcPr>
                <w:p w:rsidR="004D7604" w:rsidRPr="004D7604" w:rsidRDefault="004D7604">
                  <w:pPr>
                    <w:jc w:val="right"/>
                    <w:rPr>
                      <w:rFonts w:ascii="Arial" w:hAnsi="Arial" w:cs="Arial"/>
                      <w:bCs/>
                      <w:sz w:val="18"/>
                      <w:szCs w:val="18"/>
                    </w:rPr>
                  </w:pPr>
                  <w:r w:rsidRPr="004D7604">
                    <w:rPr>
                      <w:rFonts w:ascii="Arial" w:hAnsi="Arial" w:cs="Arial"/>
                      <w:bCs/>
                      <w:sz w:val="18"/>
                      <w:szCs w:val="18"/>
                    </w:rPr>
                    <w:t>3 733.5</w:t>
                  </w:r>
                </w:p>
              </w:tc>
            </w:tr>
          </w:tbl>
          <w:p w:rsidR="00FF1301" w:rsidRDefault="00FF1301" w:rsidP="00FF1301">
            <w:pPr>
              <w:pStyle w:val="Box"/>
            </w:pPr>
          </w:p>
        </w:tc>
      </w:tr>
      <w:tr w:rsidR="00FF1301" w:rsidTr="00FF1301">
        <w:trPr>
          <w:cantSplit/>
        </w:trPr>
        <w:tc>
          <w:tcPr>
            <w:tcW w:w="8771" w:type="dxa"/>
            <w:tcBorders>
              <w:top w:val="nil"/>
              <w:left w:val="nil"/>
              <w:bottom w:val="nil"/>
              <w:right w:val="nil"/>
            </w:tcBorders>
            <w:shd w:val="clear" w:color="auto" w:fill="auto"/>
          </w:tcPr>
          <w:p w:rsidR="00FF1301" w:rsidRDefault="00FF1301" w:rsidP="00FF1301">
            <w:pPr>
              <w:pStyle w:val="Note"/>
              <w:rPr>
                <w:i/>
              </w:rPr>
            </w:pPr>
            <w:r w:rsidRPr="008E77FE">
              <w:rPr>
                <w:rStyle w:val="NoteLabel"/>
              </w:rPr>
              <w:t>a</w:t>
            </w:r>
            <w:r w:rsidRPr="00854E63">
              <w:t> </w:t>
            </w:r>
            <w:r>
              <w:t xml:space="preserve">See table </w:t>
            </w:r>
            <w:proofErr w:type="spellStart"/>
            <w:r>
              <w:t>9A.4</w:t>
            </w:r>
            <w:proofErr w:type="spellEnd"/>
            <w:r>
              <w:t xml:space="preserve"> for detailed </w:t>
            </w:r>
            <w:r w:rsidR="004D7604">
              <w:t xml:space="preserve">footnotes and </w:t>
            </w:r>
            <w:r>
              <w:t>caveats</w:t>
            </w:r>
            <w:r w:rsidRPr="00854E63">
              <w:t>.</w:t>
            </w:r>
          </w:p>
        </w:tc>
      </w:tr>
      <w:tr w:rsidR="00FF1301" w:rsidTr="00FF1301">
        <w:trPr>
          <w:cantSplit/>
        </w:trPr>
        <w:tc>
          <w:tcPr>
            <w:tcW w:w="8771" w:type="dxa"/>
            <w:tcBorders>
              <w:top w:val="nil"/>
              <w:left w:val="nil"/>
              <w:bottom w:val="nil"/>
              <w:right w:val="nil"/>
            </w:tcBorders>
            <w:shd w:val="clear" w:color="auto" w:fill="auto"/>
          </w:tcPr>
          <w:p w:rsidR="00FF1301" w:rsidRDefault="00FF1301" w:rsidP="00C16525">
            <w:pPr>
              <w:pStyle w:val="Source"/>
            </w:pPr>
            <w:r>
              <w:rPr>
                <w:i/>
              </w:rPr>
              <w:t>Source</w:t>
            </w:r>
            <w:r w:rsidRPr="00167F06">
              <w:t xml:space="preserve">: </w:t>
            </w:r>
            <w:r w:rsidRPr="00854E63">
              <w:t>State and Territory governments (unpublished); table </w:t>
            </w:r>
            <w:proofErr w:type="spellStart"/>
            <w:r w:rsidRPr="00854E63">
              <w:t>9A.4</w:t>
            </w:r>
            <w:proofErr w:type="spellEnd"/>
            <w:r w:rsidRPr="00854E63">
              <w:t>.</w:t>
            </w:r>
          </w:p>
        </w:tc>
      </w:tr>
      <w:tr w:rsidR="00FF1301" w:rsidTr="00FF1301">
        <w:trPr>
          <w:cantSplit/>
        </w:trPr>
        <w:tc>
          <w:tcPr>
            <w:tcW w:w="8771" w:type="dxa"/>
            <w:tcBorders>
              <w:top w:val="nil"/>
              <w:left w:val="nil"/>
              <w:bottom w:val="single" w:sz="6" w:space="0" w:color="78A22F"/>
              <w:right w:val="nil"/>
            </w:tcBorders>
            <w:shd w:val="clear" w:color="auto" w:fill="auto"/>
          </w:tcPr>
          <w:p w:rsidR="00FF1301" w:rsidRDefault="00FF1301" w:rsidP="00FF1301">
            <w:pPr>
              <w:pStyle w:val="Box"/>
              <w:spacing w:before="0" w:line="120" w:lineRule="exact"/>
            </w:pPr>
          </w:p>
        </w:tc>
      </w:tr>
      <w:tr w:rsidR="00FF1301" w:rsidRPr="000863A5" w:rsidTr="00FF1301">
        <w:tc>
          <w:tcPr>
            <w:tcW w:w="8771" w:type="dxa"/>
            <w:tcBorders>
              <w:top w:val="single" w:sz="6" w:space="0" w:color="78A22F"/>
              <w:left w:val="nil"/>
              <w:bottom w:val="nil"/>
              <w:right w:val="nil"/>
            </w:tcBorders>
          </w:tcPr>
          <w:p w:rsidR="00FF1301" w:rsidRPr="00626D32" w:rsidRDefault="00FF1301" w:rsidP="00FF1301">
            <w:pPr>
              <w:pStyle w:val="BoxSpaceBelow"/>
            </w:pPr>
          </w:p>
        </w:tc>
      </w:tr>
    </w:tbl>
    <w:p w:rsidR="00FF1301" w:rsidRDefault="001A548F" w:rsidP="00FF1301">
      <w:pPr>
        <w:pStyle w:val="BodyText"/>
        <w:rPr>
          <w:color w:val="000000" w:themeColor="text1"/>
        </w:rPr>
      </w:pPr>
      <w:r>
        <w:t xml:space="preserve">Jurisdictions have a range of funding models to </w:t>
      </w:r>
      <w:r w:rsidR="00A70065">
        <w:t>resource</w:t>
      </w:r>
      <w:r>
        <w:t xml:space="preserve"> fire service organisations</w:t>
      </w:r>
      <w:r w:rsidR="000355C2">
        <w:t>.</w:t>
      </w:r>
      <w:r>
        <w:t xml:space="preserve"> </w:t>
      </w:r>
      <w:r w:rsidR="00A70065">
        <w:t>In all jurisdictions except the ACT and the NT</w:t>
      </w:r>
      <w:r w:rsidR="00DA10CD">
        <w:t xml:space="preserve">, levies </w:t>
      </w:r>
      <w:r w:rsidR="00FF1301">
        <w:t>are the largest source of fire services revenue (</w:t>
      </w:r>
      <w:r w:rsidR="006F0CEB" w:rsidRPr="00441237">
        <w:t>63.7</w:t>
      </w:r>
      <w:r w:rsidR="00FF1301" w:rsidRPr="00441237">
        <w:t xml:space="preserve"> per cent</w:t>
      </w:r>
      <w:r w:rsidR="00FF1301">
        <w:t xml:space="preserve"> of total funding </w:t>
      </w:r>
      <w:r w:rsidR="00A70065">
        <w:t xml:space="preserve">in 2015-16), and </w:t>
      </w:r>
      <w:r>
        <w:t xml:space="preserve">are </w:t>
      </w:r>
      <w:r w:rsidRPr="00D53333">
        <w:t xml:space="preserve">raised from levies on property owners or, in some jurisdictions, from levies on both insurance companies and property owners. </w:t>
      </w:r>
      <w:r>
        <w:t>T</w:t>
      </w:r>
      <w:r w:rsidRPr="00D53333">
        <w:t xml:space="preserve">he ACT and </w:t>
      </w:r>
      <w:r>
        <w:t xml:space="preserve">the </w:t>
      </w:r>
      <w:r w:rsidRPr="00D53333">
        <w:t>NT</w:t>
      </w:r>
      <w:r>
        <w:t xml:space="preserve"> do not raise fire levies, relying on government grants as </w:t>
      </w:r>
      <w:r w:rsidRPr="00D53333">
        <w:t>the</w:t>
      </w:r>
      <w:r>
        <w:t>ir</w:t>
      </w:r>
      <w:r w:rsidRPr="00D53333">
        <w:t xml:space="preserve"> largest </w:t>
      </w:r>
      <w:r>
        <w:t xml:space="preserve">revenue </w:t>
      </w:r>
      <w:r w:rsidRPr="00D53333">
        <w:t>source</w:t>
      </w:r>
      <w:r w:rsidR="00DA10CD">
        <w:t xml:space="preserve"> </w:t>
      </w:r>
      <w:r w:rsidR="00DA10CD">
        <w:rPr>
          <w:color w:val="000000" w:themeColor="text1"/>
        </w:rPr>
        <w:t>(t</w:t>
      </w:r>
      <w:r w:rsidR="00A70065">
        <w:rPr>
          <w:color w:val="000000" w:themeColor="text1"/>
        </w:rPr>
        <w:t xml:space="preserve">able </w:t>
      </w:r>
      <w:proofErr w:type="spellStart"/>
      <w:r w:rsidR="00A70065">
        <w:rPr>
          <w:color w:val="000000" w:themeColor="text1"/>
        </w:rPr>
        <w:t>9A.4</w:t>
      </w:r>
      <w:proofErr w:type="spellEnd"/>
      <w:r w:rsidR="00A70065">
        <w:rPr>
          <w:color w:val="000000" w:themeColor="text1"/>
        </w:rPr>
        <w:t>).</w:t>
      </w:r>
    </w:p>
    <w:p w:rsidR="001A548F" w:rsidRDefault="00FF1301" w:rsidP="00FF1301">
      <w:pPr>
        <w:pStyle w:val="BodyText"/>
        <w:rPr>
          <w:color w:val="000000" w:themeColor="text1"/>
        </w:rPr>
      </w:pPr>
      <w:r>
        <w:rPr>
          <w:color w:val="000000" w:themeColor="text1"/>
        </w:rPr>
        <w:t>J</w:t>
      </w:r>
      <w:r w:rsidRPr="00984AC3">
        <w:rPr>
          <w:color w:val="000000" w:themeColor="text1"/>
        </w:rPr>
        <w:t>urisdictions may fund other fire event services (not provided by fire service organisations), for which data are currently not available.</w:t>
      </w:r>
    </w:p>
    <w:p w:rsidR="000378D1" w:rsidRPr="00A67D72" w:rsidRDefault="000378D1" w:rsidP="00A67D72">
      <w:pPr>
        <w:pStyle w:val="Heading3"/>
      </w:pPr>
      <w:r w:rsidRPr="000378D1">
        <w:lastRenderedPageBreak/>
        <w:t>Size and scope</w:t>
      </w:r>
    </w:p>
    <w:p w:rsidR="001A548F" w:rsidRDefault="001A548F" w:rsidP="00A67D72">
      <w:pPr>
        <w:pStyle w:val="Heading4"/>
      </w:pPr>
      <w:r w:rsidRPr="00A05A09">
        <w:t>Human resources</w:t>
      </w:r>
    </w:p>
    <w:p w:rsidR="001A548F" w:rsidRPr="00441237" w:rsidRDefault="001A548F" w:rsidP="0096566E">
      <w:pPr>
        <w:pStyle w:val="BodyText"/>
      </w:pPr>
      <w:r w:rsidRPr="00441237">
        <w:t>Nationally in 201</w:t>
      </w:r>
      <w:r w:rsidR="00DB1964" w:rsidRPr="00441237">
        <w:t>5</w:t>
      </w:r>
      <w:r w:rsidRPr="00441237">
        <w:noBreakHyphen/>
        <w:t>1</w:t>
      </w:r>
      <w:r w:rsidR="00DB1964" w:rsidRPr="00441237">
        <w:t>6</w:t>
      </w:r>
      <w:r w:rsidRPr="00441237">
        <w:t xml:space="preserve">, </w:t>
      </w:r>
      <w:r w:rsidR="004C3C1E" w:rsidRPr="00441237">
        <w:t>1</w:t>
      </w:r>
      <w:r w:rsidR="00F563AB" w:rsidRPr="00441237">
        <w:t>8 980</w:t>
      </w:r>
      <w:r w:rsidR="00DB1964" w:rsidRPr="00441237">
        <w:t xml:space="preserve"> </w:t>
      </w:r>
      <w:r w:rsidRPr="00441237">
        <w:t>full time equivalent (FTE) paid personnel were employed by fire service organisations</w:t>
      </w:r>
      <w:r w:rsidR="00927D1A" w:rsidRPr="00441237">
        <w:t>, with the</w:t>
      </w:r>
      <w:r w:rsidRPr="00441237">
        <w:t xml:space="preserve"> majority (</w:t>
      </w:r>
      <w:r w:rsidR="004C3C1E" w:rsidRPr="00441237">
        <w:t>7</w:t>
      </w:r>
      <w:r w:rsidR="00F563AB" w:rsidRPr="00441237">
        <w:t>6.3</w:t>
      </w:r>
      <w:r w:rsidRPr="00441237">
        <w:t> per cent) firefighters</w:t>
      </w:r>
      <w:r w:rsidR="00927D1A" w:rsidRPr="00441237">
        <w:t xml:space="preserve"> (table </w:t>
      </w:r>
      <w:proofErr w:type="spellStart"/>
      <w:r w:rsidR="00927D1A" w:rsidRPr="00441237">
        <w:t>9A.5</w:t>
      </w:r>
      <w:proofErr w:type="spellEnd"/>
      <w:r w:rsidR="00927D1A" w:rsidRPr="00441237">
        <w:t>)</w:t>
      </w:r>
      <w:r w:rsidRPr="00441237">
        <w:t>.</w:t>
      </w:r>
    </w:p>
    <w:p w:rsidR="001A548F" w:rsidRPr="00441237" w:rsidRDefault="001A548F" w:rsidP="0096566E">
      <w:pPr>
        <w:pStyle w:val="BodyText"/>
      </w:pPr>
      <w:r w:rsidRPr="00441237">
        <w:t xml:space="preserve">A large number of volunteer </w:t>
      </w:r>
      <w:r w:rsidR="00927D1A" w:rsidRPr="00441237">
        <w:t xml:space="preserve">staff </w:t>
      </w:r>
      <w:r w:rsidRPr="00441237">
        <w:t>(</w:t>
      </w:r>
      <w:r w:rsidR="004C3C1E" w:rsidRPr="00441237">
        <w:t>2</w:t>
      </w:r>
      <w:r w:rsidR="00367C54" w:rsidRPr="00441237">
        <w:t>26</w:t>
      </w:r>
      <w:r w:rsidR="004C3C1E" w:rsidRPr="00441237">
        <w:t> </w:t>
      </w:r>
      <w:r w:rsidR="00367C54" w:rsidRPr="00441237">
        <w:t>509</w:t>
      </w:r>
      <w:r w:rsidR="004C3C1E" w:rsidRPr="00441237">
        <w:t xml:space="preserve"> </w:t>
      </w:r>
      <w:r w:rsidRPr="00441237">
        <w:t>people) also participated in the delivery of services in 201</w:t>
      </w:r>
      <w:r w:rsidR="00DB1964" w:rsidRPr="00441237">
        <w:t>5</w:t>
      </w:r>
      <w:r w:rsidR="00927D1A" w:rsidRPr="00441237">
        <w:t>-</w:t>
      </w:r>
      <w:r w:rsidRPr="00441237">
        <w:t>1</w:t>
      </w:r>
      <w:r w:rsidR="00DB1964" w:rsidRPr="00441237">
        <w:t>6</w:t>
      </w:r>
      <w:r w:rsidRPr="00441237">
        <w:t>. The proportion of volunteer personnel and the nature of their role varied across jurisdictions (table </w:t>
      </w:r>
      <w:proofErr w:type="spellStart"/>
      <w:r w:rsidRPr="00441237">
        <w:t>9A.5</w:t>
      </w:r>
      <w:proofErr w:type="spellEnd"/>
      <w:r w:rsidRPr="00441237">
        <w:t>).</w:t>
      </w:r>
    </w:p>
    <w:p w:rsidR="001A548F" w:rsidRPr="00441237" w:rsidRDefault="001A548F" w:rsidP="00A67D72">
      <w:pPr>
        <w:pStyle w:val="Heading4"/>
      </w:pPr>
      <w:r w:rsidRPr="00441237">
        <w:t xml:space="preserve">Demand for </w:t>
      </w:r>
      <w:r w:rsidR="003E09AD" w:rsidRPr="00441237">
        <w:t>emergency services</w:t>
      </w:r>
      <w:r w:rsidRPr="00441237">
        <w:t xml:space="preserve"> </w:t>
      </w:r>
    </w:p>
    <w:p w:rsidR="001A548F" w:rsidRPr="00984AC3" w:rsidRDefault="008C3653" w:rsidP="001A548F">
      <w:pPr>
        <w:pStyle w:val="BodyText"/>
        <w:rPr>
          <w:color w:val="000000" w:themeColor="text1"/>
        </w:rPr>
      </w:pPr>
      <w:r w:rsidRPr="00441237">
        <w:rPr>
          <w:color w:val="000000" w:themeColor="text1"/>
        </w:rPr>
        <w:t>F</w:t>
      </w:r>
      <w:r w:rsidR="001A548F" w:rsidRPr="00441237">
        <w:rPr>
          <w:color w:val="000000" w:themeColor="text1"/>
        </w:rPr>
        <w:t xml:space="preserve">ire service organisations provide emergency response and rescue services for a range of domestic, industrial, medical, and transport fire and emergency events. Nationally, fire service organisations attended a total of </w:t>
      </w:r>
      <w:r w:rsidR="004C3C1E" w:rsidRPr="00441237">
        <w:rPr>
          <w:color w:val="000000" w:themeColor="text1"/>
        </w:rPr>
        <w:t>382 </w:t>
      </w:r>
      <w:r w:rsidR="00F563AB" w:rsidRPr="00441237">
        <w:rPr>
          <w:color w:val="000000" w:themeColor="text1"/>
        </w:rPr>
        <w:t>440</w:t>
      </w:r>
      <w:r w:rsidR="001A548F" w:rsidRPr="00441237">
        <w:rPr>
          <w:color w:val="000000" w:themeColor="text1"/>
        </w:rPr>
        <w:t xml:space="preserve"> emergency incidents in 201</w:t>
      </w:r>
      <w:r w:rsidR="00DB1964" w:rsidRPr="00441237">
        <w:rPr>
          <w:color w:val="000000" w:themeColor="text1"/>
        </w:rPr>
        <w:t>5</w:t>
      </w:r>
      <w:r w:rsidR="001A548F" w:rsidRPr="00441237">
        <w:rPr>
          <w:color w:val="000000" w:themeColor="text1"/>
        </w:rPr>
        <w:noBreakHyphen/>
        <w:t>1</w:t>
      </w:r>
      <w:r w:rsidR="00DB1964" w:rsidRPr="00441237">
        <w:rPr>
          <w:color w:val="000000" w:themeColor="text1"/>
        </w:rPr>
        <w:t>6</w:t>
      </w:r>
      <w:r w:rsidR="001A548F" w:rsidRPr="00441237">
        <w:rPr>
          <w:color w:val="000000" w:themeColor="text1"/>
        </w:rPr>
        <w:t xml:space="preserve">, of which </w:t>
      </w:r>
      <w:r w:rsidR="006875FD" w:rsidRPr="00441237">
        <w:rPr>
          <w:color w:val="000000" w:themeColor="text1"/>
        </w:rPr>
        <w:t>97 4</w:t>
      </w:r>
      <w:r w:rsidR="00F563AB" w:rsidRPr="00441237">
        <w:rPr>
          <w:color w:val="000000" w:themeColor="text1"/>
        </w:rPr>
        <w:t>3</w:t>
      </w:r>
      <w:r w:rsidR="006875FD" w:rsidRPr="00441237">
        <w:rPr>
          <w:color w:val="000000" w:themeColor="text1"/>
        </w:rPr>
        <w:t xml:space="preserve">3 </w:t>
      </w:r>
      <w:r w:rsidR="001A548F" w:rsidRPr="00441237">
        <w:rPr>
          <w:color w:val="000000" w:themeColor="text1"/>
        </w:rPr>
        <w:t>were fire events (table </w:t>
      </w:r>
      <w:proofErr w:type="spellStart"/>
      <w:r w:rsidR="001A548F" w:rsidRPr="00441237">
        <w:rPr>
          <w:color w:val="000000" w:themeColor="text1"/>
        </w:rPr>
        <w:t>9A.13</w:t>
      </w:r>
      <w:proofErr w:type="spellEnd"/>
      <w:r w:rsidR="001A548F" w:rsidRPr="00441237">
        <w:rPr>
          <w:color w:val="000000" w:themeColor="text1"/>
        </w:rPr>
        <w:t>).</w:t>
      </w:r>
    </w:p>
    <w:p w:rsidR="001A548F" w:rsidRPr="00A67D72" w:rsidRDefault="001A548F" w:rsidP="001A548F">
      <w:pPr>
        <w:pStyle w:val="Heading2"/>
      </w:pPr>
      <w:bookmarkStart w:id="5" w:name="_Toc440965322"/>
      <w:r>
        <w:t>9.</w:t>
      </w:r>
      <w:r w:rsidR="002C6D1E">
        <w:rPr>
          <w:noProof/>
        </w:rPr>
        <w:t>2</w:t>
      </w:r>
      <w:r>
        <w:tab/>
      </w:r>
      <w:r w:rsidRPr="00A05A09">
        <w:t>Framework of performance indicators</w:t>
      </w:r>
      <w:bookmarkEnd w:id="5"/>
    </w:p>
    <w:p w:rsidR="001A548F" w:rsidRDefault="001A548F" w:rsidP="001A548F">
      <w:pPr>
        <w:pStyle w:val="BodyText"/>
      </w:pPr>
      <w:r>
        <w:t>T</w:t>
      </w:r>
      <w:r w:rsidRPr="003F6EF6">
        <w:t xml:space="preserve">he performance indicator framework </w:t>
      </w:r>
      <w:r>
        <w:t>is based on</w:t>
      </w:r>
      <w:r w:rsidRPr="003F6EF6">
        <w:t xml:space="preserve"> governments’</w:t>
      </w:r>
      <w:r>
        <w:t xml:space="preserve"> common </w:t>
      </w:r>
      <w:r w:rsidRPr="003F6EF6">
        <w:t>objectives for emergency services (box</w:t>
      </w:r>
      <w:r>
        <w:t> 9.</w:t>
      </w:r>
      <w:r w:rsidR="00F32AAF">
        <w:t>1</w:t>
      </w:r>
      <w:r>
        <w:t>).</w:t>
      </w:r>
    </w:p>
    <w:p w:rsidR="001A548F" w:rsidRDefault="001A548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A548F" w:rsidTr="00117B3B">
        <w:tc>
          <w:tcPr>
            <w:tcW w:w="8771" w:type="dxa"/>
            <w:tcBorders>
              <w:top w:val="single" w:sz="6" w:space="0" w:color="78A22F"/>
              <w:left w:val="nil"/>
              <w:bottom w:val="nil"/>
              <w:right w:val="nil"/>
            </w:tcBorders>
            <w:shd w:val="clear" w:color="auto" w:fill="F2F2F2"/>
          </w:tcPr>
          <w:p w:rsidR="001A548F" w:rsidRDefault="001A548F" w:rsidP="00F32AAF">
            <w:pPr>
              <w:pStyle w:val="BoxTitle"/>
            </w:pPr>
            <w:r>
              <w:rPr>
                <w:b w:val="0"/>
              </w:rPr>
              <w:t>Box 9.</w:t>
            </w:r>
            <w:r w:rsidR="00F32AAF">
              <w:rPr>
                <w:b w:val="0"/>
              </w:rPr>
              <w:t>1</w:t>
            </w:r>
            <w:r>
              <w:tab/>
            </w:r>
            <w:r w:rsidRPr="001C4E13">
              <w:t xml:space="preserve">Objectives for emergency services for fire </w:t>
            </w:r>
            <w:r w:rsidR="000B4C0C">
              <w:t xml:space="preserve">and other </w:t>
            </w:r>
            <w:r w:rsidRPr="001C4E13">
              <w:t>events</w:t>
            </w:r>
          </w:p>
        </w:tc>
      </w:tr>
      <w:tr w:rsidR="001A548F" w:rsidTr="00117B3B">
        <w:trPr>
          <w:cantSplit/>
        </w:trPr>
        <w:tc>
          <w:tcPr>
            <w:tcW w:w="8771" w:type="dxa"/>
            <w:tcBorders>
              <w:top w:val="nil"/>
              <w:left w:val="nil"/>
              <w:bottom w:val="nil"/>
              <w:right w:val="nil"/>
            </w:tcBorders>
            <w:shd w:val="clear" w:color="auto" w:fill="F2F2F2"/>
          </w:tcPr>
          <w:p w:rsidR="00AD24BA" w:rsidRPr="00AD24BA" w:rsidRDefault="00AD24BA" w:rsidP="00AD24BA">
            <w:pPr>
              <w:pStyle w:val="Box"/>
            </w:pPr>
            <w:r w:rsidRPr="00AD24BA">
              <w:t>Emergency services for fire and other events aim to build resilient communities that work together to understand and manage the risks that they confront, and to reduce the adverse effects of events on the community (including people, property, infrastructure, economy and environment).</w:t>
            </w:r>
          </w:p>
          <w:p w:rsidR="00AD24BA" w:rsidRPr="00AD24BA" w:rsidRDefault="00AD24BA" w:rsidP="00AD24BA">
            <w:pPr>
              <w:pStyle w:val="Box"/>
            </w:pPr>
            <w:r w:rsidRPr="00AD24BA">
              <w:t xml:space="preserve">Governments’ involvement is aimed at providing emergency services that: </w:t>
            </w:r>
          </w:p>
          <w:p w:rsidR="00AD24BA" w:rsidRPr="00AD24BA" w:rsidRDefault="00AD24BA" w:rsidP="00AD24BA">
            <w:pPr>
              <w:pStyle w:val="BoxListBullet"/>
            </w:pPr>
            <w:r w:rsidRPr="00AD24BA">
              <w:t xml:space="preserve">contribute to the communities management of risks and its preparedness, through the promotion of risk reduction and mitigation activities </w:t>
            </w:r>
          </w:p>
          <w:p w:rsidR="00AD24BA" w:rsidRPr="00AD24BA" w:rsidRDefault="00253557" w:rsidP="00AD24BA">
            <w:pPr>
              <w:pStyle w:val="BoxListBullet"/>
            </w:pPr>
            <w:r>
              <w:t>ar</w:t>
            </w:r>
            <w:r w:rsidR="008B6C3D">
              <w:t xml:space="preserve">e </w:t>
            </w:r>
            <w:r w:rsidR="00AD24BA" w:rsidRPr="00AD24BA">
              <w:t>accessible, responsive and sustainable.</w:t>
            </w:r>
          </w:p>
          <w:p w:rsidR="001A548F" w:rsidRDefault="00AD24BA" w:rsidP="008F67A4">
            <w:pPr>
              <w:pStyle w:val="Box"/>
            </w:pPr>
            <w:r w:rsidRPr="00AD24BA">
              <w:rPr>
                <w:rStyle w:val="BoxChar"/>
                <w:sz w:val="20"/>
              </w:rPr>
              <w:t>Governments aim for emergency services to meet these objectives in an equitable and efficient manner</w:t>
            </w:r>
            <w:r w:rsidRPr="00AD24BA">
              <w:t>.</w:t>
            </w:r>
          </w:p>
        </w:tc>
      </w:tr>
      <w:tr w:rsidR="001A548F" w:rsidTr="00117B3B">
        <w:trPr>
          <w:cantSplit/>
        </w:trPr>
        <w:tc>
          <w:tcPr>
            <w:tcW w:w="8771" w:type="dxa"/>
            <w:tcBorders>
              <w:top w:val="nil"/>
              <w:left w:val="nil"/>
              <w:bottom w:val="single" w:sz="6" w:space="0" w:color="78A22F"/>
              <w:right w:val="nil"/>
            </w:tcBorders>
            <w:shd w:val="clear" w:color="auto" w:fill="F2F2F2"/>
          </w:tcPr>
          <w:p w:rsidR="001A548F" w:rsidRDefault="001A548F">
            <w:pPr>
              <w:pStyle w:val="Box"/>
              <w:spacing w:before="0" w:line="120" w:lineRule="exact"/>
            </w:pPr>
          </w:p>
        </w:tc>
      </w:tr>
      <w:tr w:rsidR="001A548F" w:rsidRPr="000863A5" w:rsidTr="00117B3B">
        <w:tc>
          <w:tcPr>
            <w:tcW w:w="8771" w:type="dxa"/>
            <w:tcBorders>
              <w:top w:val="single" w:sz="6" w:space="0" w:color="78A22F"/>
              <w:left w:val="nil"/>
              <w:bottom w:val="nil"/>
              <w:right w:val="nil"/>
            </w:tcBorders>
          </w:tcPr>
          <w:p w:rsidR="001A548F" w:rsidRPr="00626D32" w:rsidRDefault="001A548F" w:rsidP="00117B3B">
            <w:pPr>
              <w:pStyle w:val="BoxSpaceBelow"/>
            </w:pPr>
          </w:p>
        </w:tc>
      </w:tr>
    </w:tbl>
    <w:p w:rsidR="004E55CC" w:rsidRDefault="001A548F" w:rsidP="00DE4BB4">
      <w:pPr>
        <w:pStyle w:val="BodyText"/>
      </w:pPr>
      <w:r w:rsidRPr="00DE4BB4">
        <w:t>The performance indicator framework provides information on equity, efficiency and effectiveness, and distinguishes the outputs and outcomes of emergency services for fire events (figure </w:t>
      </w:r>
      <w:r w:rsidRPr="00DE4BB4">
        <w:rPr>
          <w:rFonts w:eastAsiaTheme="minorEastAsia"/>
        </w:rPr>
        <w:t>9.1</w:t>
      </w:r>
      <w:r w:rsidRPr="00DE4BB4">
        <w:t>). To reflect the activities of the emergency management sector, performance reporting in this chapter also uses the prevention/mitigation, preparedness, response and recover</w:t>
      </w:r>
      <w:r w:rsidR="002B713A" w:rsidRPr="00DE4BB4">
        <w:t>y framework (</w:t>
      </w:r>
      <w:r w:rsidR="00B32344">
        <w:t xml:space="preserve">see figure </w:t>
      </w:r>
      <w:proofErr w:type="spellStart"/>
      <w:r w:rsidR="00B32344">
        <w:t>D.4</w:t>
      </w:r>
      <w:proofErr w:type="spellEnd"/>
      <w:r w:rsidR="00B32344">
        <w:t xml:space="preserve"> in </w:t>
      </w:r>
      <w:r w:rsidR="002B713A" w:rsidRPr="00DE4BB4">
        <w:t xml:space="preserve">sector overview D). </w:t>
      </w:r>
    </w:p>
    <w:p w:rsidR="007E6528" w:rsidRDefault="00DE4BB4" w:rsidP="007867D1">
      <w:pPr>
        <w:pStyle w:val="BodyText"/>
      </w:pPr>
      <w:r w:rsidRPr="007867D1">
        <w:lastRenderedPageBreak/>
        <w:t>T</w:t>
      </w:r>
      <w:r w:rsidR="00D46D68" w:rsidRPr="007867D1">
        <w:t xml:space="preserve">he </w:t>
      </w:r>
      <w:r w:rsidR="001A548F" w:rsidRPr="007867D1">
        <w:t>performance indicator framework shows which data are complete and comparable in the 201</w:t>
      </w:r>
      <w:r w:rsidR="00CA0FE8" w:rsidRPr="007867D1">
        <w:t>7</w:t>
      </w:r>
      <w:r w:rsidR="001A548F" w:rsidRPr="007867D1">
        <w:t xml:space="preserve"> Report. For data that are not considered directly comparable, text includes relevant caveats and supporting commentary. Chapter 1 discusses data comparability</w:t>
      </w:r>
      <w:r w:rsidR="00DD0F18">
        <w:t xml:space="preserve">, data completeness and information on data quality from a </w:t>
      </w:r>
      <w:r w:rsidR="001A548F" w:rsidRPr="007867D1">
        <w:t>Report</w:t>
      </w:r>
      <w:r w:rsidR="001A548F" w:rsidRPr="007867D1">
        <w:noBreakHyphen/>
        <w:t>wide perspective</w:t>
      </w:r>
      <w:r w:rsidR="0035457D">
        <w:t>.</w:t>
      </w:r>
      <w:r w:rsidR="007E6528">
        <w:t xml:space="preserve"> In addition to section 9.1, the Report’s Statistical context chapter contains data that may assist in interpreting the performance indicators presented in this chapter (chapter 2).</w:t>
      </w:r>
    </w:p>
    <w:p w:rsidR="007E6528" w:rsidRDefault="007E6528" w:rsidP="007867D1">
      <w:pPr>
        <w:pStyle w:val="BodyText"/>
      </w:pPr>
      <w:r>
        <w:t>Improvements to performance reporting for emergency services for fire and other events are ongoing and will include identifying indicators to fill gaps in reporting against key objectives, improving the comparability and completeness of data and reviewing proxy indicators to establish whether more direct measures can be developed.</w:t>
      </w:r>
    </w:p>
    <w:p w:rsidR="001A548F" w:rsidRDefault="001A548F" w:rsidP="00117B3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A548F" w:rsidTr="00117B3B">
        <w:tc>
          <w:tcPr>
            <w:tcW w:w="8771" w:type="dxa"/>
            <w:tcBorders>
              <w:top w:val="single" w:sz="6" w:space="0" w:color="78A22F"/>
              <w:left w:val="nil"/>
              <w:bottom w:val="nil"/>
              <w:right w:val="nil"/>
            </w:tcBorders>
            <w:shd w:val="clear" w:color="auto" w:fill="auto"/>
          </w:tcPr>
          <w:p w:rsidR="001A548F" w:rsidRPr="00176D3F" w:rsidRDefault="001A548F" w:rsidP="00AD24BA">
            <w:pPr>
              <w:pStyle w:val="FigureTitle"/>
            </w:pPr>
            <w:r w:rsidRPr="00784A05">
              <w:rPr>
                <w:b w:val="0"/>
              </w:rPr>
              <w:t xml:space="preserve">Figure </w:t>
            </w:r>
            <w:r>
              <w:rPr>
                <w:b w:val="0"/>
              </w:rPr>
              <w:t>9.</w:t>
            </w:r>
            <w:r w:rsidR="002C6D1E">
              <w:rPr>
                <w:b w:val="0"/>
                <w:noProof/>
              </w:rPr>
              <w:t>1</w:t>
            </w:r>
            <w:r>
              <w:tab/>
            </w:r>
            <w:r w:rsidR="00AD24BA">
              <w:t xml:space="preserve">Emergency services for fire </w:t>
            </w:r>
            <w:r w:rsidRPr="00FB2CB0">
              <w:t>events performance indicator framework</w:t>
            </w:r>
          </w:p>
        </w:tc>
      </w:tr>
      <w:tr w:rsidR="001A548F" w:rsidTr="00117B3B">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1A548F" w:rsidTr="00117B3B">
              <w:trPr>
                <w:jc w:val="center"/>
              </w:trPr>
              <w:tc>
                <w:tcPr>
                  <w:tcW w:w="5000" w:type="pct"/>
                  <w:tcBorders>
                    <w:top w:val="nil"/>
                    <w:bottom w:val="nil"/>
                  </w:tcBorders>
                </w:tcPr>
                <w:p w:rsidR="001A548F" w:rsidRDefault="00AC351A" w:rsidP="00117B3B">
                  <w:pPr>
                    <w:pStyle w:val="Figure"/>
                    <w:spacing w:before="60" w:after="60"/>
                  </w:pPr>
                  <w:r>
                    <w:rPr>
                      <w:noProof/>
                    </w:rPr>
                    <w:drawing>
                      <wp:inline distT="0" distB="0" distL="0" distR="0">
                        <wp:extent cx="5358765" cy="4210685"/>
                        <wp:effectExtent l="0" t="0" r="0" b="0"/>
                        <wp:docPr id="15" name="Picture 15" descr="Figure 9.1 Emergency services for fire events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58765" cy="4210685"/>
                                </a:xfrm>
                                <a:prstGeom prst="rect">
                                  <a:avLst/>
                                </a:prstGeom>
                                <a:noFill/>
                                <a:ln>
                                  <a:noFill/>
                                </a:ln>
                              </pic:spPr>
                            </pic:pic>
                          </a:graphicData>
                        </a:graphic>
                      </wp:inline>
                    </w:drawing>
                  </w:r>
                </w:p>
              </w:tc>
            </w:tr>
          </w:tbl>
          <w:p w:rsidR="001A548F" w:rsidRDefault="001A548F" w:rsidP="00117B3B">
            <w:pPr>
              <w:pStyle w:val="Figure"/>
            </w:pPr>
          </w:p>
        </w:tc>
        <w:bookmarkStart w:id="6" w:name="_GoBack"/>
        <w:bookmarkEnd w:id="6"/>
      </w:tr>
      <w:tr w:rsidR="001A548F" w:rsidTr="00117B3B">
        <w:tc>
          <w:tcPr>
            <w:tcW w:w="8771" w:type="dxa"/>
            <w:tcBorders>
              <w:top w:val="nil"/>
              <w:left w:val="nil"/>
              <w:bottom w:val="single" w:sz="6" w:space="0" w:color="78A22F"/>
              <w:right w:val="nil"/>
            </w:tcBorders>
            <w:shd w:val="clear" w:color="auto" w:fill="auto"/>
          </w:tcPr>
          <w:p w:rsidR="001A548F" w:rsidRDefault="001A548F" w:rsidP="00117B3B">
            <w:pPr>
              <w:pStyle w:val="Figurespace"/>
            </w:pPr>
          </w:p>
        </w:tc>
      </w:tr>
      <w:tr w:rsidR="001A548F" w:rsidRPr="000863A5" w:rsidTr="00117B3B">
        <w:tc>
          <w:tcPr>
            <w:tcW w:w="8771" w:type="dxa"/>
            <w:tcBorders>
              <w:top w:val="single" w:sz="6" w:space="0" w:color="78A22F"/>
              <w:left w:val="nil"/>
              <w:bottom w:val="nil"/>
              <w:right w:val="nil"/>
            </w:tcBorders>
          </w:tcPr>
          <w:p w:rsidR="001A548F" w:rsidRPr="00626D32" w:rsidRDefault="001A548F" w:rsidP="00117B3B">
            <w:pPr>
              <w:pStyle w:val="BoxSpaceBelow"/>
            </w:pPr>
          </w:p>
        </w:tc>
      </w:tr>
    </w:tbl>
    <w:p w:rsidR="001A548F" w:rsidRDefault="001A548F" w:rsidP="001A548F">
      <w:pPr>
        <w:pStyle w:val="Heading2"/>
      </w:pPr>
      <w:bookmarkStart w:id="7" w:name="_Toc440965323"/>
      <w:r>
        <w:lastRenderedPageBreak/>
        <w:t>9.</w:t>
      </w:r>
      <w:r w:rsidR="002C6D1E">
        <w:rPr>
          <w:noProof/>
        </w:rPr>
        <w:t>3</w:t>
      </w:r>
      <w:r>
        <w:tab/>
      </w:r>
      <w:r w:rsidRPr="00A05A09">
        <w:t>Key performance indicator results</w:t>
      </w:r>
      <w:bookmarkEnd w:id="7"/>
    </w:p>
    <w:p w:rsidR="001A548F" w:rsidRDefault="001A548F" w:rsidP="001A548F">
      <w:pPr>
        <w:pStyle w:val="BodyText"/>
      </w:pPr>
      <w:r>
        <w:t>Different delivery contexts, locations and types of clients can affect the equity, effectiveness and efficiency of fire services.</w:t>
      </w:r>
    </w:p>
    <w:p w:rsidR="00156F25" w:rsidRDefault="00156F25" w:rsidP="00156F25">
      <w:pPr>
        <w:pStyle w:val="Heading3"/>
      </w:pPr>
      <w:r>
        <w:t>Outputs</w:t>
      </w:r>
    </w:p>
    <w:p w:rsidR="00156F25" w:rsidRDefault="00156F25" w:rsidP="00156F25">
      <w:pPr>
        <w:pStyle w:val="BodyText"/>
      </w:pPr>
      <w:r>
        <w:t>Outputs are the services delivered (while outcomes are the impact of these services on the status of an individual or group) (see chapter 1). Output information is also critical for equitable, efficient and effective management of government services.</w:t>
      </w:r>
    </w:p>
    <w:p w:rsidR="004E55CC" w:rsidRDefault="004066F3" w:rsidP="007F0F98">
      <w:pPr>
        <w:pStyle w:val="Heading3"/>
        <w:keepNext w:val="0"/>
        <w:widowControl w:val="0"/>
      </w:pPr>
      <w:r>
        <w:t>Equity</w:t>
      </w:r>
    </w:p>
    <w:p w:rsidR="004B0630" w:rsidRDefault="004E55CC" w:rsidP="007F0F98">
      <w:pPr>
        <w:pStyle w:val="BodyText"/>
        <w:widowControl w:val="0"/>
      </w:pPr>
      <w:r>
        <w:t>There are currently no identified indicators on equity of access to fire services for special needs groups.</w:t>
      </w:r>
    </w:p>
    <w:p w:rsidR="004B0630" w:rsidRDefault="004B0630" w:rsidP="007F0F98">
      <w:pPr>
        <w:pStyle w:val="Heading3"/>
        <w:keepNext w:val="0"/>
        <w:widowControl w:val="0"/>
      </w:pPr>
      <w:r>
        <w:t>Effectiveness</w:t>
      </w:r>
    </w:p>
    <w:p w:rsidR="00117B3B" w:rsidRPr="000D5E5D" w:rsidRDefault="00117B3B" w:rsidP="000D5E5D">
      <w:pPr>
        <w:pStyle w:val="Heading4"/>
      </w:pPr>
      <w:r w:rsidRPr="000D5E5D">
        <w:t>Prevention/mitigation — Fire risk prevention/mitigation</w:t>
      </w:r>
      <w:r w:rsidR="003D2723" w:rsidRPr="000D5E5D">
        <w:t xml:space="preserve"> </w:t>
      </w:r>
      <w:r w:rsidRPr="000D5E5D">
        <w:t>activities</w:t>
      </w:r>
    </w:p>
    <w:p w:rsidR="00117B3B" w:rsidRPr="0096756A" w:rsidRDefault="00117B3B" w:rsidP="0096756A">
      <w:pPr>
        <w:pStyle w:val="BodyText"/>
      </w:pPr>
      <w:r w:rsidRPr="0096756A">
        <w:t xml:space="preserve">‘Fire risk prevention/mitigation activities’ is an indicator of governments’ objective </w:t>
      </w:r>
      <w:r w:rsidR="00DE4BB4">
        <w:t>to</w:t>
      </w:r>
      <w:r w:rsidR="003D2723" w:rsidRPr="0096756A">
        <w:t xml:space="preserve"> contribute to the communities management of risks and its preparedness, through the promotion of risk reduction and mitigation activities </w:t>
      </w:r>
      <w:r w:rsidRPr="0096756A">
        <w:t>(box</w:t>
      </w:r>
      <w:r w:rsidR="003D2723" w:rsidRPr="0096756A">
        <w:t> 9.</w:t>
      </w:r>
      <w:r w:rsidR="006D7F45">
        <w:t>2</w:t>
      </w:r>
      <w:r w:rsidRPr="0096756A">
        <w:t>).</w:t>
      </w:r>
      <w:r w:rsidR="003D2723" w:rsidRPr="0096756A">
        <w:t xml:space="preserve"> </w:t>
      </w:r>
    </w:p>
    <w:p w:rsidR="004C3CE3" w:rsidRDefault="00B47EA7" w:rsidP="008F67A4">
      <w:pPr>
        <w:pStyle w:val="BodyText"/>
      </w:pPr>
      <w:r w:rsidRPr="0096756A">
        <w:t>All jurisdictions undertake a range of fire risk prevention/mitigation tasks to assist households, commercial businesses, and communities prepare for the risk of fire</w:t>
      </w:r>
      <w:r w:rsidR="006C7D58">
        <w:t xml:space="preserve"> (</w:t>
      </w:r>
      <w:r w:rsidR="004C3CE3">
        <w:t xml:space="preserve">see </w:t>
      </w:r>
      <w:r w:rsidR="006C7D58">
        <w:t>table </w:t>
      </w:r>
      <w:proofErr w:type="spellStart"/>
      <w:r w:rsidR="006C7D58">
        <w:t>9A.22</w:t>
      </w:r>
      <w:proofErr w:type="spellEnd"/>
      <w:r w:rsidR="004C3CE3">
        <w:t xml:space="preserve"> for activities by jurisdiction</w:t>
      </w:r>
      <w:r w:rsidR="006C7D58">
        <w:t xml:space="preserve">). </w:t>
      </w:r>
      <w:r w:rsidR="004C3CE3">
        <w:t xml:space="preserve">To assist in determining the most appropriate activities and priorities, fire service organisations and other </w:t>
      </w:r>
      <w:r w:rsidR="004C3CE3" w:rsidRPr="00374475">
        <w:t>emergency management stakeholders</w:t>
      </w:r>
      <w:r w:rsidR="004C3CE3">
        <w:t xml:space="preserve"> look at fire cause identification (see table </w:t>
      </w:r>
      <w:proofErr w:type="spellStart"/>
      <w:r w:rsidR="004C3CE3">
        <w:t>9A.17</w:t>
      </w:r>
      <w:proofErr w:type="spellEnd"/>
      <w:r w:rsidR="004C3CE3">
        <w:t xml:space="preserve"> for d</w:t>
      </w:r>
      <w:r w:rsidR="004C3CE3" w:rsidRPr="00374475">
        <w:t>ata on ignition factors</w:t>
      </w:r>
      <w:r w:rsidR="004C3CE3">
        <w:t>)</w:t>
      </w:r>
      <w:r w:rsidR="004C3CE3" w:rsidRPr="00374475">
        <w:t>.</w:t>
      </w:r>
    </w:p>
    <w:p w:rsidR="00503134" w:rsidRDefault="00503134">
      <w:pPr>
        <w:rPr>
          <w:szCs w:val="20"/>
        </w:rPr>
      </w:pPr>
      <w:r>
        <w:br w:type="page"/>
      </w:r>
    </w:p>
    <w:p w:rsidR="00117B3B" w:rsidRDefault="00117B3B" w:rsidP="008F67A4">
      <w:pPr>
        <w:pStyle w:val="BodyText"/>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17B3B" w:rsidTr="00117B3B">
        <w:tc>
          <w:tcPr>
            <w:tcW w:w="8771" w:type="dxa"/>
            <w:tcBorders>
              <w:top w:val="single" w:sz="6" w:space="0" w:color="78A22F"/>
              <w:left w:val="nil"/>
              <w:bottom w:val="nil"/>
              <w:right w:val="nil"/>
            </w:tcBorders>
            <w:shd w:val="clear" w:color="auto" w:fill="F2F2F2"/>
          </w:tcPr>
          <w:p w:rsidR="00117B3B" w:rsidRDefault="00117B3B" w:rsidP="001571FF">
            <w:pPr>
              <w:pStyle w:val="BoxTitle"/>
              <w:keepLines w:val="0"/>
              <w:widowControl w:val="0"/>
            </w:pPr>
            <w:r>
              <w:rPr>
                <w:b w:val="0"/>
              </w:rPr>
              <w:t>Box 9</w:t>
            </w:r>
            <w:r w:rsidR="006D7F45">
              <w:rPr>
                <w:b w:val="0"/>
              </w:rPr>
              <w:t>.2</w:t>
            </w:r>
            <w:r>
              <w:tab/>
            </w:r>
            <w:r w:rsidRPr="00231BC8">
              <w:t>Fire risk prevention/mitigation activities</w:t>
            </w:r>
          </w:p>
        </w:tc>
      </w:tr>
      <w:tr w:rsidR="00117B3B" w:rsidTr="00117B3B">
        <w:trPr>
          <w:cantSplit/>
        </w:trPr>
        <w:tc>
          <w:tcPr>
            <w:tcW w:w="8771" w:type="dxa"/>
            <w:tcBorders>
              <w:top w:val="nil"/>
              <w:left w:val="nil"/>
              <w:bottom w:val="nil"/>
              <w:right w:val="nil"/>
            </w:tcBorders>
            <w:shd w:val="clear" w:color="auto" w:fill="F2F2F2"/>
          </w:tcPr>
          <w:p w:rsidR="00117B3B" w:rsidRDefault="00117B3B" w:rsidP="007F0F98">
            <w:pPr>
              <w:pStyle w:val="Box"/>
              <w:keepNext w:val="0"/>
              <w:widowControl w:val="0"/>
            </w:pPr>
            <w:r w:rsidRPr="00231BC8">
              <w:t xml:space="preserve">‘Fire risk prevention/mitigation activities’ is defined by </w:t>
            </w:r>
            <w:r>
              <w:t>t</w:t>
            </w:r>
            <w:r w:rsidR="000D5E5D">
              <w:t xml:space="preserve">wo </w:t>
            </w:r>
            <w:r w:rsidRPr="00231BC8">
              <w:t>measure</w:t>
            </w:r>
            <w:r>
              <w:t>s.</w:t>
            </w:r>
          </w:p>
          <w:p w:rsidR="00A4514F" w:rsidRDefault="00117B3B" w:rsidP="007F0F98">
            <w:pPr>
              <w:pStyle w:val="BoxListBullet"/>
              <w:keepNext w:val="0"/>
              <w:widowControl w:val="0"/>
            </w:pPr>
            <w:r w:rsidRPr="009E5B21">
              <w:t>‘Accidental residential structure fires per 100 000 households</w:t>
            </w:r>
            <w:r w:rsidR="000D5E5D" w:rsidRPr="009E5B21">
              <w:t>’</w:t>
            </w:r>
            <w:r w:rsidR="009E5B21" w:rsidRPr="009E5B21">
              <w:t xml:space="preserve"> </w:t>
            </w:r>
            <w:r w:rsidR="00E35AC3">
              <w:rPr>
                <w:rFonts w:ascii="Verdana" w:hAnsi="Verdana"/>
              </w:rPr>
              <w:t>—</w:t>
            </w:r>
            <w:r w:rsidR="00E35AC3">
              <w:t xml:space="preserve"> </w:t>
            </w:r>
            <w:r w:rsidR="009E5B21" w:rsidRPr="009E5B21">
              <w:t>the number of accidental residential structure fire incidents divided by the total number of households</w:t>
            </w:r>
            <w:r w:rsidR="00E35AC3">
              <w:t xml:space="preserve">, </w:t>
            </w:r>
            <w:r w:rsidR="00F32E5C">
              <w:t xml:space="preserve">where </w:t>
            </w:r>
            <w:r w:rsidR="00F32E5C" w:rsidRPr="00F32E5C">
              <w:t>accidental</w:t>
            </w:r>
            <w:r w:rsidR="00E35AC3" w:rsidRPr="007F0F98">
              <w:t xml:space="preserve"> residential structure fires are </w:t>
            </w:r>
            <w:r w:rsidR="00F32E5C">
              <w:t xml:space="preserve">defined as </w:t>
            </w:r>
            <w:r w:rsidR="00E35AC3" w:rsidRPr="007F0F98">
              <w:t>fires that are not deliberately lit and could have been reduced or prevented with effective educational programs</w:t>
            </w:r>
            <w:r w:rsidR="00D27E1A">
              <w:t>.</w:t>
            </w:r>
          </w:p>
          <w:p w:rsidR="00117B3B" w:rsidRPr="006C434B" w:rsidRDefault="00117B3B" w:rsidP="007F0F98">
            <w:pPr>
              <w:pStyle w:val="Box"/>
              <w:keepNext w:val="0"/>
              <w:widowControl w:val="0"/>
            </w:pPr>
            <w:r w:rsidRPr="006C434B">
              <w:t xml:space="preserve">A low or decreasing </w:t>
            </w:r>
            <w:r w:rsidR="000D444F">
              <w:t>incidence</w:t>
            </w:r>
            <w:r w:rsidR="000D444F" w:rsidRPr="006C434B">
              <w:t xml:space="preserve"> </w:t>
            </w:r>
            <w:r w:rsidRPr="006C434B">
              <w:t xml:space="preserve">of </w:t>
            </w:r>
            <w:r w:rsidR="000D444F">
              <w:t>accidental residential structural</w:t>
            </w:r>
            <w:r w:rsidRPr="006C434B">
              <w:t xml:space="preserve"> </w:t>
            </w:r>
            <w:r w:rsidR="000D444F">
              <w:t xml:space="preserve">fire </w:t>
            </w:r>
            <w:r w:rsidR="0032648B">
              <w:t>indicates</w:t>
            </w:r>
            <w:r w:rsidRPr="006C434B">
              <w:t xml:space="preserve"> greater </w:t>
            </w:r>
            <w:r w:rsidR="000D444F">
              <w:t>community preparedness</w:t>
            </w:r>
            <w:r w:rsidR="009E5B21">
              <w:t>.</w:t>
            </w:r>
          </w:p>
          <w:p w:rsidR="00C04354" w:rsidRPr="006C434B" w:rsidRDefault="00C04354" w:rsidP="007F0F98">
            <w:pPr>
              <w:pStyle w:val="Box"/>
              <w:keepNext w:val="0"/>
              <w:widowControl w:val="0"/>
            </w:pPr>
            <w:r w:rsidRPr="006C434B">
              <w:t xml:space="preserve">The rate of accidental residential structure fires per 100 000 households should be interpreted with caution. In particular, rates are affected by differences </w:t>
            </w:r>
            <w:r w:rsidR="001B41F8">
              <w:t>across jurisdiction</w:t>
            </w:r>
            <w:r w:rsidR="00EF4102">
              <w:t xml:space="preserve"> in distinguishing</w:t>
            </w:r>
            <w:r w:rsidRPr="006C434B">
              <w:t xml:space="preserve"> accidental structure fires from structure fi</w:t>
            </w:r>
            <w:r w:rsidR="009E5B21">
              <w:t>res resulting from other causes.</w:t>
            </w:r>
          </w:p>
          <w:p w:rsidR="006C434B" w:rsidRPr="006C434B" w:rsidRDefault="006C434B" w:rsidP="007F0F98">
            <w:pPr>
              <w:pStyle w:val="Box"/>
              <w:keepNext w:val="0"/>
              <w:widowControl w:val="0"/>
            </w:pPr>
            <w:r w:rsidRPr="006C434B">
              <w:t>Data reported for this measure are:</w:t>
            </w:r>
          </w:p>
          <w:p w:rsidR="006C434B" w:rsidRDefault="006C434B" w:rsidP="00181E6E">
            <w:pPr>
              <w:pStyle w:val="BoxListBullet2"/>
            </w:pPr>
            <w:r w:rsidRPr="0052371F">
              <w:t>comparable (subject to caveats) within jurisdictions over time but are not comparable across jurisdictions</w:t>
            </w:r>
          </w:p>
          <w:p w:rsidR="00004982" w:rsidRDefault="00004982" w:rsidP="00004982">
            <w:pPr>
              <w:pStyle w:val="BoxListBullet2"/>
            </w:pPr>
            <w:r>
              <w:t>complete (subject to caveats) for the current reporting period</w:t>
            </w:r>
            <w:r w:rsidRPr="002C5FB5">
              <w:t xml:space="preserve">. All required </w:t>
            </w:r>
            <w:r>
              <w:t>2015</w:t>
            </w:r>
            <w:r>
              <w:noBreakHyphen/>
              <w:t>16</w:t>
            </w:r>
            <w:r w:rsidRPr="002C5FB5">
              <w:t xml:space="preserve"> data are a</w:t>
            </w:r>
            <w:r>
              <w:t>vailable for all jurisdictions.</w:t>
            </w:r>
            <w:r w:rsidRPr="000D5E5D">
              <w:t xml:space="preserve"> </w:t>
            </w:r>
          </w:p>
          <w:p w:rsidR="000D5E5D" w:rsidRPr="000D5E5D" w:rsidRDefault="000D5E5D" w:rsidP="007F0F98">
            <w:pPr>
              <w:pStyle w:val="BoxListBullet"/>
              <w:keepNext w:val="0"/>
              <w:widowControl w:val="0"/>
            </w:pPr>
            <w:r w:rsidRPr="000D5E5D">
              <w:t>‘Proportion of residential structures with smoke alarms’</w:t>
            </w:r>
            <w:r w:rsidR="00D27E1A">
              <w:t xml:space="preserve"> </w:t>
            </w:r>
            <w:r w:rsidR="00D27E1A">
              <w:rPr>
                <w:rFonts w:ascii="Verdana" w:hAnsi="Verdana"/>
              </w:rPr>
              <w:t>—</w:t>
            </w:r>
            <w:r w:rsidRPr="000D5E5D">
              <w:t>the number of households with a smoke alarm installed, divided by the total number of households.</w:t>
            </w:r>
          </w:p>
          <w:p w:rsidR="000D5E5D" w:rsidRPr="006C434B" w:rsidRDefault="000D5E5D" w:rsidP="007F0F98">
            <w:pPr>
              <w:pStyle w:val="Box"/>
              <w:keepNext w:val="0"/>
              <w:widowControl w:val="0"/>
            </w:pPr>
            <w:r w:rsidRPr="006C434B">
              <w:t xml:space="preserve">High or increasing numbers of households with a smoke alarm installed </w:t>
            </w:r>
            <w:r w:rsidR="0032648B" w:rsidRPr="0032648B">
              <w:t>indicates greater community preparedness</w:t>
            </w:r>
            <w:r w:rsidR="0032648B">
              <w:t xml:space="preserve"> </w:t>
            </w:r>
          </w:p>
          <w:p w:rsidR="006C434B" w:rsidRPr="006C434B" w:rsidRDefault="006C434B" w:rsidP="007F0F98">
            <w:pPr>
              <w:pStyle w:val="Box"/>
              <w:keepNext w:val="0"/>
              <w:widowControl w:val="0"/>
            </w:pPr>
            <w:r w:rsidRPr="006C434B">
              <w:t>Data reported for this measure are:</w:t>
            </w:r>
          </w:p>
          <w:p w:rsidR="006C434B" w:rsidRPr="006C434B" w:rsidRDefault="006C434B" w:rsidP="00181E6E">
            <w:pPr>
              <w:pStyle w:val="BoxListBullet2"/>
            </w:pPr>
            <w:r w:rsidRPr="006C434B">
              <w:t>comparable (subject to caveats) within jurisdictions over time but are not comparable across jurisdictions</w:t>
            </w:r>
          </w:p>
          <w:p w:rsidR="00117B3B" w:rsidRDefault="006C434B" w:rsidP="000362E3">
            <w:pPr>
              <w:pStyle w:val="BoxListBullet2"/>
            </w:pPr>
            <w:r w:rsidRPr="006C434B">
              <w:t>incomplete for the current reporting period. All required 201</w:t>
            </w:r>
            <w:r w:rsidR="006C7D58">
              <w:t>5</w:t>
            </w:r>
            <w:r w:rsidRPr="006C434B">
              <w:noBreakHyphen/>
              <w:t>1</w:t>
            </w:r>
            <w:r w:rsidR="006C7D58">
              <w:t>6</w:t>
            </w:r>
            <w:r w:rsidRPr="006C434B">
              <w:t xml:space="preserve"> data are not available for SA, </w:t>
            </w:r>
            <w:proofErr w:type="spellStart"/>
            <w:r w:rsidRPr="006C434B">
              <w:t>Tas</w:t>
            </w:r>
            <w:proofErr w:type="spellEnd"/>
            <w:r w:rsidR="000362E3">
              <w:t xml:space="preserve"> and ACT.</w:t>
            </w:r>
          </w:p>
        </w:tc>
      </w:tr>
      <w:tr w:rsidR="00117B3B" w:rsidTr="00117B3B">
        <w:trPr>
          <w:cantSplit/>
        </w:trPr>
        <w:tc>
          <w:tcPr>
            <w:tcW w:w="8771" w:type="dxa"/>
            <w:tcBorders>
              <w:top w:val="nil"/>
              <w:left w:val="nil"/>
              <w:bottom w:val="single" w:sz="6" w:space="0" w:color="78A22F"/>
              <w:right w:val="nil"/>
            </w:tcBorders>
            <w:shd w:val="clear" w:color="auto" w:fill="F2F2F2"/>
          </w:tcPr>
          <w:p w:rsidR="00117B3B" w:rsidRDefault="00117B3B" w:rsidP="007F0F98">
            <w:pPr>
              <w:pStyle w:val="Box"/>
              <w:keepNext w:val="0"/>
              <w:widowControl w:val="0"/>
              <w:spacing w:before="0" w:line="120" w:lineRule="exact"/>
            </w:pPr>
          </w:p>
        </w:tc>
      </w:tr>
      <w:tr w:rsidR="00117B3B" w:rsidRPr="000863A5" w:rsidTr="00117B3B">
        <w:tc>
          <w:tcPr>
            <w:tcW w:w="8771" w:type="dxa"/>
            <w:tcBorders>
              <w:top w:val="single" w:sz="6" w:space="0" w:color="78A22F"/>
              <w:left w:val="nil"/>
              <w:bottom w:val="nil"/>
              <w:right w:val="nil"/>
            </w:tcBorders>
          </w:tcPr>
          <w:p w:rsidR="00117B3B" w:rsidRPr="00626D32" w:rsidRDefault="00117B3B" w:rsidP="007F0F98">
            <w:pPr>
              <w:pStyle w:val="BoxSpaceBelow"/>
              <w:widowControl w:val="0"/>
            </w:pPr>
          </w:p>
        </w:tc>
      </w:tr>
    </w:tbl>
    <w:p w:rsidR="00117B3B" w:rsidRPr="004F5F92" w:rsidRDefault="00117B3B" w:rsidP="004F5F92">
      <w:pPr>
        <w:pStyle w:val="Heading5"/>
      </w:pPr>
      <w:r w:rsidRPr="004F5F92">
        <w:t>Accidental residential structure fires per 100 000 households</w:t>
      </w:r>
    </w:p>
    <w:p w:rsidR="00117B3B" w:rsidRDefault="00117B3B" w:rsidP="00117B3B">
      <w:pPr>
        <w:pStyle w:val="BodyText"/>
        <w:rPr>
          <w:color w:val="000000" w:themeColor="text1"/>
        </w:rPr>
      </w:pPr>
      <w:r w:rsidRPr="00984AC3">
        <w:rPr>
          <w:color w:val="000000" w:themeColor="text1"/>
        </w:rPr>
        <w:t xml:space="preserve">The national rate of accidental residential structure fires was </w:t>
      </w:r>
      <w:r w:rsidR="00454FBF" w:rsidRPr="000D1ADE">
        <w:rPr>
          <w:color w:val="000000" w:themeColor="text1"/>
        </w:rPr>
        <w:t>8</w:t>
      </w:r>
      <w:r w:rsidR="0019084D" w:rsidRPr="000D1ADE">
        <w:rPr>
          <w:color w:val="000000" w:themeColor="text1"/>
        </w:rPr>
        <w:t>1.9</w:t>
      </w:r>
      <w:r w:rsidR="00F563AB" w:rsidRPr="000D1ADE">
        <w:rPr>
          <w:color w:val="000000" w:themeColor="text1"/>
        </w:rPr>
        <w:t xml:space="preserve"> </w:t>
      </w:r>
      <w:r w:rsidR="004F5F92" w:rsidRPr="000D1ADE">
        <w:rPr>
          <w:color w:val="000000" w:themeColor="text1"/>
        </w:rPr>
        <w:t>p</w:t>
      </w:r>
      <w:r w:rsidRPr="000D1ADE">
        <w:rPr>
          <w:color w:val="000000" w:themeColor="text1"/>
        </w:rPr>
        <w:t>er 100 000 households</w:t>
      </w:r>
      <w:r w:rsidRPr="00984AC3">
        <w:rPr>
          <w:color w:val="000000" w:themeColor="text1"/>
        </w:rPr>
        <w:t xml:space="preserve"> in 201</w:t>
      </w:r>
      <w:r w:rsidR="004F5F92">
        <w:rPr>
          <w:color w:val="000000" w:themeColor="text1"/>
        </w:rPr>
        <w:t>5</w:t>
      </w:r>
      <w:r w:rsidRPr="00984AC3">
        <w:rPr>
          <w:color w:val="000000" w:themeColor="text1"/>
        </w:rPr>
        <w:noBreakHyphen/>
        <w:t>1</w:t>
      </w:r>
      <w:r w:rsidR="004F5F92">
        <w:rPr>
          <w:color w:val="000000" w:themeColor="text1"/>
        </w:rPr>
        <w:t>6</w:t>
      </w:r>
      <w:r w:rsidRPr="00984AC3">
        <w:rPr>
          <w:color w:val="000000" w:themeColor="text1"/>
        </w:rPr>
        <w:t xml:space="preserve"> (figure 9.</w:t>
      </w:r>
      <w:r w:rsidR="00F10E0D">
        <w:rPr>
          <w:color w:val="000000" w:themeColor="text1"/>
        </w:rPr>
        <w:t xml:space="preserve">2 and </w:t>
      </w:r>
      <w:r w:rsidRPr="00984AC3">
        <w:rPr>
          <w:color w:val="000000" w:themeColor="text1"/>
        </w:rPr>
        <w:t xml:space="preserve">table </w:t>
      </w:r>
      <w:proofErr w:type="spellStart"/>
      <w:r w:rsidRPr="00984AC3">
        <w:rPr>
          <w:color w:val="000000" w:themeColor="text1"/>
        </w:rPr>
        <w:t>9A.15</w:t>
      </w:r>
      <w:proofErr w:type="spellEnd"/>
      <w:r w:rsidRPr="00984AC3">
        <w:rPr>
          <w:color w:val="000000" w:themeColor="text1"/>
        </w:rPr>
        <w:t>).</w:t>
      </w:r>
    </w:p>
    <w:p w:rsidR="00C12298" w:rsidRDefault="00C12298">
      <w:pPr>
        <w:rPr>
          <w:color w:val="000000" w:themeColor="text1"/>
          <w:szCs w:val="20"/>
        </w:rPr>
      </w:pPr>
      <w:r>
        <w:rPr>
          <w:color w:val="000000" w:themeColor="text1"/>
        </w:rPr>
        <w:br w:type="page"/>
      </w:r>
    </w:p>
    <w:p w:rsidR="00117B3B" w:rsidRDefault="00117B3B" w:rsidP="00117B3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17B3B" w:rsidTr="000D1ADE">
        <w:tc>
          <w:tcPr>
            <w:tcW w:w="8771" w:type="dxa"/>
            <w:tcBorders>
              <w:top w:val="single" w:sz="6" w:space="0" w:color="78A22F"/>
              <w:left w:val="nil"/>
              <w:bottom w:val="nil"/>
              <w:right w:val="nil"/>
            </w:tcBorders>
            <w:shd w:val="clear" w:color="auto" w:fill="auto"/>
          </w:tcPr>
          <w:p w:rsidR="00117B3B" w:rsidRPr="00176D3F" w:rsidRDefault="00117B3B" w:rsidP="00F10E0D">
            <w:pPr>
              <w:pStyle w:val="FigureTitle"/>
            </w:pPr>
            <w:r w:rsidRPr="00784A05">
              <w:rPr>
                <w:b w:val="0"/>
              </w:rPr>
              <w:t xml:space="preserve">Figure </w:t>
            </w:r>
            <w:r>
              <w:rPr>
                <w:b w:val="0"/>
              </w:rPr>
              <w:t>9</w:t>
            </w:r>
            <w:r w:rsidR="006C7D58">
              <w:rPr>
                <w:b w:val="0"/>
              </w:rPr>
              <w:t>.</w:t>
            </w:r>
            <w:r w:rsidR="00F10E0D">
              <w:rPr>
                <w:b w:val="0"/>
              </w:rPr>
              <w:t>2</w:t>
            </w:r>
            <w:r>
              <w:tab/>
            </w:r>
            <w:r w:rsidRPr="002429C1">
              <w:t xml:space="preserve">Accidental residential structure fires </w:t>
            </w:r>
            <w:r>
              <w:t>per 100 000 households</w:t>
            </w:r>
            <w:r>
              <w:rPr>
                <w:rStyle w:val="NoteLabel"/>
                <w:b/>
              </w:rPr>
              <w:t>a</w:t>
            </w:r>
          </w:p>
        </w:tc>
      </w:tr>
      <w:tr w:rsidR="00117B3B" w:rsidTr="000D1ADE">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117B3B" w:rsidTr="00117B3B">
              <w:trPr>
                <w:jc w:val="center"/>
              </w:trPr>
              <w:tc>
                <w:tcPr>
                  <w:tcW w:w="5000" w:type="pct"/>
                  <w:tcBorders>
                    <w:top w:val="nil"/>
                    <w:bottom w:val="nil"/>
                  </w:tcBorders>
                </w:tcPr>
                <w:p w:rsidR="00117B3B" w:rsidRPr="00BD0318" w:rsidRDefault="00920BE8" w:rsidP="00BD0318">
                  <w:pPr>
                    <w:pStyle w:val="Figure"/>
                  </w:pPr>
                  <w:r>
                    <w:rPr>
                      <w:noProof/>
                    </w:rPr>
                    <w:drawing>
                      <wp:inline distT="0" distB="0" distL="0" distR="0" wp14:anchorId="18F39B19" wp14:editId="5491C00F">
                        <wp:extent cx="5391150" cy="2676525"/>
                        <wp:effectExtent l="0" t="0" r="0" b="9525"/>
                        <wp:docPr id="3" name="Picture 3" descr="Figure 9.2 Accidental residential structure fires per 100 000 household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91150" cy="2676525"/>
                                </a:xfrm>
                                <a:prstGeom prst="rect">
                                  <a:avLst/>
                                </a:prstGeom>
                                <a:noFill/>
                                <a:ln>
                                  <a:noFill/>
                                </a:ln>
                              </pic:spPr>
                            </pic:pic>
                          </a:graphicData>
                        </a:graphic>
                      </wp:inline>
                    </w:drawing>
                  </w:r>
                </w:p>
              </w:tc>
            </w:tr>
          </w:tbl>
          <w:p w:rsidR="00117B3B" w:rsidRDefault="00117B3B" w:rsidP="00117B3B">
            <w:pPr>
              <w:pStyle w:val="Figure"/>
            </w:pPr>
          </w:p>
        </w:tc>
      </w:tr>
      <w:tr w:rsidR="00117B3B" w:rsidRPr="00176D3F" w:rsidTr="000D1ADE">
        <w:tc>
          <w:tcPr>
            <w:tcW w:w="8771" w:type="dxa"/>
            <w:tcBorders>
              <w:top w:val="nil"/>
              <w:left w:val="nil"/>
              <w:bottom w:val="nil"/>
              <w:right w:val="nil"/>
            </w:tcBorders>
            <w:shd w:val="clear" w:color="auto" w:fill="auto"/>
          </w:tcPr>
          <w:p w:rsidR="00117B3B" w:rsidRPr="00176D3F" w:rsidRDefault="00117B3B" w:rsidP="00065DA2">
            <w:pPr>
              <w:pStyle w:val="Note"/>
            </w:pPr>
            <w:r>
              <w:rPr>
                <w:rStyle w:val="NoteLabel"/>
              </w:rPr>
              <w:t>a</w:t>
            </w:r>
            <w:r w:rsidR="004F5F92">
              <w:t xml:space="preserve"> See box 9</w:t>
            </w:r>
            <w:r w:rsidR="00065DA2">
              <w:t>.2</w:t>
            </w:r>
            <w:r>
              <w:t xml:space="preserve"> and table </w:t>
            </w:r>
            <w:proofErr w:type="spellStart"/>
            <w:r>
              <w:t>9A.15</w:t>
            </w:r>
            <w:proofErr w:type="spellEnd"/>
            <w:r>
              <w:t xml:space="preserve"> </w:t>
            </w:r>
            <w:r w:rsidRPr="008B1A4C">
              <w:t>for detailed definitions, footnotes and caveats.</w:t>
            </w:r>
          </w:p>
        </w:tc>
      </w:tr>
      <w:tr w:rsidR="00117B3B" w:rsidRPr="00176D3F" w:rsidTr="000D1ADE">
        <w:tc>
          <w:tcPr>
            <w:tcW w:w="8771" w:type="dxa"/>
            <w:tcBorders>
              <w:top w:val="nil"/>
              <w:left w:val="nil"/>
              <w:bottom w:val="nil"/>
              <w:right w:val="nil"/>
            </w:tcBorders>
            <w:shd w:val="clear" w:color="auto" w:fill="auto"/>
          </w:tcPr>
          <w:p w:rsidR="00117B3B" w:rsidRPr="00176D3F" w:rsidRDefault="00117B3B" w:rsidP="00117B3B">
            <w:pPr>
              <w:pStyle w:val="Source"/>
            </w:pPr>
            <w:r>
              <w:rPr>
                <w:i/>
              </w:rPr>
              <w:t>S</w:t>
            </w:r>
            <w:r w:rsidRPr="00784A05">
              <w:rPr>
                <w:i/>
              </w:rPr>
              <w:t>ource</w:t>
            </w:r>
            <w:r w:rsidRPr="00176D3F">
              <w:t xml:space="preserve">: </w:t>
            </w:r>
            <w:r w:rsidRPr="00854E63">
              <w:t xml:space="preserve">State and Territory governments (unpublished); </w:t>
            </w:r>
            <w:r>
              <w:t>AB</w:t>
            </w:r>
            <w:r w:rsidRPr="006C43BD">
              <w:t>S (201</w:t>
            </w:r>
            <w:r>
              <w:t>5</w:t>
            </w:r>
            <w:r w:rsidRPr="006C43BD">
              <w:t xml:space="preserve">) </w:t>
            </w:r>
            <w:r w:rsidRPr="006C43BD">
              <w:rPr>
                <w:i/>
              </w:rPr>
              <w:t>Household and Family Projections, 20</w:t>
            </w:r>
            <w:r>
              <w:rPr>
                <w:i/>
              </w:rPr>
              <w:t>11</w:t>
            </w:r>
            <w:r w:rsidRPr="006C43BD">
              <w:rPr>
                <w:i/>
              </w:rPr>
              <w:t xml:space="preserve"> to 203</w:t>
            </w:r>
            <w:r>
              <w:rPr>
                <w:i/>
              </w:rPr>
              <w:t>6</w:t>
            </w:r>
            <w:r w:rsidRPr="006C43BD">
              <w:t>, Cat. no. 3236.0</w:t>
            </w:r>
            <w:r>
              <w:t xml:space="preserve">; table </w:t>
            </w:r>
            <w:proofErr w:type="spellStart"/>
            <w:r>
              <w:t>9A.15</w:t>
            </w:r>
            <w:proofErr w:type="spellEnd"/>
            <w:r>
              <w:t>.</w:t>
            </w:r>
          </w:p>
        </w:tc>
      </w:tr>
      <w:tr w:rsidR="00117B3B" w:rsidTr="00117B3B">
        <w:tc>
          <w:tcPr>
            <w:tcW w:w="8771" w:type="dxa"/>
            <w:tcBorders>
              <w:top w:val="nil"/>
              <w:left w:val="nil"/>
              <w:bottom w:val="single" w:sz="6" w:space="0" w:color="78A22F"/>
              <w:right w:val="nil"/>
            </w:tcBorders>
            <w:shd w:val="clear" w:color="auto" w:fill="auto"/>
          </w:tcPr>
          <w:p w:rsidR="00117B3B" w:rsidRDefault="00117B3B" w:rsidP="00117B3B">
            <w:pPr>
              <w:pStyle w:val="Figurespace"/>
            </w:pPr>
          </w:p>
        </w:tc>
      </w:tr>
      <w:tr w:rsidR="00117B3B" w:rsidRPr="000863A5" w:rsidTr="00117B3B">
        <w:tc>
          <w:tcPr>
            <w:tcW w:w="8771" w:type="dxa"/>
            <w:tcBorders>
              <w:top w:val="single" w:sz="6" w:space="0" w:color="78A22F"/>
              <w:left w:val="nil"/>
              <w:bottom w:val="nil"/>
              <w:right w:val="nil"/>
            </w:tcBorders>
          </w:tcPr>
          <w:p w:rsidR="00117B3B" w:rsidRPr="00626D32" w:rsidRDefault="00117B3B" w:rsidP="00117B3B">
            <w:pPr>
              <w:pStyle w:val="BoxSpaceBelow"/>
            </w:pPr>
          </w:p>
        </w:tc>
      </w:tr>
    </w:tbl>
    <w:p w:rsidR="000D5E5D" w:rsidRPr="00C04354" w:rsidRDefault="000D5E5D" w:rsidP="004C3CE3">
      <w:pPr>
        <w:pStyle w:val="Heading5"/>
      </w:pPr>
      <w:r w:rsidRPr="00C04354">
        <w:t>Residential structures with smoke alarms</w:t>
      </w:r>
    </w:p>
    <w:p w:rsidR="000D5E5D" w:rsidRPr="00984AC3" w:rsidRDefault="000D5E5D" w:rsidP="000D5E5D">
      <w:pPr>
        <w:pStyle w:val="BodyText"/>
        <w:rPr>
          <w:color w:val="000000" w:themeColor="text1"/>
        </w:rPr>
      </w:pPr>
      <w:r w:rsidRPr="00984AC3">
        <w:rPr>
          <w:color w:val="000000" w:themeColor="text1"/>
        </w:rPr>
        <w:t xml:space="preserve">One key fire risk mitigation strategy across all jurisdictions is the mandated installation of smoke detectors in residential structures. Nationally consistent data for all jurisdictions are not available. However, recent jurisdictional surveys </w:t>
      </w:r>
      <w:r>
        <w:rPr>
          <w:color w:val="000000" w:themeColor="text1"/>
        </w:rPr>
        <w:t>estimate</w:t>
      </w:r>
      <w:r w:rsidRPr="00984AC3">
        <w:rPr>
          <w:color w:val="000000" w:themeColor="text1"/>
        </w:rPr>
        <w:t xml:space="preserve"> tha</w:t>
      </w:r>
      <w:r>
        <w:rPr>
          <w:color w:val="000000" w:themeColor="text1"/>
        </w:rPr>
        <w:t>t</w:t>
      </w:r>
      <w:r w:rsidRPr="00984AC3">
        <w:rPr>
          <w:color w:val="000000" w:themeColor="text1"/>
        </w:rPr>
        <w:t xml:space="preserve"> </w:t>
      </w:r>
      <w:r w:rsidR="00012B67">
        <w:rPr>
          <w:color w:val="000000" w:themeColor="text1"/>
        </w:rPr>
        <w:t>93.6</w:t>
      </w:r>
      <w:r w:rsidR="006C7D58">
        <w:rPr>
          <w:color w:val="000000" w:themeColor="text1"/>
        </w:rPr>
        <w:t xml:space="preserve"> </w:t>
      </w:r>
      <w:r w:rsidRPr="00984AC3">
        <w:rPr>
          <w:color w:val="000000" w:themeColor="text1"/>
        </w:rPr>
        <w:t xml:space="preserve">per cent, </w:t>
      </w:r>
      <w:r w:rsidR="00012B67">
        <w:rPr>
          <w:color w:val="000000" w:themeColor="text1"/>
        </w:rPr>
        <w:t>97.2 </w:t>
      </w:r>
      <w:r w:rsidRPr="00984AC3">
        <w:rPr>
          <w:color w:val="000000" w:themeColor="text1"/>
        </w:rPr>
        <w:t>per cent</w:t>
      </w:r>
      <w:r>
        <w:rPr>
          <w:color w:val="000000" w:themeColor="text1"/>
        </w:rPr>
        <w:t xml:space="preserve">, </w:t>
      </w:r>
      <w:r w:rsidR="00012B67">
        <w:rPr>
          <w:color w:val="000000" w:themeColor="text1"/>
        </w:rPr>
        <w:t>96.5</w:t>
      </w:r>
      <w:r w:rsidR="006C7D58">
        <w:rPr>
          <w:color w:val="000000" w:themeColor="text1"/>
        </w:rPr>
        <w:t xml:space="preserve"> </w:t>
      </w:r>
      <w:r w:rsidRPr="00984AC3">
        <w:rPr>
          <w:color w:val="000000" w:themeColor="text1"/>
        </w:rPr>
        <w:t>per cent</w:t>
      </w:r>
      <w:r w:rsidR="00012B67">
        <w:rPr>
          <w:color w:val="000000" w:themeColor="text1"/>
        </w:rPr>
        <w:t xml:space="preserve">, 91.0 per cent and 80.0 </w:t>
      </w:r>
      <w:r>
        <w:rPr>
          <w:color w:val="000000" w:themeColor="text1"/>
        </w:rPr>
        <w:t>per cent</w:t>
      </w:r>
      <w:r w:rsidRPr="00984AC3">
        <w:rPr>
          <w:color w:val="000000" w:themeColor="text1"/>
        </w:rPr>
        <w:t xml:space="preserve"> of </w:t>
      </w:r>
      <w:r>
        <w:rPr>
          <w:color w:val="000000" w:themeColor="text1"/>
        </w:rPr>
        <w:t xml:space="preserve">households in </w:t>
      </w:r>
      <w:r w:rsidRPr="00984AC3">
        <w:rPr>
          <w:color w:val="000000" w:themeColor="text1"/>
        </w:rPr>
        <w:t xml:space="preserve">NSW, </w:t>
      </w:r>
      <w:r>
        <w:rPr>
          <w:color w:val="000000" w:themeColor="text1"/>
        </w:rPr>
        <w:t xml:space="preserve">Victoria, </w:t>
      </w:r>
      <w:r w:rsidRPr="00984AC3">
        <w:rPr>
          <w:color w:val="000000" w:themeColor="text1"/>
        </w:rPr>
        <w:t>Queensland</w:t>
      </w:r>
      <w:r w:rsidR="00012B67">
        <w:rPr>
          <w:color w:val="000000" w:themeColor="text1"/>
        </w:rPr>
        <w:t>, W</w:t>
      </w:r>
      <w:r w:rsidR="00411280">
        <w:rPr>
          <w:color w:val="000000" w:themeColor="text1"/>
        </w:rPr>
        <w:t xml:space="preserve">A </w:t>
      </w:r>
      <w:r>
        <w:rPr>
          <w:color w:val="000000" w:themeColor="text1"/>
        </w:rPr>
        <w:t>and the NT</w:t>
      </w:r>
      <w:r w:rsidRPr="00984AC3">
        <w:rPr>
          <w:color w:val="000000" w:themeColor="text1"/>
        </w:rPr>
        <w:t xml:space="preserve"> respectively, had an installed smoke alarm/detector in 201</w:t>
      </w:r>
      <w:r w:rsidR="006C7D58">
        <w:rPr>
          <w:color w:val="000000" w:themeColor="text1"/>
        </w:rPr>
        <w:t>5</w:t>
      </w:r>
      <w:r w:rsidRPr="00984AC3">
        <w:rPr>
          <w:color w:val="000000" w:themeColor="text1"/>
        </w:rPr>
        <w:noBreakHyphen/>
        <w:t>1</w:t>
      </w:r>
      <w:r w:rsidR="006C7D58">
        <w:rPr>
          <w:color w:val="000000" w:themeColor="text1"/>
        </w:rPr>
        <w:t>6</w:t>
      </w:r>
      <w:r>
        <w:rPr>
          <w:color w:val="000000" w:themeColor="text1"/>
        </w:rPr>
        <w:t xml:space="preserve"> </w:t>
      </w:r>
      <w:r w:rsidRPr="00984AC3">
        <w:rPr>
          <w:color w:val="000000" w:themeColor="text1"/>
        </w:rPr>
        <w:t>(table </w:t>
      </w:r>
      <w:proofErr w:type="spellStart"/>
      <w:r w:rsidRPr="00984AC3">
        <w:rPr>
          <w:color w:val="000000" w:themeColor="text1"/>
        </w:rPr>
        <w:t>9A.23</w:t>
      </w:r>
      <w:proofErr w:type="spellEnd"/>
      <w:r w:rsidRPr="00984AC3">
        <w:rPr>
          <w:color w:val="000000" w:themeColor="text1"/>
        </w:rPr>
        <w:t>).</w:t>
      </w:r>
    </w:p>
    <w:p w:rsidR="000D5E5D" w:rsidRDefault="000D5E5D" w:rsidP="000D5E5D">
      <w:pPr>
        <w:pStyle w:val="BodyText"/>
        <w:rPr>
          <w:color w:val="000000" w:themeColor="text1"/>
        </w:rPr>
      </w:pPr>
      <w:r w:rsidRPr="00984AC3">
        <w:rPr>
          <w:color w:val="000000" w:themeColor="text1"/>
        </w:rPr>
        <w:t>Fire service organisations also have programs to encourage households to test their smoke detector/alarms regularly to ensure that they are operational. In 201</w:t>
      </w:r>
      <w:r w:rsidR="006C7D58">
        <w:rPr>
          <w:color w:val="000000" w:themeColor="text1"/>
        </w:rPr>
        <w:t>5</w:t>
      </w:r>
      <w:r w:rsidRPr="00984AC3">
        <w:rPr>
          <w:color w:val="000000" w:themeColor="text1"/>
        </w:rPr>
        <w:noBreakHyphen/>
        <w:t>1</w:t>
      </w:r>
      <w:r w:rsidR="006C7D58">
        <w:rPr>
          <w:color w:val="000000" w:themeColor="text1"/>
        </w:rPr>
        <w:t>6</w:t>
      </w:r>
      <w:r w:rsidRPr="00984AC3">
        <w:rPr>
          <w:color w:val="000000" w:themeColor="text1"/>
        </w:rPr>
        <w:t xml:space="preserve">, </w:t>
      </w:r>
      <w:r w:rsidR="00262976">
        <w:rPr>
          <w:color w:val="000000" w:themeColor="text1"/>
        </w:rPr>
        <w:t>87.3</w:t>
      </w:r>
      <w:r w:rsidR="006C7D58">
        <w:rPr>
          <w:color w:val="000000" w:themeColor="text1"/>
        </w:rPr>
        <w:t xml:space="preserve"> </w:t>
      </w:r>
      <w:r w:rsidRPr="00984AC3">
        <w:rPr>
          <w:color w:val="000000" w:themeColor="text1"/>
        </w:rPr>
        <w:t xml:space="preserve">per cent </w:t>
      </w:r>
      <w:r w:rsidR="00262976">
        <w:rPr>
          <w:color w:val="000000" w:themeColor="text1"/>
        </w:rPr>
        <w:t xml:space="preserve">and 69.0 per cent of households in </w:t>
      </w:r>
      <w:r w:rsidRPr="00984AC3">
        <w:rPr>
          <w:color w:val="000000" w:themeColor="text1"/>
        </w:rPr>
        <w:t xml:space="preserve">Queensland </w:t>
      </w:r>
      <w:r w:rsidR="00262976">
        <w:rPr>
          <w:color w:val="000000" w:themeColor="text1"/>
        </w:rPr>
        <w:t>and Western Australia respectively, h</w:t>
      </w:r>
      <w:r w:rsidRPr="00984AC3">
        <w:rPr>
          <w:color w:val="000000" w:themeColor="text1"/>
        </w:rPr>
        <w:t>ad a smoke alarm that had been tested in the previous 12 months</w:t>
      </w:r>
      <w:r w:rsidR="00F23B6D">
        <w:rPr>
          <w:color w:val="000000" w:themeColor="text1"/>
        </w:rPr>
        <w:t xml:space="preserve"> — data were not available for other jurisdictions</w:t>
      </w:r>
      <w:r w:rsidRPr="00984AC3">
        <w:rPr>
          <w:color w:val="000000" w:themeColor="text1"/>
        </w:rPr>
        <w:t xml:space="preserve"> (table </w:t>
      </w:r>
      <w:proofErr w:type="spellStart"/>
      <w:r w:rsidRPr="00984AC3">
        <w:rPr>
          <w:color w:val="000000" w:themeColor="text1"/>
        </w:rPr>
        <w:t>9A.23</w:t>
      </w:r>
      <w:proofErr w:type="spellEnd"/>
      <w:r w:rsidRPr="00984AC3">
        <w:rPr>
          <w:color w:val="000000" w:themeColor="text1"/>
        </w:rPr>
        <w:t>).</w:t>
      </w:r>
    </w:p>
    <w:p w:rsidR="00D77D91" w:rsidRPr="00D77D91" w:rsidRDefault="00D77D91" w:rsidP="00D77D91">
      <w:pPr>
        <w:pStyle w:val="Heading4"/>
      </w:pPr>
      <w:r>
        <w:t>Prevention/mitigation — Confinement to room/object of origin</w:t>
      </w:r>
    </w:p>
    <w:p w:rsidR="000D5E5D" w:rsidRPr="005B452D" w:rsidRDefault="000D5E5D" w:rsidP="005B452D">
      <w:pPr>
        <w:pStyle w:val="BodyText"/>
        <w:rPr>
          <w:color w:val="000000" w:themeColor="text1"/>
        </w:rPr>
      </w:pPr>
      <w:r w:rsidRPr="005B452D">
        <w:rPr>
          <w:color w:val="000000" w:themeColor="text1"/>
        </w:rPr>
        <w:t xml:space="preserve">‘Confinement to room/object of origin’ is an indicator of governments’ objective to </w:t>
      </w:r>
      <w:r w:rsidR="005B452D" w:rsidRPr="005B452D">
        <w:rPr>
          <w:color w:val="000000" w:themeColor="text1"/>
        </w:rPr>
        <w:t>contribute to the communities management of risks and its preparedness, through the promotion of risk reduction and mitigation activities (box 9.</w:t>
      </w:r>
      <w:r w:rsidR="008C02F9">
        <w:rPr>
          <w:color w:val="000000" w:themeColor="text1"/>
        </w:rPr>
        <w:t>3</w:t>
      </w:r>
      <w:r w:rsidRPr="005B452D">
        <w:rPr>
          <w:color w:val="000000" w:themeColor="text1"/>
        </w:rPr>
        <w:t>).</w:t>
      </w:r>
    </w:p>
    <w:p w:rsidR="000D5E5D" w:rsidRDefault="000D5E5D" w:rsidP="000D5E5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D5E5D" w:rsidTr="0096566E">
        <w:tc>
          <w:tcPr>
            <w:tcW w:w="8771" w:type="dxa"/>
            <w:tcBorders>
              <w:top w:val="single" w:sz="6" w:space="0" w:color="78A22F"/>
              <w:left w:val="nil"/>
              <w:bottom w:val="nil"/>
              <w:right w:val="nil"/>
            </w:tcBorders>
            <w:shd w:val="clear" w:color="auto" w:fill="F2F2F2"/>
          </w:tcPr>
          <w:p w:rsidR="000D5E5D" w:rsidRDefault="000D5E5D" w:rsidP="00CA5B79">
            <w:pPr>
              <w:pStyle w:val="BoxTitle"/>
            </w:pPr>
            <w:r>
              <w:rPr>
                <w:b w:val="0"/>
              </w:rPr>
              <w:t>Box 9</w:t>
            </w:r>
            <w:r w:rsidR="00684EB3">
              <w:rPr>
                <w:b w:val="0"/>
              </w:rPr>
              <w:t>.</w:t>
            </w:r>
            <w:r w:rsidR="00CA5B79">
              <w:rPr>
                <w:b w:val="0"/>
              </w:rPr>
              <w:t>3</w:t>
            </w:r>
            <w:r>
              <w:tab/>
            </w:r>
            <w:r w:rsidRPr="0007767E">
              <w:t>Confinement to room/object of origin</w:t>
            </w:r>
          </w:p>
        </w:tc>
      </w:tr>
      <w:tr w:rsidR="000D5E5D" w:rsidTr="0096566E">
        <w:trPr>
          <w:cantSplit/>
        </w:trPr>
        <w:tc>
          <w:tcPr>
            <w:tcW w:w="8771" w:type="dxa"/>
            <w:tcBorders>
              <w:top w:val="nil"/>
              <w:left w:val="nil"/>
              <w:bottom w:val="nil"/>
              <w:right w:val="nil"/>
            </w:tcBorders>
            <w:shd w:val="clear" w:color="auto" w:fill="F2F2F2"/>
          </w:tcPr>
          <w:p w:rsidR="000D5E5D" w:rsidRPr="0007767E" w:rsidRDefault="000D5E5D" w:rsidP="002A1148">
            <w:pPr>
              <w:pStyle w:val="Box"/>
            </w:pPr>
            <w:r w:rsidRPr="0007767E">
              <w:t xml:space="preserve">‘Confinement to room/object of origin’ </w:t>
            </w:r>
            <w:r>
              <w:t>is defined by two measures.</w:t>
            </w:r>
          </w:p>
          <w:p w:rsidR="00254DDE" w:rsidRPr="0006797D" w:rsidRDefault="000A0690" w:rsidP="0006797D">
            <w:pPr>
              <w:pStyle w:val="BoxListBullet"/>
            </w:pPr>
            <w:r w:rsidRPr="0006797D">
              <w:t>‘</w:t>
            </w:r>
            <w:r w:rsidR="000D5E5D" w:rsidRPr="0006797D">
              <w:t>Proportion of building fires confined to room of origin</w:t>
            </w:r>
            <w:r w:rsidRPr="0006797D">
              <w:t>’</w:t>
            </w:r>
            <w:r w:rsidR="00352F3B">
              <w:t xml:space="preserve"> </w:t>
            </w:r>
            <w:r w:rsidR="00352F3B">
              <w:rPr>
                <w:rFonts w:ascii="Verdana" w:hAnsi="Verdana"/>
              </w:rPr>
              <w:t>—</w:t>
            </w:r>
            <w:r w:rsidR="00402344">
              <w:rPr>
                <w:rFonts w:ascii="Verdana" w:hAnsi="Verdana"/>
              </w:rPr>
              <w:t xml:space="preserve"> </w:t>
            </w:r>
            <w:r w:rsidR="00254DDE" w:rsidRPr="0006797D">
              <w:t>the number of building fires confined to the object, part room and room of origin</w:t>
            </w:r>
            <w:r w:rsidR="00347428">
              <w:t>,</w:t>
            </w:r>
            <w:r w:rsidR="00254DDE" w:rsidRPr="0006797D">
              <w:t xml:space="preserve"> divided by the number of building fires attributed to confinement</w:t>
            </w:r>
            <w:r w:rsidR="00402344">
              <w:t>.</w:t>
            </w:r>
            <w:r w:rsidR="00402344" w:rsidRPr="00BC4D30">
              <w:t xml:space="preserve"> A building fire is a fire that has caused some damage to a building structure (such as a house).</w:t>
            </w:r>
          </w:p>
          <w:p w:rsidR="0006797D" w:rsidRPr="0006797D" w:rsidRDefault="000A0690" w:rsidP="0006797D">
            <w:pPr>
              <w:pStyle w:val="BoxListBullet"/>
            </w:pPr>
            <w:r w:rsidRPr="0006797D">
              <w:t>‘</w:t>
            </w:r>
            <w:r w:rsidR="000D5E5D" w:rsidRPr="0006797D">
              <w:t>Proportion of building and other structure fires confined to room/object of origin</w:t>
            </w:r>
            <w:r w:rsidRPr="0006797D">
              <w:t>’</w:t>
            </w:r>
            <w:r w:rsidR="00352F3B">
              <w:t xml:space="preserve"> </w:t>
            </w:r>
            <w:r w:rsidR="00352F3B">
              <w:rPr>
                <w:rFonts w:ascii="Verdana" w:hAnsi="Verdana"/>
              </w:rPr>
              <w:t>—</w:t>
            </w:r>
            <w:r w:rsidR="00402344">
              <w:rPr>
                <w:rFonts w:ascii="Verdana" w:hAnsi="Verdana"/>
              </w:rPr>
              <w:t xml:space="preserve"> </w:t>
            </w:r>
            <w:r w:rsidR="0006797D" w:rsidRPr="0006797D">
              <w:t>the number of building and other structure fires</w:t>
            </w:r>
            <w:r w:rsidR="0006797D">
              <w:t xml:space="preserve"> </w:t>
            </w:r>
            <w:r w:rsidR="0006797D" w:rsidRPr="0006797D">
              <w:t>confined to the object, part room and room of origin divided by the number of building fires attributed to confinement</w:t>
            </w:r>
            <w:r w:rsidR="00402344">
              <w:t>.</w:t>
            </w:r>
            <w:r w:rsidR="00402344" w:rsidRPr="00BC4D30">
              <w:t xml:space="preserve"> Other structure fires are fires within a building structure (such as fires confined to rubbish bins, burnt foodstuffs and fires confined to cooking equipment).</w:t>
            </w:r>
          </w:p>
          <w:p w:rsidR="000D5E5D" w:rsidRPr="0007767E" w:rsidRDefault="000D5E5D" w:rsidP="0096566E">
            <w:pPr>
              <w:pStyle w:val="Box"/>
            </w:pPr>
            <w:r w:rsidRPr="0007767E">
              <w:t>A high or increasing proportion of structure fires confined to the object or room of origin is desirable.</w:t>
            </w:r>
          </w:p>
          <w:p w:rsidR="000D5E5D" w:rsidRPr="0007767E" w:rsidRDefault="00254DDE" w:rsidP="0096566E">
            <w:pPr>
              <w:pStyle w:val="Box"/>
            </w:pPr>
            <w:r>
              <w:t xml:space="preserve">Data reported for these measures </w:t>
            </w:r>
            <w:r w:rsidR="000D5E5D" w:rsidRPr="0007767E">
              <w:t>are:</w:t>
            </w:r>
          </w:p>
          <w:p w:rsidR="000D5E5D" w:rsidRPr="0007767E" w:rsidRDefault="000D5E5D" w:rsidP="0096566E">
            <w:pPr>
              <w:pStyle w:val="BoxListBullet"/>
            </w:pPr>
            <w:r w:rsidRPr="0007767E">
              <w:t>comparable (subject to caveats) within jurisdictions over time but are not comparable across jurisdictions</w:t>
            </w:r>
          </w:p>
          <w:p w:rsidR="000D5E5D" w:rsidRPr="00C119AA" w:rsidRDefault="00F32F4C" w:rsidP="00F32F4C">
            <w:pPr>
              <w:pStyle w:val="BoxListBullet"/>
              <w:rPr>
                <w:rStyle w:val="DraftingNote"/>
                <w:b w:val="0"/>
                <w:color w:val="auto"/>
                <w:sz w:val="20"/>
                <w:u w:val="none"/>
              </w:rPr>
            </w:pPr>
            <w:r>
              <w:t>in</w:t>
            </w:r>
            <w:r w:rsidR="00C119AA" w:rsidRPr="00C119AA">
              <w:t>complete for the current reporting period</w:t>
            </w:r>
            <w:r>
              <w:t xml:space="preserve"> for the measure ‘p</w:t>
            </w:r>
            <w:r w:rsidRPr="00F32F4C">
              <w:t>roportion of building and other structure fires confined to room/object of origin’</w:t>
            </w:r>
            <w:r>
              <w:t>.</w:t>
            </w:r>
            <w:r w:rsidR="00C119AA" w:rsidRPr="00C119AA">
              <w:t xml:space="preserve"> All required 2015</w:t>
            </w:r>
            <w:r w:rsidR="00C119AA" w:rsidRPr="00C119AA">
              <w:noBreakHyphen/>
              <w:t xml:space="preserve">16 data are </w:t>
            </w:r>
            <w:r>
              <w:t xml:space="preserve">not </w:t>
            </w:r>
            <w:r w:rsidR="00C119AA" w:rsidRPr="00C119AA">
              <w:t xml:space="preserve">available for </w:t>
            </w:r>
            <w:r>
              <w:t>NSW</w:t>
            </w:r>
            <w:r w:rsidR="00C119AA" w:rsidRPr="00C119AA">
              <w:t>.</w:t>
            </w:r>
          </w:p>
        </w:tc>
      </w:tr>
      <w:tr w:rsidR="000D5E5D" w:rsidTr="0096566E">
        <w:trPr>
          <w:cantSplit/>
        </w:trPr>
        <w:tc>
          <w:tcPr>
            <w:tcW w:w="8771" w:type="dxa"/>
            <w:tcBorders>
              <w:top w:val="nil"/>
              <w:left w:val="nil"/>
              <w:bottom w:val="single" w:sz="6" w:space="0" w:color="78A22F"/>
              <w:right w:val="nil"/>
            </w:tcBorders>
            <w:shd w:val="clear" w:color="auto" w:fill="F2F2F2"/>
          </w:tcPr>
          <w:p w:rsidR="000D5E5D" w:rsidRDefault="000D5E5D" w:rsidP="0096566E">
            <w:pPr>
              <w:pStyle w:val="Box"/>
              <w:spacing w:before="0" w:line="120" w:lineRule="exact"/>
            </w:pPr>
          </w:p>
        </w:tc>
      </w:tr>
      <w:tr w:rsidR="000D5E5D" w:rsidRPr="000863A5" w:rsidTr="0096566E">
        <w:tc>
          <w:tcPr>
            <w:tcW w:w="8771" w:type="dxa"/>
            <w:tcBorders>
              <w:top w:val="single" w:sz="6" w:space="0" w:color="78A22F"/>
              <w:left w:val="nil"/>
              <w:bottom w:val="nil"/>
              <w:right w:val="nil"/>
            </w:tcBorders>
          </w:tcPr>
          <w:p w:rsidR="000D5E5D" w:rsidRPr="00626D32" w:rsidRDefault="000D5E5D" w:rsidP="0096566E">
            <w:pPr>
              <w:pStyle w:val="BoxSpaceBelow"/>
            </w:pPr>
          </w:p>
        </w:tc>
      </w:tr>
    </w:tbl>
    <w:p w:rsidR="000D5E5D" w:rsidRDefault="000D5E5D" w:rsidP="000D5E5D">
      <w:pPr>
        <w:pStyle w:val="Heading5"/>
      </w:pPr>
      <w:r w:rsidRPr="000952E2">
        <w:t>Proportion of building fires confined to room of origin</w:t>
      </w:r>
    </w:p>
    <w:p w:rsidR="000D5E5D" w:rsidRDefault="000D5E5D" w:rsidP="000D5E5D">
      <w:pPr>
        <w:pStyle w:val="BodyText"/>
      </w:pPr>
      <w:r w:rsidRPr="0054109B">
        <w:t xml:space="preserve">The proportion of </w:t>
      </w:r>
      <w:r>
        <w:t xml:space="preserve">building </w:t>
      </w:r>
      <w:r w:rsidRPr="0054109B">
        <w:t>fires confined to room of origin varies across jurisdi</w:t>
      </w:r>
      <w:r w:rsidR="00970F34">
        <w:t>ctio</w:t>
      </w:r>
      <w:r w:rsidR="000F7474">
        <w:t>n</w:t>
      </w:r>
      <w:r w:rsidR="00CA5B79">
        <w:t xml:space="preserve">s, </w:t>
      </w:r>
      <w:r w:rsidRPr="0054109B">
        <w:t xml:space="preserve">and within </w:t>
      </w:r>
      <w:r w:rsidRPr="0007767E">
        <w:t>jurisdictions</w:t>
      </w:r>
      <w:r w:rsidRPr="0054109B">
        <w:t xml:space="preserve"> over time (figure</w:t>
      </w:r>
      <w:r>
        <w:t> 9.</w:t>
      </w:r>
      <w:r w:rsidR="00CA5B79">
        <w:t>3</w:t>
      </w:r>
      <w:r w:rsidRPr="0054109B">
        <w:t>).</w:t>
      </w:r>
      <w:r w:rsidR="00AB02E8">
        <w:t xml:space="preserve"> </w:t>
      </w:r>
    </w:p>
    <w:p w:rsidR="00872E00" w:rsidRDefault="00872E00" w:rsidP="006865A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872E00" w:rsidTr="0010485A">
        <w:trPr>
          <w:tblHeader/>
        </w:trPr>
        <w:tc>
          <w:tcPr>
            <w:tcW w:w="8771" w:type="dxa"/>
            <w:tcBorders>
              <w:top w:val="single" w:sz="6" w:space="0" w:color="78A22F"/>
              <w:left w:val="nil"/>
              <w:bottom w:val="nil"/>
              <w:right w:val="nil"/>
            </w:tcBorders>
            <w:shd w:val="clear" w:color="auto" w:fill="auto"/>
          </w:tcPr>
          <w:p w:rsidR="00872E00" w:rsidRPr="00176D3F" w:rsidRDefault="00872E00" w:rsidP="007F36F0">
            <w:pPr>
              <w:pStyle w:val="FigureTitle"/>
            </w:pPr>
            <w:r w:rsidRPr="00784A05">
              <w:rPr>
                <w:b w:val="0"/>
              </w:rPr>
              <w:t xml:space="preserve">Figure </w:t>
            </w:r>
            <w:r>
              <w:rPr>
                <w:b w:val="0"/>
              </w:rPr>
              <w:t>9.3</w:t>
            </w:r>
            <w:r>
              <w:tab/>
            </w:r>
            <w:r w:rsidRPr="00872E00">
              <w:t>Proportion of building fires confined to room of origin, all ignition types</w:t>
            </w:r>
            <w:r>
              <w:rPr>
                <w:rStyle w:val="NoteLabel"/>
                <w:b/>
              </w:rPr>
              <w:t>a</w:t>
            </w:r>
          </w:p>
        </w:tc>
      </w:tr>
      <w:tr w:rsidR="00872E00" w:rsidTr="0010485A">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Description w:val="Nested table used for design layout."/>
            </w:tblPr>
            <w:tblGrid>
              <w:gridCol w:w="8504"/>
            </w:tblGrid>
            <w:tr w:rsidR="00872E00" w:rsidRPr="00B1465D" w:rsidTr="006865A2">
              <w:trPr>
                <w:tblHeader/>
                <w:jc w:val="center"/>
              </w:trPr>
              <w:tc>
                <w:tcPr>
                  <w:tcW w:w="5000" w:type="pct"/>
                  <w:tcBorders>
                    <w:top w:val="nil"/>
                    <w:bottom w:val="nil"/>
                  </w:tcBorders>
                </w:tcPr>
                <w:p w:rsidR="00872E00" w:rsidRPr="00B1465D" w:rsidRDefault="00920BE8" w:rsidP="006865A2">
                  <w:pPr>
                    <w:pStyle w:val="Figure"/>
                    <w:spacing w:before="60" w:after="60"/>
                    <w:rPr>
                      <w:rFonts w:ascii="Arial" w:hAnsi="Arial" w:cs="Arial"/>
                      <w:sz w:val="18"/>
                      <w:szCs w:val="18"/>
                    </w:rPr>
                  </w:pPr>
                  <w:r>
                    <w:rPr>
                      <w:rFonts w:ascii="Arial" w:hAnsi="Arial" w:cs="Arial"/>
                      <w:noProof/>
                      <w:sz w:val="18"/>
                      <w:szCs w:val="18"/>
                    </w:rPr>
                    <w:drawing>
                      <wp:inline distT="0" distB="0" distL="0" distR="0" wp14:anchorId="7681DF34" wp14:editId="6F5CD356">
                        <wp:extent cx="5362575" cy="2686050"/>
                        <wp:effectExtent l="0" t="0" r="9525" b="0"/>
                        <wp:docPr id="4" name="Picture 4" descr="Figure 9.3 Proportion of building fires confined to room of origin, all ignition type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62575" cy="2686050"/>
                                </a:xfrm>
                                <a:prstGeom prst="rect">
                                  <a:avLst/>
                                </a:prstGeom>
                                <a:noFill/>
                                <a:ln>
                                  <a:noFill/>
                                </a:ln>
                              </pic:spPr>
                            </pic:pic>
                          </a:graphicData>
                        </a:graphic>
                      </wp:inline>
                    </w:drawing>
                  </w:r>
                </w:p>
              </w:tc>
            </w:tr>
          </w:tbl>
          <w:p w:rsidR="00872E00" w:rsidRDefault="00872E00" w:rsidP="006865A2">
            <w:pPr>
              <w:pStyle w:val="Figure"/>
            </w:pPr>
          </w:p>
        </w:tc>
      </w:tr>
      <w:tr w:rsidR="00872E00" w:rsidRPr="00176D3F" w:rsidTr="0010485A">
        <w:tc>
          <w:tcPr>
            <w:tcW w:w="8771" w:type="dxa"/>
            <w:tcBorders>
              <w:top w:val="nil"/>
              <w:left w:val="nil"/>
              <w:bottom w:val="nil"/>
              <w:right w:val="nil"/>
            </w:tcBorders>
            <w:shd w:val="clear" w:color="auto" w:fill="auto"/>
          </w:tcPr>
          <w:p w:rsidR="00872E00" w:rsidRPr="00176D3F" w:rsidRDefault="00872E00" w:rsidP="00872E00">
            <w:pPr>
              <w:pStyle w:val="Note"/>
            </w:pPr>
            <w:r>
              <w:rPr>
                <w:rStyle w:val="NoteLabel"/>
              </w:rPr>
              <w:t>a</w:t>
            </w:r>
            <w:r>
              <w:t xml:space="preserve"> See box 9.3 and table </w:t>
            </w:r>
            <w:proofErr w:type="spellStart"/>
            <w:r>
              <w:t>9A.10</w:t>
            </w:r>
            <w:proofErr w:type="spellEnd"/>
            <w:r>
              <w:t xml:space="preserve"> for </w:t>
            </w:r>
            <w:r w:rsidRPr="00327D09">
              <w:t>detailed de</w:t>
            </w:r>
            <w:r w:rsidR="00203197">
              <w:t>finitions, footnotes and caveats.</w:t>
            </w:r>
          </w:p>
        </w:tc>
      </w:tr>
      <w:tr w:rsidR="00872E00" w:rsidRPr="00176D3F" w:rsidTr="0010485A">
        <w:tc>
          <w:tcPr>
            <w:tcW w:w="8771" w:type="dxa"/>
            <w:tcBorders>
              <w:top w:val="nil"/>
              <w:left w:val="nil"/>
              <w:bottom w:val="nil"/>
              <w:right w:val="nil"/>
            </w:tcBorders>
            <w:shd w:val="clear" w:color="auto" w:fill="auto"/>
          </w:tcPr>
          <w:p w:rsidR="00872E00" w:rsidRPr="00176D3F" w:rsidRDefault="00872E00" w:rsidP="00872E00">
            <w:pPr>
              <w:pStyle w:val="Source"/>
            </w:pPr>
            <w:r>
              <w:rPr>
                <w:i/>
              </w:rPr>
              <w:t>Source</w:t>
            </w:r>
            <w:r w:rsidRPr="00176D3F">
              <w:t xml:space="preserve">: </w:t>
            </w:r>
            <w:r w:rsidRPr="002605A8">
              <w:t>State and Territory governments (unpublished); table </w:t>
            </w:r>
            <w:proofErr w:type="spellStart"/>
            <w:r w:rsidRPr="002605A8">
              <w:t>9A.10</w:t>
            </w:r>
            <w:proofErr w:type="spellEnd"/>
            <w:r>
              <w:t>.</w:t>
            </w:r>
          </w:p>
        </w:tc>
      </w:tr>
      <w:tr w:rsidR="00872E00" w:rsidTr="006865A2">
        <w:tc>
          <w:tcPr>
            <w:tcW w:w="8771" w:type="dxa"/>
            <w:tcBorders>
              <w:top w:val="nil"/>
              <w:left w:val="nil"/>
              <w:bottom w:val="single" w:sz="6" w:space="0" w:color="78A22F"/>
              <w:right w:val="nil"/>
            </w:tcBorders>
            <w:shd w:val="clear" w:color="auto" w:fill="auto"/>
          </w:tcPr>
          <w:p w:rsidR="00872E00" w:rsidRDefault="00872E00" w:rsidP="006865A2">
            <w:pPr>
              <w:pStyle w:val="Figurespace"/>
            </w:pPr>
          </w:p>
        </w:tc>
      </w:tr>
      <w:tr w:rsidR="00872E00" w:rsidRPr="000863A5" w:rsidTr="006865A2">
        <w:tc>
          <w:tcPr>
            <w:tcW w:w="8771" w:type="dxa"/>
            <w:tcBorders>
              <w:top w:val="single" w:sz="6" w:space="0" w:color="78A22F"/>
              <w:left w:val="nil"/>
              <w:bottom w:val="nil"/>
              <w:right w:val="nil"/>
            </w:tcBorders>
          </w:tcPr>
          <w:p w:rsidR="00872E00" w:rsidRPr="00626D32" w:rsidRDefault="00872E00" w:rsidP="006865A2">
            <w:pPr>
              <w:pStyle w:val="BoxSpaceBelow"/>
            </w:pPr>
          </w:p>
        </w:tc>
      </w:tr>
    </w:tbl>
    <w:p w:rsidR="000D5E5D" w:rsidRDefault="000D5E5D" w:rsidP="000D5E5D">
      <w:pPr>
        <w:pStyle w:val="Heading5"/>
      </w:pPr>
      <w:r w:rsidRPr="000952E2">
        <w:t xml:space="preserve">Proportion of building </w:t>
      </w:r>
      <w:r>
        <w:t xml:space="preserve">and other structure </w:t>
      </w:r>
      <w:r w:rsidRPr="000952E2">
        <w:t>fires confined to room</w:t>
      </w:r>
      <w:r>
        <w:t>/object</w:t>
      </w:r>
      <w:r w:rsidRPr="000952E2">
        <w:t xml:space="preserve"> of origin</w:t>
      </w:r>
    </w:p>
    <w:p w:rsidR="000D5E5D" w:rsidRDefault="000D5E5D" w:rsidP="000D5E5D">
      <w:pPr>
        <w:pStyle w:val="BodyText"/>
      </w:pPr>
      <w:r w:rsidRPr="0054109B">
        <w:t xml:space="preserve">The proportion of </w:t>
      </w:r>
      <w:r w:rsidRPr="005E7D83">
        <w:t xml:space="preserve">building and other structure fires confined to room/object of origin </w:t>
      </w:r>
      <w:r>
        <w:t xml:space="preserve">is generally greater than </w:t>
      </w:r>
      <w:r w:rsidR="00402344">
        <w:t xml:space="preserve">that </w:t>
      </w:r>
      <w:r>
        <w:t>for building fires</w:t>
      </w:r>
      <w:r w:rsidR="00E11D91">
        <w:t xml:space="preserve">, </w:t>
      </w:r>
      <w:r w:rsidR="00402344">
        <w:t>as t</w:t>
      </w:r>
      <w:r>
        <w:t>he measure</w:t>
      </w:r>
      <w:r w:rsidRPr="0054109B">
        <w:t xml:space="preserve"> </w:t>
      </w:r>
      <w:r>
        <w:t xml:space="preserve">incorporates object fires that do not spread to the building. </w:t>
      </w:r>
    </w:p>
    <w:p w:rsidR="000D5E5D" w:rsidRDefault="000D5E5D" w:rsidP="000D5E5D">
      <w:pPr>
        <w:pStyle w:val="BodyText"/>
      </w:pPr>
      <w:r>
        <w:t>I</w:t>
      </w:r>
      <w:r w:rsidRPr="00D26F6C">
        <w:t xml:space="preserve">ncendiary and suspicious structure fires </w:t>
      </w:r>
      <w:r>
        <w:t xml:space="preserve">(those that are, or suspected of being, deliberately lit) are less likely to be </w:t>
      </w:r>
      <w:r w:rsidRPr="00D26F6C">
        <w:t>confined to the object or room of origin than for accidental structure fires</w:t>
      </w:r>
      <w:r>
        <w:t xml:space="preserve"> </w:t>
      </w:r>
      <w:r w:rsidRPr="00D26F6C">
        <w:t>(tables </w:t>
      </w:r>
      <w:proofErr w:type="spellStart"/>
      <w:r w:rsidRPr="00D26F6C">
        <w:t>9A.10</w:t>
      </w:r>
      <w:proofErr w:type="spellEnd"/>
      <w:r w:rsidRPr="00D26F6C">
        <w:noBreakHyphen/>
        <w:t>11).</w:t>
      </w:r>
    </w:p>
    <w:p w:rsidR="00117B3B" w:rsidRDefault="00117B3B" w:rsidP="00117B3B">
      <w:pPr>
        <w:pStyle w:val="Heading4"/>
      </w:pPr>
      <w:r>
        <w:t xml:space="preserve">Preparedness — </w:t>
      </w:r>
      <w:r w:rsidRPr="00893137">
        <w:t>Level of safe fire practices in the community</w:t>
      </w:r>
    </w:p>
    <w:p w:rsidR="00946FE0" w:rsidRDefault="00946FE0" w:rsidP="005B452D">
      <w:pPr>
        <w:pStyle w:val="BodyText"/>
      </w:pPr>
      <w:r>
        <w:t xml:space="preserve">‘Level of safe fire practices in the community’ is an indicator of governments’ objective to </w:t>
      </w:r>
      <w:r w:rsidR="005B452D" w:rsidRPr="005B452D">
        <w:t>contribute to the communiti</w:t>
      </w:r>
      <w:r w:rsidR="00685B79">
        <w:t xml:space="preserve">es </w:t>
      </w:r>
      <w:r w:rsidR="005B452D" w:rsidRPr="005B452D">
        <w:t xml:space="preserve">management of risks and its preparedness, through the promotion of risk reduction and mitigation activities </w:t>
      </w:r>
      <w:r>
        <w:t>(box 9.</w:t>
      </w:r>
      <w:r w:rsidR="00065DA2">
        <w:t>4</w:t>
      </w:r>
      <w:r>
        <w:t xml:space="preserve">). </w:t>
      </w:r>
    </w:p>
    <w:p w:rsidR="00117B3B" w:rsidRDefault="00117B3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17B3B" w:rsidTr="00117B3B">
        <w:tc>
          <w:tcPr>
            <w:tcW w:w="8771" w:type="dxa"/>
            <w:tcBorders>
              <w:top w:val="single" w:sz="6" w:space="0" w:color="78A22F"/>
              <w:left w:val="nil"/>
              <w:bottom w:val="nil"/>
              <w:right w:val="nil"/>
            </w:tcBorders>
            <w:shd w:val="clear" w:color="auto" w:fill="F2F2F2"/>
          </w:tcPr>
          <w:p w:rsidR="00117B3B" w:rsidRDefault="00117B3B" w:rsidP="000C7128">
            <w:pPr>
              <w:pStyle w:val="BoxTitle"/>
            </w:pPr>
            <w:r>
              <w:rPr>
                <w:b w:val="0"/>
              </w:rPr>
              <w:t>Box 9</w:t>
            </w:r>
            <w:r w:rsidR="00253557">
              <w:rPr>
                <w:b w:val="0"/>
              </w:rPr>
              <w:t>.</w:t>
            </w:r>
            <w:r w:rsidR="000C7128">
              <w:rPr>
                <w:b w:val="0"/>
              </w:rPr>
              <w:t>4</w:t>
            </w:r>
            <w:r>
              <w:tab/>
            </w:r>
            <w:r w:rsidRPr="00580CDF">
              <w:t>Level of safe fire practices in the community</w:t>
            </w:r>
          </w:p>
        </w:tc>
      </w:tr>
      <w:tr w:rsidR="00117B3B" w:rsidTr="00117B3B">
        <w:trPr>
          <w:cantSplit/>
        </w:trPr>
        <w:tc>
          <w:tcPr>
            <w:tcW w:w="8771" w:type="dxa"/>
            <w:tcBorders>
              <w:top w:val="nil"/>
              <w:left w:val="nil"/>
              <w:bottom w:val="nil"/>
              <w:right w:val="nil"/>
            </w:tcBorders>
            <w:shd w:val="clear" w:color="auto" w:fill="F2F2F2"/>
          </w:tcPr>
          <w:p w:rsidR="000D5E5D" w:rsidRPr="00F77AC1" w:rsidRDefault="00117B3B" w:rsidP="00AB02E8">
            <w:pPr>
              <w:pStyle w:val="Box"/>
            </w:pPr>
            <w:r w:rsidRPr="00923424">
              <w:t xml:space="preserve">Data on the level of safe fire practices have been identified for development and reporting in future. </w:t>
            </w:r>
            <w:r w:rsidR="00AB02E8">
              <w:t>D</w:t>
            </w:r>
            <w:r w:rsidRPr="00923424">
              <w:t xml:space="preserve">ata are available on community preparedness for </w:t>
            </w:r>
            <w:r w:rsidR="00AA0682">
              <w:t>emergency events</w:t>
            </w:r>
            <w:r w:rsidR="00AB02E8">
              <w:t xml:space="preserve"> (see</w:t>
            </w:r>
            <w:r w:rsidRPr="00923424">
              <w:t xml:space="preserve"> </w:t>
            </w:r>
            <w:r w:rsidR="00AA0682">
              <w:t xml:space="preserve">box </w:t>
            </w:r>
            <w:proofErr w:type="spellStart"/>
            <w:r w:rsidR="00AA0682">
              <w:t>D.3</w:t>
            </w:r>
            <w:proofErr w:type="spellEnd"/>
            <w:r w:rsidR="00AA0682">
              <w:t xml:space="preserve"> in the </w:t>
            </w:r>
            <w:r w:rsidRPr="00923424">
              <w:t>Emergency management sector overview</w:t>
            </w:r>
            <w:r w:rsidR="00AB02E8">
              <w:t xml:space="preserve"> — </w:t>
            </w:r>
            <w:r w:rsidRPr="00923424">
              <w:t>sector overview D).</w:t>
            </w:r>
          </w:p>
        </w:tc>
      </w:tr>
      <w:tr w:rsidR="00117B3B" w:rsidTr="00117B3B">
        <w:trPr>
          <w:cantSplit/>
        </w:trPr>
        <w:tc>
          <w:tcPr>
            <w:tcW w:w="8771" w:type="dxa"/>
            <w:tcBorders>
              <w:top w:val="nil"/>
              <w:left w:val="nil"/>
              <w:bottom w:val="single" w:sz="6" w:space="0" w:color="78A22F"/>
              <w:right w:val="nil"/>
            </w:tcBorders>
            <w:shd w:val="clear" w:color="auto" w:fill="F2F2F2"/>
          </w:tcPr>
          <w:p w:rsidR="00117B3B" w:rsidRDefault="00117B3B">
            <w:pPr>
              <w:pStyle w:val="Box"/>
              <w:spacing w:before="0" w:line="120" w:lineRule="exact"/>
            </w:pPr>
          </w:p>
        </w:tc>
      </w:tr>
      <w:tr w:rsidR="00117B3B" w:rsidRPr="000863A5" w:rsidTr="00117B3B">
        <w:tc>
          <w:tcPr>
            <w:tcW w:w="8771" w:type="dxa"/>
            <w:tcBorders>
              <w:top w:val="single" w:sz="6" w:space="0" w:color="78A22F"/>
              <w:left w:val="nil"/>
              <w:bottom w:val="nil"/>
              <w:right w:val="nil"/>
            </w:tcBorders>
          </w:tcPr>
          <w:p w:rsidR="00117B3B" w:rsidRPr="00626D32" w:rsidRDefault="00117B3B" w:rsidP="00117B3B">
            <w:pPr>
              <w:pStyle w:val="BoxSpaceBelow"/>
            </w:pPr>
          </w:p>
        </w:tc>
      </w:tr>
    </w:tbl>
    <w:p w:rsidR="00117B3B" w:rsidRDefault="000D5E5D" w:rsidP="00117B3B">
      <w:pPr>
        <w:pStyle w:val="Heading4"/>
      </w:pPr>
      <w:r>
        <w:lastRenderedPageBreak/>
        <w:t xml:space="preserve">Sustainability </w:t>
      </w:r>
      <w:r w:rsidR="00117B3B">
        <w:t>— F</w:t>
      </w:r>
      <w:r w:rsidR="00117B3B" w:rsidRPr="00C9333D">
        <w:t>irefighter workforce</w:t>
      </w:r>
    </w:p>
    <w:p w:rsidR="00F77AC1" w:rsidRDefault="00117B3B" w:rsidP="00F77AC1">
      <w:pPr>
        <w:pStyle w:val="BodyText"/>
      </w:pPr>
      <w:r w:rsidRPr="00C9333D">
        <w:t xml:space="preserve">‘Firefighter workforce’ is an indicator of </w:t>
      </w:r>
      <w:r w:rsidR="00F77AC1" w:rsidRPr="00192DFA">
        <w:t xml:space="preserve">governments’ objective to </w:t>
      </w:r>
      <w:r w:rsidR="00F77AC1" w:rsidRPr="00F77AC1">
        <w:t>provid</w:t>
      </w:r>
      <w:r w:rsidR="00F77AC1">
        <w:t xml:space="preserve">e emergency services that are sustainable </w:t>
      </w:r>
      <w:r w:rsidR="00F77AC1" w:rsidRPr="00192DFA">
        <w:t>(box </w:t>
      </w:r>
      <w:r w:rsidR="00F77AC1">
        <w:t>9.</w:t>
      </w:r>
      <w:r w:rsidR="000C7128">
        <w:t>5</w:t>
      </w:r>
      <w:r w:rsidR="00F77AC1" w:rsidRPr="00192DFA">
        <w:t>).</w:t>
      </w:r>
    </w:p>
    <w:p w:rsidR="00117B3B" w:rsidRDefault="00117B3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17B3B" w:rsidTr="00117B3B">
        <w:tc>
          <w:tcPr>
            <w:tcW w:w="8771" w:type="dxa"/>
            <w:tcBorders>
              <w:top w:val="single" w:sz="6" w:space="0" w:color="78A22F"/>
              <w:left w:val="nil"/>
              <w:bottom w:val="nil"/>
              <w:right w:val="nil"/>
            </w:tcBorders>
            <w:shd w:val="clear" w:color="auto" w:fill="F2F2F2"/>
          </w:tcPr>
          <w:p w:rsidR="00117B3B" w:rsidRDefault="00117B3B" w:rsidP="000C7128">
            <w:pPr>
              <w:pStyle w:val="BoxTitle"/>
            </w:pPr>
            <w:r>
              <w:rPr>
                <w:b w:val="0"/>
              </w:rPr>
              <w:t>Box 9</w:t>
            </w:r>
            <w:r w:rsidR="00F77AC1">
              <w:rPr>
                <w:b w:val="0"/>
              </w:rPr>
              <w:t>.</w:t>
            </w:r>
            <w:r w:rsidR="000C7128">
              <w:rPr>
                <w:b w:val="0"/>
              </w:rPr>
              <w:t>5</w:t>
            </w:r>
            <w:r>
              <w:tab/>
            </w:r>
            <w:r w:rsidRPr="00580CDF">
              <w:t>Firefighter workforce</w:t>
            </w:r>
          </w:p>
        </w:tc>
      </w:tr>
      <w:tr w:rsidR="00117B3B" w:rsidTr="00117B3B">
        <w:trPr>
          <w:cantSplit/>
        </w:trPr>
        <w:tc>
          <w:tcPr>
            <w:tcW w:w="8771" w:type="dxa"/>
            <w:tcBorders>
              <w:top w:val="nil"/>
              <w:left w:val="nil"/>
              <w:bottom w:val="nil"/>
              <w:right w:val="nil"/>
            </w:tcBorders>
            <w:shd w:val="clear" w:color="auto" w:fill="F2F2F2"/>
          </w:tcPr>
          <w:p w:rsidR="00117B3B" w:rsidRPr="00401AA2" w:rsidRDefault="00117B3B" w:rsidP="00117B3B">
            <w:pPr>
              <w:pStyle w:val="Box"/>
              <w:rPr>
                <w:color w:val="000000" w:themeColor="text1"/>
              </w:rPr>
            </w:pPr>
            <w:r w:rsidRPr="00401AA2">
              <w:rPr>
                <w:color w:val="000000" w:themeColor="text1"/>
              </w:rPr>
              <w:t>‘Firefi</w:t>
            </w:r>
            <w:r w:rsidR="009D1285" w:rsidRPr="00401AA2">
              <w:rPr>
                <w:color w:val="000000" w:themeColor="text1"/>
              </w:rPr>
              <w:t xml:space="preserve">ghter workforce’ is defined by two </w:t>
            </w:r>
            <w:r w:rsidRPr="00401AA2">
              <w:rPr>
                <w:color w:val="000000" w:themeColor="text1"/>
              </w:rPr>
              <w:t>measures</w:t>
            </w:r>
            <w:r w:rsidR="00AB7002" w:rsidRPr="00401AA2">
              <w:rPr>
                <w:color w:val="000000" w:themeColor="text1"/>
              </w:rPr>
              <w:t>.</w:t>
            </w:r>
          </w:p>
          <w:p w:rsidR="00117B3B" w:rsidRPr="00401AA2" w:rsidRDefault="00117B3B" w:rsidP="00117B3B">
            <w:pPr>
              <w:pStyle w:val="BoxListBullet"/>
              <w:rPr>
                <w:color w:val="000000" w:themeColor="text1"/>
              </w:rPr>
            </w:pPr>
            <w:r w:rsidRPr="00401AA2">
              <w:rPr>
                <w:color w:val="000000" w:themeColor="text1"/>
              </w:rPr>
              <w:t>‘</w:t>
            </w:r>
            <w:r w:rsidR="00AB7002" w:rsidRPr="00401AA2">
              <w:rPr>
                <w:color w:val="000000" w:themeColor="text1"/>
              </w:rPr>
              <w:t>W</w:t>
            </w:r>
            <w:r w:rsidRPr="00401AA2">
              <w:rPr>
                <w:color w:val="000000" w:themeColor="text1"/>
              </w:rPr>
              <w:t xml:space="preserve">orkforce by age group’ </w:t>
            </w:r>
            <w:r w:rsidR="00AB7002" w:rsidRPr="00401AA2">
              <w:rPr>
                <w:color w:val="000000" w:themeColor="text1"/>
              </w:rPr>
              <w:t xml:space="preserve">— </w:t>
            </w:r>
            <w:r w:rsidRPr="00401AA2">
              <w:rPr>
                <w:color w:val="000000" w:themeColor="text1"/>
              </w:rPr>
              <w:t>defined as the age profile of the workforce, measured by the proportion of the operational workforce in 10 year age brackets (under 30, 30–39, 40–49, 50–59 and 60 and over).</w:t>
            </w:r>
          </w:p>
          <w:p w:rsidR="00117B3B" w:rsidRPr="00401AA2" w:rsidRDefault="00117B3B" w:rsidP="006324A6">
            <w:pPr>
              <w:pStyle w:val="Box"/>
              <w:rPr>
                <w:color w:val="000000" w:themeColor="text1"/>
              </w:rPr>
            </w:pPr>
            <w:r w:rsidRPr="00401AA2">
              <w:rPr>
                <w:color w:val="000000" w:themeColor="text1"/>
              </w:rPr>
              <w:t>A low or decreasing proportion of the workforce who are in the younger age groups and/or a high or increasing proportion who are closer to retirement, suggests sustainability problems may arise in the coming decade as the older age group starts to retire.</w:t>
            </w:r>
          </w:p>
          <w:p w:rsidR="000362E3" w:rsidRPr="00401AA2" w:rsidRDefault="000362E3" w:rsidP="000362E3">
            <w:pPr>
              <w:pStyle w:val="Box"/>
              <w:rPr>
                <w:color w:val="000000" w:themeColor="text1"/>
              </w:rPr>
            </w:pPr>
            <w:r w:rsidRPr="00401AA2">
              <w:rPr>
                <w:color w:val="000000" w:themeColor="text1"/>
              </w:rPr>
              <w:t>Data reported for this measure are:</w:t>
            </w:r>
          </w:p>
          <w:p w:rsidR="000362E3" w:rsidRPr="00401AA2" w:rsidRDefault="000362E3" w:rsidP="004773CC">
            <w:pPr>
              <w:pStyle w:val="BoxListBullet2"/>
              <w:rPr>
                <w:color w:val="000000" w:themeColor="text1"/>
              </w:rPr>
            </w:pPr>
            <w:r w:rsidRPr="00401AA2">
              <w:rPr>
                <w:color w:val="000000" w:themeColor="text1"/>
              </w:rPr>
              <w:t>comparable (subject to caveats) within jurisdictions over time but are not comparable across jurisdictions</w:t>
            </w:r>
          </w:p>
          <w:p w:rsidR="005F289F" w:rsidRPr="00401AA2" w:rsidRDefault="005F289F" w:rsidP="004773CC">
            <w:pPr>
              <w:pStyle w:val="BoxListBullet2"/>
              <w:rPr>
                <w:color w:val="000000" w:themeColor="text1"/>
              </w:rPr>
            </w:pPr>
            <w:r w:rsidRPr="00401AA2">
              <w:rPr>
                <w:color w:val="000000" w:themeColor="text1"/>
              </w:rPr>
              <w:t>complete (subject to caveats) for the current reporting period. All required 2015</w:t>
            </w:r>
            <w:r w:rsidRPr="00401AA2">
              <w:rPr>
                <w:color w:val="000000" w:themeColor="text1"/>
              </w:rPr>
              <w:noBreakHyphen/>
              <w:t>16 data are available for all jurisdictions.</w:t>
            </w:r>
          </w:p>
          <w:p w:rsidR="00117B3B" w:rsidRPr="00401AA2" w:rsidRDefault="00117B3B" w:rsidP="00117B3B">
            <w:pPr>
              <w:pStyle w:val="BoxListBullet"/>
              <w:rPr>
                <w:color w:val="000000" w:themeColor="text1"/>
              </w:rPr>
            </w:pPr>
            <w:r w:rsidRPr="00401AA2">
              <w:rPr>
                <w:color w:val="000000" w:themeColor="text1"/>
              </w:rPr>
              <w:t>‘</w:t>
            </w:r>
            <w:r w:rsidR="00AB7002" w:rsidRPr="00401AA2">
              <w:rPr>
                <w:color w:val="000000" w:themeColor="text1"/>
              </w:rPr>
              <w:t>W</w:t>
            </w:r>
            <w:r w:rsidRPr="00401AA2">
              <w:rPr>
                <w:color w:val="000000" w:themeColor="text1"/>
              </w:rPr>
              <w:t xml:space="preserve">orkforce attrition’ </w:t>
            </w:r>
            <w:r w:rsidR="00AB7002" w:rsidRPr="00401AA2">
              <w:rPr>
                <w:color w:val="000000" w:themeColor="text1"/>
              </w:rPr>
              <w:t xml:space="preserve">— </w:t>
            </w:r>
            <w:r w:rsidRPr="00401AA2">
              <w:rPr>
                <w:color w:val="000000" w:themeColor="text1"/>
              </w:rPr>
              <w:t>defined as level of attrition in the operational workforce</w:t>
            </w:r>
            <w:r w:rsidR="00402344" w:rsidRPr="00401AA2">
              <w:rPr>
                <w:color w:val="000000" w:themeColor="text1"/>
              </w:rPr>
              <w:t>,</w:t>
            </w:r>
            <w:r w:rsidRPr="00401AA2">
              <w:rPr>
                <w:color w:val="000000" w:themeColor="text1"/>
              </w:rPr>
              <w:t xml:space="preserve"> calculated as the number of FTE employees who exit the organisation as a proportion of the number of FTE employees</w:t>
            </w:r>
            <w:r w:rsidR="00A44733" w:rsidRPr="00401AA2">
              <w:rPr>
                <w:color w:val="000000" w:themeColor="text1"/>
              </w:rPr>
              <w:t>.</w:t>
            </w:r>
          </w:p>
          <w:p w:rsidR="00117B3B" w:rsidRPr="00401AA2" w:rsidRDefault="00117B3B" w:rsidP="00117B3B">
            <w:pPr>
              <w:pStyle w:val="Box"/>
              <w:rPr>
                <w:color w:val="000000" w:themeColor="text1"/>
              </w:rPr>
            </w:pPr>
            <w:r w:rsidRPr="00401AA2">
              <w:rPr>
                <w:color w:val="000000" w:themeColor="text1"/>
              </w:rPr>
              <w:t>Low or decreasing levels of staff attrition are desirable.</w:t>
            </w:r>
          </w:p>
          <w:p w:rsidR="00117B3B" w:rsidRPr="00401AA2" w:rsidRDefault="00117B3B" w:rsidP="00117B3B">
            <w:pPr>
              <w:pStyle w:val="Box"/>
              <w:rPr>
                <w:color w:val="000000" w:themeColor="text1"/>
              </w:rPr>
            </w:pPr>
            <w:r w:rsidRPr="00401AA2">
              <w:rPr>
                <w:color w:val="000000" w:themeColor="text1"/>
              </w:rPr>
              <w:t>Data reported for th</w:t>
            </w:r>
            <w:r w:rsidR="000362E3" w:rsidRPr="00401AA2">
              <w:rPr>
                <w:color w:val="000000" w:themeColor="text1"/>
              </w:rPr>
              <w:t xml:space="preserve">is </w:t>
            </w:r>
            <w:r w:rsidRPr="00401AA2">
              <w:rPr>
                <w:color w:val="000000" w:themeColor="text1"/>
              </w:rPr>
              <w:t>measures are:</w:t>
            </w:r>
          </w:p>
          <w:p w:rsidR="00117B3B" w:rsidRPr="00401AA2" w:rsidRDefault="00117B3B" w:rsidP="00401AA2">
            <w:pPr>
              <w:pStyle w:val="BoxListBullet2"/>
              <w:rPr>
                <w:color w:val="000000" w:themeColor="text1"/>
              </w:rPr>
            </w:pPr>
            <w:r w:rsidRPr="00401AA2">
              <w:rPr>
                <w:color w:val="000000" w:themeColor="text1"/>
              </w:rPr>
              <w:t>comparable (subject to caveats) within jurisdictions over time but are not comparable across jurisdictions</w:t>
            </w:r>
          </w:p>
          <w:p w:rsidR="00117B3B" w:rsidRPr="00401AA2" w:rsidRDefault="00401AA2" w:rsidP="00401AA2">
            <w:pPr>
              <w:pStyle w:val="BoxListBullet2"/>
              <w:rPr>
                <w:rStyle w:val="DraftingNote"/>
                <w:b w:val="0"/>
                <w:color w:val="000000" w:themeColor="text1"/>
                <w:sz w:val="20"/>
              </w:rPr>
            </w:pPr>
            <w:r w:rsidRPr="00401AA2">
              <w:rPr>
                <w:color w:val="000000" w:themeColor="text1"/>
              </w:rPr>
              <w:t>complete (subject to caveats) for the current reporting period. All required 2015</w:t>
            </w:r>
            <w:r w:rsidRPr="00401AA2">
              <w:rPr>
                <w:color w:val="000000" w:themeColor="text1"/>
              </w:rPr>
              <w:noBreakHyphen/>
              <w:t>16 data are available for all jurisdictions.</w:t>
            </w:r>
          </w:p>
        </w:tc>
      </w:tr>
      <w:tr w:rsidR="00117B3B" w:rsidTr="00117B3B">
        <w:trPr>
          <w:cantSplit/>
        </w:trPr>
        <w:tc>
          <w:tcPr>
            <w:tcW w:w="8771" w:type="dxa"/>
            <w:tcBorders>
              <w:top w:val="nil"/>
              <w:left w:val="nil"/>
              <w:bottom w:val="single" w:sz="6" w:space="0" w:color="78A22F"/>
              <w:right w:val="nil"/>
            </w:tcBorders>
            <w:shd w:val="clear" w:color="auto" w:fill="F2F2F2"/>
          </w:tcPr>
          <w:p w:rsidR="00117B3B" w:rsidRPr="00401AA2" w:rsidRDefault="00117B3B">
            <w:pPr>
              <w:pStyle w:val="Box"/>
              <w:spacing w:before="0" w:line="120" w:lineRule="exact"/>
              <w:rPr>
                <w:color w:val="000000" w:themeColor="text1"/>
              </w:rPr>
            </w:pPr>
          </w:p>
        </w:tc>
      </w:tr>
      <w:tr w:rsidR="00117B3B" w:rsidRPr="000863A5" w:rsidTr="00117B3B">
        <w:tc>
          <w:tcPr>
            <w:tcW w:w="8771" w:type="dxa"/>
            <w:tcBorders>
              <w:top w:val="single" w:sz="6" w:space="0" w:color="78A22F"/>
              <w:left w:val="nil"/>
              <w:bottom w:val="nil"/>
              <w:right w:val="nil"/>
            </w:tcBorders>
          </w:tcPr>
          <w:p w:rsidR="00117B3B" w:rsidRPr="00626D32" w:rsidRDefault="00117B3B" w:rsidP="00117B3B">
            <w:pPr>
              <w:pStyle w:val="BoxSpaceBelow"/>
            </w:pPr>
          </w:p>
        </w:tc>
      </w:tr>
    </w:tbl>
    <w:p w:rsidR="007E6528" w:rsidRDefault="007E6528" w:rsidP="0028595D">
      <w:pPr>
        <w:pStyle w:val="BodyText"/>
      </w:pPr>
      <w:r>
        <w:t xml:space="preserve">The workforce by age group and staff attrition measures should be considered together. Each provides a different aspect of the changing profile and sustainability of fire service organisations’ workforces and should also be considered in conjunction with data on the: </w:t>
      </w:r>
    </w:p>
    <w:p w:rsidR="007E6528" w:rsidRDefault="007E6528" w:rsidP="007E6528">
      <w:pPr>
        <w:pStyle w:val="ListBullet"/>
      </w:pPr>
      <w:r>
        <w:t>number of full time equivalent firefighter personnel per 100 000 people</w:t>
      </w:r>
    </w:p>
    <w:p w:rsidR="007E6528" w:rsidRDefault="007E6528" w:rsidP="007E6528">
      <w:pPr>
        <w:pStyle w:val="ListBullet"/>
      </w:pPr>
      <w:r>
        <w:t xml:space="preserve">fire service organisation volunteers per 100 000 people (table </w:t>
      </w:r>
      <w:proofErr w:type="spellStart"/>
      <w:r>
        <w:t>9A.24</w:t>
      </w:r>
      <w:proofErr w:type="spellEnd"/>
      <w:r>
        <w:t>).</w:t>
      </w:r>
    </w:p>
    <w:p w:rsidR="00117B3B" w:rsidRDefault="00117B3B" w:rsidP="002035DD">
      <w:pPr>
        <w:pStyle w:val="Heading4"/>
      </w:pPr>
      <w:r>
        <w:t>Workforce by age group</w:t>
      </w:r>
    </w:p>
    <w:p w:rsidR="00117B3B" w:rsidRDefault="00117B3B" w:rsidP="00117B3B">
      <w:pPr>
        <w:pStyle w:val="BodyText"/>
      </w:pPr>
      <w:r>
        <w:t>Nationally in 201</w:t>
      </w:r>
      <w:r w:rsidR="00F77AC1">
        <w:t>5</w:t>
      </w:r>
      <w:r>
        <w:t>-1</w:t>
      </w:r>
      <w:r w:rsidR="00F77AC1">
        <w:t>6</w:t>
      </w:r>
      <w:r w:rsidRPr="0010485A">
        <w:t xml:space="preserve">, </w:t>
      </w:r>
      <w:r w:rsidR="00601D5F" w:rsidRPr="0010485A">
        <w:t>63.8</w:t>
      </w:r>
      <w:r w:rsidR="001B1878" w:rsidRPr="0010485A">
        <w:t xml:space="preserve"> p</w:t>
      </w:r>
      <w:r w:rsidRPr="0010485A">
        <w:t>er c</w:t>
      </w:r>
      <w:r w:rsidR="00601D5F" w:rsidRPr="0010485A">
        <w:t>ent of the firefighter workforce</w:t>
      </w:r>
      <w:r w:rsidRPr="0010485A">
        <w:t xml:space="preserve"> </w:t>
      </w:r>
      <w:r w:rsidR="00A40085" w:rsidRPr="0010485A">
        <w:t>w</w:t>
      </w:r>
      <w:r w:rsidRPr="0010485A">
        <w:t>ere aged under 50 years</w:t>
      </w:r>
      <w:r>
        <w:t xml:space="preserve"> (figure 9.</w:t>
      </w:r>
      <w:r w:rsidR="00065DA2">
        <w:t>4</w:t>
      </w:r>
      <w:r w:rsidR="001B1878">
        <w:t xml:space="preserve"> and table </w:t>
      </w:r>
      <w:proofErr w:type="spellStart"/>
      <w:r w:rsidR="001B1878">
        <w:t>9A.5</w:t>
      </w:r>
      <w:proofErr w:type="spellEnd"/>
      <w:r>
        <w:t xml:space="preserve">). </w:t>
      </w:r>
    </w:p>
    <w:p w:rsidR="00117B3B" w:rsidRDefault="00117B3B" w:rsidP="00117B3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17B3B" w:rsidTr="00056686">
        <w:tc>
          <w:tcPr>
            <w:tcW w:w="8771" w:type="dxa"/>
            <w:tcBorders>
              <w:top w:val="single" w:sz="6" w:space="0" w:color="78A22F"/>
              <w:left w:val="nil"/>
              <w:bottom w:val="nil"/>
              <w:right w:val="nil"/>
            </w:tcBorders>
            <w:shd w:val="clear" w:color="auto" w:fill="auto"/>
          </w:tcPr>
          <w:p w:rsidR="00117B3B" w:rsidRPr="00176D3F" w:rsidRDefault="00117B3B" w:rsidP="007E590D">
            <w:pPr>
              <w:pStyle w:val="FigureTitle"/>
            </w:pPr>
            <w:r w:rsidRPr="00784A05">
              <w:rPr>
                <w:b w:val="0"/>
              </w:rPr>
              <w:t xml:space="preserve">Figure </w:t>
            </w:r>
            <w:r>
              <w:rPr>
                <w:b w:val="0"/>
              </w:rPr>
              <w:t>9</w:t>
            </w:r>
            <w:r w:rsidR="00F77AC1">
              <w:rPr>
                <w:b w:val="0"/>
              </w:rPr>
              <w:t>.</w:t>
            </w:r>
            <w:r w:rsidR="00065DA2">
              <w:rPr>
                <w:b w:val="0"/>
              </w:rPr>
              <w:t>4</w:t>
            </w:r>
            <w:r>
              <w:tab/>
            </w:r>
            <w:r w:rsidR="003F22E0">
              <w:t xml:space="preserve">Firefighter </w:t>
            </w:r>
            <w:r w:rsidR="003F22E0" w:rsidRPr="003F22E0">
              <w:t>workforce</w:t>
            </w:r>
            <w:r w:rsidR="007E590D">
              <w:t>, by age group, 2015-16</w:t>
            </w:r>
            <w:r w:rsidRPr="00786CB8">
              <w:rPr>
                <w:rStyle w:val="NoteLabel"/>
                <w:b/>
              </w:rPr>
              <w:t>a</w:t>
            </w:r>
          </w:p>
        </w:tc>
      </w:tr>
      <w:tr w:rsidR="00117B3B" w:rsidTr="00056686">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117B3B" w:rsidTr="00117B3B">
              <w:trPr>
                <w:jc w:val="center"/>
              </w:trPr>
              <w:tc>
                <w:tcPr>
                  <w:tcW w:w="5000" w:type="pct"/>
                  <w:tcBorders>
                    <w:top w:val="nil"/>
                    <w:bottom w:val="nil"/>
                  </w:tcBorders>
                </w:tcPr>
                <w:p w:rsidR="00117B3B" w:rsidRPr="00E12D60" w:rsidRDefault="00920BE8" w:rsidP="00E12D60">
                  <w:pPr>
                    <w:pStyle w:val="Figure"/>
                  </w:pPr>
                  <w:r>
                    <w:rPr>
                      <w:noProof/>
                    </w:rPr>
                    <w:drawing>
                      <wp:inline distT="0" distB="0" distL="0" distR="0" wp14:anchorId="57247769" wp14:editId="2D05EA03">
                        <wp:extent cx="5362575" cy="2676525"/>
                        <wp:effectExtent l="0" t="0" r="9525" b="9525"/>
                        <wp:docPr id="5" name="Picture 5" descr="Figure 9.4 Firefighter workforce, by age group, 2015-16&#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62575" cy="2676525"/>
                                </a:xfrm>
                                <a:prstGeom prst="rect">
                                  <a:avLst/>
                                </a:prstGeom>
                                <a:noFill/>
                                <a:ln>
                                  <a:noFill/>
                                </a:ln>
                              </pic:spPr>
                            </pic:pic>
                          </a:graphicData>
                        </a:graphic>
                      </wp:inline>
                    </w:drawing>
                  </w:r>
                </w:p>
              </w:tc>
            </w:tr>
          </w:tbl>
          <w:p w:rsidR="00117B3B" w:rsidRDefault="00117B3B" w:rsidP="00117B3B">
            <w:pPr>
              <w:pStyle w:val="Figure"/>
            </w:pPr>
          </w:p>
        </w:tc>
      </w:tr>
      <w:tr w:rsidR="00117B3B" w:rsidRPr="00176D3F" w:rsidTr="00056686">
        <w:tc>
          <w:tcPr>
            <w:tcW w:w="8771" w:type="dxa"/>
            <w:tcBorders>
              <w:top w:val="nil"/>
              <w:left w:val="nil"/>
              <w:bottom w:val="nil"/>
              <w:right w:val="nil"/>
            </w:tcBorders>
            <w:shd w:val="clear" w:color="auto" w:fill="auto"/>
          </w:tcPr>
          <w:p w:rsidR="00117B3B" w:rsidRPr="00176D3F" w:rsidRDefault="00117B3B" w:rsidP="00065DA2">
            <w:pPr>
              <w:pStyle w:val="Note"/>
            </w:pPr>
            <w:r>
              <w:rPr>
                <w:rStyle w:val="NoteLabel"/>
              </w:rPr>
              <w:t>a</w:t>
            </w:r>
            <w:r>
              <w:t xml:space="preserve"> See </w:t>
            </w:r>
            <w:r w:rsidRPr="00786CB8">
              <w:t>box 9.</w:t>
            </w:r>
            <w:r w:rsidR="00065DA2">
              <w:t>5</w:t>
            </w:r>
            <w:r w:rsidRPr="00786CB8">
              <w:t xml:space="preserve"> and table</w:t>
            </w:r>
            <w:r>
              <w:t xml:space="preserve"> </w:t>
            </w:r>
            <w:proofErr w:type="spellStart"/>
            <w:r>
              <w:t>9A.5</w:t>
            </w:r>
            <w:proofErr w:type="spellEnd"/>
            <w:r>
              <w:t xml:space="preserve"> </w:t>
            </w:r>
            <w:r w:rsidRPr="00ED0AE5">
              <w:t>for detailed definitions, footnotes and caveats.</w:t>
            </w:r>
          </w:p>
        </w:tc>
      </w:tr>
      <w:tr w:rsidR="00117B3B" w:rsidRPr="00176D3F" w:rsidTr="00056686">
        <w:tc>
          <w:tcPr>
            <w:tcW w:w="8771" w:type="dxa"/>
            <w:tcBorders>
              <w:top w:val="nil"/>
              <w:left w:val="nil"/>
              <w:bottom w:val="nil"/>
              <w:right w:val="nil"/>
            </w:tcBorders>
            <w:shd w:val="clear" w:color="auto" w:fill="auto"/>
          </w:tcPr>
          <w:p w:rsidR="00117B3B" w:rsidRPr="00176D3F" w:rsidRDefault="00117B3B" w:rsidP="00117B3B">
            <w:pPr>
              <w:pStyle w:val="Source"/>
            </w:pPr>
            <w:r>
              <w:rPr>
                <w:i/>
              </w:rPr>
              <w:t>S</w:t>
            </w:r>
            <w:r w:rsidRPr="00784A05">
              <w:rPr>
                <w:i/>
              </w:rPr>
              <w:t>ource</w:t>
            </w:r>
            <w:r w:rsidRPr="00176D3F">
              <w:t xml:space="preserve">: </w:t>
            </w:r>
            <w:r>
              <w:t xml:space="preserve">State and Territory governments (unpublished), table </w:t>
            </w:r>
            <w:proofErr w:type="spellStart"/>
            <w:r>
              <w:t>9A.5</w:t>
            </w:r>
            <w:proofErr w:type="spellEnd"/>
            <w:r>
              <w:t>.</w:t>
            </w:r>
          </w:p>
        </w:tc>
      </w:tr>
      <w:tr w:rsidR="00117B3B" w:rsidTr="00117B3B">
        <w:tc>
          <w:tcPr>
            <w:tcW w:w="8771" w:type="dxa"/>
            <w:tcBorders>
              <w:top w:val="nil"/>
              <w:left w:val="nil"/>
              <w:bottom w:val="single" w:sz="6" w:space="0" w:color="78A22F"/>
              <w:right w:val="nil"/>
            </w:tcBorders>
            <w:shd w:val="clear" w:color="auto" w:fill="auto"/>
          </w:tcPr>
          <w:p w:rsidR="00117B3B" w:rsidRDefault="00117B3B" w:rsidP="00117B3B">
            <w:pPr>
              <w:pStyle w:val="Figurespace"/>
            </w:pPr>
          </w:p>
        </w:tc>
      </w:tr>
      <w:tr w:rsidR="00117B3B" w:rsidRPr="000863A5" w:rsidTr="00117B3B">
        <w:tc>
          <w:tcPr>
            <w:tcW w:w="8771" w:type="dxa"/>
            <w:tcBorders>
              <w:top w:val="single" w:sz="6" w:space="0" w:color="78A22F"/>
              <w:left w:val="nil"/>
              <w:bottom w:val="nil"/>
              <w:right w:val="nil"/>
            </w:tcBorders>
          </w:tcPr>
          <w:p w:rsidR="00117B3B" w:rsidRPr="00626D32" w:rsidRDefault="00117B3B" w:rsidP="00117B3B">
            <w:pPr>
              <w:pStyle w:val="BoxSpaceBelow"/>
            </w:pPr>
          </w:p>
        </w:tc>
      </w:tr>
    </w:tbl>
    <w:p w:rsidR="00117B3B" w:rsidRDefault="00117B3B" w:rsidP="00117B3B">
      <w:pPr>
        <w:pStyle w:val="Heading4"/>
      </w:pPr>
      <w:r>
        <w:t>Workforce attrition</w:t>
      </w:r>
    </w:p>
    <w:p w:rsidR="00117B3B" w:rsidRDefault="00A306D7" w:rsidP="00117B3B">
      <w:pPr>
        <w:pStyle w:val="BodyText"/>
      </w:pPr>
      <w:r>
        <w:t>In 2015-16, the s</w:t>
      </w:r>
      <w:r w:rsidR="00117B3B">
        <w:t xml:space="preserve">taff attrition rate </w:t>
      </w:r>
      <w:r>
        <w:t xml:space="preserve">varied </w:t>
      </w:r>
      <w:r w:rsidR="00117B3B">
        <w:t xml:space="preserve">across jurisdictions (table </w:t>
      </w:r>
      <w:proofErr w:type="spellStart"/>
      <w:r w:rsidR="00117B3B">
        <w:t>9A.5</w:t>
      </w:r>
      <w:proofErr w:type="spellEnd"/>
      <w:r w:rsidR="00117B3B">
        <w:t xml:space="preserve">). </w:t>
      </w:r>
    </w:p>
    <w:p w:rsidR="00117B3B" w:rsidRPr="001E7A69" w:rsidRDefault="00117B3B" w:rsidP="00117B3B">
      <w:pPr>
        <w:pStyle w:val="Heading4"/>
      </w:pPr>
      <w:r>
        <w:t xml:space="preserve">Response — </w:t>
      </w:r>
      <w:r w:rsidRPr="001E7A69">
        <w:t>Response times to structure fires</w:t>
      </w:r>
    </w:p>
    <w:p w:rsidR="00117B3B" w:rsidRDefault="00117B3B" w:rsidP="00F77AC1">
      <w:pPr>
        <w:pStyle w:val="BodyText"/>
      </w:pPr>
      <w:r w:rsidRPr="00192DFA">
        <w:t>‘Respons</w:t>
      </w:r>
      <w:r w:rsidR="00C80541">
        <w:t xml:space="preserve">e </w:t>
      </w:r>
      <w:r w:rsidRPr="00192DFA">
        <w:t xml:space="preserve">times to structure fires’ is an indicator of governments’ objective to </w:t>
      </w:r>
      <w:r w:rsidR="00F77AC1" w:rsidRPr="00F77AC1">
        <w:t>provid</w:t>
      </w:r>
      <w:r w:rsidR="00F77AC1">
        <w:t xml:space="preserve">e emergency services that are responsive </w:t>
      </w:r>
      <w:r w:rsidRPr="00192DFA">
        <w:t>(box </w:t>
      </w:r>
      <w:r>
        <w:t>9.</w:t>
      </w:r>
      <w:r w:rsidR="003B7120">
        <w:t>6</w:t>
      </w:r>
      <w:r w:rsidRPr="00192DFA">
        <w:t>).</w:t>
      </w:r>
    </w:p>
    <w:p w:rsidR="00117B3B" w:rsidRDefault="00117B3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17B3B" w:rsidTr="00117B3B">
        <w:tc>
          <w:tcPr>
            <w:tcW w:w="8771" w:type="dxa"/>
            <w:tcBorders>
              <w:top w:val="single" w:sz="6" w:space="0" w:color="78A22F"/>
              <w:left w:val="nil"/>
              <w:bottom w:val="nil"/>
              <w:right w:val="nil"/>
            </w:tcBorders>
            <w:shd w:val="clear" w:color="auto" w:fill="F2F2F2"/>
          </w:tcPr>
          <w:p w:rsidR="00117B3B" w:rsidRDefault="00117B3B" w:rsidP="003B7120">
            <w:pPr>
              <w:pStyle w:val="BoxTitle"/>
            </w:pPr>
            <w:r>
              <w:rPr>
                <w:b w:val="0"/>
              </w:rPr>
              <w:t>Box 9</w:t>
            </w:r>
            <w:r w:rsidR="00F77AC1">
              <w:rPr>
                <w:b w:val="0"/>
              </w:rPr>
              <w:t>.</w:t>
            </w:r>
            <w:r w:rsidR="003B7120">
              <w:rPr>
                <w:b w:val="0"/>
              </w:rPr>
              <w:t>6</w:t>
            </w:r>
            <w:r>
              <w:tab/>
            </w:r>
            <w:r w:rsidRPr="001E7A69">
              <w:t>Response times to structure fires</w:t>
            </w:r>
          </w:p>
        </w:tc>
      </w:tr>
      <w:tr w:rsidR="00117B3B" w:rsidTr="00117B3B">
        <w:trPr>
          <w:cantSplit/>
        </w:trPr>
        <w:tc>
          <w:tcPr>
            <w:tcW w:w="8771" w:type="dxa"/>
            <w:tcBorders>
              <w:top w:val="nil"/>
              <w:left w:val="nil"/>
              <w:bottom w:val="nil"/>
              <w:right w:val="nil"/>
            </w:tcBorders>
            <w:shd w:val="clear" w:color="auto" w:fill="F2F2F2"/>
          </w:tcPr>
          <w:p w:rsidR="00117B3B" w:rsidRPr="00192DFA" w:rsidRDefault="00117B3B" w:rsidP="00117B3B">
            <w:pPr>
              <w:pStyle w:val="Box"/>
              <w:keepNext w:val="0"/>
            </w:pPr>
            <w:r w:rsidRPr="00192DFA">
              <w:t xml:space="preserve">‘Response times to structure fires’ (as illustrated below) is defined as the time taken between the arrival of the first fire crew appliance at the scene of a structure fire and: </w:t>
            </w:r>
          </w:p>
          <w:p w:rsidR="00117B3B" w:rsidRPr="00192DFA" w:rsidRDefault="00117B3B" w:rsidP="00117B3B">
            <w:pPr>
              <w:pStyle w:val="BoxListBullet"/>
              <w:keepNext w:val="0"/>
            </w:pPr>
            <w:r w:rsidRPr="00192DFA">
              <w:rPr>
                <w:i/>
              </w:rPr>
              <w:t>initial receipt of the call at the communications centre</w:t>
            </w:r>
            <w:r w:rsidRPr="00192DFA">
              <w:t>. Response time (</w:t>
            </w:r>
            <w:r w:rsidRPr="00192DFA">
              <w:rPr>
                <w:i/>
              </w:rPr>
              <w:t>including</w:t>
            </w:r>
            <w:r w:rsidRPr="00192DFA">
              <w:t xml:space="preserve"> call taking time) reflects jurisdictions’ overall responsiveness to the notification of a structure fire </w:t>
            </w:r>
          </w:p>
          <w:p w:rsidR="00117B3B" w:rsidRPr="00192DFA" w:rsidRDefault="00117B3B" w:rsidP="00117B3B">
            <w:pPr>
              <w:pStyle w:val="BoxListBullet"/>
              <w:keepNext w:val="0"/>
            </w:pPr>
            <w:r w:rsidRPr="00192DFA">
              <w:rPr>
                <w:i/>
              </w:rPr>
              <w:t>dispatch of the responding fire crew</w:t>
            </w:r>
            <w:r w:rsidRPr="00192DFA">
              <w:t>. Response time (</w:t>
            </w:r>
            <w:r w:rsidRPr="00192DFA">
              <w:rPr>
                <w:i/>
              </w:rPr>
              <w:t>excluding</w:t>
            </w:r>
            <w:r w:rsidRPr="00192DFA">
              <w:t xml:space="preserve"> call taking time) reflects service organisations’ responsiveness to the notification of a structure fire. </w:t>
            </w:r>
          </w:p>
          <w:p w:rsidR="00117B3B" w:rsidRDefault="00117B3B" w:rsidP="00117B3B">
            <w:pPr>
              <w:pStyle w:val="Box"/>
              <w:keepNext w:val="0"/>
            </w:pPr>
            <w:r w:rsidRPr="00201B72">
              <w:t>Response times are calculated at the 50th and 90th percentile</w:t>
            </w:r>
            <w:r>
              <w:t>.</w:t>
            </w:r>
            <w:r w:rsidRPr="00201B72">
              <w:t xml:space="preserve"> (</w:t>
            </w:r>
            <w:r>
              <w:t>T</w:t>
            </w:r>
            <w:r w:rsidRPr="00201B72">
              <w:t>he time taken for 50 per cent of all responses to arrive at a structure fire is equal to or below the 50th percentile</w:t>
            </w:r>
            <w:r>
              <w:t>.</w:t>
            </w:r>
            <w:r w:rsidRPr="00201B72">
              <w:t xml:space="preserve"> </w:t>
            </w:r>
            <w:r>
              <w:t>T</w:t>
            </w:r>
            <w:r w:rsidRPr="00201B72">
              <w:t>he time taken for 90 per cent of all responses to arrive at a structure fire is equal to or below the 90th percentile</w:t>
            </w:r>
            <w:r w:rsidR="00394415">
              <w:t>).</w:t>
            </w:r>
          </w:p>
          <w:p w:rsidR="00117B3B" w:rsidRDefault="00117B3B" w:rsidP="00117B3B">
            <w:pPr>
              <w:pStyle w:val="Box"/>
            </w:pPr>
            <w:r>
              <w:rPr>
                <w:noProof/>
                <w:color w:val="0070C0"/>
                <w:sz w:val="16"/>
              </w:rPr>
              <w:drawing>
                <wp:inline distT="0" distB="0" distL="0" distR="0" wp14:anchorId="56EF3A06" wp14:editId="3291D637">
                  <wp:extent cx="5267325" cy="1781175"/>
                  <wp:effectExtent l="0" t="0" r="9525" b="0"/>
                  <wp:docPr id="7" name="Picture 7" descr="Diagram in box 9.6 of process for response times to structure fires from receipt of call to departing scen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67325" cy="1781175"/>
                          </a:xfrm>
                          <a:prstGeom prst="rect">
                            <a:avLst/>
                          </a:prstGeom>
                          <a:noFill/>
                          <a:ln>
                            <a:noFill/>
                          </a:ln>
                        </pic:spPr>
                      </pic:pic>
                    </a:graphicData>
                  </a:graphic>
                </wp:inline>
              </w:drawing>
            </w:r>
          </w:p>
          <w:p w:rsidR="00117B3B" w:rsidRPr="00DA5C22" w:rsidRDefault="00117B3B" w:rsidP="00117B3B">
            <w:pPr>
              <w:pStyle w:val="Box"/>
              <w:keepNext w:val="0"/>
            </w:pPr>
            <w:r w:rsidRPr="00DA5C22">
              <w:t>Response time measures are provided for:</w:t>
            </w:r>
          </w:p>
          <w:p w:rsidR="00117B3B" w:rsidRDefault="00117B3B" w:rsidP="00E379E8">
            <w:pPr>
              <w:pStyle w:val="BoxListBullet"/>
            </w:pPr>
            <w:proofErr w:type="spellStart"/>
            <w:r w:rsidRPr="00F77AC1">
              <w:t>state</w:t>
            </w:r>
            <w:r w:rsidRPr="00F77AC1">
              <w:noBreakHyphen/>
              <w:t>wide</w:t>
            </w:r>
            <w:proofErr w:type="spellEnd"/>
            <w:r w:rsidRPr="00F77AC1">
              <w:t xml:space="preserve"> — the entire jurisdiction</w:t>
            </w:r>
            <w:r w:rsidR="006D6BFC">
              <w:t>.</w:t>
            </w:r>
            <w:r w:rsidRPr="00F77AC1">
              <w:t xml:space="preserve"> </w:t>
            </w:r>
          </w:p>
          <w:p w:rsidR="00117B3B" w:rsidRDefault="00117B3B" w:rsidP="0060424C">
            <w:pPr>
              <w:pStyle w:val="BoxListBullet"/>
            </w:pPr>
            <w:r w:rsidRPr="00F77AC1">
              <w:t>capital cities — measured as the geographic area that incorporates the jurisdictions’ capital city. Boundaries are based on the ABS Australian Statistical Geography Standard (</w:t>
            </w:r>
            <w:proofErr w:type="spellStart"/>
            <w:r w:rsidRPr="00F77AC1">
              <w:t>ASGS</w:t>
            </w:r>
            <w:proofErr w:type="spellEnd"/>
            <w:r w:rsidRPr="00F77AC1">
              <w:t>) structure. Capital cities are calculated as the major cities classification for all jurisdictions, other than Tasmania and the NT, where the inner regional (incorporating Hobart and Launceston) and outer regional (incorporating Darwin) classifications are applied</w:t>
            </w:r>
            <w:r w:rsidR="006D6BFC">
              <w:t>.</w:t>
            </w:r>
          </w:p>
          <w:p w:rsidR="00117B3B" w:rsidRDefault="00117B3B" w:rsidP="00F77AC1">
            <w:pPr>
              <w:pStyle w:val="BoxListBullet"/>
            </w:pPr>
            <w:r w:rsidRPr="00F77AC1">
              <w:t xml:space="preserve">remoteness areas — inner regional (excluding Tasmania), outer regional (excluding the NT), remote and very remote boundaries based on the </w:t>
            </w:r>
            <w:proofErr w:type="spellStart"/>
            <w:r w:rsidRPr="00F77AC1">
              <w:t>ASGS</w:t>
            </w:r>
            <w:proofErr w:type="spellEnd"/>
            <w:r w:rsidRPr="00F77AC1">
              <w:t xml:space="preserve"> structure.</w:t>
            </w:r>
          </w:p>
          <w:p w:rsidR="000F7474" w:rsidRPr="002C5FB5" w:rsidRDefault="000F7474" w:rsidP="000F7474">
            <w:pPr>
              <w:pStyle w:val="Box"/>
            </w:pPr>
            <w:r w:rsidRPr="002C5FB5">
              <w:t>There are many factors that influence remoteness area response times including:</w:t>
            </w:r>
          </w:p>
          <w:p w:rsidR="000F7474" w:rsidRDefault="000F7474" w:rsidP="000F7474">
            <w:pPr>
              <w:pStyle w:val="BoxListBullet"/>
            </w:pPr>
            <w:r>
              <w:t xml:space="preserve">land area </w:t>
            </w:r>
            <w:r w:rsidR="00A44733">
              <w:t>(which has particular impact across urban, rural and remote areas)</w:t>
            </w:r>
          </w:p>
          <w:p w:rsidR="00A44733" w:rsidRDefault="00A44733" w:rsidP="000F7474">
            <w:pPr>
              <w:pStyle w:val="BoxListBullet"/>
            </w:pPr>
            <w:r>
              <w:t>population size and density (which has a particular impact in urban areas)</w:t>
            </w:r>
          </w:p>
          <w:p w:rsidR="000F7474" w:rsidRPr="00F77AC1" w:rsidRDefault="000F7474" w:rsidP="000F7474">
            <w:pPr>
              <w:pStyle w:val="BoxListBullet"/>
            </w:pPr>
            <w:r w:rsidRPr="00F77AC1">
              <w:t>the dispersion of the population (particularly rural/urban population proportions), topography, road/transport infrastructure and traffic densities</w:t>
            </w:r>
          </w:p>
          <w:p w:rsidR="00313734" w:rsidRDefault="0060424C" w:rsidP="00056686">
            <w:pPr>
              <w:pStyle w:val="Continued"/>
            </w:pPr>
            <w:r>
              <w:t xml:space="preserve"> </w:t>
            </w:r>
            <w:r w:rsidR="009061AE">
              <w:t>(continued</w:t>
            </w:r>
            <w:r w:rsidR="00BE1E6B">
              <w:t xml:space="preserve"> next page</w:t>
            </w:r>
            <w:r w:rsidR="009061AE">
              <w:t>)</w:t>
            </w:r>
          </w:p>
        </w:tc>
      </w:tr>
      <w:tr w:rsidR="00117B3B" w:rsidTr="00117B3B">
        <w:trPr>
          <w:cantSplit/>
        </w:trPr>
        <w:tc>
          <w:tcPr>
            <w:tcW w:w="8771" w:type="dxa"/>
            <w:tcBorders>
              <w:top w:val="nil"/>
              <w:left w:val="nil"/>
              <w:bottom w:val="single" w:sz="6" w:space="0" w:color="78A22F"/>
              <w:right w:val="nil"/>
            </w:tcBorders>
            <w:shd w:val="clear" w:color="auto" w:fill="F2F2F2"/>
          </w:tcPr>
          <w:p w:rsidR="00117B3B" w:rsidRDefault="00117B3B">
            <w:pPr>
              <w:pStyle w:val="Box"/>
              <w:spacing w:before="0" w:line="120" w:lineRule="exact"/>
            </w:pPr>
          </w:p>
        </w:tc>
      </w:tr>
      <w:tr w:rsidR="00117B3B" w:rsidRPr="000863A5" w:rsidTr="00117B3B">
        <w:tc>
          <w:tcPr>
            <w:tcW w:w="8771" w:type="dxa"/>
            <w:tcBorders>
              <w:top w:val="single" w:sz="6" w:space="0" w:color="78A22F"/>
              <w:left w:val="nil"/>
              <w:bottom w:val="nil"/>
              <w:right w:val="nil"/>
            </w:tcBorders>
          </w:tcPr>
          <w:p w:rsidR="00117B3B" w:rsidRPr="00626D32" w:rsidRDefault="00117B3B" w:rsidP="00117B3B">
            <w:pPr>
              <w:pStyle w:val="BoxSpaceBelow"/>
            </w:pPr>
          </w:p>
        </w:tc>
      </w:tr>
    </w:tbl>
    <w:p w:rsidR="00DD3AC7" w:rsidRDefault="00DD3AC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DD3AC7" w:rsidTr="00CF43AE">
        <w:tc>
          <w:tcPr>
            <w:tcW w:w="8771" w:type="dxa"/>
            <w:tcBorders>
              <w:top w:val="single" w:sz="6" w:space="0" w:color="78A22F"/>
              <w:left w:val="nil"/>
              <w:bottom w:val="nil"/>
              <w:right w:val="nil"/>
            </w:tcBorders>
            <w:shd w:val="clear" w:color="auto" w:fill="F2F2F2"/>
          </w:tcPr>
          <w:p w:rsidR="00DD3AC7" w:rsidRPr="007D39E0" w:rsidRDefault="00DD3AC7" w:rsidP="00EC0EA7">
            <w:pPr>
              <w:pStyle w:val="FigureTitle"/>
              <w:rPr>
                <w:b w:val="0"/>
                <w:color w:val="000000" w:themeColor="text1"/>
                <w:sz w:val="18"/>
                <w:szCs w:val="18"/>
              </w:rPr>
            </w:pPr>
            <w:r w:rsidRPr="00F07674">
              <w:rPr>
                <w:b w:val="0"/>
                <w:color w:val="000000" w:themeColor="text1"/>
              </w:rPr>
              <w:t>Box 9.</w:t>
            </w:r>
            <w:r w:rsidR="003B49C5" w:rsidRPr="00F07674">
              <w:rPr>
                <w:b w:val="0"/>
                <w:color w:val="000000" w:themeColor="text1"/>
              </w:rPr>
              <w:t>6</w:t>
            </w:r>
            <w:r w:rsidRPr="00F07674">
              <w:rPr>
                <w:color w:val="000000" w:themeColor="text1"/>
              </w:rPr>
              <w:tab/>
            </w:r>
            <w:r w:rsidRPr="007D39E0">
              <w:rPr>
                <w:b w:val="0"/>
                <w:color w:val="000000" w:themeColor="text1"/>
                <w:sz w:val="18"/>
                <w:szCs w:val="18"/>
              </w:rPr>
              <w:t>(continued)</w:t>
            </w:r>
          </w:p>
          <w:p w:rsidR="009061AE" w:rsidRPr="00F07674" w:rsidRDefault="0060424C" w:rsidP="00A44733">
            <w:pPr>
              <w:pStyle w:val="BoxListBullet"/>
              <w:rPr>
                <w:color w:val="000000" w:themeColor="text1"/>
              </w:rPr>
            </w:pPr>
            <w:r w:rsidRPr="00F07674">
              <w:rPr>
                <w:color w:val="000000" w:themeColor="text1"/>
              </w:rPr>
              <w:t>crewing configurations, response systems and processes, and travel distances — for example, some jurisdictions include responses from volunteer stations (often in rural areas) where turnout times are generally longer because volunteers are on call as distinct from being on duty</w:t>
            </w:r>
            <w:r w:rsidR="009061AE" w:rsidRPr="00F07674">
              <w:rPr>
                <w:color w:val="000000" w:themeColor="text1"/>
              </w:rPr>
              <w:t xml:space="preserve"> (table </w:t>
            </w:r>
            <w:proofErr w:type="spellStart"/>
            <w:r w:rsidR="009061AE" w:rsidRPr="00F07674">
              <w:rPr>
                <w:color w:val="000000" w:themeColor="text1"/>
              </w:rPr>
              <w:t>9A.25</w:t>
            </w:r>
            <w:proofErr w:type="spellEnd"/>
            <w:r w:rsidR="009061AE" w:rsidRPr="00F07674">
              <w:rPr>
                <w:color w:val="000000" w:themeColor="text1"/>
              </w:rPr>
              <w:t>).</w:t>
            </w:r>
          </w:p>
          <w:p w:rsidR="0009380F" w:rsidRPr="00F07674" w:rsidRDefault="0009380F" w:rsidP="0009380F">
            <w:pPr>
              <w:pStyle w:val="Box"/>
              <w:keepNext w:val="0"/>
              <w:rPr>
                <w:color w:val="000000" w:themeColor="text1"/>
              </w:rPr>
            </w:pPr>
            <w:r w:rsidRPr="00F07674">
              <w:rPr>
                <w:color w:val="000000" w:themeColor="text1"/>
              </w:rPr>
              <w:t>Calculations are based on emergency responses to structure fire incidents and include responses by both permanent and volunteer brigades (unless otherwise noted).</w:t>
            </w:r>
          </w:p>
          <w:p w:rsidR="00081BA9" w:rsidRPr="00F07674" w:rsidRDefault="006D6BFC" w:rsidP="00F77AC1">
            <w:pPr>
              <w:pStyle w:val="Box"/>
              <w:rPr>
                <w:color w:val="000000" w:themeColor="text1"/>
              </w:rPr>
            </w:pPr>
            <w:r w:rsidRPr="00F07674">
              <w:rPr>
                <w:color w:val="000000" w:themeColor="text1"/>
              </w:rPr>
              <w:t>Shorter response times suggest</w:t>
            </w:r>
            <w:r w:rsidR="00081BA9" w:rsidRPr="00F07674">
              <w:rPr>
                <w:color w:val="000000" w:themeColor="text1"/>
              </w:rPr>
              <w:t xml:space="preserve"> </w:t>
            </w:r>
            <w:r w:rsidRPr="00F07674">
              <w:rPr>
                <w:color w:val="000000" w:themeColor="text1"/>
              </w:rPr>
              <w:t>that services are more responsive</w:t>
            </w:r>
            <w:r w:rsidR="00C80541" w:rsidRPr="00F07674">
              <w:rPr>
                <w:color w:val="000000" w:themeColor="text1"/>
              </w:rPr>
              <w:t>.</w:t>
            </w:r>
          </w:p>
          <w:p w:rsidR="00F77AC1" w:rsidRPr="00F07674" w:rsidRDefault="00081BA9" w:rsidP="00F77AC1">
            <w:pPr>
              <w:pStyle w:val="Box"/>
              <w:rPr>
                <w:color w:val="000000" w:themeColor="text1"/>
              </w:rPr>
            </w:pPr>
            <w:r w:rsidRPr="00F07674">
              <w:rPr>
                <w:color w:val="000000" w:themeColor="text1"/>
              </w:rPr>
              <w:t>Re</w:t>
            </w:r>
            <w:r w:rsidR="00F77AC1" w:rsidRPr="00F07674">
              <w:rPr>
                <w:color w:val="000000" w:themeColor="text1"/>
              </w:rPr>
              <w:t xml:space="preserve">sponse times need to be interpreted with caution because the data are not directly comparable across jurisdictions. </w:t>
            </w:r>
            <w:r w:rsidR="00F77AC1" w:rsidRPr="00F07674">
              <w:rPr>
                <w:color w:val="000000" w:themeColor="text1"/>
              </w:rPr>
              <w:sym w:font="Symbol" w:char="F020"/>
            </w:r>
            <w:r w:rsidR="00F77AC1" w:rsidRPr="00F07674">
              <w:rPr>
                <w:color w:val="000000" w:themeColor="text1"/>
              </w:rPr>
              <w:t>Differences between jurisdictions in definitions of response times, geography, personnel mix, and system type (manual or computer assisted dispatch) affect the comparability of response times data.</w:t>
            </w:r>
          </w:p>
          <w:p w:rsidR="00DD3AC7" w:rsidRPr="00F07674" w:rsidRDefault="00DD3AC7" w:rsidP="00DD3AC7">
            <w:pPr>
              <w:pStyle w:val="Box"/>
              <w:keepNext w:val="0"/>
              <w:rPr>
                <w:color w:val="000000" w:themeColor="text1"/>
              </w:rPr>
            </w:pPr>
            <w:r w:rsidRPr="00F07674">
              <w:rPr>
                <w:color w:val="000000" w:themeColor="text1"/>
              </w:rPr>
              <w:t>Data report</w:t>
            </w:r>
            <w:r w:rsidR="000F7474" w:rsidRPr="00F07674">
              <w:rPr>
                <w:color w:val="000000" w:themeColor="text1"/>
              </w:rPr>
              <w:t xml:space="preserve">ed for these measures </w:t>
            </w:r>
            <w:r w:rsidRPr="00F07674">
              <w:rPr>
                <w:color w:val="000000" w:themeColor="text1"/>
              </w:rPr>
              <w:t>are:</w:t>
            </w:r>
          </w:p>
          <w:p w:rsidR="00DD3AC7" w:rsidRPr="00F07674" w:rsidRDefault="00DD3AC7" w:rsidP="00F07674">
            <w:pPr>
              <w:pStyle w:val="BoxListBullet"/>
              <w:rPr>
                <w:color w:val="000000" w:themeColor="text1"/>
              </w:rPr>
            </w:pPr>
            <w:r w:rsidRPr="00F07674">
              <w:rPr>
                <w:color w:val="000000" w:themeColor="text1"/>
              </w:rPr>
              <w:t>comparable (subject to caveats) within jurisdictions over time but are not comparable across jurisdictions</w:t>
            </w:r>
          </w:p>
          <w:p w:rsidR="00DD3AC7" w:rsidRPr="00F07674" w:rsidRDefault="00F07674" w:rsidP="00F07674">
            <w:pPr>
              <w:pStyle w:val="BoxListBullet"/>
              <w:rPr>
                <w:rStyle w:val="DraftingNote"/>
                <w:b w:val="0"/>
                <w:color w:val="000000" w:themeColor="text1"/>
                <w:sz w:val="20"/>
              </w:rPr>
            </w:pPr>
            <w:r w:rsidRPr="00F07674">
              <w:rPr>
                <w:color w:val="000000" w:themeColor="text1"/>
              </w:rPr>
              <w:t>complete (subject to caveats) for the current reporting period. All required 2015</w:t>
            </w:r>
            <w:r w:rsidRPr="00F07674">
              <w:rPr>
                <w:color w:val="000000" w:themeColor="text1"/>
              </w:rPr>
              <w:noBreakHyphen/>
              <w:t>16 data are available for all jurisdictions.</w:t>
            </w:r>
          </w:p>
        </w:tc>
      </w:tr>
      <w:tr w:rsidR="00DD3AC7" w:rsidTr="00CF43AE">
        <w:tc>
          <w:tcPr>
            <w:tcW w:w="8771" w:type="dxa"/>
            <w:tcBorders>
              <w:top w:val="nil"/>
              <w:left w:val="nil"/>
              <w:bottom w:val="single" w:sz="6" w:space="0" w:color="78A22F"/>
              <w:right w:val="nil"/>
            </w:tcBorders>
            <w:shd w:val="clear" w:color="auto" w:fill="F2F2F2"/>
          </w:tcPr>
          <w:p w:rsidR="00DD3AC7" w:rsidRPr="00F07674" w:rsidRDefault="00DD3AC7">
            <w:pPr>
              <w:pStyle w:val="Box"/>
              <w:spacing w:before="0" w:line="120" w:lineRule="exact"/>
              <w:rPr>
                <w:color w:val="000000" w:themeColor="text1"/>
              </w:rPr>
            </w:pPr>
          </w:p>
        </w:tc>
      </w:tr>
      <w:tr w:rsidR="00DD3AC7" w:rsidRPr="000863A5" w:rsidTr="00CF43AE">
        <w:tc>
          <w:tcPr>
            <w:tcW w:w="8771" w:type="dxa"/>
            <w:tcBorders>
              <w:top w:val="single" w:sz="6" w:space="0" w:color="78A22F"/>
              <w:left w:val="nil"/>
              <w:bottom w:val="nil"/>
              <w:right w:val="nil"/>
            </w:tcBorders>
          </w:tcPr>
          <w:p w:rsidR="00DD3AC7" w:rsidRPr="00626D32" w:rsidRDefault="00DD3AC7" w:rsidP="00CF43AE">
            <w:pPr>
              <w:pStyle w:val="BoxSpaceBelow"/>
            </w:pPr>
          </w:p>
        </w:tc>
      </w:tr>
    </w:tbl>
    <w:p w:rsidR="00117B3B" w:rsidRPr="00DA5C22" w:rsidRDefault="00117B3B" w:rsidP="00117B3B">
      <w:pPr>
        <w:pStyle w:val="Heading5"/>
      </w:pPr>
      <w:r w:rsidRPr="00DA5C22">
        <w:t xml:space="preserve">Response times to structure fires — </w:t>
      </w:r>
      <w:proofErr w:type="spellStart"/>
      <w:r w:rsidRPr="00DA5C22">
        <w:t>state</w:t>
      </w:r>
      <w:r>
        <w:noBreakHyphen/>
      </w:r>
      <w:r w:rsidRPr="00DA5C22">
        <w:t>wide</w:t>
      </w:r>
      <w:proofErr w:type="spellEnd"/>
    </w:p>
    <w:p w:rsidR="00117B3B" w:rsidRDefault="00117B3B" w:rsidP="00117B3B">
      <w:pPr>
        <w:pStyle w:val="BodyText"/>
      </w:pPr>
      <w:r>
        <w:t>Nationally in 201</w:t>
      </w:r>
      <w:r w:rsidR="004B00B9">
        <w:t>5</w:t>
      </w:r>
      <w:r>
        <w:noBreakHyphen/>
        <w:t>1</w:t>
      </w:r>
      <w:r w:rsidR="004B00B9">
        <w:t>6</w:t>
      </w:r>
      <w:r>
        <w:t>, the time within which 90 </w:t>
      </w:r>
      <w:r w:rsidRPr="00DA5C22">
        <w:t xml:space="preserve">per cent of the first responding fire </w:t>
      </w:r>
      <w:r>
        <w:t xml:space="preserve">resources </w:t>
      </w:r>
      <w:r w:rsidRPr="00DA5C22">
        <w:t>arriv</w:t>
      </w:r>
      <w:r>
        <w:t>ed</w:t>
      </w:r>
      <w:r w:rsidRPr="00DA5C22">
        <w:t xml:space="preserve"> at the scene of a structure fire (including call taking time) varie</w:t>
      </w:r>
      <w:r>
        <w:t xml:space="preserve">d </w:t>
      </w:r>
      <w:r w:rsidRPr="00DA5C22">
        <w:t xml:space="preserve">from </w:t>
      </w:r>
      <w:r w:rsidR="00305254">
        <w:t xml:space="preserve">10.2 </w:t>
      </w:r>
      <w:r w:rsidRPr="00DA5C22">
        <w:t xml:space="preserve">minutes to </w:t>
      </w:r>
      <w:r w:rsidR="00305254">
        <w:t xml:space="preserve">17.2 </w:t>
      </w:r>
      <w:r w:rsidRPr="00DA5C22">
        <w:t>minutes across jurisdictions (figure</w:t>
      </w:r>
      <w:r>
        <w:t> 9.</w:t>
      </w:r>
      <w:r w:rsidR="003B49C5">
        <w:t>5</w:t>
      </w:r>
      <w:r w:rsidR="002E4FD4">
        <w:t>).</w:t>
      </w:r>
    </w:p>
    <w:p w:rsidR="002E4FD4" w:rsidRDefault="002E4FD4">
      <w:pPr>
        <w:rPr>
          <w:szCs w:val="20"/>
        </w:rPr>
      </w:pPr>
      <w:r>
        <w:br w:type="page"/>
      </w:r>
    </w:p>
    <w:p w:rsidR="00117B3B" w:rsidRDefault="00117B3B" w:rsidP="00117B3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17B3B" w:rsidTr="0010485A">
        <w:tc>
          <w:tcPr>
            <w:tcW w:w="8771" w:type="dxa"/>
            <w:tcBorders>
              <w:top w:val="single" w:sz="6" w:space="0" w:color="78A22F"/>
              <w:left w:val="nil"/>
              <w:bottom w:val="nil"/>
              <w:right w:val="nil"/>
            </w:tcBorders>
            <w:shd w:val="clear" w:color="auto" w:fill="auto"/>
          </w:tcPr>
          <w:p w:rsidR="00A67E8D" w:rsidRPr="00A67E8D" w:rsidRDefault="00117B3B" w:rsidP="00F062EF">
            <w:pPr>
              <w:pStyle w:val="FigureTitle"/>
              <w:rPr>
                <w:position w:val="6"/>
                <w:sz w:val="18"/>
              </w:rPr>
            </w:pPr>
            <w:r w:rsidRPr="00784A05">
              <w:rPr>
                <w:b w:val="0"/>
              </w:rPr>
              <w:t xml:space="preserve">Figure </w:t>
            </w:r>
            <w:r>
              <w:rPr>
                <w:b w:val="0"/>
              </w:rPr>
              <w:t>9</w:t>
            </w:r>
            <w:r w:rsidR="00F77AC1">
              <w:rPr>
                <w:b w:val="0"/>
              </w:rPr>
              <w:t>.</w:t>
            </w:r>
            <w:r w:rsidR="003B49C5">
              <w:rPr>
                <w:b w:val="0"/>
              </w:rPr>
              <w:t>5</w:t>
            </w:r>
            <w:r>
              <w:tab/>
            </w:r>
            <w:r w:rsidRPr="00964C77">
              <w:t xml:space="preserve">Response times to structure fires, </w:t>
            </w:r>
            <w:proofErr w:type="spellStart"/>
            <w:r w:rsidRPr="00964C77">
              <w:t>state</w:t>
            </w:r>
            <w:r w:rsidRPr="00964C77">
              <w:noBreakHyphen/>
              <w:t>wide</w:t>
            </w:r>
            <w:proofErr w:type="spellEnd"/>
            <w:r w:rsidRPr="00964C77">
              <w:t xml:space="preserve">, </w:t>
            </w:r>
            <w:r w:rsidR="00F77AC1">
              <w:br/>
              <w:t xml:space="preserve">2015-16, </w:t>
            </w:r>
            <w:r w:rsidRPr="00964C77">
              <w:t>90th percentile</w:t>
            </w:r>
            <w:r>
              <w:rPr>
                <w:rStyle w:val="NoteLabel"/>
                <w:b/>
              </w:rPr>
              <w:t>a, b</w:t>
            </w:r>
          </w:p>
        </w:tc>
      </w:tr>
      <w:tr w:rsidR="00117B3B" w:rsidTr="0010485A">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117B3B" w:rsidRPr="007D39E0" w:rsidTr="00117B3B">
              <w:trPr>
                <w:jc w:val="center"/>
              </w:trPr>
              <w:tc>
                <w:tcPr>
                  <w:tcW w:w="5000" w:type="pct"/>
                  <w:tcBorders>
                    <w:top w:val="nil"/>
                    <w:bottom w:val="nil"/>
                  </w:tcBorders>
                </w:tcPr>
                <w:p w:rsidR="00BC5DBD" w:rsidRPr="007D39E0" w:rsidRDefault="00BC5DBD" w:rsidP="00C07E7D">
                  <w:pPr>
                    <w:pStyle w:val="Figure"/>
                    <w:rPr>
                      <w:rFonts w:asciiTheme="minorHAnsi" w:hAnsiTheme="minorHAnsi" w:cstheme="minorHAnsi"/>
                      <w:b/>
                      <w:sz w:val="20"/>
                    </w:rPr>
                  </w:pPr>
                  <w:r w:rsidRPr="007D39E0">
                    <w:rPr>
                      <w:rFonts w:asciiTheme="minorHAnsi" w:hAnsiTheme="minorHAnsi" w:cstheme="minorHAnsi"/>
                      <w:b/>
                      <w:sz w:val="20"/>
                    </w:rPr>
                    <w:t>Including call taking time</w:t>
                  </w:r>
                </w:p>
                <w:p w:rsidR="00C07E7D" w:rsidRPr="007D39E0" w:rsidRDefault="00920BE8" w:rsidP="00D27389">
                  <w:pPr>
                    <w:pStyle w:val="Figure"/>
                  </w:pPr>
                  <w:r>
                    <w:rPr>
                      <w:noProof/>
                    </w:rPr>
                    <w:drawing>
                      <wp:inline distT="0" distB="0" distL="0" distR="0" wp14:anchorId="1FD3D440" wp14:editId="1C824DAE">
                        <wp:extent cx="5362575" cy="2686050"/>
                        <wp:effectExtent l="0" t="0" r="9525" b="0"/>
                        <wp:docPr id="6" name="Picture 6" descr="Figure 9.5 Response times to structure fires, state-wide, 2015-16, 90th percentile, Including call taking tim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62575" cy="2686050"/>
                                </a:xfrm>
                                <a:prstGeom prst="rect">
                                  <a:avLst/>
                                </a:prstGeom>
                                <a:noFill/>
                                <a:ln>
                                  <a:noFill/>
                                </a:ln>
                              </pic:spPr>
                            </pic:pic>
                          </a:graphicData>
                        </a:graphic>
                      </wp:inline>
                    </w:drawing>
                  </w:r>
                </w:p>
              </w:tc>
            </w:tr>
          </w:tbl>
          <w:p w:rsidR="00117B3B" w:rsidRDefault="00117B3B" w:rsidP="00117B3B">
            <w:pPr>
              <w:pStyle w:val="Figure"/>
            </w:pPr>
          </w:p>
        </w:tc>
      </w:tr>
      <w:tr w:rsidR="009C1466" w:rsidTr="0010485A">
        <w:tc>
          <w:tcPr>
            <w:tcW w:w="8771" w:type="dxa"/>
            <w:tcBorders>
              <w:top w:val="nil"/>
              <w:left w:val="nil"/>
              <w:bottom w:val="nil"/>
              <w:right w:val="nil"/>
            </w:tcBorders>
            <w:shd w:val="clear" w:color="auto" w:fill="auto"/>
            <w:tcMar>
              <w:top w:w="28" w:type="dxa"/>
              <w:bottom w:w="28" w:type="dxa"/>
            </w:tcMar>
          </w:tcPr>
          <w:p w:rsidR="009C1466" w:rsidRDefault="009C1466" w:rsidP="00467FD1">
            <w:pPr>
              <w:pStyle w:val="Figure"/>
            </w:pPr>
            <w:r>
              <w:rPr>
                <w:rFonts w:asciiTheme="minorHAnsi" w:hAnsiTheme="minorHAnsi" w:cstheme="minorHAnsi"/>
                <w:b/>
                <w:sz w:val="20"/>
              </w:rPr>
              <w:t>Excluding call taking time</w:t>
            </w:r>
          </w:p>
          <w:p w:rsidR="00467FD1" w:rsidRPr="009C1466" w:rsidRDefault="00920BE8" w:rsidP="00467FD1">
            <w:pPr>
              <w:pStyle w:val="Figure"/>
            </w:pPr>
            <w:r>
              <w:rPr>
                <w:noProof/>
              </w:rPr>
              <w:drawing>
                <wp:inline distT="0" distB="0" distL="0" distR="0" wp14:anchorId="4DEAC90D" wp14:editId="432FE472">
                  <wp:extent cx="5362575" cy="2676525"/>
                  <wp:effectExtent l="0" t="0" r="9525" b="9525"/>
                  <wp:docPr id="8" name="Picture 8" descr="Figure 9.5 Response times to structure fires, state-wide, 2015-16, 90th percentile, Excluding call taking tim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62575" cy="2676525"/>
                          </a:xfrm>
                          <a:prstGeom prst="rect">
                            <a:avLst/>
                          </a:prstGeom>
                          <a:noFill/>
                          <a:ln>
                            <a:noFill/>
                          </a:ln>
                        </pic:spPr>
                      </pic:pic>
                    </a:graphicData>
                  </a:graphic>
                </wp:inline>
              </w:drawing>
            </w:r>
          </w:p>
        </w:tc>
      </w:tr>
      <w:tr w:rsidR="00117B3B" w:rsidRPr="00176D3F" w:rsidTr="00117B3B">
        <w:tc>
          <w:tcPr>
            <w:tcW w:w="8771" w:type="dxa"/>
            <w:tcBorders>
              <w:top w:val="nil"/>
              <w:left w:val="nil"/>
              <w:bottom w:val="nil"/>
              <w:right w:val="nil"/>
            </w:tcBorders>
            <w:shd w:val="clear" w:color="auto" w:fill="auto"/>
          </w:tcPr>
          <w:p w:rsidR="00117B3B" w:rsidRPr="00176D3F" w:rsidRDefault="00117B3B" w:rsidP="00F062EF">
            <w:pPr>
              <w:pStyle w:val="Note"/>
            </w:pPr>
            <w:r>
              <w:rPr>
                <w:rStyle w:val="NoteLabel"/>
              </w:rPr>
              <w:t>a</w:t>
            </w:r>
            <w:r>
              <w:t xml:space="preserve"> </w:t>
            </w:r>
            <w:r>
              <w:rPr>
                <w:rStyle w:val="NoteLabel"/>
                <w:b w:val="0"/>
                <w:position w:val="0"/>
              </w:rPr>
              <w:t>See box 9.</w:t>
            </w:r>
            <w:r w:rsidR="00370AA8">
              <w:rPr>
                <w:rStyle w:val="NoteLabel"/>
                <w:b w:val="0"/>
                <w:position w:val="0"/>
              </w:rPr>
              <w:t>6</w:t>
            </w:r>
            <w:r>
              <w:rPr>
                <w:rStyle w:val="NoteLabel"/>
                <w:b w:val="0"/>
                <w:position w:val="0"/>
              </w:rPr>
              <w:t xml:space="preserve"> and tables </w:t>
            </w:r>
            <w:proofErr w:type="spellStart"/>
            <w:r>
              <w:rPr>
                <w:rStyle w:val="NoteLabel"/>
                <w:b w:val="0"/>
                <w:position w:val="0"/>
              </w:rPr>
              <w:t>9A.26</w:t>
            </w:r>
            <w:proofErr w:type="spellEnd"/>
            <w:r>
              <w:rPr>
                <w:rStyle w:val="NoteLabel"/>
                <w:b w:val="0"/>
                <w:position w:val="0"/>
              </w:rPr>
              <w:t xml:space="preserve">–27 </w:t>
            </w:r>
            <w:r w:rsidRPr="009B4B17">
              <w:t>for detailed definitions, footnotes and caveats.</w:t>
            </w:r>
            <w:r>
              <w:rPr>
                <w:rStyle w:val="NoteLabel"/>
              </w:rPr>
              <w:t>b </w:t>
            </w:r>
            <w:r w:rsidR="00F062EF">
              <w:t xml:space="preserve">SA </w:t>
            </w:r>
            <w:r>
              <w:t>data including call taking time are not available prior to 2014</w:t>
            </w:r>
            <w:r>
              <w:noBreakHyphen/>
              <w:t>15.</w:t>
            </w:r>
          </w:p>
        </w:tc>
      </w:tr>
      <w:tr w:rsidR="00117B3B" w:rsidRPr="00176D3F" w:rsidTr="00117B3B">
        <w:tc>
          <w:tcPr>
            <w:tcW w:w="8771" w:type="dxa"/>
            <w:tcBorders>
              <w:top w:val="nil"/>
              <w:left w:val="nil"/>
              <w:bottom w:val="nil"/>
              <w:right w:val="nil"/>
            </w:tcBorders>
            <w:shd w:val="clear" w:color="auto" w:fill="auto"/>
          </w:tcPr>
          <w:p w:rsidR="00117B3B" w:rsidRPr="00176D3F" w:rsidRDefault="00117B3B" w:rsidP="00117B3B">
            <w:pPr>
              <w:pStyle w:val="Source"/>
            </w:pPr>
            <w:r>
              <w:rPr>
                <w:i/>
              </w:rPr>
              <w:t>S</w:t>
            </w:r>
            <w:r w:rsidRPr="00784A05">
              <w:rPr>
                <w:i/>
              </w:rPr>
              <w:t>ource</w:t>
            </w:r>
            <w:r w:rsidRPr="00176D3F">
              <w:t xml:space="preserve">: </w:t>
            </w:r>
            <w:r w:rsidRPr="002605A8">
              <w:t>State and Territory governments (unpublished); tables </w:t>
            </w:r>
            <w:proofErr w:type="spellStart"/>
            <w:r>
              <w:t>9A.26</w:t>
            </w:r>
            <w:proofErr w:type="spellEnd"/>
            <w:r>
              <w:t>–27</w:t>
            </w:r>
            <w:r w:rsidRPr="002605A8">
              <w:t>.</w:t>
            </w:r>
          </w:p>
        </w:tc>
      </w:tr>
      <w:tr w:rsidR="00117B3B" w:rsidTr="00117B3B">
        <w:tc>
          <w:tcPr>
            <w:tcW w:w="8771" w:type="dxa"/>
            <w:tcBorders>
              <w:top w:val="nil"/>
              <w:left w:val="nil"/>
              <w:bottom w:val="single" w:sz="6" w:space="0" w:color="78A22F"/>
              <w:right w:val="nil"/>
            </w:tcBorders>
            <w:shd w:val="clear" w:color="auto" w:fill="auto"/>
          </w:tcPr>
          <w:p w:rsidR="00117B3B" w:rsidRDefault="00117B3B" w:rsidP="00117B3B">
            <w:pPr>
              <w:pStyle w:val="Figurespace"/>
            </w:pPr>
          </w:p>
        </w:tc>
      </w:tr>
      <w:tr w:rsidR="00117B3B" w:rsidRPr="000863A5" w:rsidTr="00117B3B">
        <w:tc>
          <w:tcPr>
            <w:tcW w:w="8771" w:type="dxa"/>
            <w:tcBorders>
              <w:top w:val="single" w:sz="6" w:space="0" w:color="78A22F"/>
              <w:left w:val="nil"/>
              <w:bottom w:val="nil"/>
              <w:right w:val="nil"/>
            </w:tcBorders>
          </w:tcPr>
          <w:p w:rsidR="00117B3B" w:rsidRPr="00626D32" w:rsidRDefault="00117B3B" w:rsidP="00117B3B">
            <w:pPr>
              <w:pStyle w:val="BoxSpaceBelow"/>
            </w:pPr>
          </w:p>
        </w:tc>
      </w:tr>
    </w:tbl>
    <w:p w:rsidR="00117B3B" w:rsidRPr="001E7A69" w:rsidRDefault="00117B3B" w:rsidP="00117B3B">
      <w:pPr>
        <w:pStyle w:val="Heading5"/>
      </w:pPr>
      <w:r w:rsidRPr="001E7A69">
        <w:lastRenderedPageBreak/>
        <w:t xml:space="preserve">Response times to structure fires — </w:t>
      </w:r>
      <w:r>
        <w:t>capital city</w:t>
      </w:r>
    </w:p>
    <w:p w:rsidR="00117B3B" w:rsidRDefault="00117B3B" w:rsidP="00117B3B">
      <w:pPr>
        <w:pStyle w:val="BodyText"/>
      </w:pPr>
      <w:r w:rsidRPr="0054109B">
        <w:t xml:space="preserve">Response times </w:t>
      </w:r>
      <w:r>
        <w:t xml:space="preserve">in capital </w:t>
      </w:r>
      <w:r w:rsidR="00830F77">
        <w:t>cities are lower than the state–</w:t>
      </w:r>
      <w:r>
        <w:t xml:space="preserve">wide responses for all jurisdictions. </w:t>
      </w:r>
      <w:r w:rsidRPr="0054109B">
        <w:t xml:space="preserve">The time within which 90 per cent of the first responding fire appliances arrive at the scene of a structure fire </w:t>
      </w:r>
      <w:r>
        <w:t xml:space="preserve">(including call taking time) within capital cities </w:t>
      </w:r>
      <w:r w:rsidRPr="0054109B">
        <w:t xml:space="preserve">ranged </w:t>
      </w:r>
      <w:r w:rsidRPr="001E7A69">
        <w:t>across</w:t>
      </w:r>
      <w:r w:rsidRPr="0054109B">
        <w:t xml:space="preserve"> jurisdictions from </w:t>
      </w:r>
      <w:r w:rsidR="00853DC3">
        <w:t>9.1</w:t>
      </w:r>
      <w:r w:rsidR="00305254">
        <w:t> </w:t>
      </w:r>
      <w:r w:rsidRPr="00446594">
        <w:t>minutes</w:t>
      </w:r>
      <w:r w:rsidRPr="0054109B">
        <w:t xml:space="preserve"> to</w:t>
      </w:r>
      <w:r>
        <w:t xml:space="preserve"> </w:t>
      </w:r>
      <w:r w:rsidR="00305254">
        <w:t>1</w:t>
      </w:r>
      <w:r w:rsidR="0085370E">
        <w:t>7.8</w:t>
      </w:r>
      <w:r w:rsidRPr="0054109B">
        <w:t xml:space="preserve"> minutes </w:t>
      </w:r>
      <w:r w:rsidR="0061657D">
        <w:t xml:space="preserve">in 2015-16 </w:t>
      </w:r>
      <w:r w:rsidRPr="0054109B">
        <w:t>(</w:t>
      </w:r>
      <w:r w:rsidR="00604A89">
        <w:t>figure 9.</w:t>
      </w:r>
      <w:r w:rsidR="007A21AC">
        <w:t>6</w:t>
      </w:r>
      <w:r w:rsidRPr="0054109B">
        <w:t>)</w:t>
      </w:r>
      <w:r w:rsidRPr="00E61F0B">
        <w:t>.</w:t>
      </w:r>
    </w:p>
    <w:p w:rsidR="00117B3B" w:rsidRDefault="00117B3B" w:rsidP="00117B3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17B3B" w:rsidTr="00030330">
        <w:tc>
          <w:tcPr>
            <w:tcW w:w="8771" w:type="dxa"/>
            <w:tcBorders>
              <w:top w:val="single" w:sz="6" w:space="0" w:color="78A22F"/>
              <w:left w:val="nil"/>
              <w:bottom w:val="nil"/>
              <w:right w:val="nil"/>
            </w:tcBorders>
            <w:shd w:val="clear" w:color="auto" w:fill="auto"/>
          </w:tcPr>
          <w:p w:rsidR="00117B3B" w:rsidRPr="00176D3F" w:rsidRDefault="00117B3B" w:rsidP="00567A77">
            <w:pPr>
              <w:pStyle w:val="FigureTitle"/>
            </w:pPr>
            <w:r w:rsidRPr="00784A05">
              <w:rPr>
                <w:b w:val="0"/>
              </w:rPr>
              <w:t xml:space="preserve">Figure </w:t>
            </w:r>
            <w:r>
              <w:rPr>
                <w:b w:val="0"/>
              </w:rPr>
              <w:t>9</w:t>
            </w:r>
            <w:r w:rsidR="00604A89">
              <w:rPr>
                <w:b w:val="0"/>
              </w:rPr>
              <w:t>.</w:t>
            </w:r>
            <w:r w:rsidR="007A21AC">
              <w:rPr>
                <w:b w:val="0"/>
              </w:rPr>
              <w:t>6</w:t>
            </w:r>
            <w:r>
              <w:tab/>
            </w:r>
            <w:r w:rsidRPr="002605A8">
              <w:t xml:space="preserve">Response times to structure fires, capital cities, </w:t>
            </w:r>
            <w:r>
              <w:t>201</w:t>
            </w:r>
            <w:r w:rsidR="00604A89">
              <w:t>5</w:t>
            </w:r>
            <w:r>
              <w:noBreakHyphen/>
              <w:t>1</w:t>
            </w:r>
            <w:r w:rsidR="00604A89">
              <w:t>6</w:t>
            </w:r>
            <w:r w:rsidRPr="002605A8">
              <w:t>, 90th percentile</w:t>
            </w:r>
            <w:r>
              <w:rPr>
                <w:rStyle w:val="NoteLabel"/>
                <w:b/>
              </w:rPr>
              <w:t>a</w:t>
            </w:r>
            <w:r w:rsidR="00567A77">
              <w:rPr>
                <w:rStyle w:val="NoteLabel"/>
                <w:b/>
              </w:rPr>
              <w:t xml:space="preserve">, </w:t>
            </w:r>
            <w:r w:rsidR="0000706D">
              <w:rPr>
                <w:rStyle w:val="NoteLabel"/>
                <w:b/>
              </w:rPr>
              <w:t>b</w:t>
            </w:r>
            <w:r w:rsidR="00567A77">
              <w:rPr>
                <w:rStyle w:val="NoteLabel"/>
                <w:b/>
              </w:rPr>
              <w:t xml:space="preserve">, </w:t>
            </w:r>
            <w:r w:rsidR="0000706D">
              <w:rPr>
                <w:rStyle w:val="NoteLabel"/>
                <w:b/>
              </w:rPr>
              <w:t>c</w:t>
            </w:r>
          </w:p>
        </w:tc>
      </w:tr>
      <w:tr w:rsidR="00117B3B" w:rsidTr="00030330">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117B3B" w:rsidTr="00117B3B">
              <w:trPr>
                <w:jc w:val="center"/>
              </w:trPr>
              <w:tc>
                <w:tcPr>
                  <w:tcW w:w="5000" w:type="pct"/>
                  <w:tcBorders>
                    <w:top w:val="nil"/>
                    <w:bottom w:val="nil"/>
                  </w:tcBorders>
                </w:tcPr>
                <w:p w:rsidR="00117B3B" w:rsidRPr="007D39E0" w:rsidRDefault="00920BE8" w:rsidP="00A67E8D">
                  <w:pPr>
                    <w:pStyle w:val="Figure"/>
                    <w:rPr>
                      <w:b/>
                    </w:rPr>
                  </w:pPr>
                  <w:r>
                    <w:rPr>
                      <w:b/>
                      <w:noProof/>
                    </w:rPr>
                    <w:drawing>
                      <wp:inline distT="0" distB="0" distL="0" distR="0" wp14:anchorId="1F5BB266" wp14:editId="1BD7A363">
                        <wp:extent cx="5362575" cy="2676525"/>
                        <wp:effectExtent l="0" t="0" r="9525" b="9525"/>
                        <wp:docPr id="9" name="Picture 9" descr="Figure 9.6 Response times to structure fires, capital cities, 2015-16, 90th percentil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62575" cy="2676525"/>
                                </a:xfrm>
                                <a:prstGeom prst="rect">
                                  <a:avLst/>
                                </a:prstGeom>
                                <a:noFill/>
                                <a:ln>
                                  <a:noFill/>
                                </a:ln>
                              </pic:spPr>
                            </pic:pic>
                          </a:graphicData>
                        </a:graphic>
                      </wp:inline>
                    </w:drawing>
                  </w:r>
                </w:p>
              </w:tc>
            </w:tr>
          </w:tbl>
          <w:p w:rsidR="00117B3B" w:rsidRDefault="00117B3B" w:rsidP="00117B3B">
            <w:pPr>
              <w:pStyle w:val="Figure"/>
            </w:pPr>
          </w:p>
        </w:tc>
      </w:tr>
      <w:tr w:rsidR="00117B3B" w:rsidRPr="00176D3F" w:rsidTr="00117B3B">
        <w:tc>
          <w:tcPr>
            <w:tcW w:w="8771" w:type="dxa"/>
            <w:tcBorders>
              <w:top w:val="nil"/>
              <w:left w:val="nil"/>
              <w:bottom w:val="nil"/>
              <w:right w:val="nil"/>
            </w:tcBorders>
            <w:shd w:val="clear" w:color="auto" w:fill="auto"/>
          </w:tcPr>
          <w:p w:rsidR="00117B3B" w:rsidRPr="00176D3F" w:rsidRDefault="00117B3B" w:rsidP="00567A77">
            <w:pPr>
              <w:pStyle w:val="Note"/>
            </w:pPr>
            <w:r>
              <w:rPr>
                <w:rStyle w:val="NoteLabel"/>
              </w:rPr>
              <w:t>a</w:t>
            </w:r>
            <w:r>
              <w:rPr>
                <w:rStyle w:val="NoteLabel"/>
                <w:b w:val="0"/>
                <w:position w:val="0"/>
              </w:rPr>
              <w:t xml:space="preserve"> See box 9.</w:t>
            </w:r>
            <w:r w:rsidR="00370AA8">
              <w:rPr>
                <w:rStyle w:val="NoteLabel"/>
                <w:b w:val="0"/>
                <w:position w:val="0"/>
              </w:rPr>
              <w:t>6</w:t>
            </w:r>
            <w:r>
              <w:rPr>
                <w:rStyle w:val="NoteLabel"/>
                <w:b w:val="0"/>
                <w:position w:val="0"/>
              </w:rPr>
              <w:t xml:space="preserve"> and tables </w:t>
            </w:r>
            <w:proofErr w:type="spellStart"/>
            <w:r>
              <w:rPr>
                <w:rStyle w:val="NoteLabel"/>
                <w:b w:val="0"/>
                <w:position w:val="0"/>
              </w:rPr>
              <w:t>9A.26</w:t>
            </w:r>
            <w:proofErr w:type="spellEnd"/>
            <w:r>
              <w:rPr>
                <w:rStyle w:val="NoteLabel"/>
                <w:b w:val="0"/>
                <w:position w:val="0"/>
              </w:rPr>
              <w:t xml:space="preserve">–27 </w:t>
            </w:r>
            <w:r w:rsidRPr="00A61248">
              <w:t>for detailed definitions, footnotes and caveats</w:t>
            </w:r>
            <w:r w:rsidR="0000706D">
              <w:t xml:space="preserve">. </w:t>
            </w:r>
            <w:r w:rsidR="0000706D" w:rsidRPr="00567A77">
              <w:rPr>
                <w:rStyle w:val="NoteLabel"/>
              </w:rPr>
              <w:t>b</w:t>
            </w:r>
            <w:r w:rsidR="00567A77">
              <w:rPr>
                <w:rStyle w:val="NoteLabel"/>
              </w:rPr>
              <w:t> </w:t>
            </w:r>
            <w:r w:rsidR="0000706D">
              <w:rPr>
                <w:rStyle w:val="NoteLabel"/>
                <w:b w:val="0"/>
                <w:position w:val="0"/>
              </w:rPr>
              <w:t>Data for Tas</w:t>
            </w:r>
            <w:r w:rsidR="00276406">
              <w:rPr>
                <w:rStyle w:val="NoteLabel"/>
                <w:b w:val="0"/>
                <w:position w:val="0"/>
              </w:rPr>
              <w:t>mania</w:t>
            </w:r>
            <w:r w:rsidR="0000706D">
              <w:rPr>
                <w:rStyle w:val="NoteLabel"/>
                <w:b w:val="0"/>
                <w:position w:val="0"/>
              </w:rPr>
              <w:t xml:space="preserve"> are </w:t>
            </w:r>
            <w:r w:rsidR="000E3637">
              <w:rPr>
                <w:rStyle w:val="NoteLabel"/>
                <w:b w:val="0"/>
                <w:position w:val="0"/>
              </w:rPr>
              <w:t xml:space="preserve">for </w:t>
            </w:r>
            <w:r w:rsidR="0000706D">
              <w:rPr>
                <w:rStyle w:val="NoteLabel"/>
                <w:b w:val="0"/>
                <w:position w:val="0"/>
              </w:rPr>
              <w:t>Inner regional</w:t>
            </w:r>
            <w:r w:rsidR="000E3637">
              <w:rPr>
                <w:rStyle w:val="NoteLabel"/>
                <w:b w:val="0"/>
                <w:position w:val="0"/>
              </w:rPr>
              <w:t xml:space="preserve"> areas. </w:t>
            </w:r>
            <w:r w:rsidR="0000706D" w:rsidRPr="00567A77">
              <w:rPr>
                <w:rStyle w:val="NoteLabel"/>
              </w:rPr>
              <w:t>c</w:t>
            </w:r>
            <w:r w:rsidR="00567A77">
              <w:rPr>
                <w:rStyle w:val="NoteLabel"/>
              </w:rPr>
              <w:t> </w:t>
            </w:r>
            <w:r w:rsidR="0000706D">
              <w:rPr>
                <w:rStyle w:val="NoteLabel"/>
                <w:b w:val="0"/>
                <w:position w:val="0"/>
              </w:rPr>
              <w:t xml:space="preserve">Data for NT are for Outer regional areas. See box 9.6 and tables </w:t>
            </w:r>
            <w:proofErr w:type="spellStart"/>
            <w:r w:rsidR="0000706D">
              <w:rPr>
                <w:rStyle w:val="NoteLabel"/>
                <w:b w:val="0"/>
                <w:position w:val="0"/>
              </w:rPr>
              <w:t>9A.26</w:t>
            </w:r>
            <w:proofErr w:type="spellEnd"/>
            <w:r w:rsidR="0000706D">
              <w:rPr>
                <w:rStyle w:val="NoteLabel"/>
                <w:b w:val="0"/>
                <w:position w:val="0"/>
              </w:rPr>
              <w:t xml:space="preserve">–27 </w:t>
            </w:r>
            <w:r w:rsidR="0000706D" w:rsidRPr="00A61248">
              <w:t>for detailed definitions, footnotes and caveats</w:t>
            </w:r>
          </w:p>
        </w:tc>
      </w:tr>
      <w:tr w:rsidR="00117B3B" w:rsidRPr="00176D3F" w:rsidTr="00117B3B">
        <w:tc>
          <w:tcPr>
            <w:tcW w:w="8771" w:type="dxa"/>
            <w:tcBorders>
              <w:top w:val="nil"/>
              <w:left w:val="nil"/>
              <w:bottom w:val="nil"/>
              <w:right w:val="nil"/>
            </w:tcBorders>
            <w:shd w:val="clear" w:color="auto" w:fill="auto"/>
          </w:tcPr>
          <w:p w:rsidR="00117B3B" w:rsidRPr="00176D3F" w:rsidRDefault="00117B3B" w:rsidP="00117B3B">
            <w:pPr>
              <w:pStyle w:val="Source"/>
            </w:pPr>
            <w:r>
              <w:rPr>
                <w:i/>
              </w:rPr>
              <w:t>S</w:t>
            </w:r>
            <w:r w:rsidRPr="00784A05">
              <w:rPr>
                <w:i/>
              </w:rPr>
              <w:t>ource</w:t>
            </w:r>
            <w:r w:rsidRPr="00176D3F">
              <w:t xml:space="preserve">: </w:t>
            </w:r>
            <w:r w:rsidRPr="002605A8">
              <w:t>State and Territory governments (unpublished); tables </w:t>
            </w:r>
            <w:proofErr w:type="spellStart"/>
            <w:r>
              <w:t>9A.26</w:t>
            </w:r>
            <w:proofErr w:type="spellEnd"/>
            <w:r>
              <w:t>–27</w:t>
            </w:r>
            <w:r w:rsidRPr="002605A8">
              <w:t>.</w:t>
            </w:r>
          </w:p>
        </w:tc>
      </w:tr>
      <w:tr w:rsidR="00117B3B" w:rsidTr="00117B3B">
        <w:tc>
          <w:tcPr>
            <w:tcW w:w="8771" w:type="dxa"/>
            <w:tcBorders>
              <w:top w:val="nil"/>
              <w:left w:val="nil"/>
              <w:bottom w:val="single" w:sz="6" w:space="0" w:color="78A22F"/>
              <w:right w:val="nil"/>
            </w:tcBorders>
            <w:shd w:val="clear" w:color="auto" w:fill="auto"/>
          </w:tcPr>
          <w:p w:rsidR="00117B3B" w:rsidRDefault="00117B3B" w:rsidP="00117B3B">
            <w:pPr>
              <w:pStyle w:val="Figurespace"/>
            </w:pPr>
          </w:p>
        </w:tc>
      </w:tr>
      <w:tr w:rsidR="00117B3B" w:rsidRPr="000863A5" w:rsidTr="00117B3B">
        <w:tc>
          <w:tcPr>
            <w:tcW w:w="8771" w:type="dxa"/>
            <w:tcBorders>
              <w:top w:val="single" w:sz="6" w:space="0" w:color="78A22F"/>
              <w:left w:val="nil"/>
              <w:bottom w:val="nil"/>
              <w:right w:val="nil"/>
            </w:tcBorders>
          </w:tcPr>
          <w:p w:rsidR="00117B3B" w:rsidRPr="00626D32" w:rsidRDefault="00117B3B" w:rsidP="00117B3B">
            <w:pPr>
              <w:pStyle w:val="BoxSpaceBelow"/>
            </w:pPr>
          </w:p>
        </w:tc>
      </w:tr>
    </w:tbl>
    <w:p w:rsidR="00117B3B" w:rsidRPr="005D59FF" w:rsidRDefault="00117B3B" w:rsidP="005D59FF">
      <w:pPr>
        <w:pStyle w:val="Heading5"/>
      </w:pPr>
      <w:r w:rsidRPr="005D59FF">
        <w:t>Response times to structure fires — remoteness areas</w:t>
      </w:r>
    </w:p>
    <w:p w:rsidR="00117B3B" w:rsidRDefault="00117B3B" w:rsidP="00117B3B">
      <w:pPr>
        <w:pStyle w:val="BodyText"/>
      </w:pPr>
      <w:r>
        <w:t>R</w:t>
      </w:r>
      <w:r w:rsidRPr="0054109B">
        <w:t>esponse times</w:t>
      </w:r>
      <w:r>
        <w:t xml:space="preserve"> are generally higher for all jurisdictions in regional and remote areas, compared to capital cities (</w:t>
      </w:r>
      <w:r w:rsidRPr="00A349F8">
        <w:t>figure</w:t>
      </w:r>
      <w:r>
        <w:t> 9.</w:t>
      </w:r>
      <w:r w:rsidR="007A21AC">
        <w:t>7).</w:t>
      </w:r>
    </w:p>
    <w:p w:rsidR="0068302C" w:rsidRDefault="0068302C">
      <w:pPr>
        <w:rPr>
          <w:szCs w:val="20"/>
        </w:rPr>
      </w:pPr>
      <w:r>
        <w:br w:type="page"/>
      </w:r>
    </w:p>
    <w:p w:rsidR="00117B3B" w:rsidRDefault="00117B3B" w:rsidP="00117B3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17B3B" w:rsidTr="00117B3B">
        <w:tc>
          <w:tcPr>
            <w:tcW w:w="8771" w:type="dxa"/>
            <w:tcBorders>
              <w:top w:val="single" w:sz="6" w:space="0" w:color="78A22F"/>
              <w:left w:val="nil"/>
              <w:bottom w:val="nil"/>
              <w:right w:val="nil"/>
            </w:tcBorders>
            <w:shd w:val="clear" w:color="auto" w:fill="auto"/>
          </w:tcPr>
          <w:p w:rsidR="00117B3B" w:rsidRPr="00176D3F" w:rsidRDefault="00117B3B" w:rsidP="00567A77">
            <w:pPr>
              <w:pStyle w:val="FigureTitle"/>
            </w:pPr>
            <w:r w:rsidRPr="00784A05">
              <w:rPr>
                <w:b w:val="0"/>
              </w:rPr>
              <w:t xml:space="preserve">Figure </w:t>
            </w:r>
            <w:r>
              <w:rPr>
                <w:b w:val="0"/>
              </w:rPr>
              <w:t>9</w:t>
            </w:r>
            <w:r w:rsidR="00604A89">
              <w:rPr>
                <w:b w:val="0"/>
              </w:rPr>
              <w:t>.</w:t>
            </w:r>
            <w:r w:rsidR="007A21AC">
              <w:rPr>
                <w:b w:val="0"/>
              </w:rPr>
              <w:t>7</w:t>
            </w:r>
            <w:r>
              <w:tab/>
            </w:r>
            <w:r w:rsidRPr="002605A8">
              <w:t xml:space="preserve">Response times to structure fires, regional and remote areas, </w:t>
            </w:r>
            <w:r>
              <w:t>201</w:t>
            </w:r>
            <w:r w:rsidR="00604A89">
              <w:t>5</w:t>
            </w:r>
            <w:r>
              <w:noBreakHyphen/>
              <w:t>1</w:t>
            </w:r>
            <w:r w:rsidR="00604A89">
              <w:t>6</w:t>
            </w:r>
            <w:r w:rsidRPr="002605A8">
              <w:t>, 90th percentile</w:t>
            </w:r>
            <w:r>
              <w:rPr>
                <w:rStyle w:val="NoteLabel"/>
                <w:b/>
              </w:rPr>
              <w:t>a</w:t>
            </w:r>
            <w:r w:rsidR="00567A77">
              <w:rPr>
                <w:rStyle w:val="NoteLabel"/>
                <w:b/>
              </w:rPr>
              <w:t xml:space="preserve">, </w:t>
            </w:r>
            <w:r w:rsidR="00E3543E">
              <w:rPr>
                <w:rStyle w:val="NoteLabel"/>
                <w:b/>
              </w:rPr>
              <w:t>b</w:t>
            </w:r>
            <w:r w:rsidR="00EE13C0">
              <w:rPr>
                <w:rStyle w:val="NoteLabel"/>
                <w:b/>
              </w:rPr>
              <w:t>, c</w:t>
            </w:r>
          </w:p>
        </w:tc>
      </w:tr>
      <w:tr w:rsidR="00117B3B" w:rsidTr="00117B3B">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117B3B" w:rsidTr="00117B3B">
              <w:trPr>
                <w:jc w:val="center"/>
              </w:trPr>
              <w:tc>
                <w:tcPr>
                  <w:tcW w:w="5000" w:type="pct"/>
                  <w:tcBorders>
                    <w:top w:val="nil"/>
                    <w:bottom w:val="nil"/>
                  </w:tcBorders>
                </w:tcPr>
                <w:p w:rsidR="00117B3B" w:rsidRPr="003B2369" w:rsidRDefault="00920BE8" w:rsidP="003B2369">
                  <w:pPr>
                    <w:pStyle w:val="Figure"/>
                  </w:pPr>
                  <w:r>
                    <w:rPr>
                      <w:noProof/>
                    </w:rPr>
                    <w:drawing>
                      <wp:inline distT="0" distB="0" distL="0" distR="0" wp14:anchorId="3AA3C683" wp14:editId="3803563F">
                        <wp:extent cx="5362575" cy="2676525"/>
                        <wp:effectExtent l="0" t="0" r="9525" b="9525"/>
                        <wp:docPr id="10" name="Picture 10" descr="Figure 9.7 Response times to structure fires, regional and remote areas, 2015-16, 90th percentil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62575" cy="2676525"/>
                                </a:xfrm>
                                <a:prstGeom prst="rect">
                                  <a:avLst/>
                                </a:prstGeom>
                                <a:noFill/>
                                <a:ln>
                                  <a:noFill/>
                                </a:ln>
                              </pic:spPr>
                            </pic:pic>
                          </a:graphicData>
                        </a:graphic>
                      </wp:inline>
                    </w:drawing>
                  </w:r>
                </w:p>
              </w:tc>
            </w:tr>
          </w:tbl>
          <w:p w:rsidR="00117B3B" w:rsidRDefault="00117B3B" w:rsidP="00117B3B">
            <w:pPr>
              <w:pStyle w:val="Figure"/>
            </w:pPr>
          </w:p>
        </w:tc>
      </w:tr>
      <w:tr w:rsidR="00117B3B" w:rsidRPr="00176D3F" w:rsidTr="00117B3B">
        <w:tc>
          <w:tcPr>
            <w:tcW w:w="8771" w:type="dxa"/>
            <w:tcBorders>
              <w:top w:val="nil"/>
              <w:left w:val="nil"/>
              <w:bottom w:val="nil"/>
              <w:right w:val="nil"/>
            </w:tcBorders>
            <w:shd w:val="clear" w:color="auto" w:fill="auto"/>
          </w:tcPr>
          <w:p w:rsidR="00117B3B" w:rsidRDefault="00117B3B" w:rsidP="00117B3B">
            <w:pPr>
              <w:pStyle w:val="Note"/>
              <w:rPr>
                <w:rStyle w:val="NoteLabel"/>
              </w:rPr>
            </w:pPr>
            <w:r w:rsidRPr="002605A8">
              <w:rPr>
                <w:rStyle w:val="NoteLabel"/>
                <w:position w:val="0"/>
              </w:rPr>
              <w:t>IR</w:t>
            </w:r>
            <w:r w:rsidRPr="002605A8">
              <w:rPr>
                <w:rStyle w:val="NoteLabel"/>
                <w:b w:val="0"/>
                <w:position w:val="0"/>
              </w:rPr>
              <w:t xml:space="preserve"> = Inner Regional</w:t>
            </w:r>
            <w:r>
              <w:rPr>
                <w:rStyle w:val="NoteLabel"/>
                <w:b w:val="0"/>
                <w:position w:val="0"/>
              </w:rPr>
              <w:t xml:space="preserve"> </w:t>
            </w:r>
            <w:r w:rsidRPr="002605A8">
              <w:rPr>
                <w:rStyle w:val="NoteLabel"/>
                <w:position w:val="0"/>
              </w:rPr>
              <w:t>OR</w:t>
            </w:r>
            <w:r w:rsidRPr="002605A8">
              <w:rPr>
                <w:rStyle w:val="NoteLabel"/>
                <w:b w:val="0"/>
                <w:position w:val="0"/>
              </w:rPr>
              <w:t xml:space="preserve"> = Outer Regional </w:t>
            </w:r>
            <w:r w:rsidRPr="002605A8">
              <w:rPr>
                <w:rStyle w:val="NoteLabel"/>
                <w:position w:val="0"/>
              </w:rPr>
              <w:t>Rem</w:t>
            </w:r>
            <w:r w:rsidRPr="002605A8">
              <w:rPr>
                <w:rStyle w:val="NoteLabel"/>
                <w:b w:val="0"/>
                <w:position w:val="0"/>
              </w:rPr>
              <w:t xml:space="preserve"> = Remote </w:t>
            </w:r>
            <w:r w:rsidRPr="002605A8">
              <w:rPr>
                <w:rStyle w:val="NoteLabel"/>
                <w:position w:val="0"/>
              </w:rPr>
              <w:t>VR</w:t>
            </w:r>
            <w:r w:rsidRPr="002605A8">
              <w:rPr>
                <w:rStyle w:val="NoteLabel"/>
                <w:b w:val="0"/>
                <w:position w:val="0"/>
              </w:rPr>
              <w:t xml:space="preserve"> = Very Remote</w:t>
            </w:r>
          </w:p>
          <w:p w:rsidR="00117B3B" w:rsidRPr="00EE13C0" w:rsidRDefault="00117B3B" w:rsidP="00E3543E">
            <w:pPr>
              <w:pStyle w:val="Note"/>
              <w:rPr>
                <w:rStyle w:val="NoteLabel"/>
              </w:rPr>
            </w:pPr>
            <w:r w:rsidRPr="002605A8">
              <w:rPr>
                <w:rStyle w:val="NoteLabel"/>
              </w:rPr>
              <w:t>a </w:t>
            </w:r>
            <w:r>
              <w:rPr>
                <w:rStyle w:val="NoteLabel"/>
                <w:b w:val="0"/>
                <w:position w:val="0"/>
              </w:rPr>
              <w:t>See box 9.</w:t>
            </w:r>
            <w:r w:rsidR="00370AA8">
              <w:rPr>
                <w:rStyle w:val="NoteLabel"/>
                <w:b w:val="0"/>
                <w:position w:val="0"/>
              </w:rPr>
              <w:t>6</w:t>
            </w:r>
            <w:r>
              <w:rPr>
                <w:rStyle w:val="NoteLabel"/>
                <w:b w:val="0"/>
                <w:position w:val="0"/>
              </w:rPr>
              <w:t xml:space="preserve"> and tables </w:t>
            </w:r>
            <w:proofErr w:type="spellStart"/>
            <w:r>
              <w:rPr>
                <w:rStyle w:val="NoteLabel"/>
                <w:b w:val="0"/>
                <w:position w:val="0"/>
              </w:rPr>
              <w:t>9A.26</w:t>
            </w:r>
            <w:proofErr w:type="spellEnd"/>
            <w:r>
              <w:rPr>
                <w:rStyle w:val="NoteLabel"/>
                <w:b w:val="0"/>
                <w:position w:val="0"/>
              </w:rPr>
              <w:t xml:space="preserve">–27 </w:t>
            </w:r>
            <w:r>
              <w:t xml:space="preserve">for </w:t>
            </w:r>
            <w:r w:rsidRPr="00327D09">
              <w:t>detailed definitions, footnotes and caveats</w:t>
            </w:r>
            <w:r>
              <w:t>.</w:t>
            </w:r>
            <w:r w:rsidR="00E3543E">
              <w:rPr>
                <w:rStyle w:val="NoteLabel"/>
              </w:rPr>
              <w:t>b </w:t>
            </w:r>
            <w:r w:rsidR="00E3543E">
              <w:t>Some geographical areas are not applicable for some jurisdictions.</w:t>
            </w:r>
            <w:r w:rsidR="00EE13C0">
              <w:t xml:space="preserve"> </w:t>
            </w:r>
            <w:r w:rsidR="00EE13C0">
              <w:rPr>
                <w:rStyle w:val="NoteLabel"/>
              </w:rPr>
              <w:t>c </w:t>
            </w:r>
            <w:r w:rsidR="00EE13C0" w:rsidRPr="00C129BA">
              <w:rPr>
                <w:b/>
              </w:rPr>
              <w:t>VR</w:t>
            </w:r>
            <w:r w:rsidR="00EE13C0">
              <w:t xml:space="preserve"> data are not available for SA.</w:t>
            </w:r>
          </w:p>
        </w:tc>
      </w:tr>
      <w:tr w:rsidR="00117B3B" w:rsidRPr="00176D3F" w:rsidTr="00117B3B">
        <w:tc>
          <w:tcPr>
            <w:tcW w:w="8771" w:type="dxa"/>
            <w:tcBorders>
              <w:top w:val="nil"/>
              <w:left w:val="nil"/>
              <w:bottom w:val="nil"/>
              <w:right w:val="nil"/>
            </w:tcBorders>
            <w:shd w:val="clear" w:color="auto" w:fill="auto"/>
          </w:tcPr>
          <w:p w:rsidR="00117B3B" w:rsidRPr="00176D3F" w:rsidRDefault="00117B3B" w:rsidP="00117B3B">
            <w:pPr>
              <w:pStyle w:val="Source"/>
            </w:pPr>
            <w:r>
              <w:rPr>
                <w:i/>
              </w:rPr>
              <w:t>S</w:t>
            </w:r>
            <w:r w:rsidRPr="00784A05">
              <w:rPr>
                <w:i/>
              </w:rPr>
              <w:t>ource</w:t>
            </w:r>
            <w:r w:rsidRPr="00176D3F">
              <w:t xml:space="preserve">: </w:t>
            </w:r>
            <w:r w:rsidRPr="002605A8">
              <w:t>State and Territory governments (unpublished); tables </w:t>
            </w:r>
            <w:proofErr w:type="spellStart"/>
            <w:r>
              <w:t>9A.26</w:t>
            </w:r>
            <w:proofErr w:type="spellEnd"/>
            <w:r>
              <w:t>–27</w:t>
            </w:r>
            <w:r w:rsidRPr="002605A8">
              <w:t>.</w:t>
            </w:r>
          </w:p>
        </w:tc>
      </w:tr>
      <w:tr w:rsidR="00117B3B" w:rsidTr="00117B3B">
        <w:tc>
          <w:tcPr>
            <w:tcW w:w="8771" w:type="dxa"/>
            <w:tcBorders>
              <w:top w:val="nil"/>
              <w:left w:val="nil"/>
              <w:bottom w:val="single" w:sz="6" w:space="0" w:color="78A22F"/>
              <w:right w:val="nil"/>
            </w:tcBorders>
            <w:shd w:val="clear" w:color="auto" w:fill="auto"/>
          </w:tcPr>
          <w:p w:rsidR="00117B3B" w:rsidRDefault="00117B3B" w:rsidP="00117B3B">
            <w:pPr>
              <w:pStyle w:val="Figurespace"/>
            </w:pPr>
          </w:p>
        </w:tc>
      </w:tr>
      <w:tr w:rsidR="00117B3B" w:rsidRPr="000863A5" w:rsidTr="00117B3B">
        <w:tc>
          <w:tcPr>
            <w:tcW w:w="8771" w:type="dxa"/>
            <w:tcBorders>
              <w:top w:val="single" w:sz="6" w:space="0" w:color="78A22F"/>
              <w:left w:val="nil"/>
              <w:bottom w:val="nil"/>
              <w:right w:val="nil"/>
            </w:tcBorders>
          </w:tcPr>
          <w:p w:rsidR="00117B3B" w:rsidRPr="00626D32" w:rsidRDefault="00117B3B" w:rsidP="00117B3B">
            <w:pPr>
              <w:pStyle w:val="BoxSpaceBelow"/>
            </w:pPr>
          </w:p>
        </w:tc>
      </w:tr>
    </w:tbl>
    <w:p w:rsidR="00117B3B" w:rsidRPr="002C5FB5" w:rsidRDefault="00A03E24" w:rsidP="00117B3B">
      <w:pPr>
        <w:pStyle w:val="Heading4"/>
      </w:pPr>
      <w:r>
        <w:t>R</w:t>
      </w:r>
      <w:r w:rsidR="00117B3B" w:rsidRPr="002C5FB5">
        <w:t>ecovery</w:t>
      </w:r>
    </w:p>
    <w:p w:rsidR="00117B3B" w:rsidRPr="00AD1D24" w:rsidRDefault="00117B3B" w:rsidP="00117B3B">
      <w:pPr>
        <w:pStyle w:val="BodyText"/>
        <w:rPr>
          <w:color w:val="000000" w:themeColor="text1"/>
        </w:rPr>
      </w:pPr>
      <w:r w:rsidRPr="00AD1D24">
        <w:rPr>
          <w:color w:val="000000" w:themeColor="text1"/>
        </w:rPr>
        <w:t>Recovery indicators relate to community restoration and to communities’ and fire service organisations’ ability to return to a state of preparedness (box 9.</w:t>
      </w:r>
      <w:r w:rsidR="00BC75D6">
        <w:rPr>
          <w:color w:val="000000" w:themeColor="text1"/>
        </w:rPr>
        <w:t>7</w:t>
      </w:r>
      <w:r w:rsidRPr="00AD1D24">
        <w:rPr>
          <w:color w:val="000000" w:themeColor="text1"/>
        </w:rPr>
        <w:t xml:space="preserve">). </w:t>
      </w:r>
    </w:p>
    <w:p w:rsidR="00117B3B" w:rsidRDefault="00117B3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17B3B" w:rsidTr="00117B3B">
        <w:tc>
          <w:tcPr>
            <w:tcW w:w="8771" w:type="dxa"/>
            <w:tcBorders>
              <w:top w:val="single" w:sz="6" w:space="0" w:color="78A22F"/>
              <w:left w:val="nil"/>
              <w:bottom w:val="nil"/>
              <w:right w:val="nil"/>
            </w:tcBorders>
            <w:shd w:val="clear" w:color="auto" w:fill="F2F2F2"/>
          </w:tcPr>
          <w:p w:rsidR="00117B3B" w:rsidRDefault="00117B3B" w:rsidP="00BC75D6">
            <w:pPr>
              <w:pStyle w:val="BoxTitle"/>
            </w:pPr>
            <w:r>
              <w:rPr>
                <w:b w:val="0"/>
              </w:rPr>
              <w:t>Box 9</w:t>
            </w:r>
            <w:r w:rsidR="009314D1">
              <w:rPr>
                <w:b w:val="0"/>
              </w:rPr>
              <w:t>.</w:t>
            </w:r>
            <w:r w:rsidR="00BC75D6">
              <w:rPr>
                <w:b w:val="0"/>
              </w:rPr>
              <w:t>7</w:t>
            </w:r>
            <w:r>
              <w:tab/>
            </w:r>
            <w:r w:rsidR="00A03E24">
              <w:t>R</w:t>
            </w:r>
            <w:r w:rsidRPr="002C5FB5">
              <w:t>ecovery</w:t>
            </w:r>
          </w:p>
        </w:tc>
      </w:tr>
      <w:tr w:rsidR="00117B3B" w:rsidTr="00117B3B">
        <w:trPr>
          <w:cantSplit/>
        </w:trPr>
        <w:tc>
          <w:tcPr>
            <w:tcW w:w="8771" w:type="dxa"/>
            <w:tcBorders>
              <w:top w:val="nil"/>
              <w:left w:val="nil"/>
              <w:bottom w:val="nil"/>
              <w:right w:val="nil"/>
            </w:tcBorders>
            <w:shd w:val="clear" w:color="auto" w:fill="F2F2F2"/>
          </w:tcPr>
          <w:p w:rsidR="00117B3B" w:rsidRPr="002C5FB5" w:rsidRDefault="00117B3B" w:rsidP="00117B3B">
            <w:pPr>
              <w:pStyle w:val="Box"/>
            </w:pPr>
            <w:r w:rsidRPr="002C5FB5">
              <w:t>There are two elements to recovery: supporting communities in reconstruction of the physical infrastructure and restoration of emotional, social, economic, ecological and physical wellbeing following a fire event, and return of communities and fire service organisations to a state of preparedness after experiencing a fire event.</w:t>
            </w:r>
          </w:p>
          <w:p w:rsidR="00117B3B" w:rsidRDefault="00117B3B" w:rsidP="00117B3B">
            <w:pPr>
              <w:pStyle w:val="Box"/>
            </w:pPr>
            <w:r w:rsidRPr="002C5FB5">
              <w:t>Recovery indicators are identified as a key development area for future reports.</w:t>
            </w:r>
          </w:p>
        </w:tc>
      </w:tr>
      <w:tr w:rsidR="00117B3B" w:rsidTr="00117B3B">
        <w:trPr>
          <w:cantSplit/>
        </w:trPr>
        <w:tc>
          <w:tcPr>
            <w:tcW w:w="8771" w:type="dxa"/>
            <w:tcBorders>
              <w:top w:val="nil"/>
              <w:left w:val="nil"/>
              <w:bottom w:val="single" w:sz="6" w:space="0" w:color="78A22F"/>
              <w:right w:val="nil"/>
            </w:tcBorders>
            <w:shd w:val="clear" w:color="auto" w:fill="F2F2F2"/>
          </w:tcPr>
          <w:p w:rsidR="00117B3B" w:rsidRDefault="00117B3B">
            <w:pPr>
              <w:pStyle w:val="Box"/>
              <w:spacing w:before="0" w:line="120" w:lineRule="exact"/>
            </w:pPr>
          </w:p>
        </w:tc>
      </w:tr>
      <w:tr w:rsidR="00117B3B" w:rsidRPr="000863A5" w:rsidTr="00117B3B">
        <w:tc>
          <w:tcPr>
            <w:tcW w:w="8771" w:type="dxa"/>
            <w:tcBorders>
              <w:top w:val="single" w:sz="6" w:space="0" w:color="78A22F"/>
              <w:left w:val="nil"/>
              <w:bottom w:val="nil"/>
              <w:right w:val="nil"/>
            </w:tcBorders>
          </w:tcPr>
          <w:p w:rsidR="00117B3B" w:rsidRPr="00626D32" w:rsidRDefault="00117B3B" w:rsidP="00117B3B">
            <w:pPr>
              <w:pStyle w:val="BoxSpaceBelow"/>
            </w:pPr>
          </w:p>
        </w:tc>
      </w:tr>
    </w:tbl>
    <w:p w:rsidR="00117B3B" w:rsidRPr="00984AC3" w:rsidRDefault="00117B3B" w:rsidP="00117B3B">
      <w:pPr>
        <w:pStyle w:val="Heading3"/>
      </w:pPr>
      <w:r w:rsidRPr="002C5FB5">
        <w:lastRenderedPageBreak/>
        <w:t>Efficiency</w:t>
      </w:r>
    </w:p>
    <w:p w:rsidR="00117B3B" w:rsidRPr="002C5FB5" w:rsidRDefault="00117B3B" w:rsidP="00117B3B">
      <w:pPr>
        <w:pStyle w:val="Heading4"/>
      </w:pPr>
      <w:r w:rsidRPr="002C5FB5">
        <w:t>Fire service organisations</w:t>
      </w:r>
      <w:r>
        <w:t>’</w:t>
      </w:r>
      <w:r w:rsidRPr="002C5FB5">
        <w:t xml:space="preserve"> expenditure per person</w:t>
      </w:r>
    </w:p>
    <w:p w:rsidR="009314D1" w:rsidRPr="00CC4105" w:rsidRDefault="00117B3B" w:rsidP="009314D1">
      <w:pPr>
        <w:pStyle w:val="BodyText"/>
      </w:pPr>
      <w:r w:rsidRPr="002C5FB5">
        <w:t xml:space="preserve">‘Fire service organisations’ expenditure per person’ </w:t>
      </w:r>
      <w:r w:rsidR="009314D1" w:rsidRPr="00CC4105">
        <w:t>is a</w:t>
      </w:r>
      <w:r w:rsidR="009314D1">
        <w:t xml:space="preserve"> proxy i</w:t>
      </w:r>
      <w:r w:rsidR="009314D1" w:rsidRPr="00CC4105">
        <w:t xml:space="preserve">ndicator of governments’ objective of </w:t>
      </w:r>
      <w:r w:rsidR="009314D1" w:rsidRPr="00B2615F">
        <w:t xml:space="preserve">providing emergency </w:t>
      </w:r>
      <w:r w:rsidR="009314D1">
        <w:t xml:space="preserve">services in an efficient manner </w:t>
      </w:r>
      <w:r w:rsidR="009314D1" w:rsidRPr="00CC4105">
        <w:t>(box </w:t>
      </w:r>
      <w:r w:rsidR="009314D1">
        <w:t>9.</w:t>
      </w:r>
      <w:r w:rsidR="00BC75D6">
        <w:t>8</w:t>
      </w:r>
      <w:r w:rsidR="009314D1">
        <w:t>).</w:t>
      </w:r>
    </w:p>
    <w:p w:rsidR="00117B3B" w:rsidRDefault="00117B3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17B3B" w:rsidTr="00117B3B">
        <w:tc>
          <w:tcPr>
            <w:tcW w:w="8771" w:type="dxa"/>
            <w:tcBorders>
              <w:top w:val="single" w:sz="6" w:space="0" w:color="78A22F"/>
              <w:left w:val="nil"/>
              <w:bottom w:val="nil"/>
              <w:right w:val="nil"/>
            </w:tcBorders>
            <w:shd w:val="clear" w:color="auto" w:fill="F2F2F2"/>
          </w:tcPr>
          <w:p w:rsidR="00117B3B" w:rsidRDefault="00117B3B" w:rsidP="00BC75D6">
            <w:pPr>
              <w:pStyle w:val="BoxTitle"/>
            </w:pPr>
            <w:r>
              <w:rPr>
                <w:b w:val="0"/>
              </w:rPr>
              <w:t>Box 9</w:t>
            </w:r>
            <w:r w:rsidR="009D0917">
              <w:rPr>
                <w:b w:val="0"/>
              </w:rPr>
              <w:t>.</w:t>
            </w:r>
            <w:r w:rsidR="00BC75D6">
              <w:rPr>
                <w:b w:val="0"/>
              </w:rPr>
              <w:t>8</w:t>
            </w:r>
            <w:r>
              <w:tab/>
            </w:r>
            <w:r w:rsidR="00A03E24">
              <w:t>E</w:t>
            </w:r>
            <w:r w:rsidRPr="0007767E">
              <w:t>xpenditure per person</w:t>
            </w:r>
          </w:p>
        </w:tc>
      </w:tr>
      <w:tr w:rsidR="00117B3B" w:rsidTr="00117B3B">
        <w:trPr>
          <w:cantSplit/>
        </w:trPr>
        <w:tc>
          <w:tcPr>
            <w:tcW w:w="8771" w:type="dxa"/>
            <w:tcBorders>
              <w:top w:val="nil"/>
              <w:left w:val="nil"/>
              <w:bottom w:val="nil"/>
              <w:right w:val="nil"/>
            </w:tcBorders>
            <w:shd w:val="clear" w:color="auto" w:fill="F2F2F2"/>
          </w:tcPr>
          <w:p w:rsidR="00117B3B" w:rsidRPr="002C5FB5" w:rsidRDefault="00117B3B" w:rsidP="00117B3B">
            <w:pPr>
              <w:pStyle w:val="Box"/>
              <w:keepNext w:val="0"/>
              <w:keepLines/>
            </w:pPr>
            <w:r w:rsidRPr="002C5FB5">
              <w:t>‘Fire service organisations’ expenditure per person’ is defined as total fire service organisation expenditure per person in the population.</w:t>
            </w:r>
          </w:p>
          <w:p w:rsidR="00117B3B" w:rsidRPr="002C5FB5" w:rsidRDefault="00117B3B" w:rsidP="007E6EC9">
            <w:pPr>
              <w:pStyle w:val="Box"/>
              <w:keepNext w:val="0"/>
              <w:keepLines/>
            </w:pPr>
            <w:r w:rsidRPr="002C5FB5">
              <w:t xml:space="preserve">All else being equal, lower expenditure per person </w:t>
            </w:r>
            <w:r w:rsidR="00A44733">
              <w:t>suggests</w:t>
            </w:r>
            <w:r w:rsidR="00A44733" w:rsidRPr="002C5FB5">
              <w:t xml:space="preserve"> </w:t>
            </w:r>
            <w:r w:rsidRPr="002C5FB5">
              <w:t xml:space="preserve">greater efficiency. However, efficiency data </w:t>
            </w:r>
            <w:r>
              <w:t>should be interpreted with caution.</w:t>
            </w:r>
            <w:r w:rsidR="007E6EC9">
              <w:t xml:space="preserve"> H</w:t>
            </w:r>
            <w:r w:rsidRPr="002C5FB5">
              <w:t>igh or increasing expenditure per person may reflect deteriorating efficiency</w:t>
            </w:r>
            <w:r>
              <w:t>. Alternatively,</w:t>
            </w:r>
            <w:r w:rsidRPr="002C5FB5">
              <w:t xml:space="preserve"> it may reflect changes in aspects of the service (such as improved response</w:t>
            </w:r>
            <w:r>
              <w:t xml:space="preserve">), increased resourcing for fire </w:t>
            </w:r>
            <w:r w:rsidRPr="002C5FB5">
              <w:t xml:space="preserve">prevention </w:t>
            </w:r>
            <w:r>
              <w:t xml:space="preserve">or community </w:t>
            </w:r>
            <w:r w:rsidRPr="002C5FB5">
              <w:t>preparedness</w:t>
            </w:r>
            <w:r>
              <w:t>,</w:t>
            </w:r>
            <w:r w:rsidRPr="002C5FB5">
              <w:t xml:space="preserve"> or the characteristics of fire events (s</w:t>
            </w:r>
            <w:r>
              <w:t>uch as more challenging fires)</w:t>
            </w:r>
            <w:r w:rsidR="007E6EC9">
              <w:t>. L</w:t>
            </w:r>
            <w:r w:rsidRPr="002C5FB5">
              <w:t>ow or declining expenditure per person may reflect improving efficiency</w:t>
            </w:r>
            <w:r>
              <w:t>. Alternatively, it may reflect</w:t>
            </w:r>
            <w:r w:rsidRPr="002C5FB5">
              <w:t xml:space="preserve"> lower quality responses or less challenging fires.</w:t>
            </w:r>
          </w:p>
          <w:p w:rsidR="00117B3B" w:rsidRPr="002C5FB5" w:rsidRDefault="00117B3B" w:rsidP="00117B3B">
            <w:pPr>
              <w:pStyle w:val="Box"/>
            </w:pPr>
            <w:r w:rsidRPr="002C5FB5">
              <w:t xml:space="preserve">Expenditure per </w:t>
            </w:r>
            <w:r w:rsidRPr="00BA0625">
              <w:t>fire</w:t>
            </w:r>
            <w:r w:rsidRPr="002C5FB5">
              <w:t xml:space="preserve"> is not used as </w:t>
            </w:r>
            <w:r>
              <w:t xml:space="preserve">a measure of efficiency because </w:t>
            </w:r>
            <w:r w:rsidRPr="002C5FB5">
              <w:t xml:space="preserve">an organisation that </w:t>
            </w:r>
            <w:r>
              <w:t xml:space="preserve">works to </w:t>
            </w:r>
            <w:r w:rsidRPr="002C5FB5">
              <w:t>reduce the number of fire incidents could erroneously appear to be less efficient.</w:t>
            </w:r>
          </w:p>
          <w:p w:rsidR="00117B3B" w:rsidRDefault="00117B3B" w:rsidP="00117B3B">
            <w:pPr>
              <w:pStyle w:val="Box"/>
            </w:pPr>
            <w:r w:rsidRPr="003F282C">
              <w:t>The role of volunteers</w:t>
            </w:r>
            <w:r>
              <w:t xml:space="preserve"> needs </w:t>
            </w:r>
            <w:r w:rsidRPr="003F282C">
              <w:t xml:space="preserve">to be considered when interpreting </w:t>
            </w:r>
            <w:r>
              <w:t>this i</w:t>
            </w:r>
            <w:r w:rsidRPr="003F282C">
              <w:t>ndicator</w:t>
            </w:r>
            <w:r>
              <w:t>. V</w:t>
            </w:r>
            <w:r w:rsidRPr="003F282C">
              <w:t>olunteer personnel provide a substantial proportion of fire services (and emergency services more generally). While costs such as the training and equipment associated with volunteers are included in the cost of fire service provision, the labour costs of providing fire services would be greater without volunteers (assuming these functions were still performed).</w:t>
            </w:r>
          </w:p>
          <w:p w:rsidR="00117B3B" w:rsidRPr="002C5FB5" w:rsidRDefault="00117B3B" w:rsidP="00117B3B">
            <w:pPr>
              <w:pStyle w:val="Box"/>
            </w:pPr>
            <w:r w:rsidRPr="002C5FB5">
              <w:t>Data reported for this measure are:</w:t>
            </w:r>
          </w:p>
          <w:p w:rsidR="00117B3B" w:rsidRPr="002C5FB5" w:rsidRDefault="00117B3B" w:rsidP="00117B3B">
            <w:pPr>
              <w:pStyle w:val="BoxListBullet"/>
            </w:pPr>
            <w:r w:rsidRPr="002C5FB5">
              <w:t>comparable (subject to caveats) within jurisdictions over time but are not comparable across jurisdictions</w:t>
            </w:r>
          </w:p>
          <w:p w:rsidR="00117B3B" w:rsidRDefault="00117B3B" w:rsidP="009D0917">
            <w:pPr>
              <w:pStyle w:val="BoxListBullet"/>
            </w:pPr>
            <w:r>
              <w:t>complete (subject to caveats) for the current reporting period</w:t>
            </w:r>
            <w:r w:rsidRPr="002C5FB5">
              <w:t xml:space="preserve">. All required </w:t>
            </w:r>
            <w:r>
              <w:t>201</w:t>
            </w:r>
            <w:r w:rsidR="009D0917">
              <w:t>5</w:t>
            </w:r>
            <w:r>
              <w:noBreakHyphen/>
              <w:t>1</w:t>
            </w:r>
            <w:r w:rsidR="009D0917">
              <w:t>6</w:t>
            </w:r>
            <w:r w:rsidRPr="002C5FB5">
              <w:t xml:space="preserve"> data are a</w:t>
            </w:r>
            <w:r w:rsidR="004B00B9">
              <w:t>vailable for all jurisdictions.</w:t>
            </w:r>
          </w:p>
        </w:tc>
      </w:tr>
      <w:tr w:rsidR="00117B3B" w:rsidTr="00117B3B">
        <w:trPr>
          <w:cantSplit/>
        </w:trPr>
        <w:tc>
          <w:tcPr>
            <w:tcW w:w="8771" w:type="dxa"/>
            <w:tcBorders>
              <w:top w:val="nil"/>
              <w:left w:val="nil"/>
              <w:bottom w:val="single" w:sz="6" w:space="0" w:color="78A22F"/>
              <w:right w:val="nil"/>
            </w:tcBorders>
            <w:shd w:val="clear" w:color="auto" w:fill="F2F2F2"/>
          </w:tcPr>
          <w:p w:rsidR="00117B3B" w:rsidRDefault="00117B3B">
            <w:pPr>
              <w:pStyle w:val="Box"/>
              <w:spacing w:before="0" w:line="120" w:lineRule="exact"/>
            </w:pPr>
          </w:p>
        </w:tc>
      </w:tr>
      <w:tr w:rsidR="00117B3B" w:rsidRPr="000863A5" w:rsidTr="00117B3B">
        <w:tc>
          <w:tcPr>
            <w:tcW w:w="8771" w:type="dxa"/>
            <w:tcBorders>
              <w:top w:val="single" w:sz="6" w:space="0" w:color="78A22F"/>
              <w:left w:val="nil"/>
              <w:bottom w:val="nil"/>
              <w:right w:val="nil"/>
            </w:tcBorders>
          </w:tcPr>
          <w:p w:rsidR="00117B3B" w:rsidRPr="00626D32" w:rsidRDefault="00117B3B" w:rsidP="00117B3B">
            <w:pPr>
              <w:pStyle w:val="BoxSpaceBelow"/>
            </w:pPr>
          </w:p>
        </w:tc>
      </w:tr>
    </w:tbl>
    <w:p w:rsidR="00117B3B" w:rsidRDefault="00117B3B" w:rsidP="00117B3B">
      <w:pPr>
        <w:pStyle w:val="BodyText"/>
      </w:pPr>
      <w:r w:rsidRPr="002C5FB5">
        <w:t>Nationally</w:t>
      </w:r>
      <w:r>
        <w:t xml:space="preserve"> in 201</w:t>
      </w:r>
      <w:r w:rsidR="003D65C7">
        <w:t>5</w:t>
      </w:r>
      <w:r>
        <w:noBreakHyphen/>
        <w:t>1</w:t>
      </w:r>
      <w:r w:rsidR="003D65C7">
        <w:t>6</w:t>
      </w:r>
      <w:r w:rsidRPr="002C5FB5">
        <w:t>, the total expenditure of fire service organisations</w:t>
      </w:r>
      <w:r w:rsidR="003D65C7">
        <w:t xml:space="preserve"> was </w:t>
      </w:r>
      <w:r w:rsidRPr="00030330">
        <w:t>$</w:t>
      </w:r>
      <w:r w:rsidR="00186401" w:rsidRPr="00030330">
        <w:t>1</w:t>
      </w:r>
      <w:r w:rsidR="0038020F" w:rsidRPr="00030330">
        <w:t>6</w:t>
      </w:r>
      <w:r w:rsidR="000E048B" w:rsidRPr="00030330">
        <w:t>8</w:t>
      </w:r>
      <w:r w:rsidR="0038020F" w:rsidRPr="00030330">
        <w:t xml:space="preserve"> </w:t>
      </w:r>
      <w:r w:rsidRPr="00030330">
        <w:t>per person</w:t>
      </w:r>
      <w:r>
        <w:t xml:space="preserve"> in the population</w:t>
      </w:r>
      <w:r w:rsidRPr="002C5FB5">
        <w:t xml:space="preserve"> (figure</w:t>
      </w:r>
      <w:r w:rsidR="00D61246">
        <w:t> 9.</w:t>
      </w:r>
      <w:r w:rsidR="00BC75D6">
        <w:t>8</w:t>
      </w:r>
      <w:r w:rsidR="00D61246">
        <w:t>)</w:t>
      </w:r>
      <w:r w:rsidRPr="002C5FB5">
        <w:t>.</w:t>
      </w:r>
      <w:r>
        <w:t xml:space="preserve"> Expenditure data disaggregated by labour, capital and other costs are available in table </w:t>
      </w:r>
      <w:proofErr w:type="spellStart"/>
      <w:r>
        <w:t>9A.28</w:t>
      </w:r>
      <w:proofErr w:type="spellEnd"/>
      <w:r>
        <w:t>.</w:t>
      </w:r>
    </w:p>
    <w:p w:rsidR="00117B3B" w:rsidRDefault="00117B3B" w:rsidP="00117B3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17B3B" w:rsidTr="00030330">
        <w:tc>
          <w:tcPr>
            <w:tcW w:w="8771" w:type="dxa"/>
            <w:tcBorders>
              <w:top w:val="single" w:sz="6" w:space="0" w:color="78A22F"/>
              <w:left w:val="nil"/>
              <w:bottom w:val="nil"/>
              <w:right w:val="nil"/>
            </w:tcBorders>
            <w:shd w:val="clear" w:color="auto" w:fill="auto"/>
          </w:tcPr>
          <w:p w:rsidR="00117B3B" w:rsidRPr="00176D3F" w:rsidRDefault="00117B3B" w:rsidP="00BC75D6">
            <w:pPr>
              <w:pStyle w:val="FigureTitle"/>
            </w:pPr>
            <w:r w:rsidRPr="00784A05">
              <w:rPr>
                <w:b w:val="0"/>
              </w:rPr>
              <w:t xml:space="preserve">Figure </w:t>
            </w:r>
            <w:r>
              <w:rPr>
                <w:b w:val="0"/>
              </w:rPr>
              <w:t>9</w:t>
            </w:r>
            <w:r w:rsidR="003D65C7">
              <w:rPr>
                <w:b w:val="0"/>
              </w:rPr>
              <w:t>.</w:t>
            </w:r>
            <w:r w:rsidR="00BC75D6">
              <w:rPr>
                <w:b w:val="0"/>
              </w:rPr>
              <w:t>8</w:t>
            </w:r>
            <w:r>
              <w:tab/>
            </w:r>
            <w:r w:rsidRPr="002605A8">
              <w:t>Fire service organisations’ expenditure (</w:t>
            </w:r>
            <w:r>
              <w:t>201</w:t>
            </w:r>
            <w:r w:rsidR="003D65C7">
              <w:t>5</w:t>
            </w:r>
            <w:r>
              <w:noBreakHyphen/>
              <w:t>1</w:t>
            </w:r>
            <w:r w:rsidR="003D65C7">
              <w:t>6</w:t>
            </w:r>
            <w:r w:rsidRPr="002605A8">
              <w:t> dollars)</w:t>
            </w:r>
            <w:r>
              <w:rPr>
                <w:rStyle w:val="NoteLabel"/>
                <w:b/>
              </w:rPr>
              <w:t>a</w:t>
            </w:r>
          </w:p>
        </w:tc>
      </w:tr>
      <w:tr w:rsidR="00117B3B" w:rsidTr="00030330">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117B3B" w:rsidTr="00117B3B">
              <w:trPr>
                <w:jc w:val="center"/>
              </w:trPr>
              <w:tc>
                <w:tcPr>
                  <w:tcW w:w="5000" w:type="pct"/>
                  <w:tcBorders>
                    <w:top w:val="nil"/>
                    <w:bottom w:val="nil"/>
                  </w:tcBorders>
                </w:tcPr>
                <w:p w:rsidR="00117B3B" w:rsidRPr="009B4DCC" w:rsidRDefault="00920BE8" w:rsidP="009B4DCC">
                  <w:pPr>
                    <w:pStyle w:val="Figure"/>
                  </w:pPr>
                  <w:r>
                    <w:rPr>
                      <w:noProof/>
                    </w:rPr>
                    <w:drawing>
                      <wp:inline distT="0" distB="0" distL="0" distR="0" wp14:anchorId="731093BD" wp14:editId="5E00A63B">
                        <wp:extent cx="5362575" cy="2686050"/>
                        <wp:effectExtent l="0" t="0" r="9525" b="0"/>
                        <wp:docPr id="11" name="Picture 11" descr="Figure 9.8 Fire service organisations expenditure in 2015-16 doll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62575" cy="2686050"/>
                                </a:xfrm>
                                <a:prstGeom prst="rect">
                                  <a:avLst/>
                                </a:prstGeom>
                                <a:noFill/>
                                <a:ln>
                                  <a:noFill/>
                                </a:ln>
                              </pic:spPr>
                            </pic:pic>
                          </a:graphicData>
                        </a:graphic>
                      </wp:inline>
                    </w:drawing>
                  </w:r>
                </w:p>
              </w:tc>
            </w:tr>
          </w:tbl>
          <w:p w:rsidR="00117B3B" w:rsidRDefault="00117B3B" w:rsidP="00117B3B">
            <w:pPr>
              <w:pStyle w:val="Figure"/>
            </w:pPr>
          </w:p>
        </w:tc>
      </w:tr>
      <w:tr w:rsidR="00117B3B" w:rsidRPr="00176D3F" w:rsidTr="00030330">
        <w:tc>
          <w:tcPr>
            <w:tcW w:w="8771" w:type="dxa"/>
            <w:tcBorders>
              <w:top w:val="nil"/>
              <w:left w:val="nil"/>
              <w:bottom w:val="nil"/>
              <w:right w:val="nil"/>
            </w:tcBorders>
            <w:shd w:val="clear" w:color="auto" w:fill="auto"/>
          </w:tcPr>
          <w:p w:rsidR="00117B3B" w:rsidRPr="00176D3F" w:rsidRDefault="00117B3B" w:rsidP="00370AA8">
            <w:pPr>
              <w:pStyle w:val="Note"/>
            </w:pPr>
            <w:r>
              <w:rPr>
                <w:rStyle w:val="NoteLabel"/>
              </w:rPr>
              <w:t>a</w:t>
            </w:r>
            <w:r>
              <w:t xml:space="preserve"> </w:t>
            </w:r>
            <w:r>
              <w:rPr>
                <w:rStyle w:val="NoteLabel"/>
                <w:b w:val="0"/>
                <w:position w:val="0"/>
              </w:rPr>
              <w:t>See box 9.</w:t>
            </w:r>
            <w:r w:rsidR="00370AA8">
              <w:rPr>
                <w:rStyle w:val="NoteLabel"/>
                <w:b w:val="0"/>
                <w:position w:val="0"/>
              </w:rPr>
              <w:t>8</w:t>
            </w:r>
            <w:r>
              <w:rPr>
                <w:rStyle w:val="NoteLabel"/>
                <w:b w:val="0"/>
                <w:position w:val="0"/>
              </w:rPr>
              <w:t xml:space="preserve"> and table </w:t>
            </w:r>
            <w:proofErr w:type="spellStart"/>
            <w:r>
              <w:rPr>
                <w:rStyle w:val="NoteLabel"/>
                <w:b w:val="0"/>
                <w:position w:val="0"/>
              </w:rPr>
              <w:t>9A.29</w:t>
            </w:r>
            <w:proofErr w:type="spellEnd"/>
            <w:r>
              <w:rPr>
                <w:rStyle w:val="NoteLabel"/>
                <w:b w:val="0"/>
                <w:position w:val="0"/>
              </w:rPr>
              <w:t xml:space="preserve"> </w:t>
            </w:r>
            <w:r>
              <w:t xml:space="preserve">for </w:t>
            </w:r>
            <w:r w:rsidRPr="00327D09">
              <w:t>detailed definitions, footnotes and caveats</w:t>
            </w:r>
            <w:r>
              <w:t>.</w:t>
            </w:r>
          </w:p>
        </w:tc>
      </w:tr>
      <w:tr w:rsidR="00117B3B" w:rsidRPr="00176D3F" w:rsidTr="00030330">
        <w:tc>
          <w:tcPr>
            <w:tcW w:w="8771" w:type="dxa"/>
            <w:tcBorders>
              <w:top w:val="nil"/>
              <w:left w:val="nil"/>
              <w:bottom w:val="nil"/>
              <w:right w:val="nil"/>
            </w:tcBorders>
            <w:shd w:val="clear" w:color="auto" w:fill="auto"/>
          </w:tcPr>
          <w:p w:rsidR="00117B3B" w:rsidRPr="00176D3F" w:rsidRDefault="00117B3B" w:rsidP="00117B3B">
            <w:pPr>
              <w:pStyle w:val="Source"/>
            </w:pPr>
            <w:r>
              <w:rPr>
                <w:i/>
              </w:rPr>
              <w:t>S</w:t>
            </w:r>
            <w:r w:rsidRPr="00784A05">
              <w:rPr>
                <w:i/>
              </w:rPr>
              <w:t>ource</w:t>
            </w:r>
            <w:r w:rsidRPr="00176D3F">
              <w:t xml:space="preserve">: </w:t>
            </w:r>
            <w:r w:rsidRPr="00854E63">
              <w:t>State and Territory governments (unpublished);</w:t>
            </w:r>
            <w:r>
              <w:t xml:space="preserve"> ABS (unpublished);</w:t>
            </w:r>
            <w:r w:rsidRPr="002605A8">
              <w:t xml:space="preserve"> table </w:t>
            </w:r>
            <w:proofErr w:type="spellStart"/>
            <w:r>
              <w:t>9A.29</w:t>
            </w:r>
            <w:proofErr w:type="spellEnd"/>
            <w:r w:rsidRPr="002605A8">
              <w:t>.</w:t>
            </w:r>
          </w:p>
        </w:tc>
      </w:tr>
      <w:tr w:rsidR="00117B3B" w:rsidTr="00117B3B">
        <w:tc>
          <w:tcPr>
            <w:tcW w:w="8771" w:type="dxa"/>
            <w:tcBorders>
              <w:top w:val="nil"/>
              <w:left w:val="nil"/>
              <w:bottom w:val="single" w:sz="6" w:space="0" w:color="78A22F"/>
              <w:right w:val="nil"/>
            </w:tcBorders>
            <w:shd w:val="clear" w:color="auto" w:fill="auto"/>
          </w:tcPr>
          <w:p w:rsidR="00117B3B" w:rsidRDefault="00117B3B" w:rsidP="00117B3B">
            <w:pPr>
              <w:pStyle w:val="Figurespace"/>
            </w:pPr>
          </w:p>
        </w:tc>
      </w:tr>
      <w:tr w:rsidR="00117B3B" w:rsidRPr="000863A5" w:rsidTr="00117B3B">
        <w:tc>
          <w:tcPr>
            <w:tcW w:w="8771" w:type="dxa"/>
            <w:tcBorders>
              <w:top w:val="single" w:sz="6" w:space="0" w:color="78A22F"/>
              <w:left w:val="nil"/>
              <w:bottom w:val="nil"/>
              <w:right w:val="nil"/>
            </w:tcBorders>
          </w:tcPr>
          <w:p w:rsidR="00117B3B" w:rsidRPr="00626D32" w:rsidRDefault="00117B3B" w:rsidP="00117B3B">
            <w:pPr>
              <w:pStyle w:val="BoxSpaceBelow"/>
            </w:pPr>
          </w:p>
        </w:tc>
      </w:tr>
    </w:tbl>
    <w:p w:rsidR="00117B3B" w:rsidRPr="0054109B" w:rsidRDefault="00117B3B" w:rsidP="00117B3B">
      <w:pPr>
        <w:pStyle w:val="Heading3"/>
      </w:pPr>
      <w:r w:rsidRPr="0054109B">
        <w:t>Outcomes</w:t>
      </w:r>
    </w:p>
    <w:p w:rsidR="00117B3B" w:rsidRPr="0054109B" w:rsidRDefault="00117B3B" w:rsidP="00117B3B">
      <w:pPr>
        <w:pStyle w:val="BodyText"/>
      </w:pPr>
      <w:r w:rsidRPr="0054109B">
        <w:t>Outcomes are the impact of services on the status of an individual or group (while outputs are the services delivered) (chapter 1</w:t>
      </w:r>
      <w:r w:rsidR="00BC75D6">
        <w:t>).</w:t>
      </w:r>
    </w:p>
    <w:p w:rsidR="00117B3B" w:rsidRPr="0054109B" w:rsidRDefault="00117B3B" w:rsidP="00117B3B">
      <w:pPr>
        <w:pStyle w:val="Heading4"/>
      </w:pPr>
      <w:r w:rsidRPr="0054109B">
        <w:t>Fire death rate</w:t>
      </w:r>
    </w:p>
    <w:p w:rsidR="00117B3B" w:rsidRDefault="00117B3B" w:rsidP="00114714">
      <w:pPr>
        <w:pStyle w:val="BodyText"/>
      </w:pPr>
      <w:r w:rsidRPr="0054109B">
        <w:t xml:space="preserve">‘Fire death rate’ is an indicator of governments’ objective to </w:t>
      </w:r>
      <w:r w:rsidR="00114714" w:rsidRPr="00AD24BA">
        <w:t>reduce the adverse effects of events on the community (including people, property, infrastru</w:t>
      </w:r>
      <w:r w:rsidR="00114714">
        <w:t xml:space="preserve">cture, economy and environment) </w:t>
      </w:r>
      <w:r w:rsidRPr="0054109B">
        <w:t>(box</w:t>
      </w:r>
      <w:r>
        <w:t> 9.</w:t>
      </w:r>
      <w:r w:rsidR="007E1E16">
        <w:t>9</w:t>
      </w:r>
      <w:r w:rsidRPr="0054109B">
        <w:t>).</w:t>
      </w:r>
    </w:p>
    <w:p w:rsidR="00117B3B" w:rsidRDefault="00117B3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17B3B" w:rsidTr="00117B3B">
        <w:tc>
          <w:tcPr>
            <w:tcW w:w="8771" w:type="dxa"/>
            <w:tcBorders>
              <w:top w:val="single" w:sz="6" w:space="0" w:color="78A22F"/>
              <w:left w:val="nil"/>
              <w:bottom w:val="nil"/>
              <w:right w:val="nil"/>
            </w:tcBorders>
            <w:shd w:val="clear" w:color="auto" w:fill="F2F2F2"/>
          </w:tcPr>
          <w:p w:rsidR="00117B3B" w:rsidRDefault="00117B3B" w:rsidP="007E1E16">
            <w:pPr>
              <w:pStyle w:val="BoxTitle"/>
            </w:pPr>
            <w:r>
              <w:rPr>
                <w:b w:val="0"/>
              </w:rPr>
              <w:t>Box 9</w:t>
            </w:r>
            <w:r w:rsidR="009B4F44">
              <w:rPr>
                <w:b w:val="0"/>
              </w:rPr>
              <w:t>.</w:t>
            </w:r>
            <w:r w:rsidR="007E1E16">
              <w:rPr>
                <w:b w:val="0"/>
              </w:rPr>
              <w:t>9</w:t>
            </w:r>
            <w:r>
              <w:tab/>
            </w:r>
            <w:r w:rsidRPr="0054109B">
              <w:t>Fire death rate</w:t>
            </w:r>
          </w:p>
        </w:tc>
      </w:tr>
      <w:tr w:rsidR="00117B3B" w:rsidTr="00117B3B">
        <w:trPr>
          <w:cantSplit/>
        </w:trPr>
        <w:tc>
          <w:tcPr>
            <w:tcW w:w="8771" w:type="dxa"/>
            <w:tcBorders>
              <w:top w:val="nil"/>
              <w:left w:val="nil"/>
              <w:bottom w:val="nil"/>
              <w:right w:val="nil"/>
            </w:tcBorders>
            <w:shd w:val="clear" w:color="auto" w:fill="F2F2F2"/>
          </w:tcPr>
          <w:p w:rsidR="00117B3B" w:rsidRPr="0054109B" w:rsidRDefault="00117B3B" w:rsidP="00117B3B">
            <w:pPr>
              <w:pStyle w:val="Box"/>
              <w:keepNext w:val="0"/>
            </w:pPr>
            <w:r w:rsidRPr="0054109B">
              <w:t>‘Fire death rate’ is defined by two measures</w:t>
            </w:r>
            <w:r w:rsidR="00AB7002">
              <w:t>.</w:t>
            </w:r>
          </w:p>
          <w:p w:rsidR="00117B3B" w:rsidRPr="0060182A" w:rsidRDefault="00AB7002" w:rsidP="00117B3B">
            <w:pPr>
              <w:pStyle w:val="BoxListBullet"/>
            </w:pPr>
            <w:r>
              <w:t>‘A</w:t>
            </w:r>
            <w:r w:rsidR="00117B3B">
              <w:t>nnual fire death rate</w:t>
            </w:r>
            <w:r>
              <w:t>’</w:t>
            </w:r>
            <w:r w:rsidR="00117B3B">
              <w:t xml:space="preserve"> —</w:t>
            </w:r>
            <w:r w:rsidR="00117B3B" w:rsidRPr="0054109B">
              <w:t xml:space="preserve"> all deaths</w:t>
            </w:r>
            <w:r w:rsidR="00117B3B">
              <w:t>,</w:t>
            </w:r>
            <w:r w:rsidR="00117B3B" w:rsidRPr="0054109B">
              <w:t xml:space="preserve"> </w:t>
            </w:r>
            <w:r w:rsidR="00117B3B" w:rsidRPr="0060182A">
              <w:t>per million people</w:t>
            </w:r>
            <w:r w:rsidR="00117B3B">
              <w:t xml:space="preserve">, </w:t>
            </w:r>
            <w:r w:rsidR="00117B3B" w:rsidRPr="0054109B">
              <w:t>whose underlying cause of death is fire related to smoke, fire and flames, including all (structure and landscape) fires</w:t>
            </w:r>
            <w:r w:rsidR="00117B3B" w:rsidRPr="0060182A">
              <w:t xml:space="preserve"> </w:t>
            </w:r>
          </w:p>
          <w:p w:rsidR="00415D46" w:rsidRDefault="00AB7002" w:rsidP="00415D46">
            <w:pPr>
              <w:pStyle w:val="BoxListBullet"/>
              <w:keepNext w:val="0"/>
              <w:ind w:right="-138"/>
            </w:pPr>
            <w:r>
              <w:t>‘L</w:t>
            </w:r>
            <w:r w:rsidR="00117B3B" w:rsidRPr="0060182A">
              <w:t>andscape fire death</w:t>
            </w:r>
            <w:r w:rsidR="00117B3B">
              <w:t xml:space="preserve"> rate</w:t>
            </w:r>
            <w:r>
              <w:t>’</w:t>
            </w:r>
            <w:r w:rsidR="00117B3B">
              <w:t xml:space="preserve"> —</w:t>
            </w:r>
            <w:r w:rsidR="00117B3B" w:rsidRPr="0060182A">
              <w:t xml:space="preserve"> deaths resulting from landscape fires</w:t>
            </w:r>
            <w:r w:rsidR="00117B3B">
              <w:t xml:space="preserve"> only, </w:t>
            </w:r>
            <w:r w:rsidR="00117B3B" w:rsidRPr="0060182A">
              <w:t>per million people</w:t>
            </w:r>
            <w:r w:rsidR="00045035">
              <w:t>.</w:t>
            </w:r>
            <w:r w:rsidR="00045035" w:rsidRPr="0060182A">
              <w:t xml:space="preserve"> </w:t>
            </w:r>
            <w:r w:rsidR="00045035">
              <w:t xml:space="preserve">Landscape fire </w:t>
            </w:r>
            <w:r w:rsidR="00045035" w:rsidRPr="00045035">
              <w:rPr>
                <w:szCs w:val="26"/>
              </w:rPr>
              <w:t>deaths include those that result from the fire, but whose primary cause may be related to other factors (</w:t>
            </w:r>
            <w:r w:rsidR="00045035">
              <w:t>except for self-harm deaths</w:t>
            </w:r>
            <w:r w:rsidR="00524ACA">
              <w:t>)</w:t>
            </w:r>
            <w:r w:rsidR="00045035">
              <w:t>.</w:t>
            </w:r>
            <w:r w:rsidR="00415D46">
              <w:t xml:space="preserve"> </w:t>
            </w:r>
          </w:p>
          <w:p w:rsidR="00117B3B" w:rsidRPr="0054109B" w:rsidRDefault="00117B3B" w:rsidP="00415D46">
            <w:pPr>
              <w:pStyle w:val="Box"/>
            </w:pPr>
            <w:r w:rsidRPr="0054109B">
              <w:t>A low or decreasing fire death rate represents a better outcome.</w:t>
            </w:r>
          </w:p>
          <w:p w:rsidR="00117B3B" w:rsidRDefault="00117B3B" w:rsidP="00117B3B">
            <w:pPr>
              <w:pStyle w:val="Box"/>
              <w:keepNext w:val="0"/>
              <w:ind w:right="-138"/>
            </w:pPr>
            <w:r>
              <w:t>Data for these measures are:</w:t>
            </w:r>
          </w:p>
          <w:p w:rsidR="00117B3B" w:rsidRPr="00764BB9" w:rsidRDefault="00117B3B" w:rsidP="00117B3B">
            <w:pPr>
              <w:pStyle w:val="BoxListBullet"/>
            </w:pPr>
            <w:r w:rsidRPr="00764BB9">
              <w:t>comparable (subject to caveats) across jurisdictions and over time</w:t>
            </w:r>
          </w:p>
          <w:p w:rsidR="00117B3B" w:rsidRDefault="00117B3B" w:rsidP="00DA10CD">
            <w:pPr>
              <w:pStyle w:val="BoxListBullet"/>
            </w:pPr>
            <w:r>
              <w:t>complete (subject to caveats) for the current reporting period</w:t>
            </w:r>
            <w:r w:rsidRPr="0052371F">
              <w:t xml:space="preserve">. All required </w:t>
            </w:r>
            <w:r>
              <w:t>201</w:t>
            </w:r>
            <w:r w:rsidR="00DA10CD">
              <w:t>5</w:t>
            </w:r>
            <w:r w:rsidR="003D65C7">
              <w:t xml:space="preserve"> </w:t>
            </w:r>
            <w:r w:rsidRPr="0052371F">
              <w:t>data are available for all jurisdictions.</w:t>
            </w:r>
          </w:p>
        </w:tc>
      </w:tr>
      <w:tr w:rsidR="00117B3B" w:rsidTr="00117B3B">
        <w:trPr>
          <w:cantSplit/>
        </w:trPr>
        <w:tc>
          <w:tcPr>
            <w:tcW w:w="8771" w:type="dxa"/>
            <w:tcBorders>
              <w:top w:val="nil"/>
              <w:left w:val="nil"/>
              <w:bottom w:val="single" w:sz="6" w:space="0" w:color="78A22F"/>
              <w:right w:val="nil"/>
            </w:tcBorders>
            <w:shd w:val="clear" w:color="auto" w:fill="F2F2F2"/>
          </w:tcPr>
          <w:p w:rsidR="00117B3B" w:rsidRDefault="00117B3B">
            <w:pPr>
              <w:pStyle w:val="Box"/>
              <w:spacing w:before="0" w:line="120" w:lineRule="exact"/>
            </w:pPr>
          </w:p>
        </w:tc>
      </w:tr>
      <w:tr w:rsidR="00117B3B" w:rsidRPr="000863A5" w:rsidTr="00117B3B">
        <w:tc>
          <w:tcPr>
            <w:tcW w:w="8771" w:type="dxa"/>
            <w:tcBorders>
              <w:top w:val="single" w:sz="6" w:space="0" w:color="78A22F"/>
              <w:left w:val="nil"/>
              <w:bottom w:val="nil"/>
              <w:right w:val="nil"/>
            </w:tcBorders>
          </w:tcPr>
          <w:p w:rsidR="00117B3B" w:rsidRPr="00626D32" w:rsidRDefault="00117B3B" w:rsidP="00117B3B">
            <w:pPr>
              <w:pStyle w:val="BoxSpaceBelow"/>
            </w:pPr>
          </w:p>
        </w:tc>
      </w:tr>
    </w:tbl>
    <w:p w:rsidR="00117B3B" w:rsidRPr="0054109B" w:rsidRDefault="00117B3B" w:rsidP="00117B3B">
      <w:pPr>
        <w:pStyle w:val="Heading5"/>
      </w:pPr>
      <w:r w:rsidRPr="0054109B">
        <w:t>Fire death rate — Annual fire death rate</w:t>
      </w:r>
    </w:p>
    <w:p w:rsidR="00117B3B" w:rsidRDefault="00117B3B" w:rsidP="00117B3B">
      <w:pPr>
        <w:pStyle w:val="BodyText"/>
      </w:pPr>
      <w:r w:rsidRPr="00B602E5">
        <w:t xml:space="preserve">The annual fire death rate was </w:t>
      </w:r>
      <w:r w:rsidR="001703D8">
        <w:t>4.1</w:t>
      </w:r>
      <w:r w:rsidRPr="00B602E5">
        <w:t xml:space="preserve"> deaths per million people in 201</w:t>
      </w:r>
      <w:r w:rsidR="007E1E16">
        <w:t>5</w:t>
      </w:r>
      <w:r w:rsidRPr="00B602E5">
        <w:t xml:space="preserve"> (</w:t>
      </w:r>
      <w:r w:rsidR="001703D8">
        <w:t>97</w:t>
      </w:r>
      <w:r w:rsidR="000724B7">
        <w:t xml:space="preserve"> </w:t>
      </w:r>
      <w:r w:rsidRPr="00B602E5">
        <w:t>fire deaths) (figure 9.</w:t>
      </w:r>
      <w:r w:rsidR="007E1E16">
        <w:t>9</w:t>
      </w:r>
      <w:r w:rsidR="000724B7">
        <w:t xml:space="preserve"> </w:t>
      </w:r>
      <w:r>
        <w:t xml:space="preserve">and table </w:t>
      </w:r>
      <w:proofErr w:type="spellStart"/>
      <w:r>
        <w:t>9A.6</w:t>
      </w:r>
      <w:proofErr w:type="spellEnd"/>
      <w:r w:rsidRPr="00B602E5">
        <w:t>). Nationally, exposure to smoke, fire and flames accounted for the majority of fire deaths in 201</w:t>
      </w:r>
      <w:r w:rsidR="004C0551">
        <w:t>5</w:t>
      </w:r>
      <w:r w:rsidRPr="00B602E5">
        <w:t xml:space="preserve"> (</w:t>
      </w:r>
      <w:r w:rsidR="001703D8">
        <w:t>57</w:t>
      </w:r>
      <w:r w:rsidRPr="00B602E5">
        <w:t xml:space="preserve"> deaths)</w:t>
      </w:r>
      <w:r>
        <w:t xml:space="preserve"> </w:t>
      </w:r>
      <w:r w:rsidRPr="00B602E5">
        <w:t>(table </w:t>
      </w:r>
      <w:proofErr w:type="spellStart"/>
      <w:r w:rsidRPr="00B602E5">
        <w:t>9A.7</w:t>
      </w:r>
      <w:proofErr w:type="spellEnd"/>
      <w:r>
        <w:t>).</w:t>
      </w:r>
    </w:p>
    <w:p w:rsidR="00117B3B" w:rsidRDefault="00117B3B" w:rsidP="00117B3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17B3B" w:rsidTr="00117B3B">
        <w:tc>
          <w:tcPr>
            <w:tcW w:w="8771" w:type="dxa"/>
            <w:tcBorders>
              <w:top w:val="single" w:sz="6" w:space="0" w:color="78A22F"/>
              <w:left w:val="nil"/>
              <w:bottom w:val="nil"/>
              <w:right w:val="nil"/>
            </w:tcBorders>
            <w:shd w:val="clear" w:color="auto" w:fill="auto"/>
          </w:tcPr>
          <w:p w:rsidR="00117B3B" w:rsidRPr="00176D3F" w:rsidRDefault="00117B3B" w:rsidP="00BA60EB">
            <w:pPr>
              <w:pStyle w:val="FigureTitle"/>
            </w:pPr>
            <w:r w:rsidRPr="00784A05">
              <w:rPr>
                <w:b w:val="0"/>
              </w:rPr>
              <w:t xml:space="preserve">Figure </w:t>
            </w:r>
            <w:r>
              <w:rPr>
                <w:b w:val="0"/>
              </w:rPr>
              <w:t>9</w:t>
            </w:r>
            <w:r w:rsidR="008842D8">
              <w:rPr>
                <w:b w:val="0"/>
              </w:rPr>
              <w:t>.</w:t>
            </w:r>
            <w:r w:rsidR="007E1E16">
              <w:rPr>
                <w:b w:val="0"/>
              </w:rPr>
              <w:t>9</w:t>
            </w:r>
            <w:r>
              <w:tab/>
            </w:r>
            <w:r w:rsidRPr="00C7198A">
              <w:t>Annual fire death rate</w:t>
            </w:r>
            <w:r>
              <w:t xml:space="preserve">, </w:t>
            </w:r>
            <w:r w:rsidR="00BA60EB">
              <w:t>2006</w:t>
            </w:r>
            <w:r w:rsidR="008842D8">
              <w:t>–201</w:t>
            </w:r>
            <w:r w:rsidR="007E1E16">
              <w:t>5</w:t>
            </w:r>
            <w:r>
              <w:rPr>
                <w:rStyle w:val="NoteLabel"/>
                <w:b/>
              </w:rPr>
              <w:t>a</w:t>
            </w:r>
          </w:p>
        </w:tc>
      </w:tr>
      <w:tr w:rsidR="00117B3B" w:rsidTr="00117B3B">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117B3B" w:rsidTr="00117B3B">
              <w:trPr>
                <w:jc w:val="center"/>
              </w:trPr>
              <w:tc>
                <w:tcPr>
                  <w:tcW w:w="5000" w:type="pct"/>
                  <w:tcBorders>
                    <w:top w:val="nil"/>
                    <w:bottom w:val="nil"/>
                  </w:tcBorders>
                </w:tcPr>
                <w:p w:rsidR="00BB118F" w:rsidRPr="008D0CA3" w:rsidRDefault="00920BE8" w:rsidP="008D0CA3">
                  <w:pPr>
                    <w:pStyle w:val="Figure"/>
                  </w:pPr>
                  <w:r>
                    <w:rPr>
                      <w:noProof/>
                    </w:rPr>
                    <w:drawing>
                      <wp:inline distT="0" distB="0" distL="0" distR="0" wp14:anchorId="59F606EA" wp14:editId="4E7424E9">
                        <wp:extent cx="5391150" cy="2676525"/>
                        <wp:effectExtent l="0" t="0" r="0" b="9525"/>
                        <wp:docPr id="12" name="Picture 12" descr="Figure 9.9 Annual fire death rate 2006 to 20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391150" cy="2676525"/>
                                </a:xfrm>
                                <a:prstGeom prst="rect">
                                  <a:avLst/>
                                </a:prstGeom>
                                <a:noFill/>
                                <a:ln>
                                  <a:noFill/>
                                </a:ln>
                              </pic:spPr>
                            </pic:pic>
                          </a:graphicData>
                        </a:graphic>
                      </wp:inline>
                    </w:drawing>
                  </w:r>
                </w:p>
              </w:tc>
            </w:tr>
          </w:tbl>
          <w:p w:rsidR="00117B3B" w:rsidRDefault="00117B3B" w:rsidP="00117B3B">
            <w:pPr>
              <w:pStyle w:val="Figure"/>
            </w:pPr>
          </w:p>
        </w:tc>
      </w:tr>
      <w:tr w:rsidR="00117B3B" w:rsidRPr="00176D3F" w:rsidTr="00117B3B">
        <w:tc>
          <w:tcPr>
            <w:tcW w:w="8771" w:type="dxa"/>
            <w:tcBorders>
              <w:top w:val="nil"/>
              <w:left w:val="nil"/>
              <w:bottom w:val="nil"/>
              <w:right w:val="nil"/>
            </w:tcBorders>
            <w:shd w:val="clear" w:color="auto" w:fill="auto"/>
          </w:tcPr>
          <w:p w:rsidR="00117B3B" w:rsidRPr="00176D3F" w:rsidRDefault="00117B3B" w:rsidP="00370AA8">
            <w:pPr>
              <w:pStyle w:val="Note"/>
            </w:pPr>
            <w:r>
              <w:rPr>
                <w:rStyle w:val="NoteLabel"/>
              </w:rPr>
              <w:t>a</w:t>
            </w:r>
            <w:r>
              <w:t xml:space="preserve"> </w:t>
            </w:r>
            <w:r>
              <w:rPr>
                <w:rStyle w:val="NoteLabel"/>
                <w:b w:val="0"/>
                <w:position w:val="0"/>
              </w:rPr>
              <w:t>See box 9.</w:t>
            </w:r>
            <w:r w:rsidR="00370AA8">
              <w:rPr>
                <w:rStyle w:val="NoteLabel"/>
                <w:b w:val="0"/>
                <w:position w:val="0"/>
              </w:rPr>
              <w:t>9</w:t>
            </w:r>
            <w:r>
              <w:rPr>
                <w:rStyle w:val="NoteLabel"/>
                <w:b w:val="0"/>
                <w:position w:val="0"/>
              </w:rPr>
              <w:t xml:space="preserve"> and table </w:t>
            </w:r>
            <w:proofErr w:type="spellStart"/>
            <w:r>
              <w:rPr>
                <w:rStyle w:val="NoteLabel"/>
                <w:b w:val="0"/>
                <w:position w:val="0"/>
              </w:rPr>
              <w:t>9A.6</w:t>
            </w:r>
            <w:proofErr w:type="spellEnd"/>
            <w:r>
              <w:rPr>
                <w:rStyle w:val="NoteLabel"/>
                <w:b w:val="0"/>
                <w:position w:val="0"/>
              </w:rPr>
              <w:t xml:space="preserve"> </w:t>
            </w:r>
            <w:r>
              <w:t xml:space="preserve">for </w:t>
            </w:r>
            <w:r w:rsidRPr="00327D09">
              <w:t>detailed definitions, footnotes and caveats</w:t>
            </w:r>
            <w:r>
              <w:t>.</w:t>
            </w:r>
          </w:p>
        </w:tc>
      </w:tr>
      <w:tr w:rsidR="00117B3B" w:rsidRPr="00176D3F" w:rsidTr="00117B3B">
        <w:tc>
          <w:tcPr>
            <w:tcW w:w="8771" w:type="dxa"/>
            <w:tcBorders>
              <w:top w:val="nil"/>
              <w:left w:val="nil"/>
              <w:bottom w:val="nil"/>
              <w:right w:val="nil"/>
            </w:tcBorders>
            <w:shd w:val="clear" w:color="auto" w:fill="auto"/>
          </w:tcPr>
          <w:p w:rsidR="00117B3B" w:rsidRPr="00176D3F" w:rsidRDefault="00117B3B" w:rsidP="008842D8">
            <w:pPr>
              <w:pStyle w:val="Source"/>
            </w:pPr>
            <w:r>
              <w:rPr>
                <w:i/>
              </w:rPr>
              <w:t>S</w:t>
            </w:r>
            <w:r w:rsidRPr="00784A05">
              <w:rPr>
                <w:i/>
              </w:rPr>
              <w:t>ource</w:t>
            </w:r>
            <w:r w:rsidRPr="00176D3F">
              <w:t xml:space="preserve">: </w:t>
            </w:r>
            <w:r w:rsidRPr="002605A8">
              <w:t>ABS (201</w:t>
            </w:r>
            <w:r w:rsidR="008842D8">
              <w:t>6</w:t>
            </w:r>
            <w:r w:rsidRPr="002605A8">
              <w:t xml:space="preserve">) </w:t>
            </w:r>
            <w:r w:rsidRPr="002605A8">
              <w:rPr>
                <w:i/>
              </w:rPr>
              <w:t>Causes of Death, Australia</w:t>
            </w:r>
            <w:r w:rsidRPr="002605A8">
              <w:t>, Cat. no. 3303.0; table </w:t>
            </w:r>
            <w:proofErr w:type="spellStart"/>
            <w:r w:rsidRPr="002605A8">
              <w:t>9A.6</w:t>
            </w:r>
            <w:proofErr w:type="spellEnd"/>
            <w:r w:rsidRPr="002605A8">
              <w:t>.</w:t>
            </w:r>
          </w:p>
        </w:tc>
      </w:tr>
      <w:tr w:rsidR="00117B3B" w:rsidTr="00117B3B">
        <w:tc>
          <w:tcPr>
            <w:tcW w:w="8771" w:type="dxa"/>
            <w:tcBorders>
              <w:top w:val="nil"/>
              <w:left w:val="nil"/>
              <w:bottom w:val="single" w:sz="6" w:space="0" w:color="78A22F"/>
              <w:right w:val="nil"/>
            </w:tcBorders>
            <w:shd w:val="clear" w:color="auto" w:fill="auto"/>
          </w:tcPr>
          <w:p w:rsidR="00117B3B" w:rsidRDefault="00117B3B" w:rsidP="00117B3B">
            <w:pPr>
              <w:pStyle w:val="Figurespace"/>
            </w:pPr>
          </w:p>
        </w:tc>
      </w:tr>
      <w:tr w:rsidR="00117B3B" w:rsidRPr="000863A5" w:rsidTr="00117B3B">
        <w:tc>
          <w:tcPr>
            <w:tcW w:w="8771" w:type="dxa"/>
            <w:tcBorders>
              <w:top w:val="single" w:sz="6" w:space="0" w:color="78A22F"/>
              <w:left w:val="nil"/>
              <w:bottom w:val="nil"/>
              <w:right w:val="nil"/>
            </w:tcBorders>
          </w:tcPr>
          <w:p w:rsidR="00117B3B" w:rsidRPr="00626D32" w:rsidRDefault="00117B3B" w:rsidP="00117B3B">
            <w:pPr>
              <w:pStyle w:val="BoxSpaceBelow"/>
            </w:pPr>
          </w:p>
        </w:tc>
      </w:tr>
    </w:tbl>
    <w:p w:rsidR="00117B3B" w:rsidRPr="00984AC3" w:rsidRDefault="00117B3B" w:rsidP="00117B3B">
      <w:pPr>
        <w:pStyle w:val="BodyText"/>
        <w:rPr>
          <w:color w:val="000000" w:themeColor="text1"/>
        </w:rPr>
      </w:pPr>
      <w:r w:rsidRPr="0054109B">
        <w:lastRenderedPageBreak/>
        <w:t>Annual fire death rates can be particularly volatile because of the small number of fire deaths and the influence of large irregular fire events</w:t>
      </w:r>
      <w:r w:rsidR="004C0551">
        <w:t xml:space="preserve">. </w:t>
      </w:r>
      <w:r w:rsidRPr="00C7198A">
        <w:t xml:space="preserve">One method to overcome data volatility </w:t>
      </w:r>
      <w:r w:rsidRPr="00984AC3">
        <w:rPr>
          <w:color w:val="000000" w:themeColor="text1"/>
        </w:rPr>
        <w:t>is to present fire dea</w:t>
      </w:r>
      <w:r w:rsidR="004C0551">
        <w:rPr>
          <w:color w:val="000000" w:themeColor="text1"/>
        </w:rPr>
        <w:t>th rates as three</w:t>
      </w:r>
      <w:r w:rsidR="004C0551">
        <w:rPr>
          <w:color w:val="000000" w:themeColor="text1"/>
        </w:rPr>
        <w:noBreakHyphen/>
        <w:t xml:space="preserve">year averages. </w:t>
      </w:r>
      <w:r w:rsidRPr="00984AC3">
        <w:rPr>
          <w:color w:val="000000" w:themeColor="text1"/>
        </w:rPr>
        <w:t>Alternatively, annual death rates can be viewed over a longer time series to help identify any underlying trends. Nationally, in the ten years from 200</w:t>
      </w:r>
      <w:r w:rsidR="004C0551">
        <w:rPr>
          <w:color w:val="000000" w:themeColor="text1"/>
        </w:rPr>
        <w:t>6</w:t>
      </w:r>
      <w:r w:rsidRPr="00984AC3">
        <w:rPr>
          <w:color w:val="000000" w:themeColor="text1"/>
        </w:rPr>
        <w:t>–</w:t>
      </w:r>
      <w:r w:rsidR="00524ACA">
        <w:rPr>
          <w:color w:val="000000" w:themeColor="text1"/>
        </w:rPr>
        <w:t>20</w:t>
      </w:r>
      <w:r w:rsidRPr="00984AC3">
        <w:rPr>
          <w:color w:val="000000" w:themeColor="text1"/>
        </w:rPr>
        <w:t>1</w:t>
      </w:r>
      <w:r w:rsidR="004C0551">
        <w:rPr>
          <w:color w:val="000000" w:themeColor="text1"/>
        </w:rPr>
        <w:t>5</w:t>
      </w:r>
      <w:r w:rsidR="00C8655C">
        <w:rPr>
          <w:color w:val="000000" w:themeColor="text1"/>
        </w:rPr>
        <w:t xml:space="preserve">, </w:t>
      </w:r>
      <w:r w:rsidRPr="00984AC3">
        <w:rPr>
          <w:color w:val="000000" w:themeColor="text1"/>
        </w:rPr>
        <w:t xml:space="preserve">the average deaths per million people was </w:t>
      </w:r>
      <w:r w:rsidR="0074054E">
        <w:rPr>
          <w:color w:val="000000" w:themeColor="text1"/>
        </w:rPr>
        <w:t>6.0</w:t>
      </w:r>
      <w:r w:rsidR="004C0551">
        <w:rPr>
          <w:color w:val="000000" w:themeColor="text1"/>
        </w:rPr>
        <w:t xml:space="preserve"> (table </w:t>
      </w:r>
      <w:proofErr w:type="spellStart"/>
      <w:r w:rsidR="004C0551">
        <w:rPr>
          <w:color w:val="000000" w:themeColor="text1"/>
        </w:rPr>
        <w:t>9A.6</w:t>
      </w:r>
      <w:proofErr w:type="spellEnd"/>
      <w:r w:rsidR="004C0551">
        <w:rPr>
          <w:color w:val="000000" w:themeColor="text1"/>
        </w:rPr>
        <w:t>).</w:t>
      </w:r>
    </w:p>
    <w:p w:rsidR="000566C9" w:rsidRPr="00AB73AD" w:rsidRDefault="000566C9" w:rsidP="000566C9">
      <w:pPr>
        <w:pStyle w:val="Heading5"/>
      </w:pPr>
      <w:r w:rsidRPr="00AB73AD">
        <w:t>Fire death rate — Landscape fire death rate</w:t>
      </w:r>
    </w:p>
    <w:p w:rsidR="000566C9" w:rsidRDefault="000566C9" w:rsidP="000566C9">
      <w:pPr>
        <w:pStyle w:val="BodyText"/>
      </w:pPr>
      <w:r w:rsidRPr="00AB73AD">
        <w:t>Nationally, comparatively few deaths are relate</w:t>
      </w:r>
      <w:r>
        <w:t>d to landscape fires annually (</w:t>
      </w:r>
      <w:r w:rsidR="00194C63">
        <w:t>10</w:t>
      </w:r>
      <w:r w:rsidR="00596BE4">
        <w:t xml:space="preserve"> </w:t>
      </w:r>
      <w:r>
        <w:t>deaths in 201</w:t>
      </w:r>
      <w:r w:rsidR="00596BE4">
        <w:t>5</w:t>
      </w:r>
      <w:r>
        <w:noBreakHyphen/>
        <w:t>1</w:t>
      </w:r>
      <w:r w:rsidR="00596BE4">
        <w:t>6</w:t>
      </w:r>
      <w:r w:rsidR="00194C63">
        <w:t xml:space="preserve">), </w:t>
      </w:r>
      <w:r>
        <w:t>although</w:t>
      </w:r>
      <w:r w:rsidRPr="00AB73AD">
        <w:t xml:space="preserve"> </w:t>
      </w:r>
      <w:r>
        <w:t>t</w:t>
      </w:r>
      <w:r w:rsidRPr="00AB73AD">
        <w:t>he landscape fire death rate is punctuated by large, irregular events (table</w:t>
      </w:r>
      <w:r>
        <w:t> 9.</w:t>
      </w:r>
      <w:r w:rsidR="002E18E0">
        <w:t>2</w:t>
      </w:r>
      <w:r w:rsidRPr="00A90E73">
        <w:t xml:space="preserve"> and </w:t>
      </w:r>
      <w:proofErr w:type="spellStart"/>
      <w:r w:rsidRPr="00A90E73">
        <w:t>9A.8</w:t>
      </w:r>
      <w:proofErr w:type="spellEnd"/>
      <w:r w:rsidRPr="00AB73AD">
        <w:t>). To assist in identifying underlying trends in the annual landscape fire death series, a 30 year time series is provided in table </w:t>
      </w:r>
      <w:proofErr w:type="spellStart"/>
      <w:r w:rsidRPr="00AB73AD">
        <w:t>9A.</w:t>
      </w:r>
      <w:r>
        <w:t>8</w:t>
      </w:r>
      <w:proofErr w:type="spellEnd"/>
      <w:r w:rsidRPr="00AB73AD">
        <w:t>.</w:t>
      </w:r>
    </w:p>
    <w:p w:rsidR="000566C9" w:rsidRDefault="000566C9" w:rsidP="005077BB">
      <w:pPr>
        <w:pStyle w:val="BoxSpaceAbove"/>
        <w:keepLines/>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0566C9" w:rsidTr="0027350D">
        <w:tc>
          <w:tcPr>
            <w:tcW w:w="8771" w:type="dxa"/>
            <w:tcBorders>
              <w:top w:val="single" w:sz="6" w:space="0" w:color="78A22F"/>
              <w:left w:val="nil"/>
              <w:bottom w:val="nil"/>
              <w:right w:val="nil"/>
            </w:tcBorders>
            <w:shd w:val="clear" w:color="auto" w:fill="auto"/>
          </w:tcPr>
          <w:p w:rsidR="000566C9" w:rsidRPr="00784A05" w:rsidRDefault="000566C9" w:rsidP="002E18E0">
            <w:pPr>
              <w:pStyle w:val="TableTitle"/>
            </w:pPr>
            <w:r>
              <w:rPr>
                <w:b w:val="0"/>
              </w:rPr>
              <w:t>Table 9</w:t>
            </w:r>
            <w:r w:rsidR="00596BE4">
              <w:rPr>
                <w:b w:val="0"/>
              </w:rPr>
              <w:t>.</w:t>
            </w:r>
            <w:r w:rsidR="002E18E0">
              <w:rPr>
                <w:b w:val="0"/>
              </w:rPr>
              <w:t>2</w:t>
            </w:r>
            <w:r>
              <w:tab/>
            </w:r>
            <w:r w:rsidRPr="00DF3677">
              <w:t>Landscape fire death</w:t>
            </w:r>
            <w:r>
              <w:t>s</w:t>
            </w:r>
            <w:r w:rsidRPr="00F96DE4">
              <w:rPr>
                <w:rStyle w:val="NoteLabel"/>
                <w:b/>
              </w:rPr>
              <w:t>a</w:t>
            </w:r>
          </w:p>
        </w:tc>
      </w:tr>
      <w:tr w:rsidR="000566C9" w:rsidTr="0027350D">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848"/>
              <w:gridCol w:w="848"/>
              <w:gridCol w:w="848"/>
              <w:gridCol w:w="849"/>
              <w:gridCol w:w="849"/>
              <w:gridCol w:w="849"/>
              <w:gridCol w:w="849"/>
              <w:gridCol w:w="849"/>
              <w:gridCol w:w="849"/>
              <w:gridCol w:w="849"/>
            </w:tblGrid>
            <w:tr w:rsidR="00BB118F" w:rsidTr="00BB118F">
              <w:tc>
                <w:tcPr>
                  <w:tcW w:w="500" w:type="pct"/>
                  <w:tcBorders>
                    <w:top w:val="single" w:sz="6" w:space="0" w:color="BFBFBF"/>
                    <w:bottom w:val="single" w:sz="6" w:space="0" w:color="BFBFBF"/>
                  </w:tcBorders>
                  <w:shd w:val="clear" w:color="auto" w:fill="auto"/>
                  <w:tcMar>
                    <w:top w:w="28" w:type="dxa"/>
                  </w:tcMar>
                </w:tcPr>
                <w:p w:rsidR="00BB118F" w:rsidRDefault="00BB118F" w:rsidP="000F3417">
                  <w:pPr>
                    <w:pStyle w:val="TableColumnHeading"/>
                    <w:ind w:right="28"/>
                    <w:jc w:val="left"/>
                  </w:pPr>
                </w:p>
              </w:tc>
              <w:tc>
                <w:tcPr>
                  <w:tcW w:w="500" w:type="pct"/>
                  <w:tcBorders>
                    <w:top w:val="single" w:sz="6" w:space="0" w:color="BFBFBF"/>
                    <w:bottom w:val="single" w:sz="6" w:space="0" w:color="BFBFBF"/>
                  </w:tcBorders>
                  <w:shd w:val="clear" w:color="auto" w:fill="auto"/>
                </w:tcPr>
                <w:p w:rsidR="00BB118F" w:rsidRPr="00276406" w:rsidRDefault="00BB118F" w:rsidP="00276406">
                  <w:pPr>
                    <w:pStyle w:val="TableColumnHeading"/>
                  </w:pPr>
                  <w:r w:rsidRPr="00276406">
                    <w:t>NSW</w:t>
                  </w:r>
                </w:p>
              </w:tc>
              <w:tc>
                <w:tcPr>
                  <w:tcW w:w="500" w:type="pct"/>
                  <w:tcBorders>
                    <w:top w:val="single" w:sz="6" w:space="0" w:color="BFBFBF"/>
                    <w:bottom w:val="single" w:sz="6" w:space="0" w:color="BFBFBF"/>
                  </w:tcBorders>
                  <w:shd w:val="clear" w:color="auto" w:fill="auto"/>
                </w:tcPr>
                <w:p w:rsidR="00BB118F" w:rsidRPr="00276406" w:rsidRDefault="00BB118F" w:rsidP="00276406">
                  <w:pPr>
                    <w:pStyle w:val="TableColumnHeading"/>
                  </w:pPr>
                  <w:r w:rsidRPr="00276406">
                    <w:t>Vic</w:t>
                  </w:r>
                </w:p>
              </w:tc>
              <w:tc>
                <w:tcPr>
                  <w:tcW w:w="500" w:type="pct"/>
                  <w:tcBorders>
                    <w:top w:val="single" w:sz="6" w:space="0" w:color="BFBFBF"/>
                    <w:bottom w:val="single" w:sz="6" w:space="0" w:color="BFBFBF"/>
                  </w:tcBorders>
                  <w:shd w:val="clear" w:color="auto" w:fill="auto"/>
                </w:tcPr>
                <w:p w:rsidR="00BB118F" w:rsidRPr="00276406" w:rsidRDefault="00BB118F" w:rsidP="00276406">
                  <w:pPr>
                    <w:pStyle w:val="TableColumnHeading"/>
                  </w:pPr>
                  <w:r w:rsidRPr="00276406">
                    <w:t>Qld</w:t>
                  </w:r>
                </w:p>
              </w:tc>
              <w:tc>
                <w:tcPr>
                  <w:tcW w:w="500" w:type="pct"/>
                  <w:tcBorders>
                    <w:top w:val="single" w:sz="6" w:space="0" w:color="BFBFBF"/>
                    <w:bottom w:val="single" w:sz="6" w:space="0" w:color="BFBFBF"/>
                  </w:tcBorders>
                  <w:shd w:val="clear" w:color="auto" w:fill="auto"/>
                </w:tcPr>
                <w:p w:rsidR="00BB118F" w:rsidRPr="00276406" w:rsidRDefault="00BB118F" w:rsidP="00276406">
                  <w:pPr>
                    <w:pStyle w:val="TableColumnHeading"/>
                  </w:pPr>
                  <w:r w:rsidRPr="00276406">
                    <w:t>WA</w:t>
                  </w:r>
                </w:p>
              </w:tc>
              <w:tc>
                <w:tcPr>
                  <w:tcW w:w="500" w:type="pct"/>
                  <w:tcBorders>
                    <w:top w:val="single" w:sz="6" w:space="0" w:color="BFBFBF"/>
                    <w:bottom w:val="single" w:sz="6" w:space="0" w:color="BFBFBF"/>
                  </w:tcBorders>
                  <w:shd w:val="clear" w:color="auto" w:fill="auto"/>
                </w:tcPr>
                <w:p w:rsidR="00BB118F" w:rsidRPr="00276406" w:rsidRDefault="00BB118F" w:rsidP="00276406">
                  <w:pPr>
                    <w:pStyle w:val="TableColumnHeading"/>
                  </w:pPr>
                  <w:r w:rsidRPr="00276406">
                    <w:t>SA</w:t>
                  </w:r>
                </w:p>
              </w:tc>
              <w:tc>
                <w:tcPr>
                  <w:tcW w:w="500" w:type="pct"/>
                  <w:tcBorders>
                    <w:top w:val="single" w:sz="6" w:space="0" w:color="BFBFBF"/>
                    <w:bottom w:val="single" w:sz="6" w:space="0" w:color="BFBFBF"/>
                  </w:tcBorders>
                  <w:shd w:val="clear" w:color="auto" w:fill="auto"/>
                </w:tcPr>
                <w:p w:rsidR="00BB118F" w:rsidRPr="00276406" w:rsidRDefault="00BB118F" w:rsidP="00276406">
                  <w:pPr>
                    <w:pStyle w:val="TableColumnHeading"/>
                  </w:pPr>
                  <w:proofErr w:type="spellStart"/>
                  <w:r w:rsidRPr="00276406">
                    <w:t>Tas</w:t>
                  </w:r>
                  <w:proofErr w:type="spellEnd"/>
                </w:p>
              </w:tc>
              <w:tc>
                <w:tcPr>
                  <w:tcW w:w="500" w:type="pct"/>
                  <w:tcBorders>
                    <w:top w:val="single" w:sz="6" w:space="0" w:color="BFBFBF"/>
                    <w:bottom w:val="single" w:sz="6" w:space="0" w:color="BFBFBF"/>
                  </w:tcBorders>
                  <w:shd w:val="clear" w:color="auto" w:fill="auto"/>
                </w:tcPr>
                <w:p w:rsidR="00BB118F" w:rsidRPr="00276406" w:rsidRDefault="00BB118F" w:rsidP="00276406">
                  <w:pPr>
                    <w:pStyle w:val="TableColumnHeading"/>
                  </w:pPr>
                  <w:r w:rsidRPr="00276406">
                    <w:t>ACT</w:t>
                  </w:r>
                </w:p>
              </w:tc>
              <w:tc>
                <w:tcPr>
                  <w:tcW w:w="500" w:type="pct"/>
                  <w:tcBorders>
                    <w:top w:val="single" w:sz="6" w:space="0" w:color="BFBFBF"/>
                    <w:bottom w:val="single" w:sz="6" w:space="0" w:color="BFBFBF"/>
                  </w:tcBorders>
                  <w:shd w:val="clear" w:color="auto" w:fill="auto"/>
                </w:tcPr>
                <w:p w:rsidR="00BB118F" w:rsidRPr="00276406" w:rsidRDefault="00BB118F" w:rsidP="00276406">
                  <w:pPr>
                    <w:pStyle w:val="TableColumnHeading"/>
                  </w:pPr>
                  <w:r w:rsidRPr="00276406">
                    <w:t>NT</w:t>
                  </w:r>
                </w:p>
              </w:tc>
              <w:tc>
                <w:tcPr>
                  <w:tcW w:w="500" w:type="pct"/>
                  <w:tcBorders>
                    <w:top w:val="single" w:sz="6" w:space="0" w:color="BFBFBF"/>
                    <w:bottom w:val="single" w:sz="6" w:space="0" w:color="BFBFBF"/>
                  </w:tcBorders>
                  <w:shd w:val="clear" w:color="auto" w:fill="auto"/>
                </w:tcPr>
                <w:p w:rsidR="00BB118F" w:rsidRDefault="00BB118F" w:rsidP="000F3417">
                  <w:pPr>
                    <w:pStyle w:val="TableColumnHeading"/>
                    <w:ind w:right="28"/>
                  </w:pPr>
                  <w:proofErr w:type="spellStart"/>
                  <w:r>
                    <w:t>Aust</w:t>
                  </w:r>
                  <w:proofErr w:type="spellEnd"/>
                </w:p>
              </w:tc>
            </w:tr>
            <w:tr w:rsidR="00186401" w:rsidTr="006865A2">
              <w:tc>
                <w:tcPr>
                  <w:tcW w:w="500" w:type="pct"/>
                  <w:tcBorders>
                    <w:top w:val="single" w:sz="6" w:space="0" w:color="BFBFBF"/>
                  </w:tcBorders>
                </w:tcPr>
                <w:p w:rsidR="00186401" w:rsidRDefault="00186401" w:rsidP="000F3417">
                  <w:pPr>
                    <w:pStyle w:val="TableBodyText"/>
                    <w:ind w:right="28"/>
                    <w:jc w:val="left"/>
                  </w:pPr>
                  <w:r>
                    <w:t>2011-12</w:t>
                  </w:r>
                </w:p>
              </w:tc>
              <w:tc>
                <w:tcPr>
                  <w:tcW w:w="500" w:type="pct"/>
                  <w:tcBorders>
                    <w:top w:val="single" w:sz="6" w:space="0" w:color="BFBFBF"/>
                  </w:tcBorders>
                  <w:vAlign w:val="center"/>
                </w:tcPr>
                <w:p w:rsidR="00186401" w:rsidRPr="00276406" w:rsidRDefault="00186401" w:rsidP="00276406">
                  <w:pPr>
                    <w:pStyle w:val="TableBodyText"/>
                    <w:rPr>
                      <w:szCs w:val="18"/>
                    </w:rPr>
                  </w:pPr>
                  <w:bookmarkStart w:id="8" w:name="RANGE!T9"/>
                  <w:r w:rsidRPr="00276406">
                    <w:rPr>
                      <w:szCs w:val="18"/>
                    </w:rPr>
                    <w:t>–</w:t>
                  </w:r>
                  <w:bookmarkEnd w:id="8"/>
                </w:p>
              </w:tc>
              <w:tc>
                <w:tcPr>
                  <w:tcW w:w="500" w:type="pct"/>
                  <w:tcBorders>
                    <w:top w:val="single" w:sz="6" w:space="0" w:color="BFBFBF"/>
                  </w:tcBorders>
                  <w:vAlign w:val="center"/>
                </w:tcPr>
                <w:p w:rsidR="00186401" w:rsidRPr="00276406" w:rsidRDefault="00186401" w:rsidP="00276406">
                  <w:pPr>
                    <w:pStyle w:val="TableBodyText"/>
                    <w:rPr>
                      <w:szCs w:val="18"/>
                    </w:rPr>
                  </w:pPr>
                  <w:bookmarkStart w:id="9" w:name="RANGE!U9"/>
                  <w:r w:rsidRPr="00276406">
                    <w:rPr>
                      <w:szCs w:val="18"/>
                    </w:rPr>
                    <w:t xml:space="preserve">  1</w:t>
                  </w:r>
                  <w:bookmarkEnd w:id="9"/>
                </w:p>
              </w:tc>
              <w:tc>
                <w:tcPr>
                  <w:tcW w:w="500" w:type="pct"/>
                  <w:tcBorders>
                    <w:top w:val="single" w:sz="6" w:space="0" w:color="BFBFBF"/>
                  </w:tcBorders>
                  <w:vAlign w:val="center"/>
                </w:tcPr>
                <w:p w:rsidR="00186401" w:rsidRPr="00276406" w:rsidRDefault="00186401" w:rsidP="00276406">
                  <w:pPr>
                    <w:pStyle w:val="TableBodyText"/>
                    <w:rPr>
                      <w:szCs w:val="18"/>
                    </w:rPr>
                  </w:pPr>
                  <w:bookmarkStart w:id="10" w:name="RANGE!V9"/>
                  <w:r w:rsidRPr="00276406">
                    <w:rPr>
                      <w:szCs w:val="18"/>
                    </w:rPr>
                    <w:t xml:space="preserve">  1</w:t>
                  </w:r>
                  <w:bookmarkEnd w:id="10"/>
                </w:p>
              </w:tc>
              <w:tc>
                <w:tcPr>
                  <w:tcW w:w="500" w:type="pct"/>
                  <w:tcBorders>
                    <w:top w:val="single" w:sz="6" w:space="0" w:color="BFBFBF"/>
                  </w:tcBorders>
                  <w:vAlign w:val="center"/>
                </w:tcPr>
                <w:p w:rsidR="00186401" w:rsidRPr="00276406" w:rsidRDefault="00186401" w:rsidP="00276406">
                  <w:pPr>
                    <w:pStyle w:val="TableBodyText"/>
                    <w:rPr>
                      <w:szCs w:val="18"/>
                    </w:rPr>
                  </w:pPr>
                  <w:bookmarkStart w:id="11" w:name="RANGE!W9"/>
                  <w:r w:rsidRPr="00276406">
                    <w:rPr>
                      <w:szCs w:val="18"/>
                    </w:rPr>
                    <w:t>–</w:t>
                  </w:r>
                  <w:bookmarkEnd w:id="11"/>
                </w:p>
              </w:tc>
              <w:tc>
                <w:tcPr>
                  <w:tcW w:w="500" w:type="pct"/>
                  <w:tcBorders>
                    <w:top w:val="single" w:sz="6" w:space="0" w:color="BFBFBF"/>
                  </w:tcBorders>
                  <w:vAlign w:val="center"/>
                </w:tcPr>
                <w:p w:rsidR="00186401" w:rsidRPr="00276406" w:rsidRDefault="00186401" w:rsidP="00276406">
                  <w:pPr>
                    <w:pStyle w:val="TableBodyText"/>
                    <w:rPr>
                      <w:szCs w:val="18"/>
                    </w:rPr>
                  </w:pPr>
                  <w:bookmarkStart w:id="12" w:name="RANGE!X9"/>
                  <w:r w:rsidRPr="00276406">
                    <w:rPr>
                      <w:szCs w:val="18"/>
                    </w:rPr>
                    <w:t>–</w:t>
                  </w:r>
                  <w:bookmarkEnd w:id="12"/>
                </w:p>
              </w:tc>
              <w:tc>
                <w:tcPr>
                  <w:tcW w:w="500" w:type="pct"/>
                  <w:tcBorders>
                    <w:top w:val="single" w:sz="6" w:space="0" w:color="BFBFBF"/>
                  </w:tcBorders>
                  <w:vAlign w:val="center"/>
                </w:tcPr>
                <w:p w:rsidR="00186401" w:rsidRPr="00276406" w:rsidRDefault="00186401" w:rsidP="00276406">
                  <w:pPr>
                    <w:pStyle w:val="TableBodyText"/>
                    <w:rPr>
                      <w:szCs w:val="18"/>
                    </w:rPr>
                  </w:pPr>
                  <w:bookmarkStart w:id="13" w:name="RANGE!Y9"/>
                  <w:r w:rsidRPr="00276406">
                    <w:rPr>
                      <w:szCs w:val="18"/>
                    </w:rPr>
                    <w:t>–</w:t>
                  </w:r>
                  <w:bookmarkEnd w:id="13"/>
                </w:p>
              </w:tc>
              <w:tc>
                <w:tcPr>
                  <w:tcW w:w="500" w:type="pct"/>
                  <w:tcBorders>
                    <w:top w:val="single" w:sz="6" w:space="0" w:color="BFBFBF"/>
                  </w:tcBorders>
                  <w:vAlign w:val="center"/>
                </w:tcPr>
                <w:p w:rsidR="00186401" w:rsidRPr="00276406" w:rsidRDefault="00186401" w:rsidP="00276406">
                  <w:pPr>
                    <w:pStyle w:val="TableBodyText"/>
                    <w:rPr>
                      <w:szCs w:val="18"/>
                    </w:rPr>
                  </w:pPr>
                  <w:bookmarkStart w:id="14" w:name="RANGE!Z9"/>
                  <w:r w:rsidRPr="00276406">
                    <w:rPr>
                      <w:szCs w:val="18"/>
                    </w:rPr>
                    <w:t>–</w:t>
                  </w:r>
                  <w:bookmarkEnd w:id="14"/>
                </w:p>
              </w:tc>
              <w:tc>
                <w:tcPr>
                  <w:tcW w:w="500" w:type="pct"/>
                  <w:tcBorders>
                    <w:top w:val="single" w:sz="6" w:space="0" w:color="BFBFBF"/>
                  </w:tcBorders>
                  <w:vAlign w:val="center"/>
                </w:tcPr>
                <w:p w:rsidR="00186401" w:rsidRPr="00276406" w:rsidRDefault="00186401" w:rsidP="00276406">
                  <w:pPr>
                    <w:pStyle w:val="TableBodyText"/>
                    <w:rPr>
                      <w:szCs w:val="18"/>
                    </w:rPr>
                  </w:pPr>
                  <w:bookmarkStart w:id="15" w:name="RANGE!AA9"/>
                  <w:r w:rsidRPr="00276406">
                    <w:rPr>
                      <w:szCs w:val="18"/>
                    </w:rPr>
                    <w:t>–</w:t>
                  </w:r>
                  <w:bookmarkEnd w:id="15"/>
                </w:p>
              </w:tc>
              <w:tc>
                <w:tcPr>
                  <w:tcW w:w="500" w:type="pct"/>
                  <w:tcBorders>
                    <w:top w:val="single" w:sz="6" w:space="0" w:color="BFBFBF"/>
                  </w:tcBorders>
                  <w:vAlign w:val="center"/>
                </w:tcPr>
                <w:p w:rsidR="00186401" w:rsidRPr="00276406" w:rsidRDefault="00186401">
                  <w:pPr>
                    <w:jc w:val="right"/>
                    <w:rPr>
                      <w:rFonts w:ascii="Arial" w:hAnsi="Arial" w:cs="Arial"/>
                      <w:sz w:val="18"/>
                      <w:szCs w:val="18"/>
                    </w:rPr>
                  </w:pPr>
                  <w:bookmarkStart w:id="16" w:name="RANGE!AB9"/>
                  <w:r w:rsidRPr="00276406">
                    <w:rPr>
                      <w:rFonts w:ascii="Arial" w:hAnsi="Arial" w:cs="Arial"/>
                      <w:sz w:val="18"/>
                      <w:szCs w:val="18"/>
                    </w:rPr>
                    <w:t xml:space="preserve">  2</w:t>
                  </w:r>
                  <w:bookmarkEnd w:id="16"/>
                </w:p>
              </w:tc>
            </w:tr>
            <w:tr w:rsidR="00186401" w:rsidTr="006865A2">
              <w:tc>
                <w:tcPr>
                  <w:tcW w:w="500" w:type="pct"/>
                </w:tcPr>
                <w:p w:rsidR="00186401" w:rsidRDefault="00186401" w:rsidP="000F3417">
                  <w:pPr>
                    <w:pStyle w:val="TableBodyText"/>
                    <w:ind w:right="28"/>
                    <w:jc w:val="left"/>
                  </w:pPr>
                  <w:r>
                    <w:t>2012-13</w:t>
                  </w:r>
                </w:p>
              </w:tc>
              <w:tc>
                <w:tcPr>
                  <w:tcW w:w="500" w:type="pct"/>
                  <w:vAlign w:val="center"/>
                </w:tcPr>
                <w:p w:rsidR="00186401" w:rsidRPr="00276406" w:rsidRDefault="00186401" w:rsidP="00276406">
                  <w:pPr>
                    <w:pStyle w:val="TableBodyText"/>
                    <w:rPr>
                      <w:szCs w:val="18"/>
                    </w:rPr>
                  </w:pPr>
                  <w:bookmarkStart w:id="17" w:name="RANGE!T8"/>
                  <w:r w:rsidRPr="00276406">
                    <w:rPr>
                      <w:szCs w:val="18"/>
                    </w:rPr>
                    <w:t>–</w:t>
                  </w:r>
                  <w:bookmarkEnd w:id="17"/>
                </w:p>
              </w:tc>
              <w:tc>
                <w:tcPr>
                  <w:tcW w:w="500" w:type="pct"/>
                  <w:vAlign w:val="center"/>
                </w:tcPr>
                <w:p w:rsidR="00186401" w:rsidRPr="00276406" w:rsidRDefault="00186401" w:rsidP="00276406">
                  <w:pPr>
                    <w:pStyle w:val="TableBodyText"/>
                    <w:rPr>
                      <w:szCs w:val="18"/>
                    </w:rPr>
                  </w:pPr>
                  <w:bookmarkStart w:id="18" w:name="RANGE!U8"/>
                  <w:r w:rsidRPr="00276406">
                    <w:rPr>
                      <w:szCs w:val="18"/>
                    </w:rPr>
                    <w:t xml:space="preserve">  5</w:t>
                  </w:r>
                  <w:bookmarkEnd w:id="18"/>
                </w:p>
              </w:tc>
              <w:tc>
                <w:tcPr>
                  <w:tcW w:w="500" w:type="pct"/>
                  <w:vAlign w:val="center"/>
                </w:tcPr>
                <w:p w:rsidR="00186401" w:rsidRPr="00276406" w:rsidRDefault="00186401" w:rsidP="00276406">
                  <w:pPr>
                    <w:pStyle w:val="TableBodyText"/>
                    <w:rPr>
                      <w:szCs w:val="18"/>
                    </w:rPr>
                  </w:pPr>
                  <w:bookmarkStart w:id="19" w:name="RANGE!V8"/>
                  <w:r w:rsidRPr="00276406">
                    <w:rPr>
                      <w:szCs w:val="18"/>
                    </w:rPr>
                    <w:t>–</w:t>
                  </w:r>
                  <w:bookmarkEnd w:id="19"/>
                </w:p>
              </w:tc>
              <w:tc>
                <w:tcPr>
                  <w:tcW w:w="500" w:type="pct"/>
                  <w:vAlign w:val="center"/>
                </w:tcPr>
                <w:p w:rsidR="00186401" w:rsidRPr="00276406" w:rsidRDefault="00186401" w:rsidP="00276406">
                  <w:pPr>
                    <w:pStyle w:val="TableBodyText"/>
                    <w:rPr>
                      <w:szCs w:val="18"/>
                    </w:rPr>
                  </w:pPr>
                  <w:bookmarkStart w:id="20" w:name="RANGE!W8"/>
                  <w:r w:rsidRPr="00276406">
                    <w:rPr>
                      <w:szCs w:val="18"/>
                    </w:rPr>
                    <w:t xml:space="preserve">  3</w:t>
                  </w:r>
                  <w:bookmarkEnd w:id="20"/>
                </w:p>
              </w:tc>
              <w:tc>
                <w:tcPr>
                  <w:tcW w:w="500" w:type="pct"/>
                  <w:vAlign w:val="center"/>
                </w:tcPr>
                <w:p w:rsidR="00186401" w:rsidRPr="00276406" w:rsidRDefault="00186401" w:rsidP="00276406">
                  <w:pPr>
                    <w:pStyle w:val="TableBodyText"/>
                    <w:rPr>
                      <w:szCs w:val="18"/>
                    </w:rPr>
                  </w:pPr>
                  <w:bookmarkStart w:id="21" w:name="RANGE!X8"/>
                  <w:r w:rsidRPr="00276406">
                    <w:rPr>
                      <w:szCs w:val="18"/>
                    </w:rPr>
                    <w:t>–</w:t>
                  </w:r>
                  <w:bookmarkEnd w:id="21"/>
                </w:p>
              </w:tc>
              <w:tc>
                <w:tcPr>
                  <w:tcW w:w="500" w:type="pct"/>
                  <w:vAlign w:val="center"/>
                </w:tcPr>
                <w:p w:rsidR="00186401" w:rsidRPr="00276406" w:rsidRDefault="00186401" w:rsidP="00276406">
                  <w:pPr>
                    <w:pStyle w:val="TableBodyText"/>
                    <w:rPr>
                      <w:szCs w:val="18"/>
                    </w:rPr>
                  </w:pPr>
                  <w:bookmarkStart w:id="22" w:name="RANGE!Y8"/>
                  <w:r w:rsidRPr="00276406">
                    <w:rPr>
                      <w:szCs w:val="18"/>
                    </w:rPr>
                    <w:t xml:space="preserve">  1</w:t>
                  </w:r>
                  <w:bookmarkEnd w:id="22"/>
                </w:p>
              </w:tc>
              <w:tc>
                <w:tcPr>
                  <w:tcW w:w="500" w:type="pct"/>
                  <w:vAlign w:val="center"/>
                </w:tcPr>
                <w:p w:rsidR="00186401" w:rsidRPr="00276406" w:rsidRDefault="00186401" w:rsidP="00276406">
                  <w:pPr>
                    <w:pStyle w:val="TableBodyText"/>
                    <w:rPr>
                      <w:szCs w:val="18"/>
                    </w:rPr>
                  </w:pPr>
                  <w:bookmarkStart w:id="23" w:name="RANGE!Z8"/>
                  <w:r w:rsidRPr="00276406">
                    <w:rPr>
                      <w:szCs w:val="18"/>
                    </w:rPr>
                    <w:t>–</w:t>
                  </w:r>
                  <w:bookmarkEnd w:id="23"/>
                </w:p>
              </w:tc>
              <w:tc>
                <w:tcPr>
                  <w:tcW w:w="500" w:type="pct"/>
                  <w:vAlign w:val="center"/>
                </w:tcPr>
                <w:p w:rsidR="00186401" w:rsidRPr="00276406" w:rsidRDefault="00186401" w:rsidP="00276406">
                  <w:pPr>
                    <w:pStyle w:val="TableBodyText"/>
                    <w:rPr>
                      <w:szCs w:val="18"/>
                    </w:rPr>
                  </w:pPr>
                  <w:bookmarkStart w:id="24" w:name="RANGE!AA8"/>
                  <w:r w:rsidRPr="00276406">
                    <w:rPr>
                      <w:szCs w:val="18"/>
                    </w:rPr>
                    <w:t>–</w:t>
                  </w:r>
                  <w:bookmarkEnd w:id="24"/>
                </w:p>
              </w:tc>
              <w:tc>
                <w:tcPr>
                  <w:tcW w:w="500" w:type="pct"/>
                  <w:vAlign w:val="center"/>
                </w:tcPr>
                <w:p w:rsidR="00186401" w:rsidRPr="00276406" w:rsidRDefault="00186401">
                  <w:pPr>
                    <w:jc w:val="right"/>
                    <w:rPr>
                      <w:rFonts w:ascii="Arial" w:hAnsi="Arial" w:cs="Arial"/>
                      <w:sz w:val="18"/>
                      <w:szCs w:val="18"/>
                    </w:rPr>
                  </w:pPr>
                  <w:bookmarkStart w:id="25" w:name="RANGE!AB8"/>
                  <w:r w:rsidRPr="00276406">
                    <w:rPr>
                      <w:rFonts w:ascii="Arial" w:hAnsi="Arial" w:cs="Arial"/>
                      <w:sz w:val="18"/>
                      <w:szCs w:val="18"/>
                    </w:rPr>
                    <w:t xml:space="preserve">  9</w:t>
                  </w:r>
                  <w:bookmarkEnd w:id="25"/>
                </w:p>
              </w:tc>
            </w:tr>
            <w:tr w:rsidR="00186401" w:rsidTr="006865A2">
              <w:tc>
                <w:tcPr>
                  <w:tcW w:w="500" w:type="pct"/>
                  <w:shd w:val="clear" w:color="auto" w:fill="auto"/>
                </w:tcPr>
                <w:p w:rsidR="00186401" w:rsidRDefault="00186401" w:rsidP="000F3417">
                  <w:pPr>
                    <w:pStyle w:val="TableBodyText"/>
                    <w:ind w:right="28"/>
                    <w:jc w:val="left"/>
                  </w:pPr>
                  <w:r>
                    <w:t>2013-14</w:t>
                  </w:r>
                </w:p>
              </w:tc>
              <w:tc>
                <w:tcPr>
                  <w:tcW w:w="500" w:type="pct"/>
                  <w:shd w:val="clear" w:color="auto" w:fill="auto"/>
                  <w:vAlign w:val="center"/>
                </w:tcPr>
                <w:p w:rsidR="00186401" w:rsidRPr="00276406" w:rsidRDefault="00186401" w:rsidP="00276406">
                  <w:pPr>
                    <w:pStyle w:val="TableBodyText"/>
                    <w:rPr>
                      <w:szCs w:val="18"/>
                    </w:rPr>
                  </w:pPr>
                  <w:bookmarkStart w:id="26" w:name="RANGE!T7"/>
                  <w:r w:rsidRPr="00276406">
                    <w:rPr>
                      <w:szCs w:val="18"/>
                    </w:rPr>
                    <w:t xml:space="preserve">  2</w:t>
                  </w:r>
                  <w:bookmarkEnd w:id="26"/>
                </w:p>
              </w:tc>
              <w:tc>
                <w:tcPr>
                  <w:tcW w:w="500" w:type="pct"/>
                  <w:shd w:val="clear" w:color="auto" w:fill="auto"/>
                  <w:vAlign w:val="center"/>
                </w:tcPr>
                <w:p w:rsidR="00186401" w:rsidRPr="00276406" w:rsidRDefault="00186401" w:rsidP="00276406">
                  <w:pPr>
                    <w:pStyle w:val="TableBodyText"/>
                    <w:rPr>
                      <w:szCs w:val="18"/>
                    </w:rPr>
                  </w:pPr>
                  <w:bookmarkStart w:id="27" w:name="RANGE!U7"/>
                  <w:r w:rsidRPr="00276406">
                    <w:rPr>
                      <w:szCs w:val="18"/>
                    </w:rPr>
                    <w:t xml:space="preserve">  1</w:t>
                  </w:r>
                  <w:bookmarkEnd w:id="27"/>
                </w:p>
              </w:tc>
              <w:tc>
                <w:tcPr>
                  <w:tcW w:w="500" w:type="pct"/>
                  <w:shd w:val="clear" w:color="auto" w:fill="auto"/>
                  <w:vAlign w:val="center"/>
                </w:tcPr>
                <w:p w:rsidR="00186401" w:rsidRPr="00276406" w:rsidRDefault="00186401" w:rsidP="00276406">
                  <w:pPr>
                    <w:pStyle w:val="TableBodyText"/>
                    <w:rPr>
                      <w:szCs w:val="18"/>
                    </w:rPr>
                  </w:pPr>
                  <w:bookmarkStart w:id="28" w:name="RANGE!V7"/>
                  <w:r w:rsidRPr="00276406">
                    <w:rPr>
                      <w:szCs w:val="18"/>
                    </w:rPr>
                    <w:t>–</w:t>
                  </w:r>
                  <w:bookmarkEnd w:id="28"/>
                </w:p>
              </w:tc>
              <w:tc>
                <w:tcPr>
                  <w:tcW w:w="500" w:type="pct"/>
                  <w:shd w:val="clear" w:color="auto" w:fill="auto"/>
                  <w:vAlign w:val="center"/>
                </w:tcPr>
                <w:p w:rsidR="00186401" w:rsidRPr="00276406" w:rsidRDefault="00186401" w:rsidP="00276406">
                  <w:pPr>
                    <w:pStyle w:val="TableBodyText"/>
                    <w:rPr>
                      <w:szCs w:val="18"/>
                    </w:rPr>
                  </w:pPr>
                  <w:bookmarkStart w:id="29" w:name="RANGE!W7"/>
                  <w:r w:rsidRPr="00276406">
                    <w:rPr>
                      <w:szCs w:val="18"/>
                    </w:rPr>
                    <w:t xml:space="preserve">  1</w:t>
                  </w:r>
                  <w:bookmarkEnd w:id="29"/>
                </w:p>
              </w:tc>
              <w:tc>
                <w:tcPr>
                  <w:tcW w:w="500" w:type="pct"/>
                  <w:shd w:val="clear" w:color="auto" w:fill="auto"/>
                  <w:vAlign w:val="center"/>
                </w:tcPr>
                <w:p w:rsidR="00186401" w:rsidRPr="00276406" w:rsidRDefault="00186401" w:rsidP="00276406">
                  <w:pPr>
                    <w:pStyle w:val="TableBodyText"/>
                    <w:rPr>
                      <w:szCs w:val="18"/>
                    </w:rPr>
                  </w:pPr>
                  <w:bookmarkStart w:id="30" w:name="RANGE!X7"/>
                  <w:r w:rsidRPr="00276406">
                    <w:rPr>
                      <w:szCs w:val="18"/>
                    </w:rPr>
                    <w:t>–</w:t>
                  </w:r>
                  <w:bookmarkEnd w:id="30"/>
                </w:p>
              </w:tc>
              <w:tc>
                <w:tcPr>
                  <w:tcW w:w="500" w:type="pct"/>
                  <w:shd w:val="clear" w:color="auto" w:fill="auto"/>
                  <w:vAlign w:val="center"/>
                </w:tcPr>
                <w:p w:rsidR="00186401" w:rsidRPr="00276406" w:rsidRDefault="00186401" w:rsidP="00276406">
                  <w:pPr>
                    <w:pStyle w:val="TableBodyText"/>
                    <w:rPr>
                      <w:szCs w:val="18"/>
                    </w:rPr>
                  </w:pPr>
                  <w:bookmarkStart w:id="31" w:name="RANGE!Y7"/>
                  <w:r w:rsidRPr="00276406">
                    <w:rPr>
                      <w:szCs w:val="18"/>
                    </w:rPr>
                    <w:t>–</w:t>
                  </w:r>
                  <w:bookmarkEnd w:id="31"/>
                </w:p>
              </w:tc>
              <w:tc>
                <w:tcPr>
                  <w:tcW w:w="500" w:type="pct"/>
                  <w:shd w:val="clear" w:color="auto" w:fill="auto"/>
                  <w:vAlign w:val="center"/>
                </w:tcPr>
                <w:p w:rsidR="00186401" w:rsidRPr="00276406" w:rsidRDefault="00186401" w:rsidP="00276406">
                  <w:pPr>
                    <w:pStyle w:val="TableBodyText"/>
                    <w:rPr>
                      <w:szCs w:val="18"/>
                    </w:rPr>
                  </w:pPr>
                  <w:bookmarkStart w:id="32" w:name="RANGE!Z7"/>
                  <w:r w:rsidRPr="00276406">
                    <w:rPr>
                      <w:szCs w:val="18"/>
                    </w:rPr>
                    <w:t>–</w:t>
                  </w:r>
                  <w:bookmarkEnd w:id="32"/>
                </w:p>
              </w:tc>
              <w:tc>
                <w:tcPr>
                  <w:tcW w:w="500" w:type="pct"/>
                  <w:shd w:val="clear" w:color="auto" w:fill="auto"/>
                  <w:vAlign w:val="center"/>
                </w:tcPr>
                <w:p w:rsidR="00186401" w:rsidRPr="00276406" w:rsidRDefault="00186401" w:rsidP="00276406">
                  <w:pPr>
                    <w:pStyle w:val="TableBodyText"/>
                    <w:rPr>
                      <w:szCs w:val="18"/>
                    </w:rPr>
                  </w:pPr>
                  <w:bookmarkStart w:id="33" w:name="RANGE!AA7"/>
                  <w:r w:rsidRPr="00276406">
                    <w:rPr>
                      <w:szCs w:val="18"/>
                    </w:rPr>
                    <w:t>–</w:t>
                  </w:r>
                  <w:bookmarkEnd w:id="33"/>
                </w:p>
              </w:tc>
              <w:tc>
                <w:tcPr>
                  <w:tcW w:w="500" w:type="pct"/>
                  <w:shd w:val="clear" w:color="auto" w:fill="auto"/>
                  <w:vAlign w:val="center"/>
                </w:tcPr>
                <w:p w:rsidR="00186401" w:rsidRPr="00276406" w:rsidRDefault="00186401">
                  <w:pPr>
                    <w:jc w:val="right"/>
                    <w:rPr>
                      <w:rFonts w:ascii="Arial" w:hAnsi="Arial" w:cs="Arial"/>
                      <w:sz w:val="18"/>
                      <w:szCs w:val="18"/>
                    </w:rPr>
                  </w:pPr>
                  <w:bookmarkStart w:id="34" w:name="RANGE!AB7"/>
                  <w:r w:rsidRPr="00276406">
                    <w:rPr>
                      <w:rFonts w:ascii="Arial" w:hAnsi="Arial" w:cs="Arial"/>
                      <w:sz w:val="18"/>
                      <w:szCs w:val="18"/>
                    </w:rPr>
                    <w:t xml:space="preserve">  4</w:t>
                  </w:r>
                  <w:bookmarkEnd w:id="34"/>
                </w:p>
              </w:tc>
            </w:tr>
            <w:tr w:rsidR="00186401" w:rsidTr="006865A2">
              <w:tc>
                <w:tcPr>
                  <w:tcW w:w="500" w:type="pct"/>
                  <w:shd w:val="clear" w:color="auto" w:fill="auto"/>
                </w:tcPr>
                <w:p w:rsidR="00186401" w:rsidRDefault="00186401" w:rsidP="000F3417">
                  <w:pPr>
                    <w:pStyle w:val="TableBodyText"/>
                    <w:ind w:right="28"/>
                    <w:jc w:val="left"/>
                  </w:pPr>
                  <w:r>
                    <w:t>2014-15</w:t>
                  </w:r>
                </w:p>
              </w:tc>
              <w:tc>
                <w:tcPr>
                  <w:tcW w:w="500" w:type="pct"/>
                  <w:shd w:val="clear" w:color="auto" w:fill="auto"/>
                  <w:vAlign w:val="center"/>
                </w:tcPr>
                <w:p w:rsidR="00186401" w:rsidRPr="00276406" w:rsidRDefault="00186401" w:rsidP="00276406">
                  <w:pPr>
                    <w:pStyle w:val="TableBodyText"/>
                    <w:rPr>
                      <w:szCs w:val="18"/>
                    </w:rPr>
                  </w:pPr>
                  <w:bookmarkStart w:id="35" w:name="RANGE!T6"/>
                  <w:r w:rsidRPr="00276406">
                    <w:rPr>
                      <w:szCs w:val="18"/>
                    </w:rPr>
                    <w:t>–</w:t>
                  </w:r>
                  <w:bookmarkEnd w:id="35"/>
                </w:p>
              </w:tc>
              <w:tc>
                <w:tcPr>
                  <w:tcW w:w="500" w:type="pct"/>
                  <w:shd w:val="clear" w:color="auto" w:fill="auto"/>
                  <w:vAlign w:val="center"/>
                </w:tcPr>
                <w:p w:rsidR="00186401" w:rsidRPr="00276406" w:rsidRDefault="00186401" w:rsidP="00276406">
                  <w:pPr>
                    <w:pStyle w:val="TableBodyText"/>
                    <w:rPr>
                      <w:szCs w:val="18"/>
                    </w:rPr>
                  </w:pPr>
                  <w:bookmarkStart w:id="36" w:name="RANGE!U6"/>
                  <w:r w:rsidRPr="00276406">
                    <w:rPr>
                      <w:szCs w:val="18"/>
                    </w:rPr>
                    <w:t>–</w:t>
                  </w:r>
                  <w:bookmarkEnd w:id="36"/>
                </w:p>
              </w:tc>
              <w:tc>
                <w:tcPr>
                  <w:tcW w:w="500" w:type="pct"/>
                  <w:shd w:val="clear" w:color="auto" w:fill="auto"/>
                  <w:vAlign w:val="center"/>
                </w:tcPr>
                <w:p w:rsidR="00186401" w:rsidRPr="00276406" w:rsidRDefault="00186401" w:rsidP="00276406">
                  <w:pPr>
                    <w:pStyle w:val="TableBodyText"/>
                    <w:rPr>
                      <w:szCs w:val="18"/>
                    </w:rPr>
                  </w:pPr>
                  <w:bookmarkStart w:id="37" w:name="RANGE!V6"/>
                  <w:r w:rsidRPr="00276406">
                    <w:rPr>
                      <w:szCs w:val="18"/>
                    </w:rPr>
                    <w:t>–</w:t>
                  </w:r>
                  <w:bookmarkEnd w:id="37"/>
                </w:p>
              </w:tc>
              <w:tc>
                <w:tcPr>
                  <w:tcW w:w="500" w:type="pct"/>
                  <w:shd w:val="clear" w:color="auto" w:fill="auto"/>
                  <w:vAlign w:val="center"/>
                </w:tcPr>
                <w:p w:rsidR="00186401" w:rsidRPr="00276406" w:rsidRDefault="00186401" w:rsidP="00276406">
                  <w:pPr>
                    <w:pStyle w:val="TableBodyText"/>
                    <w:rPr>
                      <w:szCs w:val="18"/>
                    </w:rPr>
                  </w:pPr>
                  <w:bookmarkStart w:id="38" w:name="RANGE!W6"/>
                  <w:r w:rsidRPr="00276406">
                    <w:rPr>
                      <w:szCs w:val="18"/>
                    </w:rPr>
                    <w:t>–</w:t>
                  </w:r>
                  <w:bookmarkEnd w:id="38"/>
                </w:p>
              </w:tc>
              <w:tc>
                <w:tcPr>
                  <w:tcW w:w="500" w:type="pct"/>
                  <w:shd w:val="clear" w:color="auto" w:fill="auto"/>
                  <w:vAlign w:val="center"/>
                </w:tcPr>
                <w:p w:rsidR="00186401" w:rsidRPr="00276406" w:rsidRDefault="00186401" w:rsidP="00276406">
                  <w:pPr>
                    <w:pStyle w:val="TableBodyText"/>
                    <w:rPr>
                      <w:szCs w:val="18"/>
                    </w:rPr>
                  </w:pPr>
                  <w:bookmarkStart w:id="39" w:name="RANGE!X6"/>
                  <w:r w:rsidRPr="00276406">
                    <w:rPr>
                      <w:szCs w:val="18"/>
                    </w:rPr>
                    <w:t xml:space="preserve">  2</w:t>
                  </w:r>
                  <w:bookmarkEnd w:id="39"/>
                </w:p>
              </w:tc>
              <w:tc>
                <w:tcPr>
                  <w:tcW w:w="500" w:type="pct"/>
                  <w:shd w:val="clear" w:color="auto" w:fill="auto"/>
                  <w:vAlign w:val="center"/>
                </w:tcPr>
                <w:p w:rsidR="00186401" w:rsidRPr="00276406" w:rsidRDefault="00186401" w:rsidP="00276406">
                  <w:pPr>
                    <w:pStyle w:val="TableBodyText"/>
                    <w:rPr>
                      <w:szCs w:val="18"/>
                    </w:rPr>
                  </w:pPr>
                  <w:bookmarkStart w:id="40" w:name="RANGE!Y6"/>
                  <w:r w:rsidRPr="00276406">
                    <w:rPr>
                      <w:szCs w:val="18"/>
                    </w:rPr>
                    <w:t>–</w:t>
                  </w:r>
                  <w:bookmarkEnd w:id="40"/>
                </w:p>
              </w:tc>
              <w:tc>
                <w:tcPr>
                  <w:tcW w:w="500" w:type="pct"/>
                  <w:shd w:val="clear" w:color="auto" w:fill="auto"/>
                  <w:vAlign w:val="center"/>
                </w:tcPr>
                <w:p w:rsidR="00186401" w:rsidRPr="00276406" w:rsidRDefault="00186401" w:rsidP="00276406">
                  <w:pPr>
                    <w:pStyle w:val="TableBodyText"/>
                    <w:rPr>
                      <w:szCs w:val="18"/>
                    </w:rPr>
                  </w:pPr>
                  <w:bookmarkStart w:id="41" w:name="RANGE!Z6"/>
                  <w:r w:rsidRPr="00276406">
                    <w:rPr>
                      <w:szCs w:val="18"/>
                    </w:rPr>
                    <w:t>–</w:t>
                  </w:r>
                  <w:bookmarkEnd w:id="41"/>
                </w:p>
              </w:tc>
              <w:tc>
                <w:tcPr>
                  <w:tcW w:w="500" w:type="pct"/>
                  <w:shd w:val="clear" w:color="auto" w:fill="auto"/>
                  <w:vAlign w:val="center"/>
                </w:tcPr>
                <w:p w:rsidR="00186401" w:rsidRPr="00276406" w:rsidRDefault="00186401" w:rsidP="00276406">
                  <w:pPr>
                    <w:pStyle w:val="TableBodyText"/>
                    <w:rPr>
                      <w:szCs w:val="18"/>
                    </w:rPr>
                  </w:pPr>
                  <w:bookmarkStart w:id="42" w:name="RANGE!AA6"/>
                  <w:r w:rsidRPr="00276406">
                    <w:rPr>
                      <w:szCs w:val="18"/>
                    </w:rPr>
                    <w:t>–</w:t>
                  </w:r>
                  <w:bookmarkEnd w:id="42"/>
                </w:p>
              </w:tc>
              <w:tc>
                <w:tcPr>
                  <w:tcW w:w="500" w:type="pct"/>
                  <w:shd w:val="clear" w:color="auto" w:fill="auto"/>
                  <w:vAlign w:val="center"/>
                </w:tcPr>
                <w:p w:rsidR="00186401" w:rsidRPr="00276406" w:rsidRDefault="00186401">
                  <w:pPr>
                    <w:jc w:val="right"/>
                    <w:rPr>
                      <w:rFonts w:ascii="Arial" w:hAnsi="Arial" w:cs="Arial"/>
                      <w:sz w:val="18"/>
                      <w:szCs w:val="18"/>
                    </w:rPr>
                  </w:pPr>
                  <w:bookmarkStart w:id="43" w:name="RANGE!AB6"/>
                  <w:r w:rsidRPr="00276406">
                    <w:rPr>
                      <w:rFonts w:ascii="Arial" w:hAnsi="Arial" w:cs="Arial"/>
                      <w:sz w:val="18"/>
                      <w:szCs w:val="18"/>
                    </w:rPr>
                    <w:t xml:space="preserve">  2</w:t>
                  </w:r>
                  <w:bookmarkEnd w:id="43"/>
                </w:p>
              </w:tc>
            </w:tr>
            <w:tr w:rsidR="00186401" w:rsidTr="006865A2">
              <w:tc>
                <w:tcPr>
                  <w:tcW w:w="500" w:type="pct"/>
                  <w:tcBorders>
                    <w:bottom w:val="single" w:sz="6" w:space="0" w:color="BFBFBF"/>
                  </w:tcBorders>
                  <w:shd w:val="clear" w:color="auto" w:fill="auto"/>
                </w:tcPr>
                <w:p w:rsidR="00186401" w:rsidRDefault="00186401" w:rsidP="000F3417">
                  <w:pPr>
                    <w:pStyle w:val="TableBodyText"/>
                    <w:ind w:right="28"/>
                    <w:jc w:val="left"/>
                  </w:pPr>
                  <w:r>
                    <w:t>2015-16</w:t>
                  </w:r>
                </w:p>
              </w:tc>
              <w:tc>
                <w:tcPr>
                  <w:tcW w:w="500" w:type="pct"/>
                  <w:tcBorders>
                    <w:bottom w:val="single" w:sz="6" w:space="0" w:color="BFBFBF"/>
                  </w:tcBorders>
                  <w:shd w:val="clear" w:color="auto" w:fill="auto"/>
                  <w:vAlign w:val="center"/>
                </w:tcPr>
                <w:p w:rsidR="00186401" w:rsidRPr="00276406" w:rsidRDefault="00186401" w:rsidP="00276406">
                  <w:pPr>
                    <w:pStyle w:val="TableBodyText"/>
                    <w:rPr>
                      <w:szCs w:val="18"/>
                    </w:rPr>
                  </w:pPr>
                  <w:bookmarkStart w:id="44" w:name="RANGE!T5"/>
                  <w:r w:rsidRPr="00276406">
                    <w:rPr>
                      <w:szCs w:val="18"/>
                    </w:rPr>
                    <w:t xml:space="preserve">  1</w:t>
                  </w:r>
                  <w:bookmarkEnd w:id="44"/>
                </w:p>
              </w:tc>
              <w:tc>
                <w:tcPr>
                  <w:tcW w:w="500" w:type="pct"/>
                  <w:tcBorders>
                    <w:bottom w:val="single" w:sz="6" w:space="0" w:color="BFBFBF"/>
                  </w:tcBorders>
                  <w:shd w:val="clear" w:color="auto" w:fill="auto"/>
                  <w:vAlign w:val="center"/>
                </w:tcPr>
                <w:p w:rsidR="00186401" w:rsidRPr="00276406" w:rsidRDefault="00186401" w:rsidP="00276406">
                  <w:pPr>
                    <w:pStyle w:val="TableBodyText"/>
                    <w:rPr>
                      <w:szCs w:val="18"/>
                    </w:rPr>
                  </w:pPr>
                  <w:bookmarkStart w:id="45" w:name="RANGE!U5"/>
                  <w:r w:rsidRPr="00276406">
                    <w:rPr>
                      <w:szCs w:val="18"/>
                    </w:rPr>
                    <w:t>–</w:t>
                  </w:r>
                  <w:bookmarkEnd w:id="45"/>
                </w:p>
              </w:tc>
              <w:tc>
                <w:tcPr>
                  <w:tcW w:w="500" w:type="pct"/>
                  <w:tcBorders>
                    <w:bottom w:val="single" w:sz="6" w:space="0" w:color="BFBFBF"/>
                  </w:tcBorders>
                  <w:shd w:val="clear" w:color="auto" w:fill="auto"/>
                  <w:vAlign w:val="center"/>
                </w:tcPr>
                <w:p w:rsidR="00186401" w:rsidRPr="00276406" w:rsidRDefault="00186401" w:rsidP="00276406">
                  <w:pPr>
                    <w:pStyle w:val="TableBodyText"/>
                    <w:rPr>
                      <w:szCs w:val="18"/>
                    </w:rPr>
                  </w:pPr>
                  <w:bookmarkStart w:id="46" w:name="RANGE!V5"/>
                  <w:r w:rsidRPr="00276406">
                    <w:rPr>
                      <w:szCs w:val="18"/>
                    </w:rPr>
                    <w:t xml:space="preserve">  1</w:t>
                  </w:r>
                  <w:bookmarkEnd w:id="46"/>
                </w:p>
              </w:tc>
              <w:tc>
                <w:tcPr>
                  <w:tcW w:w="500" w:type="pct"/>
                  <w:tcBorders>
                    <w:bottom w:val="single" w:sz="6" w:space="0" w:color="BFBFBF"/>
                  </w:tcBorders>
                  <w:shd w:val="clear" w:color="auto" w:fill="auto"/>
                  <w:vAlign w:val="center"/>
                </w:tcPr>
                <w:p w:rsidR="00186401" w:rsidRPr="00276406" w:rsidRDefault="00186401" w:rsidP="00276406">
                  <w:pPr>
                    <w:pStyle w:val="TableBodyText"/>
                    <w:rPr>
                      <w:szCs w:val="18"/>
                    </w:rPr>
                  </w:pPr>
                  <w:bookmarkStart w:id="47" w:name="RANGE!W5"/>
                  <w:r w:rsidRPr="00276406">
                    <w:rPr>
                      <w:szCs w:val="18"/>
                    </w:rPr>
                    <w:t xml:space="preserve">  6</w:t>
                  </w:r>
                  <w:bookmarkEnd w:id="47"/>
                </w:p>
              </w:tc>
              <w:tc>
                <w:tcPr>
                  <w:tcW w:w="500" w:type="pct"/>
                  <w:tcBorders>
                    <w:bottom w:val="single" w:sz="6" w:space="0" w:color="BFBFBF"/>
                  </w:tcBorders>
                  <w:shd w:val="clear" w:color="auto" w:fill="auto"/>
                  <w:vAlign w:val="center"/>
                </w:tcPr>
                <w:p w:rsidR="00186401" w:rsidRPr="00276406" w:rsidRDefault="00186401" w:rsidP="00276406">
                  <w:pPr>
                    <w:pStyle w:val="TableBodyText"/>
                    <w:rPr>
                      <w:szCs w:val="18"/>
                    </w:rPr>
                  </w:pPr>
                  <w:bookmarkStart w:id="48" w:name="RANGE!X5"/>
                  <w:r w:rsidRPr="00276406">
                    <w:rPr>
                      <w:szCs w:val="18"/>
                    </w:rPr>
                    <w:t xml:space="preserve">  2</w:t>
                  </w:r>
                  <w:bookmarkEnd w:id="48"/>
                </w:p>
              </w:tc>
              <w:tc>
                <w:tcPr>
                  <w:tcW w:w="500" w:type="pct"/>
                  <w:tcBorders>
                    <w:bottom w:val="single" w:sz="6" w:space="0" w:color="BFBFBF"/>
                  </w:tcBorders>
                  <w:shd w:val="clear" w:color="auto" w:fill="auto"/>
                  <w:vAlign w:val="center"/>
                </w:tcPr>
                <w:p w:rsidR="00186401" w:rsidRPr="00276406" w:rsidRDefault="00186401" w:rsidP="00276406">
                  <w:pPr>
                    <w:pStyle w:val="TableBodyText"/>
                    <w:rPr>
                      <w:szCs w:val="18"/>
                    </w:rPr>
                  </w:pPr>
                  <w:bookmarkStart w:id="49" w:name="RANGE!Y5"/>
                  <w:r w:rsidRPr="00276406">
                    <w:rPr>
                      <w:szCs w:val="18"/>
                    </w:rPr>
                    <w:t>–</w:t>
                  </w:r>
                  <w:bookmarkEnd w:id="49"/>
                </w:p>
              </w:tc>
              <w:tc>
                <w:tcPr>
                  <w:tcW w:w="500" w:type="pct"/>
                  <w:tcBorders>
                    <w:bottom w:val="single" w:sz="6" w:space="0" w:color="BFBFBF"/>
                  </w:tcBorders>
                  <w:shd w:val="clear" w:color="auto" w:fill="auto"/>
                  <w:vAlign w:val="center"/>
                </w:tcPr>
                <w:p w:rsidR="00186401" w:rsidRPr="00276406" w:rsidRDefault="00186401" w:rsidP="00276406">
                  <w:pPr>
                    <w:pStyle w:val="TableBodyText"/>
                    <w:rPr>
                      <w:szCs w:val="18"/>
                    </w:rPr>
                  </w:pPr>
                  <w:bookmarkStart w:id="50" w:name="RANGE!Z5"/>
                  <w:r w:rsidRPr="00276406">
                    <w:rPr>
                      <w:szCs w:val="18"/>
                    </w:rPr>
                    <w:t>–</w:t>
                  </w:r>
                  <w:bookmarkEnd w:id="50"/>
                </w:p>
              </w:tc>
              <w:tc>
                <w:tcPr>
                  <w:tcW w:w="500" w:type="pct"/>
                  <w:tcBorders>
                    <w:bottom w:val="single" w:sz="6" w:space="0" w:color="BFBFBF"/>
                  </w:tcBorders>
                  <w:shd w:val="clear" w:color="auto" w:fill="auto"/>
                  <w:vAlign w:val="center"/>
                </w:tcPr>
                <w:p w:rsidR="00186401" w:rsidRPr="00276406" w:rsidRDefault="00186401" w:rsidP="00276406">
                  <w:pPr>
                    <w:pStyle w:val="TableBodyText"/>
                    <w:rPr>
                      <w:szCs w:val="18"/>
                    </w:rPr>
                  </w:pPr>
                  <w:bookmarkStart w:id="51" w:name="RANGE!AA5"/>
                  <w:r w:rsidRPr="00276406">
                    <w:rPr>
                      <w:szCs w:val="18"/>
                    </w:rPr>
                    <w:t>–</w:t>
                  </w:r>
                  <w:bookmarkEnd w:id="51"/>
                </w:p>
              </w:tc>
              <w:tc>
                <w:tcPr>
                  <w:tcW w:w="500" w:type="pct"/>
                  <w:tcBorders>
                    <w:bottom w:val="single" w:sz="6" w:space="0" w:color="BFBFBF"/>
                  </w:tcBorders>
                  <w:shd w:val="clear" w:color="auto" w:fill="auto"/>
                  <w:vAlign w:val="center"/>
                </w:tcPr>
                <w:p w:rsidR="00186401" w:rsidRPr="00276406" w:rsidRDefault="00186401">
                  <w:pPr>
                    <w:jc w:val="right"/>
                    <w:rPr>
                      <w:rFonts w:ascii="Arial" w:hAnsi="Arial" w:cs="Arial"/>
                      <w:sz w:val="18"/>
                      <w:szCs w:val="18"/>
                    </w:rPr>
                  </w:pPr>
                  <w:bookmarkStart w:id="52" w:name="RANGE!AB5"/>
                  <w:r w:rsidRPr="00276406">
                    <w:rPr>
                      <w:rFonts w:ascii="Arial" w:hAnsi="Arial" w:cs="Arial"/>
                      <w:sz w:val="18"/>
                      <w:szCs w:val="18"/>
                    </w:rPr>
                    <w:t xml:space="preserve">  10</w:t>
                  </w:r>
                  <w:bookmarkEnd w:id="52"/>
                </w:p>
              </w:tc>
            </w:tr>
          </w:tbl>
          <w:p w:rsidR="000566C9" w:rsidRDefault="000566C9" w:rsidP="005077BB">
            <w:pPr>
              <w:pStyle w:val="Box"/>
              <w:keepLines/>
            </w:pPr>
          </w:p>
        </w:tc>
      </w:tr>
      <w:tr w:rsidR="000566C9" w:rsidTr="0027350D">
        <w:trPr>
          <w:cantSplit/>
        </w:trPr>
        <w:tc>
          <w:tcPr>
            <w:tcW w:w="8771" w:type="dxa"/>
            <w:tcBorders>
              <w:top w:val="nil"/>
              <w:left w:val="nil"/>
              <w:bottom w:val="nil"/>
              <w:right w:val="nil"/>
            </w:tcBorders>
            <w:shd w:val="clear" w:color="auto" w:fill="auto"/>
          </w:tcPr>
          <w:p w:rsidR="000566C9" w:rsidRDefault="000566C9" w:rsidP="00370AA8">
            <w:pPr>
              <w:pStyle w:val="Note"/>
              <w:keepNext/>
              <w:rPr>
                <w:i/>
              </w:rPr>
            </w:pPr>
            <w:r w:rsidRPr="008E77FE">
              <w:rPr>
                <w:rStyle w:val="NoteLabel"/>
              </w:rPr>
              <w:t>a</w:t>
            </w:r>
            <w:r>
              <w:t xml:space="preserve"> See box 9.</w:t>
            </w:r>
            <w:r w:rsidR="00370AA8">
              <w:t>9</w:t>
            </w:r>
            <w:r>
              <w:t xml:space="preserve"> and table </w:t>
            </w:r>
            <w:proofErr w:type="spellStart"/>
            <w:r>
              <w:t>9A.8</w:t>
            </w:r>
            <w:proofErr w:type="spellEnd"/>
            <w:r>
              <w:t xml:space="preserve"> for detailed caveats. </w:t>
            </w:r>
            <w:r w:rsidRPr="002605A8">
              <w:t>– Nil or rounded to zero.</w:t>
            </w:r>
          </w:p>
        </w:tc>
      </w:tr>
      <w:tr w:rsidR="000566C9" w:rsidTr="0027350D">
        <w:trPr>
          <w:cantSplit/>
        </w:trPr>
        <w:tc>
          <w:tcPr>
            <w:tcW w:w="8771" w:type="dxa"/>
            <w:tcBorders>
              <w:top w:val="nil"/>
              <w:left w:val="nil"/>
              <w:bottom w:val="nil"/>
              <w:right w:val="nil"/>
            </w:tcBorders>
            <w:shd w:val="clear" w:color="auto" w:fill="auto"/>
          </w:tcPr>
          <w:p w:rsidR="000566C9" w:rsidRDefault="000566C9" w:rsidP="005077BB">
            <w:pPr>
              <w:pStyle w:val="Source"/>
              <w:keepNext/>
            </w:pPr>
            <w:r>
              <w:rPr>
                <w:i/>
              </w:rPr>
              <w:t>Source</w:t>
            </w:r>
            <w:r w:rsidRPr="00167F06">
              <w:t xml:space="preserve">: </w:t>
            </w:r>
            <w:r w:rsidRPr="002605A8">
              <w:t>Australasian Fire and Emergency Service Authorities Council (unpublished); table </w:t>
            </w:r>
            <w:proofErr w:type="spellStart"/>
            <w:r w:rsidRPr="002605A8">
              <w:t>9A.8</w:t>
            </w:r>
            <w:proofErr w:type="spellEnd"/>
            <w:r w:rsidRPr="002605A8">
              <w:t>.</w:t>
            </w:r>
          </w:p>
        </w:tc>
      </w:tr>
      <w:tr w:rsidR="000566C9" w:rsidTr="0027350D">
        <w:trPr>
          <w:cantSplit/>
        </w:trPr>
        <w:tc>
          <w:tcPr>
            <w:tcW w:w="8771" w:type="dxa"/>
            <w:tcBorders>
              <w:top w:val="nil"/>
              <w:left w:val="nil"/>
              <w:bottom w:val="single" w:sz="6" w:space="0" w:color="78A22F"/>
              <w:right w:val="nil"/>
            </w:tcBorders>
            <w:shd w:val="clear" w:color="auto" w:fill="auto"/>
          </w:tcPr>
          <w:p w:rsidR="000566C9" w:rsidRDefault="000566C9" w:rsidP="005077BB">
            <w:pPr>
              <w:pStyle w:val="Box"/>
              <w:keepLines/>
              <w:spacing w:before="0" w:line="120" w:lineRule="exact"/>
            </w:pPr>
          </w:p>
        </w:tc>
      </w:tr>
      <w:tr w:rsidR="000566C9" w:rsidRPr="000863A5" w:rsidTr="0027350D">
        <w:tc>
          <w:tcPr>
            <w:tcW w:w="8771" w:type="dxa"/>
            <w:tcBorders>
              <w:top w:val="single" w:sz="6" w:space="0" w:color="78A22F"/>
              <w:left w:val="nil"/>
              <w:bottom w:val="nil"/>
              <w:right w:val="nil"/>
            </w:tcBorders>
          </w:tcPr>
          <w:p w:rsidR="000566C9" w:rsidRPr="00626D32" w:rsidRDefault="000566C9" w:rsidP="005077BB">
            <w:pPr>
              <w:pStyle w:val="BoxSpaceBelow"/>
              <w:keepNext/>
              <w:keepLines/>
            </w:pPr>
          </w:p>
        </w:tc>
      </w:tr>
    </w:tbl>
    <w:p w:rsidR="000566C9" w:rsidRPr="00916BFB" w:rsidRDefault="000566C9" w:rsidP="000566C9">
      <w:pPr>
        <w:pStyle w:val="Heading4"/>
      </w:pPr>
      <w:r w:rsidRPr="00916BFB">
        <w:t>Fire injury rate</w:t>
      </w:r>
    </w:p>
    <w:p w:rsidR="009B4F44" w:rsidRPr="009B4F44" w:rsidRDefault="000566C9" w:rsidP="009B4F44">
      <w:pPr>
        <w:pStyle w:val="BodyText"/>
        <w:spacing w:before="200"/>
      </w:pPr>
      <w:r w:rsidRPr="0097146D">
        <w:t xml:space="preserve">‘Fire injury rate’ is an indicator of governments’ objective to </w:t>
      </w:r>
      <w:r w:rsidR="00114714" w:rsidRPr="009B4F44">
        <w:t>reduce the adverse effects of events on the community (including people, property, infrastru</w:t>
      </w:r>
      <w:r w:rsidR="009B4F44" w:rsidRPr="009B4F44">
        <w:t>cture, economy and environment) (box 9.</w:t>
      </w:r>
      <w:r w:rsidR="002E18E0">
        <w:t>10</w:t>
      </w:r>
      <w:r w:rsidR="009B4F44" w:rsidRPr="009B4F44">
        <w:t>).</w:t>
      </w:r>
    </w:p>
    <w:p w:rsidR="000566C9" w:rsidRDefault="000566C9" w:rsidP="00BB118F">
      <w:pPr>
        <w:pStyle w:val="BoxSpaceAbove"/>
        <w:spacing w:before="240"/>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566C9" w:rsidTr="0027350D">
        <w:tc>
          <w:tcPr>
            <w:tcW w:w="8771" w:type="dxa"/>
            <w:tcBorders>
              <w:top w:val="single" w:sz="6" w:space="0" w:color="78A22F"/>
              <w:left w:val="nil"/>
              <w:bottom w:val="nil"/>
              <w:right w:val="nil"/>
            </w:tcBorders>
            <w:shd w:val="clear" w:color="auto" w:fill="F2F2F2"/>
          </w:tcPr>
          <w:p w:rsidR="000566C9" w:rsidRDefault="000566C9" w:rsidP="002E18E0">
            <w:pPr>
              <w:pStyle w:val="BoxTitle"/>
            </w:pPr>
            <w:r>
              <w:rPr>
                <w:b w:val="0"/>
              </w:rPr>
              <w:t>Box 9</w:t>
            </w:r>
            <w:r w:rsidR="009B4F44">
              <w:rPr>
                <w:b w:val="0"/>
              </w:rPr>
              <w:t>.</w:t>
            </w:r>
            <w:r w:rsidR="002E18E0">
              <w:rPr>
                <w:b w:val="0"/>
              </w:rPr>
              <w:t>10</w:t>
            </w:r>
            <w:r>
              <w:tab/>
              <w:t>F</w:t>
            </w:r>
            <w:r w:rsidRPr="00A9590D">
              <w:t>ire injury rate</w:t>
            </w:r>
          </w:p>
        </w:tc>
      </w:tr>
      <w:tr w:rsidR="000566C9" w:rsidTr="0027350D">
        <w:trPr>
          <w:cantSplit/>
        </w:trPr>
        <w:tc>
          <w:tcPr>
            <w:tcW w:w="8771" w:type="dxa"/>
            <w:tcBorders>
              <w:top w:val="nil"/>
              <w:left w:val="nil"/>
              <w:bottom w:val="nil"/>
              <w:right w:val="nil"/>
            </w:tcBorders>
            <w:shd w:val="clear" w:color="auto" w:fill="F2F2F2"/>
          </w:tcPr>
          <w:p w:rsidR="000566C9" w:rsidRPr="00311C5A" w:rsidRDefault="000566C9" w:rsidP="000566C9">
            <w:pPr>
              <w:pStyle w:val="Box"/>
              <w:rPr>
                <w:color w:val="000000" w:themeColor="text1"/>
              </w:rPr>
            </w:pPr>
            <w:r w:rsidRPr="00311C5A">
              <w:rPr>
                <w:color w:val="000000" w:themeColor="text1"/>
              </w:rPr>
              <w:t>‘Fire injury rate’ is defined as the number of fire</w:t>
            </w:r>
            <w:r w:rsidRPr="00311C5A">
              <w:rPr>
                <w:color w:val="000000" w:themeColor="text1"/>
              </w:rPr>
              <w:noBreakHyphen/>
              <w:t xml:space="preserve">related hospital admissions per 100 000 people. </w:t>
            </w:r>
          </w:p>
          <w:p w:rsidR="000566C9" w:rsidRPr="00311C5A" w:rsidRDefault="000566C9" w:rsidP="000566C9">
            <w:pPr>
              <w:pStyle w:val="Box"/>
              <w:rPr>
                <w:color w:val="000000" w:themeColor="text1"/>
              </w:rPr>
            </w:pPr>
            <w:r w:rsidRPr="00311C5A">
              <w:rPr>
                <w:color w:val="000000" w:themeColor="text1"/>
              </w:rPr>
              <w:t>A lower fire injury rate represents a better outcome.</w:t>
            </w:r>
          </w:p>
          <w:p w:rsidR="000566C9" w:rsidRPr="00311C5A" w:rsidRDefault="000566C9" w:rsidP="000566C9">
            <w:pPr>
              <w:pStyle w:val="Box"/>
              <w:rPr>
                <w:color w:val="000000" w:themeColor="text1"/>
              </w:rPr>
            </w:pPr>
            <w:r w:rsidRPr="00311C5A">
              <w:rPr>
                <w:color w:val="000000" w:themeColor="text1"/>
              </w:rPr>
              <w:t>Fire injuries are represented by hospital admissions (excluding emergency department non</w:t>
            </w:r>
            <w:r w:rsidRPr="00311C5A">
              <w:rPr>
                <w:color w:val="000000" w:themeColor="text1"/>
              </w:rPr>
              <w:noBreakHyphen/>
              <w:t>admitted casualties) and are reported by the State or Territory where the admission occurs. A person injured by fire may be treated more than once, and in more than one State or Territory. Data reported exclude deaths from fire injuries after hospitalisation (counted in the fire death rate data).</w:t>
            </w:r>
          </w:p>
          <w:p w:rsidR="000566C9" w:rsidRPr="00311C5A" w:rsidRDefault="000566C9" w:rsidP="000566C9">
            <w:pPr>
              <w:pStyle w:val="Box"/>
              <w:keepNext w:val="0"/>
              <w:ind w:right="-138"/>
              <w:rPr>
                <w:color w:val="000000" w:themeColor="text1"/>
              </w:rPr>
            </w:pPr>
            <w:r w:rsidRPr="00311C5A">
              <w:rPr>
                <w:color w:val="000000" w:themeColor="text1"/>
              </w:rPr>
              <w:t>Data for this measure are:</w:t>
            </w:r>
          </w:p>
          <w:p w:rsidR="000566C9" w:rsidRPr="00311C5A" w:rsidRDefault="000566C9" w:rsidP="000566C9">
            <w:pPr>
              <w:pStyle w:val="BoxListBullet"/>
              <w:rPr>
                <w:color w:val="000000" w:themeColor="text1"/>
              </w:rPr>
            </w:pPr>
            <w:r w:rsidRPr="00311C5A">
              <w:rPr>
                <w:color w:val="000000" w:themeColor="text1"/>
              </w:rPr>
              <w:t>comparable (subject to caveats) across jurisdictions and over time</w:t>
            </w:r>
          </w:p>
          <w:p w:rsidR="000566C9" w:rsidRPr="00311C5A" w:rsidRDefault="00311C5A" w:rsidP="00311C5A">
            <w:pPr>
              <w:pStyle w:val="BoxListBullet"/>
              <w:rPr>
                <w:rStyle w:val="DraftingNote"/>
                <w:b w:val="0"/>
                <w:color w:val="000000" w:themeColor="text1"/>
                <w:sz w:val="20"/>
              </w:rPr>
            </w:pPr>
            <w:r w:rsidRPr="00311C5A">
              <w:rPr>
                <w:color w:val="000000" w:themeColor="text1"/>
              </w:rPr>
              <w:t>complete (subject to caveats) for the current reporting period. All required 2014-15 data are available for all jurisdictions.</w:t>
            </w:r>
          </w:p>
        </w:tc>
      </w:tr>
      <w:tr w:rsidR="000566C9" w:rsidTr="0027350D">
        <w:trPr>
          <w:cantSplit/>
        </w:trPr>
        <w:tc>
          <w:tcPr>
            <w:tcW w:w="8771" w:type="dxa"/>
            <w:tcBorders>
              <w:top w:val="nil"/>
              <w:left w:val="nil"/>
              <w:bottom w:val="single" w:sz="6" w:space="0" w:color="78A22F"/>
              <w:right w:val="nil"/>
            </w:tcBorders>
            <w:shd w:val="clear" w:color="auto" w:fill="F2F2F2"/>
          </w:tcPr>
          <w:p w:rsidR="000566C9" w:rsidRPr="00311C5A" w:rsidRDefault="000566C9">
            <w:pPr>
              <w:pStyle w:val="Box"/>
              <w:spacing w:before="0" w:line="120" w:lineRule="exact"/>
              <w:rPr>
                <w:color w:val="000000" w:themeColor="text1"/>
              </w:rPr>
            </w:pPr>
          </w:p>
        </w:tc>
      </w:tr>
      <w:tr w:rsidR="000566C9" w:rsidRPr="000863A5" w:rsidTr="0027350D">
        <w:tc>
          <w:tcPr>
            <w:tcW w:w="8771" w:type="dxa"/>
            <w:tcBorders>
              <w:top w:val="single" w:sz="6" w:space="0" w:color="78A22F"/>
              <w:left w:val="nil"/>
              <w:bottom w:val="nil"/>
              <w:right w:val="nil"/>
            </w:tcBorders>
          </w:tcPr>
          <w:p w:rsidR="000566C9" w:rsidRPr="00626D32" w:rsidRDefault="000566C9" w:rsidP="0027350D">
            <w:pPr>
              <w:pStyle w:val="BoxSpaceBelow"/>
            </w:pPr>
          </w:p>
        </w:tc>
      </w:tr>
    </w:tbl>
    <w:p w:rsidR="00117B3B" w:rsidRDefault="000566C9" w:rsidP="00BB118F">
      <w:pPr>
        <w:pStyle w:val="BodyText"/>
        <w:spacing w:before="200"/>
      </w:pPr>
      <w:r w:rsidRPr="00030330">
        <w:t>Nationally</w:t>
      </w:r>
      <w:r w:rsidR="00311C5A" w:rsidRPr="00030330">
        <w:t xml:space="preserve">, </w:t>
      </w:r>
      <w:r w:rsidRPr="00030330">
        <w:t xml:space="preserve">there were </w:t>
      </w:r>
      <w:r w:rsidR="00025C6B" w:rsidRPr="00030330">
        <w:t>38</w:t>
      </w:r>
      <w:r w:rsidR="00311C5A" w:rsidRPr="00030330">
        <w:t xml:space="preserve">57 </w:t>
      </w:r>
      <w:r w:rsidRPr="00030330">
        <w:t>hospital admissions due to fire injury</w:t>
      </w:r>
      <w:r w:rsidR="00F04445" w:rsidRPr="00030330">
        <w:t xml:space="preserve">, equating to a rate of </w:t>
      </w:r>
      <w:r w:rsidR="00311C5A" w:rsidRPr="00030330">
        <w:br/>
        <w:t>1</w:t>
      </w:r>
      <w:r w:rsidR="00025C6B" w:rsidRPr="00030330">
        <w:t>6</w:t>
      </w:r>
      <w:r w:rsidR="00311C5A" w:rsidRPr="00030330">
        <w:t xml:space="preserve">.3 </w:t>
      </w:r>
      <w:r w:rsidRPr="00030330">
        <w:t xml:space="preserve">per 100 000 people </w:t>
      </w:r>
      <w:r w:rsidR="00DE719A" w:rsidRPr="00030330">
        <w:t>in 2014</w:t>
      </w:r>
      <w:r w:rsidR="00DE719A" w:rsidRPr="00030330">
        <w:noBreakHyphen/>
        <w:t xml:space="preserve">15 </w:t>
      </w:r>
      <w:r w:rsidRPr="00030330">
        <w:t xml:space="preserve">(table </w:t>
      </w:r>
      <w:proofErr w:type="spellStart"/>
      <w:r w:rsidRPr="00030330">
        <w:t>9A.9</w:t>
      </w:r>
      <w:proofErr w:type="spellEnd"/>
      <w:r w:rsidRPr="00030330">
        <w:t xml:space="preserve"> and figure 9.</w:t>
      </w:r>
      <w:r w:rsidR="002E18E0" w:rsidRPr="00030330">
        <w:t>10</w:t>
      </w:r>
      <w:r w:rsidRPr="00030330">
        <w:t>).</w:t>
      </w:r>
    </w:p>
    <w:p w:rsidR="000566C9" w:rsidRDefault="000566C9" w:rsidP="00BB118F">
      <w:pPr>
        <w:pStyle w:val="BoxSpaceAbove"/>
        <w:keepNext w:val="0"/>
        <w:spacing w:before="160" w:line="300" w:lineRule="atLeast"/>
        <w:jc w:val="both"/>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566C9" w:rsidTr="00030330">
        <w:tc>
          <w:tcPr>
            <w:tcW w:w="8771" w:type="dxa"/>
            <w:tcBorders>
              <w:top w:val="single" w:sz="6" w:space="0" w:color="78A22F"/>
              <w:left w:val="nil"/>
              <w:bottom w:val="nil"/>
              <w:right w:val="nil"/>
            </w:tcBorders>
            <w:shd w:val="clear" w:color="auto" w:fill="auto"/>
          </w:tcPr>
          <w:p w:rsidR="000566C9" w:rsidRPr="00176D3F" w:rsidRDefault="000566C9" w:rsidP="002E18E0">
            <w:pPr>
              <w:pStyle w:val="FigureTitle"/>
            </w:pPr>
            <w:r w:rsidRPr="00784A05">
              <w:rPr>
                <w:b w:val="0"/>
              </w:rPr>
              <w:t xml:space="preserve">Figure </w:t>
            </w:r>
            <w:r>
              <w:rPr>
                <w:b w:val="0"/>
              </w:rPr>
              <w:t>9.</w:t>
            </w:r>
            <w:r w:rsidR="002E18E0">
              <w:rPr>
                <w:b w:val="0"/>
              </w:rPr>
              <w:t>10</w:t>
            </w:r>
            <w:r>
              <w:tab/>
            </w:r>
            <w:r w:rsidRPr="00964C77">
              <w:t>Annual fire hospitalisation rate</w:t>
            </w:r>
            <w:r>
              <w:t xml:space="preserve"> per 100 000 people</w:t>
            </w:r>
            <w:r>
              <w:rPr>
                <w:rStyle w:val="NoteLabel"/>
                <w:b/>
              </w:rPr>
              <w:t>a</w:t>
            </w:r>
          </w:p>
        </w:tc>
      </w:tr>
      <w:tr w:rsidR="000566C9" w:rsidTr="00030330">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0566C9" w:rsidTr="0027350D">
              <w:trPr>
                <w:jc w:val="center"/>
              </w:trPr>
              <w:tc>
                <w:tcPr>
                  <w:tcW w:w="5000" w:type="pct"/>
                  <w:tcBorders>
                    <w:top w:val="nil"/>
                    <w:bottom w:val="nil"/>
                  </w:tcBorders>
                </w:tcPr>
                <w:p w:rsidR="000566C9" w:rsidRPr="00172A0F" w:rsidRDefault="00920BE8" w:rsidP="00172A0F">
                  <w:pPr>
                    <w:pStyle w:val="Figure"/>
                  </w:pPr>
                  <w:r>
                    <w:rPr>
                      <w:noProof/>
                    </w:rPr>
                    <w:drawing>
                      <wp:inline distT="0" distB="0" distL="0" distR="0" wp14:anchorId="58B8D9AE" wp14:editId="4683DCA6">
                        <wp:extent cx="5391150" cy="2867025"/>
                        <wp:effectExtent l="0" t="0" r="0" b="9525"/>
                        <wp:docPr id="13" name="Picture 13" descr="Figure 9.10 Annual fire hospitalisation rate per 100 000 peopl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391150" cy="2867025"/>
                                </a:xfrm>
                                <a:prstGeom prst="rect">
                                  <a:avLst/>
                                </a:prstGeom>
                                <a:noFill/>
                                <a:ln>
                                  <a:noFill/>
                                </a:ln>
                              </pic:spPr>
                            </pic:pic>
                          </a:graphicData>
                        </a:graphic>
                      </wp:inline>
                    </w:drawing>
                  </w:r>
                </w:p>
              </w:tc>
            </w:tr>
          </w:tbl>
          <w:p w:rsidR="000566C9" w:rsidRDefault="000566C9" w:rsidP="0027350D">
            <w:pPr>
              <w:pStyle w:val="Figure"/>
            </w:pPr>
          </w:p>
        </w:tc>
      </w:tr>
      <w:tr w:rsidR="000566C9" w:rsidRPr="00176D3F" w:rsidTr="00030330">
        <w:tc>
          <w:tcPr>
            <w:tcW w:w="8771" w:type="dxa"/>
            <w:tcBorders>
              <w:top w:val="nil"/>
              <w:left w:val="nil"/>
              <w:bottom w:val="nil"/>
              <w:right w:val="nil"/>
            </w:tcBorders>
            <w:shd w:val="clear" w:color="auto" w:fill="auto"/>
          </w:tcPr>
          <w:p w:rsidR="000566C9" w:rsidRPr="00176D3F" w:rsidRDefault="000566C9" w:rsidP="00370AA8">
            <w:pPr>
              <w:pStyle w:val="Note"/>
            </w:pPr>
            <w:r>
              <w:rPr>
                <w:rStyle w:val="NoteLabel"/>
              </w:rPr>
              <w:t>a</w:t>
            </w:r>
            <w:r>
              <w:t xml:space="preserve"> See box 9.</w:t>
            </w:r>
            <w:r w:rsidR="00370AA8">
              <w:t>10</w:t>
            </w:r>
            <w:r>
              <w:t xml:space="preserve"> and table </w:t>
            </w:r>
            <w:proofErr w:type="spellStart"/>
            <w:r>
              <w:t>9A.9</w:t>
            </w:r>
            <w:proofErr w:type="spellEnd"/>
            <w:r>
              <w:t xml:space="preserve"> for </w:t>
            </w:r>
            <w:r w:rsidRPr="00327D09">
              <w:t>detailed definitions, footnotes and caveats</w:t>
            </w:r>
            <w:r>
              <w:t>.</w:t>
            </w:r>
          </w:p>
        </w:tc>
      </w:tr>
      <w:tr w:rsidR="000566C9" w:rsidRPr="00176D3F" w:rsidTr="00030330">
        <w:tc>
          <w:tcPr>
            <w:tcW w:w="8771" w:type="dxa"/>
            <w:tcBorders>
              <w:top w:val="nil"/>
              <w:left w:val="nil"/>
              <w:bottom w:val="nil"/>
              <w:right w:val="nil"/>
            </w:tcBorders>
            <w:shd w:val="clear" w:color="auto" w:fill="auto"/>
          </w:tcPr>
          <w:p w:rsidR="000566C9" w:rsidRPr="00176D3F" w:rsidRDefault="000566C9" w:rsidP="0027350D">
            <w:pPr>
              <w:pStyle w:val="Source"/>
            </w:pPr>
            <w:r>
              <w:rPr>
                <w:i/>
              </w:rPr>
              <w:t>S</w:t>
            </w:r>
            <w:r w:rsidRPr="00784A05">
              <w:rPr>
                <w:i/>
              </w:rPr>
              <w:t>ource</w:t>
            </w:r>
            <w:r w:rsidRPr="00176D3F">
              <w:t xml:space="preserve">: </w:t>
            </w:r>
            <w:r w:rsidRPr="002605A8">
              <w:t>Australian Institute of Health and Welfare (</w:t>
            </w:r>
            <w:proofErr w:type="spellStart"/>
            <w:r w:rsidRPr="002605A8">
              <w:t>AIHW</w:t>
            </w:r>
            <w:proofErr w:type="spellEnd"/>
            <w:r w:rsidRPr="002605A8">
              <w:t xml:space="preserve">), </w:t>
            </w:r>
            <w:r w:rsidRPr="002605A8">
              <w:rPr>
                <w:i/>
              </w:rPr>
              <w:t>National Hospital Morbidity Database</w:t>
            </w:r>
            <w:r w:rsidRPr="002605A8">
              <w:t xml:space="preserve"> (unpublished); table </w:t>
            </w:r>
            <w:proofErr w:type="spellStart"/>
            <w:r w:rsidRPr="002605A8">
              <w:t>9A.9</w:t>
            </w:r>
            <w:proofErr w:type="spellEnd"/>
            <w:r w:rsidRPr="002605A8">
              <w:t>.</w:t>
            </w:r>
          </w:p>
        </w:tc>
      </w:tr>
      <w:tr w:rsidR="000566C9" w:rsidTr="0027350D">
        <w:tc>
          <w:tcPr>
            <w:tcW w:w="8771" w:type="dxa"/>
            <w:tcBorders>
              <w:top w:val="nil"/>
              <w:left w:val="nil"/>
              <w:bottom w:val="single" w:sz="6" w:space="0" w:color="78A22F"/>
              <w:right w:val="nil"/>
            </w:tcBorders>
            <w:shd w:val="clear" w:color="auto" w:fill="auto"/>
          </w:tcPr>
          <w:p w:rsidR="000566C9" w:rsidRDefault="000566C9" w:rsidP="0027350D">
            <w:pPr>
              <w:pStyle w:val="Figurespace"/>
            </w:pPr>
          </w:p>
        </w:tc>
      </w:tr>
      <w:tr w:rsidR="000566C9" w:rsidRPr="000863A5" w:rsidTr="0027350D">
        <w:tc>
          <w:tcPr>
            <w:tcW w:w="8771" w:type="dxa"/>
            <w:tcBorders>
              <w:top w:val="single" w:sz="6" w:space="0" w:color="78A22F"/>
              <w:left w:val="nil"/>
              <w:bottom w:val="nil"/>
              <w:right w:val="nil"/>
            </w:tcBorders>
          </w:tcPr>
          <w:p w:rsidR="000566C9" w:rsidRPr="00626D32" w:rsidRDefault="000566C9" w:rsidP="0027350D">
            <w:pPr>
              <w:pStyle w:val="BoxSpaceBelow"/>
            </w:pPr>
          </w:p>
        </w:tc>
      </w:tr>
    </w:tbl>
    <w:p w:rsidR="009802D8" w:rsidRDefault="000566C9" w:rsidP="00D057BB">
      <w:pPr>
        <w:pStyle w:val="BodyText"/>
        <w:spacing w:before="200"/>
      </w:pPr>
      <w:r w:rsidRPr="00D057BB">
        <w:t xml:space="preserve">Fire hospitalisation rates need to be interpreted with caution because of the small number of fire injuries. </w:t>
      </w:r>
      <w:r w:rsidR="009802D8">
        <w:t xml:space="preserve">Data for </w:t>
      </w:r>
      <w:r w:rsidRPr="00D057BB">
        <w:t>three</w:t>
      </w:r>
      <w:r w:rsidRPr="00D057BB">
        <w:noBreakHyphen/>
        <w:t>year averages</w:t>
      </w:r>
      <w:r w:rsidR="009802D8">
        <w:t xml:space="preserve"> are reported in </w:t>
      </w:r>
      <w:r w:rsidR="003B1C7F">
        <w:t>table </w:t>
      </w:r>
      <w:proofErr w:type="spellStart"/>
      <w:r w:rsidR="003B1C7F">
        <w:t>9A.9</w:t>
      </w:r>
      <w:proofErr w:type="spellEnd"/>
      <w:r w:rsidR="003B1C7F">
        <w:t>.</w:t>
      </w:r>
    </w:p>
    <w:p w:rsidR="00CC0891" w:rsidRPr="00247731" w:rsidRDefault="00CC0891" w:rsidP="00BF411C">
      <w:pPr>
        <w:pStyle w:val="Heading4"/>
      </w:pPr>
      <w:r w:rsidRPr="00247731">
        <w:lastRenderedPageBreak/>
        <w:t xml:space="preserve">Value of asset losses from fire events </w:t>
      </w:r>
    </w:p>
    <w:p w:rsidR="009B4F44" w:rsidRPr="009B4F44" w:rsidRDefault="00CC0891" w:rsidP="009B4F44">
      <w:pPr>
        <w:pStyle w:val="BodyText"/>
        <w:spacing w:before="200"/>
      </w:pPr>
      <w:r w:rsidRPr="0054109B">
        <w:t>‘Value of asset losses from fire</w:t>
      </w:r>
      <w:r>
        <w:t xml:space="preserve"> events</w:t>
      </w:r>
      <w:r w:rsidRPr="0054109B">
        <w:t xml:space="preserve">’ is an indicator of </w:t>
      </w:r>
      <w:r w:rsidR="009B4F44" w:rsidRPr="0097146D">
        <w:t xml:space="preserve">governments’ objective to </w:t>
      </w:r>
      <w:r w:rsidR="009B4F44" w:rsidRPr="009B4F44">
        <w:t>reduce the adverse effects of events on the community (including people, property, infrastructure, economy and environment) (box 9.</w:t>
      </w:r>
      <w:r w:rsidR="002E18E0">
        <w:t>11</w:t>
      </w:r>
      <w:r w:rsidR="009B4F44" w:rsidRPr="009B4F44">
        <w:t>).</w:t>
      </w:r>
    </w:p>
    <w:p w:rsidR="00CC0891" w:rsidRDefault="00CC089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909"/>
      </w:tblGrid>
      <w:tr w:rsidR="00CC0891" w:rsidTr="00D74925">
        <w:tc>
          <w:tcPr>
            <w:tcW w:w="8909" w:type="dxa"/>
            <w:tcBorders>
              <w:top w:val="single" w:sz="6" w:space="0" w:color="78A22F"/>
              <w:left w:val="nil"/>
              <w:bottom w:val="nil"/>
              <w:right w:val="nil"/>
            </w:tcBorders>
            <w:shd w:val="clear" w:color="auto" w:fill="F2F2F2"/>
          </w:tcPr>
          <w:p w:rsidR="00CC0891" w:rsidRDefault="00CC0891" w:rsidP="002E18E0">
            <w:pPr>
              <w:pStyle w:val="BoxTitle"/>
            </w:pPr>
            <w:r>
              <w:rPr>
                <w:b w:val="0"/>
              </w:rPr>
              <w:t>Box 9</w:t>
            </w:r>
            <w:r w:rsidR="009B4F44">
              <w:rPr>
                <w:b w:val="0"/>
              </w:rPr>
              <w:t>.</w:t>
            </w:r>
            <w:r w:rsidR="002E18E0">
              <w:rPr>
                <w:b w:val="0"/>
              </w:rPr>
              <w:t>11</w:t>
            </w:r>
            <w:r>
              <w:tab/>
            </w:r>
            <w:r w:rsidRPr="00247731">
              <w:t>Value of asset losses from structure fire</w:t>
            </w:r>
          </w:p>
        </w:tc>
      </w:tr>
      <w:tr w:rsidR="00CC0891" w:rsidTr="00D74925">
        <w:trPr>
          <w:cantSplit/>
        </w:trPr>
        <w:tc>
          <w:tcPr>
            <w:tcW w:w="8909" w:type="dxa"/>
            <w:tcBorders>
              <w:top w:val="nil"/>
              <w:left w:val="nil"/>
              <w:bottom w:val="nil"/>
              <w:right w:val="nil"/>
            </w:tcBorders>
            <w:shd w:val="clear" w:color="auto" w:fill="F2F2F2"/>
          </w:tcPr>
          <w:p w:rsidR="00CC0891" w:rsidRDefault="00AB7002" w:rsidP="00CC0891">
            <w:pPr>
              <w:pStyle w:val="Box"/>
            </w:pPr>
            <w:r>
              <w:t>‘</w:t>
            </w:r>
            <w:r w:rsidR="00CC0891" w:rsidRPr="00247731">
              <w:t>Value of asset losses from fire events</w:t>
            </w:r>
            <w:r>
              <w:t>’</w:t>
            </w:r>
            <w:r w:rsidR="00CC0891" w:rsidRPr="00247731">
              <w:t xml:space="preserve"> is defined as the estimated monetary value of the damage to property and contents caused by the fire and fire</w:t>
            </w:r>
            <w:r w:rsidR="00CC0891">
              <w:noBreakHyphen/>
            </w:r>
            <w:r w:rsidR="00CC0891" w:rsidRPr="00247731">
              <w:t>fighting operations</w:t>
            </w:r>
            <w:r w:rsidR="00CC0891">
              <w:t xml:space="preserve"> based on insurance claims</w:t>
            </w:r>
            <w:r w:rsidR="00CC0891" w:rsidRPr="00247731">
              <w:t xml:space="preserve">. </w:t>
            </w:r>
            <w:r w:rsidR="00CC0891">
              <w:t>It does not include land value.</w:t>
            </w:r>
          </w:p>
          <w:p w:rsidR="00CC0891" w:rsidRDefault="00CC0891" w:rsidP="00CC0891">
            <w:pPr>
              <w:pStyle w:val="Box"/>
            </w:pPr>
            <w:r w:rsidRPr="00422B7B">
              <w:t xml:space="preserve">The value of </w:t>
            </w:r>
            <w:r>
              <w:t xml:space="preserve">these </w:t>
            </w:r>
            <w:r w:rsidRPr="00422B7B">
              <w:t xml:space="preserve">insurance claims </w:t>
            </w:r>
            <w:r w:rsidRPr="001132CF">
              <w:t>is the sum of the incurred claims on insurance companies related to fires and explosions</w:t>
            </w:r>
            <w:r>
              <w:t>,</w:t>
            </w:r>
            <w:r w:rsidRPr="001132CF">
              <w:t xml:space="preserve"> </w:t>
            </w:r>
            <w:r w:rsidRPr="00A90E73">
              <w:t>reported</w:t>
            </w:r>
            <w:r w:rsidRPr="001132CF">
              <w:t xml:space="preserve"> to Insurance Statistics Australia (ISA). </w:t>
            </w:r>
            <w:r>
              <w:t>Data are</w:t>
            </w:r>
            <w:r w:rsidRPr="001132CF">
              <w:t xml:space="preserve"> presented as: average domestic insurance claim from fire events; total domestic insurance claims from fire events per person; </w:t>
            </w:r>
            <w:r>
              <w:t xml:space="preserve">and </w:t>
            </w:r>
            <w:r w:rsidRPr="001132CF">
              <w:t>total commercial insurance claims from fire events</w:t>
            </w:r>
            <w:r w:rsidR="00722DCF">
              <w:t xml:space="preserve"> per person</w:t>
            </w:r>
            <w:r w:rsidRPr="001132CF">
              <w:t>.</w:t>
            </w:r>
          </w:p>
          <w:p w:rsidR="00CC0891" w:rsidRDefault="00CC0891" w:rsidP="00CC0891">
            <w:pPr>
              <w:pStyle w:val="Box"/>
            </w:pPr>
            <w:r w:rsidRPr="001132CF">
              <w:t>Lower or decreasing asset losses from fire events represent a better outcome.</w:t>
            </w:r>
          </w:p>
          <w:p w:rsidR="00CC0891" w:rsidRPr="00984AC3" w:rsidRDefault="00CC0891" w:rsidP="00CC0891">
            <w:pPr>
              <w:pStyle w:val="Box"/>
            </w:pPr>
            <w:r w:rsidRPr="00984AC3">
              <w:t>Data need to be interpreted with caution as actual asset losses may differ from incurred claims due to:</w:t>
            </w:r>
          </w:p>
          <w:p w:rsidR="00CC0891" w:rsidRPr="0083362E" w:rsidRDefault="00CC0891" w:rsidP="00CC0891">
            <w:pPr>
              <w:pStyle w:val="BoxListBullet"/>
            </w:pPr>
            <w:r w:rsidRPr="00821BDB">
              <w:t>under insurance</w:t>
            </w:r>
            <w:r w:rsidRPr="0083362E">
              <w:t xml:space="preserve"> — insurance payouts are limited by the estimated value of assets a policy holder provides when taking out insurance</w:t>
            </w:r>
          </w:p>
          <w:p w:rsidR="00CC0891" w:rsidRPr="0083362E" w:rsidRDefault="00CC0891" w:rsidP="00CC0891">
            <w:pPr>
              <w:pStyle w:val="BoxListBullet"/>
            </w:pPr>
            <w:r w:rsidRPr="00821BDB">
              <w:t>new for old</w:t>
            </w:r>
            <w:r w:rsidRPr="0083362E">
              <w:t xml:space="preserve"> — new for old policies replace an</w:t>
            </w:r>
            <w:r>
              <w:t xml:space="preserve"> old asset for a new equivalent</w:t>
            </w:r>
          </w:p>
          <w:p w:rsidR="00CC0891" w:rsidRDefault="00CC0891" w:rsidP="00CC0891">
            <w:pPr>
              <w:pStyle w:val="BoxListBullet"/>
            </w:pPr>
            <w:r w:rsidRPr="00821BDB">
              <w:t xml:space="preserve">excess policy </w:t>
            </w:r>
            <w:r w:rsidRPr="0083362E">
              <w:t>— most small fire incidents will not be recorded in the insurance data due to the need for policy holders to pay an excess prior to claim.</w:t>
            </w:r>
          </w:p>
          <w:p w:rsidR="00CC0891" w:rsidRPr="001132CF" w:rsidRDefault="00CC0891" w:rsidP="00CC0891">
            <w:pPr>
              <w:pStyle w:val="Box"/>
            </w:pPr>
            <w:r w:rsidRPr="001132CF">
              <w:t>Data reported for this measure are:</w:t>
            </w:r>
          </w:p>
          <w:p w:rsidR="00CC0891" w:rsidRPr="001132CF" w:rsidRDefault="00CC0891" w:rsidP="00CC0891">
            <w:pPr>
              <w:pStyle w:val="BoxListBullet"/>
            </w:pPr>
            <w:r w:rsidRPr="001132CF">
              <w:t>comparable (subject to caveats) across jurisdictions and over time</w:t>
            </w:r>
          </w:p>
          <w:p w:rsidR="00CC0891" w:rsidRDefault="00CC0891" w:rsidP="00D74925">
            <w:pPr>
              <w:pStyle w:val="BoxListBullet"/>
            </w:pPr>
            <w:r w:rsidRPr="001132CF">
              <w:t>complet</w:t>
            </w:r>
            <w:r w:rsidR="003B23A7">
              <w:t xml:space="preserve">e </w:t>
            </w:r>
            <w:r w:rsidR="009333CD">
              <w:t xml:space="preserve">(subject to caveats) </w:t>
            </w:r>
            <w:r w:rsidRPr="001132CF">
              <w:t>for</w:t>
            </w:r>
            <w:r w:rsidR="009333CD">
              <w:t xml:space="preserve"> the current reporting period. Required 2015-16 data are available for all jurisdictions; however, I</w:t>
            </w:r>
            <w:r w:rsidRPr="001132CF">
              <w:t>SA estimate that their data cover approximately</w:t>
            </w:r>
            <w:r w:rsidR="00D74925">
              <w:br/>
            </w:r>
            <w:r w:rsidRPr="001132CF">
              <w:t>69</w:t>
            </w:r>
            <w:r w:rsidR="00D74925">
              <w:t> </w:t>
            </w:r>
            <w:r>
              <w:t>and</w:t>
            </w:r>
            <w:r w:rsidR="00D74925">
              <w:t> </w:t>
            </w:r>
            <w:r>
              <w:t>60</w:t>
            </w:r>
            <w:r w:rsidR="009333CD">
              <w:t> </w:t>
            </w:r>
            <w:r w:rsidRPr="001132CF">
              <w:t>per cent</w:t>
            </w:r>
            <w:r w:rsidR="00D74925">
              <w:t> </w:t>
            </w:r>
            <w:r w:rsidRPr="001132CF">
              <w:t>of</w:t>
            </w:r>
            <w:r w:rsidR="00D74925">
              <w:t> </w:t>
            </w:r>
            <w:r w:rsidRPr="001132CF">
              <w:t>the</w:t>
            </w:r>
            <w:r w:rsidR="00D74925">
              <w:t> </w:t>
            </w:r>
            <w:r w:rsidRPr="001132CF">
              <w:t>potential</w:t>
            </w:r>
            <w:r w:rsidR="00D74925">
              <w:t> </w:t>
            </w:r>
            <w:r w:rsidRPr="001132CF">
              <w:t>domestic</w:t>
            </w:r>
            <w:r w:rsidR="00D74925">
              <w:t> </w:t>
            </w:r>
            <w:r>
              <w:t>and</w:t>
            </w:r>
            <w:r w:rsidR="00D74925">
              <w:t> </w:t>
            </w:r>
            <w:r w:rsidRPr="001132CF">
              <w:t>co</w:t>
            </w:r>
            <w:r>
              <w:t>mmercial</w:t>
            </w:r>
            <w:r w:rsidR="00D74925">
              <w:t> insurance markets respectively.</w:t>
            </w:r>
          </w:p>
        </w:tc>
      </w:tr>
      <w:tr w:rsidR="00CC0891" w:rsidTr="00D74925">
        <w:trPr>
          <w:cantSplit/>
        </w:trPr>
        <w:tc>
          <w:tcPr>
            <w:tcW w:w="8909" w:type="dxa"/>
            <w:tcBorders>
              <w:top w:val="nil"/>
              <w:left w:val="nil"/>
              <w:bottom w:val="single" w:sz="6" w:space="0" w:color="78A22F"/>
              <w:right w:val="nil"/>
            </w:tcBorders>
            <w:shd w:val="clear" w:color="auto" w:fill="F2F2F2"/>
          </w:tcPr>
          <w:p w:rsidR="00CC0891" w:rsidRDefault="00CC0891">
            <w:pPr>
              <w:pStyle w:val="Box"/>
              <w:spacing w:before="0" w:line="120" w:lineRule="exact"/>
            </w:pPr>
          </w:p>
        </w:tc>
      </w:tr>
      <w:tr w:rsidR="00CC0891" w:rsidRPr="000863A5" w:rsidTr="00D74925">
        <w:tc>
          <w:tcPr>
            <w:tcW w:w="8909" w:type="dxa"/>
            <w:tcBorders>
              <w:top w:val="single" w:sz="6" w:space="0" w:color="78A22F"/>
              <w:left w:val="nil"/>
              <w:bottom w:val="nil"/>
              <w:right w:val="nil"/>
            </w:tcBorders>
          </w:tcPr>
          <w:p w:rsidR="00CC0891" w:rsidRPr="00626D32" w:rsidRDefault="00CC0891" w:rsidP="0027350D">
            <w:pPr>
              <w:pStyle w:val="BoxSpaceBelow"/>
            </w:pPr>
          </w:p>
        </w:tc>
      </w:tr>
    </w:tbl>
    <w:p w:rsidR="00062BD2" w:rsidRPr="00CE72A4" w:rsidRDefault="00062BD2" w:rsidP="00062BD2">
      <w:pPr>
        <w:pStyle w:val="BodyText"/>
        <w:rPr>
          <w:b/>
          <w:color w:val="000000" w:themeColor="text1"/>
        </w:rPr>
      </w:pPr>
      <w:r w:rsidRPr="00984AC3">
        <w:rPr>
          <w:color w:val="000000" w:themeColor="text1"/>
        </w:rPr>
        <w:t>Nationally in 201</w:t>
      </w:r>
      <w:r w:rsidR="00F04445">
        <w:rPr>
          <w:color w:val="000000" w:themeColor="text1"/>
        </w:rPr>
        <w:t>5</w:t>
      </w:r>
      <w:r w:rsidRPr="00984AC3">
        <w:rPr>
          <w:color w:val="000000" w:themeColor="text1"/>
        </w:rPr>
        <w:noBreakHyphen/>
        <w:t>1</w:t>
      </w:r>
      <w:r w:rsidR="00F04445">
        <w:rPr>
          <w:color w:val="000000" w:themeColor="text1"/>
        </w:rPr>
        <w:t>6</w:t>
      </w:r>
      <w:r w:rsidRPr="00984AC3">
        <w:rPr>
          <w:color w:val="000000" w:themeColor="text1"/>
        </w:rPr>
        <w:t xml:space="preserve">, household and </w:t>
      </w:r>
      <w:r w:rsidRPr="00CE72A4">
        <w:rPr>
          <w:color w:val="000000" w:themeColor="text1"/>
        </w:rPr>
        <w:t>commercial property insurance claims in relation to fire events (excluding major events) totalled $</w:t>
      </w:r>
      <w:r w:rsidR="00FC37FA">
        <w:rPr>
          <w:color w:val="000000" w:themeColor="text1"/>
        </w:rPr>
        <w:t>806.1</w:t>
      </w:r>
      <w:r w:rsidRPr="00CE72A4">
        <w:rPr>
          <w:color w:val="000000" w:themeColor="text1"/>
        </w:rPr>
        <w:t xml:space="preserve"> million (table </w:t>
      </w:r>
      <w:proofErr w:type="spellStart"/>
      <w:r w:rsidRPr="00CE72A4">
        <w:rPr>
          <w:color w:val="000000" w:themeColor="text1"/>
        </w:rPr>
        <w:t>9A.12</w:t>
      </w:r>
      <w:proofErr w:type="spellEnd"/>
      <w:r w:rsidRPr="00CE72A4">
        <w:rPr>
          <w:color w:val="000000" w:themeColor="text1"/>
        </w:rPr>
        <w:t xml:space="preserve">). </w:t>
      </w:r>
    </w:p>
    <w:p w:rsidR="00062BD2" w:rsidRPr="00CE72A4" w:rsidRDefault="00CC1B18" w:rsidP="00062BD2">
      <w:pPr>
        <w:pStyle w:val="BodyText"/>
        <w:rPr>
          <w:color w:val="000000" w:themeColor="text1"/>
        </w:rPr>
      </w:pPr>
      <w:r>
        <w:rPr>
          <w:color w:val="000000" w:themeColor="text1"/>
        </w:rPr>
        <w:t>D</w:t>
      </w:r>
      <w:r w:rsidR="00062BD2" w:rsidRPr="00CE72A4">
        <w:rPr>
          <w:color w:val="000000" w:themeColor="text1"/>
        </w:rPr>
        <w:t>omestic insurance fire event claims increased for:</w:t>
      </w:r>
    </w:p>
    <w:p w:rsidR="00062BD2" w:rsidRPr="00CE72A4" w:rsidRDefault="00062BD2" w:rsidP="00062BD2">
      <w:pPr>
        <w:pStyle w:val="ListBullet"/>
        <w:rPr>
          <w:color w:val="000000" w:themeColor="text1"/>
        </w:rPr>
      </w:pPr>
      <w:r w:rsidRPr="00CE72A4">
        <w:rPr>
          <w:color w:val="000000" w:themeColor="text1"/>
        </w:rPr>
        <w:t xml:space="preserve">average claims — a </w:t>
      </w:r>
      <w:r w:rsidR="00CC1B18">
        <w:rPr>
          <w:color w:val="000000" w:themeColor="text1"/>
        </w:rPr>
        <w:t xml:space="preserve">29.6 </w:t>
      </w:r>
      <w:r w:rsidRPr="00CE72A4">
        <w:rPr>
          <w:color w:val="000000" w:themeColor="text1"/>
        </w:rPr>
        <w:t>per cent increase in real terms from an average claim of $</w:t>
      </w:r>
      <w:r w:rsidR="00CC1B18">
        <w:rPr>
          <w:color w:val="000000" w:themeColor="text1"/>
        </w:rPr>
        <w:t xml:space="preserve">44 651 </w:t>
      </w:r>
      <w:r w:rsidRPr="00CE72A4">
        <w:rPr>
          <w:color w:val="000000" w:themeColor="text1"/>
        </w:rPr>
        <w:t>in 201</w:t>
      </w:r>
      <w:r w:rsidR="00F04445">
        <w:rPr>
          <w:color w:val="000000" w:themeColor="text1"/>
        </w:rPr>
        <w:t>1</w:t>
      </w:r>
      <w:r w:rsidRPr="00CE72A4">
        <w:rPr>
          <w:color w:val="000000" w:themeColor="text1"/>
        </w:rPr>
        <w:noBreakHyphen/>
        <w:t>1</w:t>
      </w:r>
      <w:r w:rsidR="00F04445">
        <w:rPr>
          <w:color w:val="000000" w:themeColor="text1"/>
        </w:rPr>
        <w:t>2 to an average claim of $</w:t>
      </w:r>
      <w:r w:rsidR="00CC1B18">
        <w:rPr>
          <w:color w:val="000000" w:themeColor="text1"/>
        </w:rPr>
        <w:t>57</w:t>
      </w:r>
      <w:r w:rsidR="00F04445">
        <w:rPr>
          <w:color w:val="000000" w:themeColor="text1"/>
        </w:rPr>
        <w:t> </w:t>
      </w:r>
      <w:r w:rsidR="00CC1B18">
        <w:rPr>
          <w:color w:val="000000" w:themeColor="text1"/>
        </w:rPr>
        <w:t xml:space="preserve">858 </w:t>
      </w:r>
      <w:r w:rsidRPr="00CE72A4">
        <w:rPr>
          <w:color w:val="000000" w:themeColor="text1"/>
        </w:rPr>
        <w:t>in 201</w:t>
      </w:r>
      <w:r w:rsidR="00F04445">
        <w:rPr>
          <w:color w:val="000000" w:themeColor="text1"/>
        </w:rPr>
        <w:t>5</w:t>
      </w:r>
      <w:r w:rsidRPr="00CE72A4">
        <w:rPr>
          <w:color w:val="000000" w:themeColor="text1"/>
        </w:rPr>
        <w:noBreakHyphen/>
        <w:t>1</w:t>
      </w:r>
      <w:r w:rsidR="00F04445">
        <w:rPr>
          <w:color w:val="000000" w:themeColor="text1"/>
        </w:rPr>
        <w:t>6</w:t>
      </w:r>
    </w:p>
    <w:p w:rsidR="00062BD2" w:rsidRPr="00CE72A4" w:rsidRDefault="00F04445" w:rsidP="00062BD2">
      <w:pPr>
        <w:pStyle w:val="ListBullet"/>
        <w:rPr>
          <w:color w:val="000000" w:themeColor="text1"/>
        </w:rPr>
      </w:pPr>
      <w:r>
        <w:rPr>
          <w:color w:val="000000" w:themeColor="text1"/>
        </w:rPr>
        <w:t xml:space="preserve">claim per person — a </w:t>
      </w:r>
      <w:r w:rsidR="006379D8">
        <w:rPr>
          <w:color w:val="000000" w:themeColor="text1"/>
        </w:rPr>
        <w:t xml:space="preserve">26.9 </w:t>
      </w:r>
      <w:r w:rsidR="00062BD2" w:rsidRPr="00CE72A4">
        <w:rPr>
          <w:color w:val="000000" w:themeColor="text1"/>
        </w:rPr>
        <w:t>per cen</w:t>
      </w:r>
      <w:r>
        <w:rPr>
          <w:color w:val="000000" w:themeColor="text1"/>
        </w:rPr>
        <w:t>t increase in real terms from $</w:t>
      </w:r>
      <w:r w:rsidR="00CC1B18">
        <w:rPr>
          <w:color w:val="000000" w:themeColor="text1"/>
        </w:rPr>
        <w:t xml:space="preserve">20.06 </w:t>
      </w:r>
      <w:r w:rsidR="00062BD2" w:rsidRPr="00CE72A4">
        <w:rPr>
          <w:color w:val="000000" w:themeColor="text1"/>
        </w:rPr>
        <w:t>per person in the population in 201</w:t>
      </w:r>
      <w:r>
        <w:rPr>
          <w:color w:val="000000" w:themeColor="text1"/>
        </w:rPr>
        <w:t>1</w:t>
      </w:r>
      <w:r w:rsidR="00062BD2" w:rsidRPr="00CE72A4">
        <w:rPr>
          <w:color w:val="000000" w:themeColor="text1"/>
        </w:rPr>
        <w:noBreakHyphen/>
        <w:t>1</w:t>
      </w:r>
      <w:r>
        <w:rPr>
          <w:color w:val="000000" w:themeColor="text1"/>
        </w:rPr>
        <w:t>2</w:t>
      </w:r>
      <w:r w:rsidR="00062BD2" w:rsidRPr="00CE72A4">
        <w:rPr>
          <w:color w:val="000000" w:themeColor="text1"/>
        </w:rPr>
        <w:t xml:space="preserve"> to $</w:t>
      </w:r>
      <w:r w:rsidR="00CC1B18">
        <w:rPr>
          <w:color w:val="000000" w:themeColor="text1"/>
        </w:rPr>
        <w:t>25.46 p</w:t>
      </w:r>
      <w:r w:rsidR="00062BD2" w:rsidRPr="00CE72A4">
        <w:rPr>
          <w:color w:val="000000" w:themeColor="text1"/>
        </w:rPr>
        <w:t>er person in the population in 201</w:t>
      </w:r>
      <w:r w:rsidR="00CC1B18">
        <w:rPr>
          <w:color w:val="000000" w:themeColor="text1"/>
        </w:rPr>
        <w:t>5</w:t>
      </w:r>
      <w:r w:rsidR="00062BD2" w:rsidRPr="00CE72A4">
        <w:rPr>
          <w:color w:val="000000" w:themeColor="text1"/>
        </w:rPr>
        <w:noBreakHyphen/>
        <w:t>1</w:t>
      </w:r>
      <w:r w:rsidR="00CC1B18">
        <w:rPr>
          <w:color w:val="000000" w:themeColor="text1"/>
        </w:rPr>
        <w:t>6</w:t>
      </w:r>
      <w:r w:rsidR="00062BD2" w:rsidRPr="00CE72A4">
        <w:rPr>
          <w:color w:val="000000" w:themeColor="text1"/>
        </w:rPr>
        <w:t xml:space="preserve"> (table </w:t>
      </w:r>
      <w:proofErr w:type="spellStart"/>
      <w:r w:rsidR="00062BD2" w:rsidRPr="00CE72A4">
        <w:rPr>
          <w:color w:val="000000" w:themeColor="text1"/>
        </w:rPr>
        <w:t>9A.12</w:t>
      </w:r>
      <w:proofErr w:type="spellEnd"/>
      <w:r w:rsidR="00062BD2" w:rsidRPr="00CE72A4">
        <w:rPr>
          <w:color w:val="000000" w:themeColor="text1"/>
        </w:rPr>
        <w:t xml:space="preserve"> and figure 9.</w:t>
      </w:r>
      <w:r w:rsidR="00CC1B18">
        <w:rPr>
          <w:color w:val="000000" w:themeColor="text1"/>
        </w:rPr>
        <w:t>11</w:t>
      </w:r>
      <w:r w:rsidR="00062BD2" w:rsidRPr="00CE72A4">
        <w:rPr>
          <w:color w:val="000000" w:themeColor="text1"/>
        </w:rPr>
        <w:t xml:space="preserve">). </w:t>
      </w:r>
    </w:p>
    <w:p w:rsidR="00062BD2" w:rsidRDefault="00062BD2" w:rsidP="00062BD2">
      <w:pPr>
        <w:pStyle w:val="BodyText"/>
        <w:rPr>
          <w:color w:val="000000" w:themeColor="text1"/>
        </w:rPr>
      </w:pPr>
      <w:r w:rsidRPr="00CE72A4">
        <w:rPr>
          <w:color w:val="000000" w:themeColor="text1"/>
        </w:rPr>
        <w:t xml:space="preserve">Nationally, there were </w:t>
      </w:r>
      <w:r w:rsidR="00B82AD6">
        <w:rPr>
          <w:color w:val="000000" w:themeColor="text1"/>
        </w:rPr>
        <w:t xml:space="preserve">2132 </w:t>
      </w:r>
      <w:r w:rsidRPr="00CE72A4">
        <w:rPr>
          <w:color w:val="000000" w:themeColor="text1"/>
        </w:rPr>
        <w:t>commercial insurance claims from fire events in 201</w:t>
      </w:r>
      <w:r w:rsidR="00F04445">
        <w:rPr>
          <w:color w:val="000000" w:themeColor="text1"/>
        </w:rPr>
        <w:t>5</w:t>
      </w:r>
      <w:r w:rsidRPr="00CE72A4">
        <w:rPr>
          <w:color w:val="000000" w:themeColor="text1"/>
        </w:rPr>
        <w:noBreakHyphen/>
        <w:t>1</w:t>
      </w:r>
      <w:r w:rsidR="00F04445">
        <w:rPr>
          <w:color w:val="000000" w:themeColor="text1"/>
        </w:rPr>
        <w:t>6</w:t>
      </w:r>
      <w:r w:rsidR="00B130EE">
        <w:rPr>
          <w:color w:val="000000" w:themeColor="text1"/>
        </w:rPr>
        <w:t xml:space="preserve"> (table </w:t>
      </w:r>
      <w:proofErr w:type="spellStart"/>
      <w:r w:rsidR="00B130EE">
        <w:rPr>
          <w:color w:val="000000" w:themeColor="text1"/>
        </w:rPr>
        <w:t>9A.12</w:t>
      </w:r>
      <w:proofErr w:type="spellEnd"/>
      <w:r w:rsidR="00B130EE">
        <w:rPr>
          <w:color w:val="000000" w:themeColor="text1"/>
        </w:rPr>
        <w:t>).</w:t>
      </w:r>
    </w:p>
    <w:p w:rsidR="00062BD2" w:rsidRDefault="00062BD2" w:rsidP="0027350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62BD2" w:rsidTr="0027350D">
        <w:tc>
          <w:tcPr>
            <w:tcW w:w="8771" w:type="dxa"/>
            <w:tcBorders>
              <w:top w:val="single" w:sz="6" w:space="0" w:color="78A22F"/>
              <w:left w:val="nil"/>
              <w:bottom w:val="nil"/>
              <w:right w:val="nil"/>
            </w:tcBorders>
            <w:shd w:val="clear" w:color="auto" w:fill="auto"/>
          </w:tcPr>
          <w:p w:rsidR="00062BD2" w:rsidRPr="00176D3F" w:rsidRDefault="00062BD2" w:rsidP="00370AA8">
            <w:pPr>
              <w:pStyle w:val="FigureTitle"/>
            </w:pPr>
            <w:r w:rsidRPr="00784A05">
              <w:rPr>
                <w:b w:val="0"/>
              </w:rPr>
              <w:t xml:space="preserve">Figure </w:t>
            </w:r>
            <w:r>
              <w:rPr>
                <w:b w:val="0"/>
              </w:rPr>
              <w:t>9</w:t>
            </w:r>
            <w:r w:rsidR="00F04445">
              <w:rPr>
                <w:b w:val="0"/>
              </w:rPr>
              <w:t>.</w:t>
            </w:r>
            <w:r w:rsidR="00370AA8">
              <w:rPr>
                <w:b w:val="0"/>
              </w:rPr>
              <w:t>11</w:t>
            </w:r>
            <w:r>
              <w:tab/>
              <w:t>T</w:t>
            </w:r>
            <w:r w:rsidRPr="00563777">
              <w:t>otal value of fire event insurance claims</w:t>
            </w:r>
            <w:r w:rsidRPr="00481FAC">
              <w:t xml:space="preserve"> </w:t>
            </w:r>
            <w:r>
              <w:t>(201</w:t>
            </w:r>
            <w:r w:rsidR="00370AA8">
              <w:t>5</w:t>
            </w:r>
            <w:r>
              <w:noBreakHyphen/>
              <w:t>1</w:t>
            </w:r>
            <w:r w:rsidR="00370AA8">
              <w:t>6</w:t>
            </w:r>
            <w:r>
              <w:t> dollars)</w:t>
            </w:r>
            <w:r>
              <w:rPr>
                <w:vertAlign w:val="superscript"/>
              </w:rPr>
              <w:t>a</w:t>
            </w:r>
          </w:p>
        </w:tc>
      </w:tr>
      <w:tr w:rsidR="00062BD2" w:rsidTr="0027350D">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062BD2" w:rsidTr="0027350D">
              <w:trPr>
                <w:jc w:val="center"/>
              </w:trPr>
              <w:tc>
                <w:tcPr>
                  <w:tcW w:w="5000" w:type="pct"/>
                  <w:tcBorders>
                    <w:top w:val="nil"/>
                    <w:bottom w:val="nil"/>
                  </w:tcBorders>
                </w:tcPr>
                <w:p w:rsidR="00062BD2" w:rsidRPr="00833E5C" w:rsidRDefault="00920BE8" w:rsidP="00833E5C">
                  <w:pPr>
                    <w:pStyle w:val="Figure"/>
                  </w:pPr>
                  <w:r>
                    <w:rPr>
                      <w:noProof/>
                    </w:rPr>
                    <w:drawing>
                      <wp:inline distT="0" distB="0" distL="0" distR="0" wp14:anchorId="4BB4B07C" wp14:editId="6DE35944">
                        <wp:extent cx="5372100" cy="2800350"/>
                        <wp:effectExtent l="0" t="0" r="0" b="0"/>
                        <wp:docPr id="14" name="Picture 14" descr="Figure 9.11 Total value of fire event insurance claims in 2015-16 doll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372100" cy="2800350"/>
                                </a:xfrm>
                                <a:prstGeom prst="rect">
                                  <a:avLst/>
                                </a:prstGeom>
                                <a:noFill/>
                                <a:ln>
                                  <a:noFill/>
                                </a:ln>
                              </pic:spPr>
                            </pic:pic>
                          </a:graphicData>
                        </a:graphic>
                      </wp:inline>
                    </w:drawing>
                  </w:r>
                </w:p>
              </w:tc>
            </w:tr>
          </w:tbl>
          <w:p w:rsidR="00062BD2" w:rsidRDefault="00062BD2" w:rsidP="0027350D">
            <w:pPr>
              <w:pStyle w:val="Figure"/>
            </w:pPr>
          </w:p>
        </w:tc>
      </w:tr>
      <w:tr w:rsidR="00062BD2" w:rsidRPr="00176D3F" w:rsidTr="0027350D">
        <w:tc>
          <w:tcPr>
            <w:tcW w:w="8771" w:type="dxa"/>
            <w:tcBorders>
              <w:top w:val="nil"/>
              <w:left w:val="nil"/>
              <w:bottom w:val="nil"/>
              <w:right w:val="nil"/>
            </w:tcBorders>
            <w:shd w:val="clear" w:color="auto" w:fill="auto"/>
          </w:tcPr>
          <w:p w:rsidR="00062BD2" w:rsidRPr="00176D3F" w:rsidRDefault="00062BD2" w:rsidP="00370AA8">
            <w:pPr>
              <w:pStyle w:val="Note"/>
            </w:pPr>
            <w:r>
              <w:rPr>
                <w:rStyle w:val="NoteLabel"/>
              </w:rPr>
              <w:t>a</w:t>
            </w:r>
            <w:r w:rsidR="00370AA8">
              <w:t xml:space="preserve"> See box 9.11</w:t>
            </w:r>
            <w:r w:rsidR="00F04445">
              <w:t xml:space="preserve"> </w:t>
            </w:r>
            <w:r>
              <w:t xml:space="preserve">and table </w:t>
            </w:r>
            <w:proofErr w:type="spellStart"/>
            <w:r>
              <w:t>9A.12</w:t>
            </w:r>
            <w:proofErr w:type="spellEnd"/>
            <w:r>
              <w:t xml:space="preserve"> for </w:t>
            </w:r>
            <w:r w:rsidRPr="00327D09">
              <w:t>detailed definitions, footnotes and caveats</w:t>
            </w:r>
            <w:r>
              <w:t>.</w:t>
            </w:r>
          </w:p>
        </w:tc>
      </w:tr>
      <w:tr w:rsidR="00062BD2" w:rsidRPr="00176D3F" w:rsidTr="0027350D">
        <w:tc>
          <w:tcPr>
            <w:tcW w:w="8771" w:type="dxa"/>
            <w:tcBorders>
              <w:top w:val="nil"/>
              <w:left w:val="nil"/>
              <w:bottom w:val="nil"/>
              <w:right w:val="nil"/>
            </w:tcBorders>
            <w:shd w:val="clear" w:color="auto" w:fill="auto"/>
          </w:tcPr>
          <w:p w:rsidR="00062BD2" w:rsidRPr="00176D3F" w:rsidRDefault="00062BD2" w:rsidP="00833E5C">
            <w:pPr>
              <w:pStyle w:val="Source"/>
            </w:pPr>
            <w:r>
              <w:rPr>
                <w:i/>
              </w:rPr>
              <w:t>S</w:t>
            </w:r>
            <w:r w:rsidRPr="00784A05">
              <w:rPr>
                <w:i/>
              </w:rPr>
              <w:t>ource</w:t>
            </w:r>
            <w:r w:rsidRPr="00176D3F">
              <w:t xml:space="preserve">: </w:t>
            </w:r>
            <w:r w:rsidRPr="00562500">
              <w:rPr>
                <w:color w:val="000000" w:themeColor="text1"/>
              </w:rPr>
              <w:t>ISA Database (201</w:t>
            </w:r>
            <w:r w:rsidR="00F04445">
              <w:rPr>
                <w:color w:val="000000" w:themeColor="text1"/>
              </w:rPr>
              <w:t>6</w:t>
            </w:r>
            <w:r w:rsidRPr="00562500">
              <w:rPr>
                <w:color w:val="000000" w:themeColor="text1"/>
              </w:rPr>
              <w:t>)</w:t>
            </w:r>
            <w:r w:rsidR="00833E5C">
              <w:rPr>
                <w:color w:val="000000" w:themeColor="text1"/>
              </w:rPr>
              <w:t xml:space="preserve">, </w:t>
            </w:r>
            <w:r w:rsidRPr="00562500">
              <w:rPr>
                <w:color w:val="000000" w:themeColor="text1"/>
              </w:rPr>
              <w:t>unpublished; table </w:t>
            </w:r>
            <w:proofErr w:type="spellStart"/>
            <w:r w:rsidRPr="00562500">
              <w:rPr>
                <w:color w:val="000000" w:themeColor="text1"/>
              </w:rPr>
              <w:t>9A.12</w:t>
            </w:r>
            <w:proofErr w:type="spellEnd"/>
            <w:r w:rsidRPr="00562500">
              <w:rPr>
                <w:color w:val="000000" w:themeColor="text1"/>
              </w:rPr>
              <w:t>.</w:t>
            </w:r>
          </w:p>
        </w:tc>
      </w:tr>
      <w:tr w:rsidR="00062BD2" w:rsidTr="0027350D">
        <w:tc>
          <w:tcPr>
            <w:tcW w:w="8771" w:type="dxa"/>
            <w:tcBorders>
              <w:top w:val="nil"/>
              <w:left w:val="nil"/>
              <w:bottom w:val="single" w:sz="6" w:space="0" w:color="78A22F"/>
              <w:right w:val="nil"/>
            </w:tcBorders>
            <w:shd w:val="clear" w:color="auto" w:fill="auto"/>
          </w:tcPr>
          <w:p w:rsidR="00062BD2" w:rsidRDefault="00062BD2" w:rsidP="0027350D">
            <w:pPr>
              <w:pStyle w:val="Figurespace"/>
            </w:pPr>
          </w:p>
        </w:tc>
      </w:tr>
      <w:tr w:rsidR="00062BD2" w:rsidRPr="000863A5" w:rsidTr="0027350D">
        <w:tc>
          <w:tcPr>
            <w:tcW w:w="8771" w:type="dxa"/>
            <w:tcBorders>
              <w:top w:val="single" w:sz="6" w:space="0" w:color="78A22F"/>
              <w:left w:val="nil"/>
              <w:bottom w:val="nil"/>
              <w:right w:val="nil"/>
            </w:tcBorders>
          </w:tcPr>
          <w:p w:rsidR="00062BD2" w:rsidRPr="00626D32" w:rsidRDefault="00062BD2" w:rsidP="0027350D">
            <w:pPr>
              <w:pStyle w:val="BoxSpaceBelow"/>
            </w:pPr>
          </w:p>
        </w:tc>
      </w:tr>
    </w:tbl>
    <w:p w:rsidR="00715E2D" w:rsidRDefault="00715E2D" w:rsidP="00715E2D">
      <w:pPr>
        <w:pStyle w:val="Heading2"/>
      </w:pPr>
      <w:bookmarkStart w:id="53" w:name="_Toc440965328"/>
      <w:r>
        <w:t>9.</w:t>
      </w:r>
      <w:r w:rsidR="00957247">
        <w:t>4</w:t>
      </w:r>
      <w:r>
        <w:tab/>
      </w:r>
      <w:r w:rsidRPr="001F08C0">
        <w:t>Definitions of key terms</w:t>
      </w:r>
      <w:bookmarkEnd w:id="53"/>
      <w:r>
        <w:br/>
      </w:r>
    </w:p>
    <w:tbl>
      <w:tblPr>
        <w:tblW w:w="8789" w:type="dxa"/>
        <w:tblInd w:w="28" w:type="dxa"/>
        <w:tblLayout w:type="fixed"/>
        <w:tblCellMar>
          <w:top w:w="57" w:type="dxa"/>
          <w:left w:w="28" w:type="dxa"/>
          <w:bottom w:w="57" w:type="dxa"/>
          <w:right w:w="0" w:type="dxa"/>
        </w:tblCellMar>
        <w:tblLook w:val="0000" w:firstRow="0" w:lastRow="0" w:firstColumn="0" w:lastColumn="0" w:noHBand="0" w:noVBand="0"/>
      </w:tblPr>
      <w:tblGrid>
        <w:gridCol w:w="1582"/>
        <w:gridCol w:w="1112"/>
        <w:gridCol w:w="6095"/>
      </w:tblGrid>
      <w:tr w:rsidR="00715E2D" w:rsidRPr="001F08C0" w:rsidTr="00715E2D">
        <w:tc>
          <w:tcPr>
            <w:tcW w:w="1582" w:type="dxa"/>
            <w:shd w:val="clear" w:color="auto" w:fill="auto"/>
          </w:tcPr>
          <w:p w:rsidR="00715E2D" w:rsidRPr="001F08C0" w:rsidRDefault="00715E2D" w:rsidP="0066452E">
            <w:pPr>
              <w:pStyle w:val="TableBodyText"/>
              <w:keepNext w:val="0"/>
              <w:keepLines w:val="0"/>
              <w:widowControl w:val="0"/>
              <w:spacing w:before="60" w:after="60"/>
              <w:jc w:val="left"/>
              <w:rPr>
                <w:b/>
              </w:rPr>
            </w:pPr>
            <w:r w:rsidRPr="001F08C0">
              <w:rPr>
                <w:b/>
              </w:rPr>
              <w:t>Expenditure</w:t>
            </w:r>
          </w:p>
        </w:tc>
        <w:tc>
          <w:tcPr>
            <w:tcW w:w="7207" w:type="dxa"/>
            <w:gridSpan w:val="2"/>
            <w:shd w:val="clear" w:color="auto" w:fill="auto"/>
          </w:tcPr>
          <w:p w:rsidR="00715E2D" w:rsidRDefault="00715E2D" w:rsidP="0066452E">
            <w:pPr>
              <w:pStyle w:val="TableBodyText"/>
              <w:keepNext w:val="0"/>
              <w:keepLines w:val="0"/>
              <w:widowControl w:val="0"/>
              <w:spacing w:before="60" w:after="60"/>
              <w:ind w:right="28"/>
              <w:jc w:val="left"/>
            </w:pPr>
            <w:r>
              <w:t>Includes:</w:t>
            </w:r>
          </w:p>
          <w:p w:rsidR="00715E2D" w:rsidRDefault="00715E2D" w:rsidP="0066452E">
            <w:pPr>
              <w:pStyle w:val="TableBullet"/>
            </w:pPr>
            <w:r w:rsidRPr="001F08C0">
              <w:t xml:space="preserve">salaries and payments in </w:t>
            </w:r>
            <w:r w:rsidR="00A03E24">
              <w:t xml:space="preserve">the nature of salaries to fire </w:t>
            </w:r>
            <w:r w:rsidRPr="001F08C0">
              <w:t>personnel</w:t>
            </w:r>
          </w:p>
          <w:p w:rsidR="00715E2D" w:rsidRDefault="00715E2D" w:rsidP="0066452E">
            <w:pPr>
              <w:pStyle w:val="TableBullet"/>
            </w:pPr>
            <w:r w:rsidRPr="001F08C0">
              <w:t xml:space="preserve">capital expenditure (such as the user cost of capital) </w:t>
            </w:r>
          </w:p>
          <w:p w:rsidR="00715E2D" w:rsidRDefault="00715E2D" w:rsidP="0066452E">
            <w:pPr>
              <w:pStyle w:val="TableBullet"/>
            </w:pPr>
            <w:r w:rsidRPr="001F08C0">
              <w:t xml:space="preserve">other operating expenditure (such as running expenditure, contract expenditure, training expenditure, maintenance expenditure, communications expenditure, provision for losses and other recurrent expenditure). </w:t>
            </w:r>
          </w:p>
          <w:p w:rsidR="00715E2D" w:rsidRPr="001F08C0" w:rsidRDefault="00715E2D" w:rsidP="0066452E">
            <w:pPr>
              <w:pStyle w:val="TableBodyText"/>
              <w:jc w:val="left"/>
            </w:pPr>
            <w:r w:rsidRPr="001F08C0">
              <w:t>Excludes interest on borrowings.</w:t>
            </w:r>
          </w:p>
        </w:tc>
      </w:tr>
      <w:tr w:rsidR="00715E2D" w:rsidRPr="001F08C0" w:rsidTr="00715E2D">
        <w:tc>
          <w:tcPr>
            <w:tcW w:w="1582" w:type="dxa"/>
            <w:shd w:val="clear" w:color="auto" w:fill="auto"/>
          </w:tcPr>
          <w:p w:rsidR="00715E2D" w:rsidRPr="002A1FE1" w:rsidRDefault="00715E2D" w:rsidP="0066452E">
            <w:pPr>
              <w:pStyle w:val="TableBodyText"/>
              <w:keepNext w:val="0"/>
              <w:keepLines w:val="0"/>
              <w:widowControl w:val="0"/>
              <w:spacing w:before="60" w:after="60"/>
              <w:ind w:left="284"/>
              <w:jc w:val="left"/>
            </w:pPr>
            <w:r w:rsidRPr="002A1FE1">
              <w:t xml:space="preserve">User cost </w:t>
            </w:r>
            <w:r w:rsidRPr="002A1FE1">
              <w:br/>
              <w:t>of capital</w:t>
            </w:r>
          </w:p>
        </w:tc>
        <w:tc>
          <w:tcPr>
            <w:tcW w:w="7207" w:type="dxa"/>
            <w:gridSpan w:val="2"/>
            <w:shd w:val="clear" w:color="auto" w:fill="auto"/>
          </w:tcPr>
          <w:p w:rsidR="00715E2D" w:rsidRPr="001F08C0" w:rsidRDefault="00715E2D" w:rsidP="0066452E">
            <w:pPr>
              <w:pStyle w:val="TableBodyText"/>
              <w:keepNext w:val="0"/>
              <w:keepLines w:val="0"/>
              <w:widowControl w:val="0"/>
              <w:spacing w:before="60" w:after="60"/>
              <w:jc w:val="left"/>
            </w:pPr>
            <w:r w:rsidRPr="001F08C0">
              <w:t>The opportunity cost of funds tied up in the capital used to deliver services. Calculated as 8 per cent of the current value of non</w:t>
            </w:r>
            <w:r>
              <w:noBreakHyphen/>
            </w:r>
            <w:r w:rsidRPr="001F08C0">
              <w:t>current physical assets (including land, plant and equipment).</w:t>
            </w:r>
          </w:p>
        </w:tc>
      </w:tr>
      <w:tr w:rsidR="00715E2D" w:rsidRPr="001F08C0" w:rsidTr="00715E2D">
        <w:tc>
          <w:tcPr>
            <w:tcW w:w="1582" w:type="dxa"/>
            <w:shd w:val="clear" w:color="auto" w:fill="auto"/>
          </w:tcPr>
          <w:p w:rsidR="00715E2D" w:rsidRPr="001F08C0" w:rsidRDefault="00715E2D" w:rsidP="0066452E">
            <w:pPr>
              <w:pStyle w:val="TableBodyText"/>
              <w:keepNext w:val="0"/>
              <w:keepLines w:val="0"/>
              <w:widowControl w:val="0"/>
              <w:spacing w:before="60" w:after="60"/>
              <w:jc w:val="left"/>
              <w:rPr>
                <w:b/>
              </w:rPr>
            </w:pPr>
            <w:r>
              <w:rPr>
                <w:b/>
              </w:rPr>
              <w:t>Human resources</w:t>
            </w:r>
          </w:p>
        </w:tc>
        <w:tc>
          <w:tcPr>
            <w:tcW w:w="7207" w:type="dxa"/>
            <w:gridSpan w:val="2"/>
            <w:shd w:val="clear" w:color="auto" w:fill="auto"/>
          </w:tcPr>
          <w:p w:rsidR="00715E2D" w:rsidRDefault="00715E2D" w:rsidP="0066452E">
            <w:pPr>
              <w:pStyle w:val="TableBodyText"/>
              <w:keepNext w:val="0"/>
              <w:keepLines w:val="0"/>
              <w:widowControl w:val="0"/>
              <w:spacing w:before="60" w:after="60"/>
              <w:ind w:right="28"/>
              <w:jc w:val="left"/>
            </w:pPr>
            <w:r w:rsidRPr="005F0C77">
              <w:t>Human resources refers to any person delivering a service, or managing the delivery of this service, including</w:t>
            </w:r>
            <w:r>
              <w:t>:</w:t>
            </w:r>
            <w:r w:rsidRPr="005F0C77">
              <w:t xml:space="preserve"> </w:t>
            </w:r>
          </w:p>
          <w:p w:rsidR="00715E2D" w:rsidRDefault="00715E2D" w:rsidP="0066452E">
            <w:pPr>
              <w:pStyle w:val="TableBullet"/>
            </w:pPr>
            <w:r w:rsidRPr="00980E2D">
              <w:t xml:space="preserve">firefighters (qualified paid and volunteer firefighters) </w:t>
            </w:r>
          </w:p>
          <w:p w:rsidR="00715E2D" w:rsidRPr="00980E2D" w:rsidRDefault="00715E2D" w:rsidP="0066452E">
            <w:pPr>
              <w:pStyle w:val="TableBullet"/>
            </w:pPr>
            <w:r w:rsidRPr="00980E2D">
              <w:t>support personnel (any paid person or volunteer directly supporting operational providers, including administrative, technical and communications personnel).</w:t>
            </w:r>
          </w:p>
        </w:tc>
      </w:tr>
      <w:tr w:rsidR="00715E2D" w:rsidRPr="001F08C0" w:rsidTr="00715E2D">
        <w:tc>
          <w:tcPr>
            <w:tcW w:w="1582" w:type="dxa"/>
            <w:shd w:val="clear" w:color="auto" w:fill="auto"/>
          </w:tcPr>
          <w:p w:rsidR="00715E2D" w:rsidRPr="001F08C0" w:rsidRDefault="00715E2D" w:rsidP="0066452E">
            <w:pPr>
              <w:pStyle w:val="TableBodyText"/>
              <w:keepNext w:val="0"/>
              <w:keepLines w:val="0"/>
              <w:widowControl w:val="0"/>
              <w:spacing w:before="60" w:after="60"/>
              <w:jc w:val="left"/>
              <w:rPr>
                <w:b/>
              </w:rPr>
            </w:pPr>
            <w:r>
              <w:rPr>
                <w:b/>
              </w:rPr>
              <w:t>Revenue</w:t>
            </w:r>
          </w:p>
        </w:tc>
        <w:tc>
          <w:tcPr>
            <w:tcW w:w="7207" w:type="dxa"/>
            <w:gridSpan w:val="2"/>
            <w:shd w:val="clear" w:color="auto" w:fill="auto"/>
          </w:tcPr>
          <w:p w:rsidR="00715E2D" w:rsidRDefault="00715E2D" w:rsidP="00A03E24">
            <w:pPr>
              <w:pStyle w:val="TableBodyText"/>
              <w:spacing w:before="60"/>
              <w:jc w:val="left"/>
              <w:rPr>
                <w:i/>
              </w:rPr>
            </w:pPr>
            <w:r w:rsidRPr="0054741D">
              <w:t>Revenue</w:t>
            </w:r>
            <w:r>
              <w:t xml:space="preserve"> received </w:t>
            </w:r>
            <w:r w:rsidR="00A03E24">
              <w:t xml:space="preserve">directly or indirectly by fire </w:t>
            </w:r>
            <w:r>
              <w:t>service organisations on an accrual accounting basis, including:</w:t>
            </w:r>
          </w:p>
        </w:tc>
      </w:tr>
      <w:tr w:rsidR="00715E2D" w:rsidRPr="001F08C0" w:rsidTr="00715E2D">
        <w:tc>
          <w:tcPr>
            <w:tcW w:w="1582" w:type="dxa"/>
            <w:shd w:val="clear" w:color="auto" w:fill="auto"/>
          </w:tcPr>
          <w:p w:rsidR="00715E2D" w:rsidRPr="002A1FE1" w:rsidRDefault="00715E2D" w:rsidP="0066452E">
            <w:pPr>
              <w:pStyle w:val="TableBodyText"/>
              <w:keepNext w:val="0"/>
              <w:keepLines w:val="0"/>
              <w:widowControl w:val="0"/>
              <w:spacing w:before="60" w:after="60"/>
              <w:ind w:left="284"/>
              <w:jc w:val="left"/>
            </w:pPr>
            <w:r w:rsidRPr="002A1FE1">
              <w:t>Government grant funding</w:t>
            </w:r>
          </w:p>
        </w:tc>
        <w:tc>
          <w:tcPr>
            <w:tcW w:w="7207" w:type="dxa"/>
            <w:gridSpan w:val="2"/>
            <w:shd w:val="clear" w:color="auto" w:fill="auto"/>
          </w:tcPr>
          <w:p w:rsidR="00715E2D" w:rsidRDefault="00715E2D" w:rsidP="0066452E">
            <w:pPr>
              <w:pStyle w:val="TableBodyText"/>
              <w:keepNext w:val="0"/>
              <w:keepLines w:val="0"/>
              <w:widowControl w:val="0"/>
              <w:spacing w:before="60" w:after="60"/>
              <w:ind w:right="28"/>
              <w:jc w:val="left"/>
            </w:pPr>
            <w:r>
              <w:t>Grant funding, as established in legislation,</w:t>
            </w:r>
            <w:r w:rsidRPr="00E43138">
              <w:t xml:space="preserve"> from</w:t>
            </w:r>
            <w:r>
              <w:t xml:space="preserve"> the </w:t>
            </w:r>
            <w:r w:rsidRPr="00E43138">
              <w:t>Australian</w:t>
            </w:r>
            <w:r>
              <w:t>, State/Territory and Local</w:t>
            </w:r>
            <w:r w:rsidRPr="00E43138">
              <w:t xml:space="preserve"> government</w:t>
            </w:r>
            <w:r>
              <w:t>s</w:t>
            </w:r>
            <w:r w:rsidRPr="00E43138">
              <w:t>.</w:t>
            </w:r>
          </w:p>
        </w:tc>
      </w:tr>
      <w:tr w:rsidR="00715E2D" w:rsidRPr="001F08C0" w:rsidTr="00715E2D">
        <w:tc>
          <w:tcPr>
            <w:tcW w:w="1582" w:type="dxa"/>
            <w:shd w:val="clear" w:color="auto" w:fill="auto"/>
          </w:tcPr>
          <w:p w:rsidR="00715E2D" w:rsidRPr="002A1FE1" w:rsidRDefault="00715E2D" w:rsidP="0066452E">
            <w:pPr>
              <w:pStyle w:val="TableBodyText"/>
              <w:keepNext w:val="0"/>
              <w:keepLines w:val="0"/>
              <w:widowControl w:val="0"/>
              <w:spacing w:before="60" w:after="60"/>
              <w:ind w:left="284"/>
              <w:jc w:val="left"/>
            </w:pPr>
            <w:r w:rsidRPr="002A1FE1">
              <w:lastRenderedPageBreak/>
              <w:t>Levies</w:t>
            </w:r>
          </w:p>
        </w:tc>
        <w:tc>
          <w:tcPr>
            <w:tcW w:w="7207" w:type="dxa"/>
            <w:gridSpan w:val="2"/>
            <w:shd w:val="clear" w:color="auto" w:fill="auto"/>
          </w:tcPr>
          <w:p w:rsidR="00715E2D" w:rsidRDefault="00715E2D" w:rsidP="0066452E">
            <w:pPr>
              <w:pStyle w:val="TableBodyText"/>
              <w:keepNext w:val="0"/>
              <w:keepLines w:val="0"/>
              <w:widowControl w:val="0"/>
              <w:spacing w:before="60" w:after="60"/>
              <w:ind w:right="28"/>
              <w:jc w:val="left"/>
            </w:pPr>
            <w:r>
              <w:t xml:space="preserve">Revenue from levies, </w:t>
            </w:r>
            <w:r w:rsidRPr="00E43138">
              <w:t>as established in enabling legislation</w:t>
            </w:r>
            <w:r>
              <w:t>, raised on insurance companies and property owners.</w:t>
            </w:r>
          </w:p>
        </w:tc>
      </w:tr>
      <w:tr w:rsidR="00715E2D" w:rsidRPr="001F08C0" w:rsidTr="00715E2D">
        <w:tc>
          <w:tcPr>
            <w:tcW w:w="1582" w:type="dxa"/>
            <w:shd w:val="clear" w:color="auto" w:fill="auto"/>
          </w:tcPr>
          <w:p w:rsidR="00715E2D" w:rsidRPr="002A1FE1" w:rsidRDefault="00715E2D" w:rsidP="0066452E">
            <w:pPr>
              <w:pStyle w:val="TableBodyText"/>
              <w:keepNext w:val="0"/>
              <w:keepLines w:val="0"/>
              <w:widowControl w:val="0"/>
              <w:spacing w:before="60" w:after="60"/>
              <w:ind w:left="284"/>
              <w:jc w:val="left"/>
            </w:pPr>
            <w:r w:rsidRPr="002A1FE1">
              <w:t>User/transport charges</w:t>
            </w:r>
          </w:p>
        </w:tc>
        <w:tc>
          <w:tcPr>
            <w:tcW w:w="7207" w:type="dxa"/>
            <w:gridSpan w:val="2"/>
            <w:shd w:val="clear" w:color="auto" w:fill="auto"/>
          </w:tcPr>
          <w:p w:rsidR="00715E2D" w:rsidRDefault="00715E2D" w:rsidP="0066452E">
            <w:pPr>
              <w:pStyle w:val="TableBodyText"/>
              <w:keepNext w:val="0"/>
              <w:keepLines w:val="0"/>
              <w:widowControl w:val="0"/>
              <w:spacing w:before="60" w:after="60"/>
              <w:ind w:right="28"/>
              <w:jc w:val="left"/>
            </w:pPr>
            <w:r>
              <w:t>Revenue from fees and charges on individuals, private/public organisations and insurers.</w:t>
            </w:r>
          </w:p>
        </w:tc>
      </w:tr>
      <w:tr w:rsidR="00715E2D" w:rsidRPr="001F08C0" w:rsidTr="00715E2D">
        <w:tc>
          <w:tcPr>
            <w:tcW w:w="1582" w:type="dxa"/>
            <w:shd w:val="clear" w:color="auto" w:fill="auto"/>
          </w:tcPr>
          <w:p w:rsidR="00715E2D" w:rsidRPr="002A1FE1" w:rsidRDefault="00715E2D" w:rsidP="0066452E">
            <w:pPr>
              <w:pStyle w:val="TableBodyText"/>
              <w:keepNext w:val="0"/>
              <w:keepLines w:val="0"/>
              <w:widowControl w:val="0"/>
              <w:spacing w:before="60" w:after="60"/>
              <w:ind w:left="284"/>
              <w:jc w:val="left"/>
            </w:pPr>
            <w:r w:rsidRPr="002A1FE1">
              <w:t>Subscriptions and other income</w:t>
            </w:r>
          </w:p>
        </w:tc>
        <w:tc>
          <w:tcPr>
            <w:tcW w:w="7207" w:type="dxa"/>
            <w:gridSpan w:val="2"/>
            <w:shd w:val="clear" w:color="auto" w:fill="auto"/>
          </w:tcPr>
          <w:p w:rsidR="00715E2D" w:rsidRDefault="00715E2D" w:rsidP="0066452E">
            <w:pPr>
              <w:pStyle w:val="TableBodyText"/>
              <w:keepNext w:val="0"/>
              <w:keepLines w:val="0"/>
              <w:widowControl w:val="0"/>
              <w:spacing w:before="60" w:after="60"/>
              <w:ind w:right="28"/>
              <w:jc w:val="left"/>
            </w:pPr>
            <w:r>
              <w:t>Other revenue, including:</w:t>
            </w:r>
          </w:p>
          <w:p w:rsidR="00715E2D" w:rsidRPr="00B51B9A" w:rsidRDefault="00715E2D" w:rsidP="0066452E">
            <w:pPr>
              <w:pStyle w:val="TableBullet"/>
            </w:pPr>
            <w:r w:rsidRPr="00E14C41">
              <w:rPr>
                <w:color w:val="000000"/>
              </w:rPr>
              <w:t xml:space="preserve">subscriptions and benefit funds received </w:t>
            </w:r>
            <w:r>
              <w:rPr>
                <w:color w:val="000000"/>
              </w:rPr>
              <w:t>from the community</w:t>
            </w:r>
          </w:p>
          <w:p w:rsidR="00715E2D" w:rsidRDefault="00715E2D" w:rsidP="0066452E">
            <w:pPr>
              <w:pStyle w:val="TableBullet"/>
            </w:pPr>
            <w:r w:rsidRPr="00B51B9A">
              <w:t>donations, industry contributions and fundraising received</w:t>
            </w:r>
          </w:p>
          <w:p w:rsidR="00715E2D" w:rsidRDefault="00715E2D" w:rsidP="0066452E">
            <w:pPr>
              <w:pStyle w:val="TableBullet"/>
            </w:pPr>
            <w:r>
              <w:t>other income</w:t>
            </w:r>
            <w:r w:rsidRPr="00B51B9A">
              <w:t>.</w:t>
            </w:r>
          </w:p>
        </w:tc>
      </w:tr>
      <w:tr w:rsidR="00715E2D" w:rsidRPr="001F08C0" w:rsidTr="00715E2D">
        <w:tc>
          <w:tcPr>
            <w:tcW w:w="1582" w:type="dxa"/>
            <w:shd w:val="clear" w:color="auto" w:fill="auto"/>
          </w:tcPr>
          <w:p w:rsidR="00715E2D" w:rsidRPr="002A1FE1" w:rsidRDefault="00715E2D" w:rsidP="0066452E">
            <w:pPr>
              <w:pStyle w:val="TableBodyText"/>
              <w:keepNext w:val="0"/>
              <w:keepLines w:val="0"/>
              <w:widowControl w:val="0"/>
              <w:spacing w:before="60" w:after="60"/>
              <w:ind w:left="284"/>
              <w:jc w:val="left"/>
            </w:pPr>
            <w:r w:rsidRPr="002A1FE1">
              <w:t>Indirect revenue</w:t>
            </w:r>
          </w:p>
        </w:tc>
        <w:tc>
          <w:tcPr>
            <w:tcW w:w="7207" w:type="dxa"/>
            <w:gridSpan w:val="2"/>
            <w:shd w:val="clear" w:color="auto" w:fill="auto"/>
          </w:tcPr>
          <w:p w:rsidR="00715E2D" w:rsidRDefault="00715E2D" w:rsidP="0066452E">
            <w:pPr>
              <w:pStyle w:val="TableBodyText"/>
              <w:keepNext w:val="0"/>
              <w:keepLines w:val="0"/>
              <w:widowControl w:val="0"/>
              <w:spacing w:before="60" w:after="60"/>
              <w:ind w:right="28"/>
              <w:jc w:val="left"/>
            </w:pPr>
            <w:r w:rsidRPr="001F08C0">
              <w:t>All revenue or funding received indirectly by the agency (for example, directly to Treasury or other such entity) that arises from the agency’s actions.</w:t>
            </w:r>
          </w:p>
        </w:tc>
      </w:tr>
      <w:tr w:rsidR="00715E2D" w:rsidRPr="001F08C0" w:rsidTr="00715E2D">
        <w:tc>
          <w:tcPr>
            <w:tcW w:w="1582" w:type="dxa"/>
            <w:shd w:val="clear" w:color="auto" w:fill="auto"/>
          </w:tcPr>
          <w:p w:rsidR="00715E2D" w:rsidRPr="00D70907" w:rsidRDefault="00715E2D" w:rsidP="0066452E">
            <w:pPr>
              <w:pStyle w:val="TableBodyText"/>
              <w:keepNext w:val="0"/>
              <w:keepLines w:val="0"/>
              <w:widowControl w:val="0"/>
              <w:spacing w:before="60" w:after="60"/>
              <w:jc w:val="left"/>
              <w:rPr>
                <w:b/>
              </w:rPr>
            </w:pPr>
            <w:r w:rsidRPr="00D70907">
              <w:rPr>
                <w:b/>
              </w:rPr>
              <w:t>Preparedness</w:t>
            </w:r>
          </w:p>
        </w:tc>
        <w:tc>
          <w:tcPr>
            <w:tcW w:w="7207" w:type="dxa"/>
            <w:gridSpan w:val="2"/>
            <w:shd w:val="clear" w:color="auto" w:fill="auto"/>
          </w:tcPr>
          <w:p w:rsidR="00715E2D" w:rsidRPr="001F08C0" w:rsidRDefault="00715E2D" w:rsidP="0066452E">
            <w:pPr>
              <w:pStyle w:val="TableBodyText"/>
              <w:keepNext w:val="0"/>
              <w:keepLines w:val="0"/>
              <w:widowControl w:val="0"/>
              <w:spacing w:before="60" w:after="60"/>
              <w:ind w:right="28"/>
              <w:jc w:val="left"/>
            </w:pPr>
            <w:r>
              <w:t>Actions/programmes designed to strengthen the overall capacity and capability of a community to manage disasters; and procedures planned for during a non</w:t>
            </w:r>
            <w:r>
              <w:noBreakHyphen/>
              <w:t>disaster response period to be actioned during a disaster response period to minimise the loss of life, injury and damage to property when a disaster occurs.</w:t>
            </w:r>
          </w:p>
        </w:tc>
      </w:tr>
      <w:tr w:rsidR="00715E2D" w:rsidRPr="001F08C0" w:rsidTr="00715E2D">
        <w:trPr>
          <w:trHeight w:val="137"/>
        </w:trPr>
        <w:tc>
          <w:tcPr>
            <w:tcW w:w="1582" w:type="dxa"/>
            <w:shd w:val="clear" w:color="auto" w:fill="auto"/>
          </w:tcPr>
          <w:p w:rsidR="00715E2D" w:rsidRPr="00D70907" w:rsidRDefault="00715E2D" w:rsidP="0066452E">
            <w:pPr>
              <w:pStyle w:val="TableBodyText"/>
              <w:keepNext w:val="0"/>
              <w:keepLines w:val="0"/>
              <w:widowControl w:val="0"/>
              <w:spacing w:before="60" w:after="60"/>
              <w:jc w:val="left"/>
              <w:rPr>
                <w:b/>
              </w:rPr>
            </w:pPr>
            <w:r w:rsidRPr="00D70907">
              <w:rPr>
                <w:b/>
              </w:rPr>
              <w:t>Response</w:t>
            </w:r>
          </w:p>
        </w:tc>
        <w:tc>
          <w:tcPr>
            <w:tcW w:w="7207" w:type="dxa"/>
            <w:gridSpan w:val="2"/>
            <w:shd w:val="clear" w:color="auto" w:fill="auto"/>
          </w:tcPr>
          <w:p w:rsidR="00715E2D" w:rsidRDefault="00715E2D" w:rsidP="0066452E">
            <w:pPr>
              <w:pStyle w:val="TableBodyText"/>
              <w:keepNext w:val="0"/>
              <w:keepLines w:val="0"/>
              <w:widowControl w:val="0"/>
              <w:spacing w:before="60" w:after="60"/>
              <w:ind w:right="28"/>
              <w:jc w:val="left"/>
            </w:pPr>
            <w:r>
              <w:t>Actions taken in anticipation of, during and/or immediately after a disaster to ensure that its effects are minimised and that affected people are provided with immediate care, relief and support.</w:t>
            </w:r>
          </w:p>
        </w:tc>
      </w:tr>
      <w:tr w:rsidR="00715E2D" w:rsidRPr="001F08C0" w:rsidTr="00715E2D">
        <w:tc>
          <w:tcPr>
            <w:tcW w:w="2694" w:type="dxa"/>
            <w:gridSpan w:val="2"/>
            <w:shd w:val="clear" w:color="auto" w:fill="auto"/>
          </w:tcPr>
          <w:p w:rsidR="00715E2D" w:rsidRPr="001F08C0" w:rsidRDefault="00715E2D" w:rsidP="0066452E">
            <w:pPr>
              <w:pStyle w:val="TableBodyText"/>
              <w:keepNext w:val="0"/>
              <w:keepLines w:val="0"/>
              <w:widowControl w:val="0"/>
              <w:spacing w:before="60" w:after="60"/>
              <w:jc w:val="left"/>
              <w:rPr>
                <w:b/>
              </w:rPr>
            </w:pPr>
            <w:r w:rsidRPr="001F08C0">
              <w:rPr>
                <w:b/>
              </w:rPr>
              <w:t>Volunteer</w:t>
            </w:r>
            <w:r>
              <w:rPr>
                <w:b/>
              </w:rPr>
              <w:t xml:space="preserve"> personnel</w:t>
            </w:r>
            <w:r w:rsidRPr="001F08C0">
              <w:rPr>
                <w:b/>
              </w:rPr>
              <w:t xml:space="preserve"> </w:t>
            </w:r>
          </w:p>
        </w:tc>
        <w:tc>
          <w:tcPr>
            <w:tcW w:w="6095" w:type="dxa"/>
            <w:shd w:val="clear" w:color="auto" w:fill="auto"/>
          </w:tcPr>
          <w:p w:rsidR="00715E2D" w:rsidRPr="001F08C0" w:rsidRDefault="00715E2D" w:rsidP="0066452E">
            <w:pPr>
              <w:pStyle w:val="TableBodyText"/>
              <w:keepNext w:val="0"/>
              <w:keepLines w:val="0"/>
              <w:widowControl w:val="0"/>
              <w:spacing w:before="60" w:after="60"/>
              <w:jc w:val="left"/>
            </w:pPr>
          </w:p>
        </w:tc>
      </w:tr>
      <w:tr w:rsidR="00715E2D" w:rsidRPr="001F08C0" w:rsidTr="00715E2D">
        <w:tc>
          <w:tcPr>
            <w:tcW w:w="1582" w:type="dxa"/>
            <w:shd w:val="clear" w:color="auto" w:fill="auto"/>
          </w:tcPr>
          <w:p w:rsidR="00715E2D" w:rsidRDefault="00715E2D" w:rsidP="0066452E">
            <w:pPr>
              <w:pStyle w:val="TableBodyText"/>
              <w:keepNext w:val="0"/>
              <w:keepLines w:val="0"/>
              <w:widowControl w:val="0"/>
              <w:spacing w:before="60" w:after="60"/>
              <w:ind w:left="284"/>
              <w:jc w:val="left"/>
            </w:pPr>
            <w:r w:rsidRPr="002A1FE1">
              <w:t>Volunteer firefighters</w:t>
            </w:r>
            <w:r>
              <w:br/>
            </w:r>
          </w:p>
          <w:p w:rsidR="00715E2D" w:rsidRPr="001F08C0" w:rsidRDefault="00715E2D" w:rsidP="0066452E">
            <w:pPr>
              <w:pStyle w:val="TableBodyText"/>
              <w:keepNext w:val="0"/>
              <w:keepLines w:val="0"/>
              <w:widowControl w:val="0"/>
              <w:spacing w:before="60" w:after="60"/>
              <w:jc w:val="left"/>
              <w:rPr>
                <w:b/>
              </w:rPr>
            </w:pPr>
          </w:p>
        </w:tc>
        <w:tc>
          <w:tcPr>
            <w:tcW w:w="7207" w:type="dxa"/>
            <w:gridSpan w:val="2"/>
            <w:shd w:val="clear" w:color="auto" w:fill="auto"/>
          </w:tcPr>
          <w:p w:rsidR="00715E2D" w:rsidRPr="001F08C0" w:rsidRDefault="00715E2D" w:rsidP="00A03E24">
            <w:pPr>
              <w:pStyle w:val="TableBodyText"/>
              <w:keepNext w:val="0"/>
              <w:keepLines w:val="0"/>
              <w:widowControl w:val="0"/>
              <w:spacing w:before="60" w:after="60"/>
              <w:jc w:val="left"/>
              <w:rPr>
                <w:i/>
              </w:rPr>
            </w:pPr>
            <w:r>
              <w:t>A</w:t>
            </w:r>
            <w:r w:rsidRPr="001F08C0">
              <w:t>ll personnel engage</w:t>
            </w:r>
            <w:r>
              <w:t>d on an unpaid casual basis by the eme</w:t>
            </w:r>
            <w:r w:rsidR="00A03E24">
              <w:t>rgency service organisation who</w:t>
            </w:r>
            <w:r w:rsidR="00A03E24" w:rsidRPr="001F08C0">
              <w:t xml:space="preserve"> </w:t>
            </w:r>
            <w:r w:rsidRPr="001F08C0">
              <w:t>deliver or manage a firefighting service directly to the community and who are formally trained and qualified to undertake firefighting duties</w:t>
            </w:r>
            <w:r>
              <w:t>,</w:t>
            </w:r>
            <w:r w:rsidRPr="001F08C0">
              <w:t xml:space="preserve"> but do not receive remuneration other than reimbursement of ‘out of pocket expenses’.</w:t>
            </w:r>
          </w:p>
        </w:tc>
      </w:tr>
      <w:tr w:rsidR="00715E2D" w:rsidRPr="001F08C0" w:rsidTr="00715E2D">
        <w:tc>
          <w:tcPr>
            <w:tcW w:w="1582" w:type="dxa"/>
            <w:shd w:val="clear" w:color="auto" w:fill="auto"/>
          </w:tcPr>
          <w:p w:rsidR="00715E2D" w:rsidRPr="002A1FE1" w:rsidRDefault="00715E2D" w:rsidP="0066452E">
            <w:pPr>
              <w:pStyle w:val="TableBodyText"/>
              <w:keepNext w:val="0"/>
              <w:keepLines w:val="0"/>
              <w:widowControl w:val="0"/>
              <w:spacing w:before="60" w:after="60"/>
              <w:ind w:left="284"/>
              <w:jc w:val="left"/>
            </w:pPr>
            <w:r w:rsidRPr="002A1FE1">
              <w:t>Volunteer support staff</w:t>
            </w:r>
          </w:p>
        </w:tc>
        <w:tc>
          <w:tcPr>
            <w:tcW w:w="7207" w:type="dxa"/>
            <w:gridSpan w:val="2"/>
            <w:shd w:val="clear" w:color="auto" w:fill="auto"/>
          </w:tcPr>
          <w:p w:rsidR="00715E2D" w:rsidRPr="001F08C0" w:rsidRDefault="00715E2D" w:rsidP="0066452E">
            <w:pPr>
              <w:pStyle w:val="TableBodyText"/>
              <w:keepNext w:val="0"/>
              <w:keepLines w:val="0"/>
              <w:widowControl w:val="0"/>
              <w:spacing w:before="60" w:after="60"/>
              <w:jc w:val="left"/>
              <w:rPr>
                <w:i/>
              </w:rPr>
            </w:pPr>
            <w:r w:rsidRPr="001F08C0">
              <w:t xml:space="preserve">All personnel engaged on an unpaid casual basis that are not remunerated </w:t>
            </w:r>
            <w:r>
              <w:t xml:space="preserve">and </w:t>
            </w:r>
            <w:r w:rsidRPr="001F08C0">
              <w:t>are principally involved in the provision of support services</w:t>
            </w:r>
            <w:r>
              <w:t xml:space="preserve">. </w:t>
            </w:r>
            <w:r w:rsidRPr="001F08C0">
              <w:t xml:space="preserve">For fire service organisations, </w:t>
            </w:r>
            <w:r>
              <w:t xml:space="preserve">this includes </w:t>
            </w:r>
            <w:r w:rsidRPr="001F08C0">
              <w:t>any staff whose immediate client is the firefighter. These can be people in operational support roles provided they do not receive payment for their services other than reimbursement of ‘out of pocket expenses’.</w:t>
            </w:r>
          </w:p>
        </w:tc>
      </w:tr>
    </w:tbl>
    <w:p w:rsidR="00715E2D" w:rsidRDefault="00715E2D" w:rsidP="00715E2D">
      <w:pPr>
        <w:pStyle w:val="Heading2"/>
      </w:pPr>
      <w:bookmarkStart w:id="54" w:name="_Toc440965330"/>
      <w:r>
        <w:t>9</w:t>
      </w:r>
      <w:r w:rsidR="00A03E24">
        <w:t>.5</w:t>
      </w:r>
      <w:r>
        <w:tab/>
      </w:r>
      <w:r w:rsidRPr="00796917">
        <w:t>References</w:t>
      </w:r>
      <w:bookmarkEnd w:id="54"/>
    </w:p>
    <w:p w:rsidR="0066452E" w:rsidRPr="00044412" w:rsidRDefault="0066452E" w:rsidP="00553C4B">
      <w:pPr>
        <w:pStyle w:val="Reference"/>
      </w:pPr>
      <w:r w:rsidRPr="00796917">
        <w:t>ABS</w:t>
      </w:r>
      <w:r>
        <w:rPr>
          <w:lang w:val="en"/>
        </w:rPr>
        <w:t xml:space="preserve"> 2008, </w:t>
      </w:r>
      <w:r>
        <w:rPr>
          <w:i/>
          <w:lang w:val="en"/>
        </w:rPr>
        <w:t xml:space="preserve">Household preparedness for emergencies: NSW, Vic., </w:t>
      </w:r>
      <w:proofErr w:type="spellStart"/>
      <w:r>
        <w:rPr>
          <w:i/>
          <w:lang w:val="en"/>
        </w:rPr>
        <w:t>Qld</w:t>
      </w:r>
      <w:proofErr w:type="spellEnd"/>
      <w:r>
        <w:rPr>
          <w:i/>
          <w:lang w:val="en"/>
        </w:rPr>
        <w:t xml:space="preserve"> and ACT</w:t>
      </w:r>
      <w:r>
        <w:rPr>
          <w:lang w:val="en"/>
        </w:rPr>
        <w:t xml:space="preserve">, </w:t>
      </w:r>
      <w:r>
        <w:rPr>
          <w:lang w:val="en"/>
        </w:rPr>
        <w:br/>
        <w:t>Cat. no. 4818.0.55.001, Canberra.</w:t>
      </w:r>
    </w:p>
    <w:sectPr w:rsidR="0066452E" w:rsidRPr="00044412" w:rsidSect="00AF5DDF">
      <w:headerReference w:type="even" r:id="rId22"/>
      <w:headerReference w:type="default" r:id="rId23"/>
      <w:footerReference w:type="even" r:id="rId24"/>
      <w:footerReference w:type="default" r:id="rId25"/>
      <w:pgSz w:w="11907" w:h="16840" w:code="9"/>
      <w:pgMar w:top="1440" w:right="1440" w:bottom="1440" w:left="1440" w:header="1701" w:footer="397" w:gutter="0"/>
      <w:pgNumType w:start="1"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2F4C" w:rsidRDefault="00F32F4C">
      <w:r>
        <w:separator/>
      </w:r>
    </w:p>
  </w:endnote>
  <w:endnote w:type="continuationSeparator" w:id="0">
    <w:p w:rsidR="00F32F4C" w:rsidRDefault="00F32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F32F4C" w:rsidTr="005F48ED">
      <w:trPr>
        <w:trHeight w:hRule="exact" w:val="567"/>
      </w:trPr>
      <w:tc>
        <w:tcPr>
          <w:tcW w:w="510" w:type="dxa"/>
        </w:tcPr>
        <w:p w:rsidR="00F32F4C" w:rsidRPr="00A24443" w:rsidRDefault="00F32F4C" w:rsidP="0019293B">
          <w:pPr>
            <w:pStyle w:val="Footer"/>
            <w:tabs>
              <w:tab w:val="left" w:pos="0"/>
            </w:tabs>
            <w:ind w:right="0"/>
            <w:rPr>
              <w:rStyle w:val="PageNumber"/>
              <w:caps w:val="0"/>
            </w:rPr>
          </w:pPr>
          <w:r>
            <w:rPr>
              <w:rStyle w:val="PageNumber"/>
              <w:caps w:val="0"/>
            </w:rPr>
            <w:t>9.</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AC351A">
            <w:rPr>
              <w:rStyle w:val="PageNumber"/>
              <w:caps w:val="0"/>
              <w:noProof/>
            </w:rPr>
            <w:t>4</w:t>
          </w:r>
          <w:r w:rsidRPr="00A24443">
            <w:rPr>
              <w:rStyle w:val="PageNumber"/>
              <w:caps w:val="0"/>
            </w:rPr>
            <w:fldChar w:fldCharType="end"/>
          </w:r>
        </w:p>
      </w:tc>
      <w:tc>
        <w:tcPr>
          <w:tcW w:w="7767" w:type="dxa"/>
        </w:tcPr>
        <w:p w:rsidR="00F32F4C" w:rsidRPr="0013739A" w:rsidRDefault="00F32F4C" w:rsidP="00B45D4E">
          <w:pPr>
            <w:pStyle w:val="Footer"/>
            <w:rPr>
              <w:rFonts w:cs="Arial"/>
            </w:rPr>
          </w:pPr>
          <w:r>
            <w:rPr>
              <w:rFonts w:cs="Arial"/>
            </w:rPr>
            <w:t>Report on Government Services 2017</w:t>
          </w:r>
          <w:bookmarkStart w:id="55" w:name="DraftReportEven"/>
          <w:bookmarkEnd w:id="55"/>
        </w:p>
      </w:tc>
      <w:tc>
        <w:tcPr>
          <w:tcW w:w="510" w:type="dxa"/>
        </w:tcPr>
        <w:p w:rsidR="00F32F4C" w:rsidRDefault="00F32F4C" w:rsidP="0019293B">
          <w:pPr>
            <w:pStyle w:val="Footer"/>
          </w:pPr>
        </w:p>
      </w:tc>
    </w:tr>
  </w:tbl>
  <w:p w:rsidR="00F32F4C" w:rsidRDefault="00F32F4C"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F32F4C" w:rsidTr="005F48ED">
      <w:trPr>
        <w:trHeight w:hRule="exact" w:val="567"/>
      </w:trPr>
      <w:tc>
        <w:tcPr>
          <w:tcW w:w="510" w:type="dxa"/>
        </w:tcPr>
        <w:p w:rsidR="00F32F4C" w:rsidRDefault="00F32F4C">
          <w:pPr>
            <w:pStyle w:val="Footer"/>
            <w:ind w:right="360" w:firstLine="360"/>
          </w:pPr>
        </w:p>
      </w:tc>
      <w:tc>
        <w:tcPr>
          <w:tcW w:w="7767" w:type="dxa"/>
        </w:tcPr>
        <w:p w:rsidR="00F32F4C" w:rsidRPr="00BA5B14" w:rsidRDefault="00F32F4C" w:rsidP="00D57E3B">
          <w:pPr>
            <w:pStyle w:val="Footer"/>
            <w:jc w:val="right"/>
            <w:rPr>
              <w:rFonts w:cs="Arial"/>
            </w:rPr>
          </w:pPr>
          <w:r w:rsidRPr="001D62B4">
            <w:rPr>
              <w:rFonts w:cs="Arial"/>
            </w:rPr>
            <w:t>Emergency services for fire events</w:t>
          </w:r>
          <w:bookmarkStart w:id="56" w:name="DraftReportOdd"/>
          <w:bookmarkEnd w:id="56"/>
        </w:p>
      </w:tc>
      <w:tc>
        <w:tcPr>
          <w:tcW w:w="510" w:type="dxa"/>
        </w:tcPr>
        <w:p w:rsidR="00F32F4C" w:rsidRPr="00A24443" w:rsidRDefault="00F32F4C">
          <w:pPr>
            <w:pStyle w:val="Footer"/>
            <w:jc w:val="right"/>
            <w:rPr>
              <w:caps w:val="0"/>
            </w:rPr>
          </w:pPr>
          <w:r>
            <w:rPr>
              <w:rStyle w:val="PageNumber"/>
              <w:caps w:val="0"/>
            </w:rPr>
            <w:t>9.</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AC351A">
            <w:rPr>
              <w:rStyle w:val="PageNumber"/>
              <w:caps w:val="0"/>
              <w:noProof/>
            </w:rPr>
            <w:t>5</w:t>
          </w:r>
          <w:r w:rsidRPr="00A24443">
            <w:rPr>
              <w:rStyle w:val="PageNumber"/>
              <w:caps w:val="0"/>
            </w:rPr>
            <w:fldChar w:fldCharType="end"/>
          </w:r>
        </w:p>
      </w:tc>
    </w:tr>
  </w:tbl>
  <w:p w:rsidR="00F32F4C" w:rsidRDefault="00F32F4C">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2F4C" w:rsidRDefault="00F32F4C">
      <w:r>
        <w:separator/>
      </w:r>
    </w:p>
  </w:footnote>
  <w:footnote w:type="continuationSeparator" w:id="0">
    <w:p w:rsidR="00F32F4C" w:rsidRDefault="00F32F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008"/>
      <w:gridCol w:w="6781"/>
    </w:tblGrid>
    <w:tr w:rsidR="00F32F4C" w:rsidTr="00AF7E19">
      <w:tc>
        <w:tcPr>
          <w:tcW w:w="2008" w:type="dxa"/>
          <w:tcBorders>
            <w:top w:val="single" w:sz="24" w:space="0" w:color="auto"/>
          </w:tcBorders>
        </w:tcPr>
        <w:p w:rsidR="00F32F4C" w:rsidRDefault="00F32F4C" w:rsidP="0019293B">
          <w:pPr>
            <w:pStyle w:val="HeaderEven"/>
          </w:pPr>
        </w:p>
      </w:tc>
      <w:tc>
        <w:tcPr>
          <w:tcW w:w="6781" w:type="dxa"/>
          <w:tcBorders>
            <w:top w:val="single" w:sz="6" w:space="0" w:color="auto"/>
          </w:tcBorders>
        </w:tcPr>
        <w:p w:rsidR="00F32F4C" w:rsidRDefault="00F32F4C" w:rsidP="00AF7E19">
          <w:pPr>
            <w:pStyle w:val="HeaderEven"/>
            <w:jc w:val="right"/>
          </w:pPr>
        </w:p>
      </w:tc>
    </w:tr>
  </w:tbl>
  <w:p w:rsidR="00F32F4C" w:rsidRDefault="00F32F4C"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F32F4C">
      <w:tc>
        <w:tcPr>
          <w:tcW w:w="6634" w:type="dxa"/>
          <w:tcBorders>
            <w:top w:val="single" w:sz="6" w:space="0" w:color="auto"/>
          </w:tcBorders>
        </w:tcPr>
        <w:p w:rsidR="00F32F4C" w:rsidRDefault="00F32F4C" w:rsidP="00C73B6C">
          <w:pPr>
            <w:pStyle w:val="HeaderOdd"/>
          </w:pPr>
        </w:p>
      </w:tc>
      <w:tc>
        <w:tcPr>
          <w:tcW w:w="2155" w:type="dxa"/>
          <w:tcBorders>
            <w:top w:val="single" w:sz="24" w:space="0" w:color="auto"/>
          </w:tcBorders>
        </w:tcPr>
        <w:p w:rsidR="00F32F4C" w:rsidRDefault="00F32F4C" w:rsidP="00E669E2">
          <w:pPr>
            <w:pStyle w:val="HeaderOdd"/>
          </w:pPr>
        </w:p>
      </w:tc>
    </w:tr>
  </w:tbl>
  <w:p w:rsidR="00F32F4C" w:rsidRDefault="00F32F4C"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1">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4">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5">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6">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7">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9">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0">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1"/>
  </w:num>
  <w:num w:numId="2">
    <w:abstractNumId w:val="2"/>
  </w:num>
  <w:num w:numId="3">
    <w:abstractNumId w:val="13"/>
  </w:num>
  <w:num w:numId="4">
    <w:abstractNumId w:val="3"/>
  </w:num>
  <w:num w:numId="5">
    <w:abstractNumId w:val="18"/>
  </w:num>
  <w:num w:numId="6">
    <w:abstractNumId w:val="15"/>
  </w:num>
  <w:num w:numId="7">
    <w:abstractNumId w:val="7"/>
  </w:num>
  <w:num w:numId="8">
    <w:abstractNumId w:val="14"/>
  </w:num>
  <w:num w:numId="9">
    <w:abstractNumId w:val="6"/>
  </w:num>
  <w:num w:numId="10">
    <w:abstractNumId w:val="5"/>
  </w:num>
  <w:num w:numId="11">
    <w:abstractNumId w:val="9"/>
  </w:num>
  <w:num w:numId="12">
    <w:abstractNumId w:val="10"/>
  </w:num>
  <w:num w:numId="13">
    <w:abstractNumId w:val="4"/>
  </w:num>
  <w:num w:numId="14">
    <w:abstractNumId w:val="16"/>
  </w:num>
  <w:num w:numId="15">
    <w:abstractNumId w:val="19"/>
  </w:num>
  <w:num w:numId="16">
    <w:abstractNumId w:val="12"/>
  </w:num>
  <w:num w:numId="17">
    <w:abstractNumId w:val="20"/>
  </w:num>
  <w:num w:numId="18">
    <w:abstractNumId w:val="0"/>
  </w:num>
  <w:num w:numId="19">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0">
    <w:abstractNumId w:val="17"/>
  </w:num>
  <w:num w:numId="21">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1720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Chapter"/>
    <w:docVar w:name="ShortReportTitle" w:val="Report on Government Services 2016"/>
  </w:docVars>
  <w:rsids>
    <w:rsidRoot w:val="001A548F"/>
    <w:rsid w:val="000046C6"/>
    <w:rsid w:val="00004982"/>
    <w:rsid w:val="0000706D"/>
    <w:rsid w:val="00012B67"/>
    <w:rsid w:val="000227D5"/>
    <w:rsid w:val="00023FCE"/>
    <w:rsid w:val="000245AA"/>
    <w:rsid w:val="00024EA0"/>
    <w:rsid w:val="00025C6B"/>
    <w:rsid w:val="00027F7A"/>
    <w:rsid w:val="00030330"/>
    <w:rsid w:val="000355C2"/>
    <w:rsid w:val="000362E3"/>
    <w:rsid w:val="0003664B"/>
    <w:rsid w:val="000378D1"/>
    <w:rsid w:val="0004111F"/>
    <w:rsid w:val="00045035"/>
    <w:rsid w:val="00046D5F"/>
    <w:rsid w:val="00055077"/>
    <w:rsid w:val="000565B3"/>
    <w:rsid w:val="00056686"/>
    <w:rsid w:val="000566C9"/>
    <w:rsid w:val="000604E0"/>
    <w:rsid w:val="00062BD2"/>
    <w:rsid w:val="00065DA2"/>
    <w:rsid w:val="0006797D"/>
    <w:rsid w:val="000704FE"/>
    <w:rsid w:val="0007150B"/>
    <w:rsid w:val="000724B7"/>
    <w:rsid w:val="00075C82"/>
    <w:rsid w:val="00076036"/>
    <w:rsid w:val="000767CC"/>
    <w:rsid w:val="00081BA9"/>
    <w:rsid w:val="0009380F"/>
    <w:rsid w:val="000938F5"/>
    <w:rsid w:val="00094C6E"/>
    <w:rsid w:val="00095663"/>
    <w:rsid w:val="00096B01"/>
    <w:rsid w:val="00096E55"/>
    <w:rsid w:val="0009783E"/>
    <w:rsid w:val="000A0690"/>
    <w:rsid w:val="000A5E23"/>
    <w:rsid w:val="000B1022"/>
    <w:rsid w:val="000B2016"/>
    <w:rsid w:val="000B277D"/>
    <w:rsid w:val="000B3945"/>
    <w:rsid w:val="000B4C0C"/>
    <w:rsid w:val="000B601B"/>
    <w:rsid w:val="000C07DA"/>
    <w:rsid w:val="000C1BBD"/>
    <w:rsid w:val="000C207E"/>
    <w:rsid w:val="000C7128"/>
    <w:rsid w:val="000D1ADE"/>
    <w:rsid w:val="000D41E9"/>
    <w:rsid w:val="000D444F"/>
    <w:rsid w:val="000D5E5D"/>
    <w:rsid w:val="000E048B"/>
    <w:rsid w:val="000E3637"/>
    <w:rsid w:val="000E48C3"/>
    <w:rsid w:val="000F0035"/>
    <w:rsid w:val="000F04E7"/>
    <w:rsid w:val="000F060A"/>
    <w:rsid w:val="000F0D46"/>
    <w:rsid w:val="000F19AB"/>
    <w:rsid w:val="000F3417"/>
    <w:rsid w:val="000F420B"/>
    <w:rsid w:val="000F7474"/>
    <w:rsid w:val="0010485A"/>
    <w:rsid w:val="00110116"/>
    <w:rsid w:val="00112B90"/>
    <w:rsid w:val="00114714"/>
    <w:rsid w:val="00117B3B"/>
    <w:rsid w:val="00120072"/>
    <w:rsid w:val="00126EB8"/>
    <w:rsid w:val="001274D4"/>
    <w:rsid w:val="001363AA"/>
    <w:rsid w:val="0013739A"/>
    <w:rsid w:val="001413AD"/>
    <w:rsid w:val="00142165"/>
    <w:rsid w:val="00156F25"/>
    <w:rsid w:val="001571FF"/>
    <w:rsid w:val="00162434"/>
    <w:rsid w:val="0016406A"/>
    <w:rsid w:val="001675BC"/>
    <w:rsid w:val="001703D8"/>
    <w:rsid w:val="00172A0F"/>
    <w:rsid w:val="00181E6E"/>
    <w:rsid w:val="00183E82"/>
    <w:rsid w:val="00186401"/>
    <w:rsid w:val="001878BB"/>
    <w:rsid w:val="0019084D"/>
    <w:rsid w:val="00191AE0"/>
    <w:rsid w:val="0019293B"/>
    <w:rsid w:val="0019426B"/>
    <w:rsid w:val="00194C63"/>
    <w:rsid w:val="001A08D5"/>
    <w:rsid w:val="001A2EAB"/>
    <w:rsid w:val="001A361C"/>
    <w:rsid w:val="001A4A5C"/>
    <w:rsid w:val="001A548F"/>
    <w:rsid w:val="001A6A4B"/>
    <w:rsid w:val="001B1878"/>
    <w:rsid w:val="001B41F8"/>
    <w:rsid w:val="001B652D"/>
    <w:rsid w:val="001B7F85"/>
    <w:rsid w:val="001C0865"/>
    <w:rsid w:val="001C0AED"/>
    <w:rsid w:val="001C3ABA"/>
    <w:rsid w:val="001C5111"/>
    <w:rsid w:val="001D62B4"/>
    <w:rsid w:val="001E7BE8"/>
    <w:rsid w:val="001F0248"/>
    <w:rsid w:val="001F3EB3"/>
    <w:rsid w:val="001F4F86"/>
    <w:rsid w:val="001F7D2F"/>
    <w:rsid w:val="00200755"/>
    <w:rsid w:val="00202C2C"/>
    <w:rsid w:val="00203050"/>
    <w:rsid w:val="00203197"/>
    <w:rsid w:val="002035DD"/>
    <w:rsid w:val="0020505F"/>
    <w:rsid w:val="002135AB"/>
    <w:rsid w:val="002144BE"/>
    <w:rsid w:val="00221831"/>
    <w:rsid w:val="0022248B"/>
    <w:rsid w:val="00230C07"/>
    <w:rsid w:val="00232522"/>
    <w:rsid w:val="00234943"/>
    <w:rsid w:val="00235532"/>
    <w:rsid w:val="00242279"/>
    <w:rsid w:val="00243997"/>
    <w:rsid w:val="00243BD2"/>
    <w:rsid w:val="0024516C"/>
    <w:rsid w:val="00245C82"/>
    <w:rsid w:val="00250465"/>
    <w:rsid w:val="0025177B"/>
    <w:rsid w:val="00253557"/>
    <w:rsid w:val="00254DDE"/>
    <w:rsid w:val="002550E5"/>
    <w:rsid w:val="00262976"/>
    <w:rsid w:val="00266535"/>
    <w:rsid w:val="002724BA"/>
    <w:rsid w:val="00272D4D"/>
    <w:rsid w:val="0027350D"/>
    <w:rsid w:val="00276406"/>
    <w:rsid w:val="002812B2"/>
    <w:rsid w:val="0028595D"/>
    <w:rsid w:val="00291B40"/>
    <w:rsid w:val="002A1148"/>
    <w:rsid w:val="002A41D1"/>
    <w:rsid w:val="002A7B7F"/>
    <w:rsid w:val="002B2BEC"/>
    <w:rsid w:val="002B4008"/>
    <w:rsid w:val="002B713A"/>
    <w:rsid w:val="002C439F"/>
    <w:rsid w:val="002C577E"/>
    <w:rsid w:val="002C6D1E"/>
    <w:rsid w:val="002D0C42"/>
    <w:rsid w:val="002D0E8E"/>
    <w:rsid w:val="002D6129"/>
    <w:rsid w:val="002E03C3"/>
    <w:rsid w:val="002E18E0"/>
    <w:rsid w:val="002E480A"/>
    <w:rsid w:val="002E4FD4"/>
    <w:rsid w:val="002F26CB"/>
    <w:rsid w:val="00301189"/>
    <w:rsid w:val="003012F3"/>
    <w:rsid w:val="00301E4A"/>
    <w:rsid w:val="00305254"/>
    <w:rsid w:val="00311C5A"/>
    <w:rsid w:val="00313734"/>
    <w:rsid w:val="003168B8"/>
    <w:rsid w:val="00322D64"/>
    <w:rsid w:val="00323E09"/>
    <w:rsid w:val="0032648B"/>
    <w:rsid w:val="00333932"/>
    <w:rsid w:val="00347428"/>
    <w:rsid w:val="003518AA"/>
    <w:rsid w:val="00352165"/>
    <w:rsid w:val="00352F3B"/>
    <w:rsid w:val="00353182"/>
    <w:rsid w:val="0035457D"/>
    <w:rsid w:val="003565D9"/>
    <w:rsid w:val="003602E1"/>
    <w:rsid w:val="0036235C"/>
    <w:rsid w:val="00366303"/>
    <w:rsid w:val="00367C54"/>
    <w:rsid w:val="0037026F"/>
    <w:rsid w:val="00370AA8"/>
    <w:rsid w:val="00371240"/>
    <w:rsid w:val="00373F1F"/>
    <w:rsid w:val="00374475"/>
    <w:rsid w:val="00374731"/>
    <w:rsid w:val="00376E59"/>
    <w:rsid w:val="00377EC1"/>
    <w:rsid w:val="0038020F"/>
    <w:rsid w:val="00380340"/>
    <w:rsid w:val="00387F7F"/>
    <w:rsid w:val="003919F9"/>
    <w:rsid w:val="003920CF"/>
    <w:rsid w:val="00394415"/>
    <w:rsid w:val="003976E3"/>
    <w:rsid w:val="003B1C7F"/>
    <w:rsid w:val="003B2369"/>
    <w:rsid w:val="003B23A7"/>
    <w:rsid w:val="003B23C2"/>
    <w:rsid w:val="003B31C4"/>
    <w:rsid w:val="003B49C5"/>
    <w:rsid w:val="003B7120"/>
    <w:rsid w:val="003C38B5"/>
    <w:rsid w:val="003C4D96"/>
    <w:rsid w:val="003C540B"/>
    <w:rsid w:val="003C5D99"/>
    <w:rsid w:val="003C70DF"/>
    <w:rsid w:val="003C7FD1"/>
    <w:rsid w:val="003D1087"/>
    <w:rsid w:val="003D2723"/>
    <w:rsid w:val="003D2DFE"/>
    <w:rsid w:val="003D65C7"/>
    <w:rsid w:val="003D7A7F"/>
    <w:rsid w:val="003E09AD"/>
    <w:rsid w:val="003E2F59"/>
    <w:rsid w:val="003E746B"/>
    <w:rsid w:val="003F0789"/>
    <w:rsid w:val="003F1851"/>
    <w:rsid w:val="003F22E0"/>
    <w:rsid w:val="003F27B0"/>
    <w:rsid w:val="003F35C0"/>
    <w:rsid w:val="003F4D5A"/>
    <w:rsid w:val="003F7D7B"/>
    <w:rsid w:val="00401882"/>
    <w:rsid w:val="00401AA2"/>
    <w:rsid w:val="00402344"/>
    <w:rsid w:val="004066F3"/>
    <w:rsid w:val="004100C8"/>
    <w:rsid w:val="00411280"/>
    <w:rsid w:val="00411DBD"/>
    <w:rsid w:val="00412ACE"/>
    <w:rsid w:val="004145D2"/>
    <w:rsid w:val="004150A0"/>
    <w:rsid w:val="00415D46"/>
    <w:rsid w:val="00421668"/>
    <w:rsid w:val="00426CB4"/>
    <w:rsid w:val="00431249"/>
    <w:rsid w:val="00434C19"/>
    <w:rsid w:val="00441237"/>
    <w:rsid w:val="00450810"/>
    <w:rsid w:val="004512D4"/>
    <w:rsid w:val="00454FBF"/>
    <w:rsid w:val="00462C59"/>
    <w:rsid w:val="00467FD1"/>
    <w:rsid w:val="00470737"/>
    <w:rsid w:val="00477144"/>
    <w:rsid w:val="004773CC"/>
    <w:rsid w:val="00491380"/>
    <w:rsid w:val="0049459F"/>
    <w:rsid w:val="004A38DD"/>
    <w:rsid w:val="004B00B9"/>
    <w:rsid w:val="004B0630"/>
    <w:rsid w:val="004B43AE"/>
    <w:rsid w:val="004B7762"/>
    <w:rsid w:val="004C0551"/>
    <w:rsid w:val="004C30ED"/>
    <w:rsid w:val="004C325A"/>
    <w:rsid w:val="004C3C1E"/>
    <w:rsid w:val="004C3CE3"/>
    <w:rsid w:val="004C70B4"/>
    <w:rsid w:val="004D049B"/>
    <w:rsid w:val="004D3879"/>
    <w:rsid w:val="004D3E8B"/>
    <w:rsid w:val="004D5675"/>
    <w:rsid w:val="004D71E6"/>
    <w:rsid w:val="004D7604"/>
    <w:rsid w:val="004E06BC"/>
    <w:rsid w:val="004E55CC"/>
    <w:rsid w:val="004E663C"/>
    <w:rsid w:val="004E6DEB"/>
    <w:rsid w:val="004F1242"/>
    <w:rsid w:val="004F1BEE"/>
    <w:rsid w:val="004F30B3"/>
    <w:rsid w:val="004F3E55"/>
    <w:rsid w:val="004F5F92"/>
    <w:rsid w:val="004F6AEE"/>
    <w:rsid w:val="00503134"/>
    <w:rsid w:val="005077BB"/>
    <w:rsid w:val="00507A42"/>
    <w:rsid w:val="005104CD"/>
    <w:rsid w:val="00515036"/>
    <w:rsid w:val="00517795"/>
    <w:rsid w:val="00520BCF"/>
    <w:rsid w:val="00522ABA"/>
    <w:rsid w:val="00523639"/>
    <w:rsid w:val="00524ACA"/>
    <w:rsid w:val="0053105E"/>
    <w:rsid w:val="00531FE5"/>
    <w:rsid w:val="005402FA"/>
    <w:rsid w:val="00543A8B"/>
    <w:rsid w:val="0055257A"/>
    <w:rsid w:val="005536B4"/>
    <w:rsid w:val="00553C4B"/>
    <w:rsid w:val="00564512"/>
    <w:rsid w:val="00567A77"/>
    <w:rsid w:val="005713F6"/>
    <w:rsid w:val="005729BD"/>
    <w:rsid w:val="00576685"/>
    <w:rsid w:val="00580154"/>
    <w:rsid w:val="00583C39"/>
    <w:rsid w:val="00586A90"/>
    <w:rsid w:val="00587F28"/>
    <w:rsid w:val="005909CF"/>
    <w:rsid w:val="00591144"/>
    <w:rsid w:val="00591E71"/>
    <w:rsid w:val="00596BE4"/>
    <w:rsid w:val="005A0D41"/>
    <w:rsid w:val="005A2245"/>
    <w:rsid w:val="005A3E33"/>
    <w:rsid w:val="005A5D95"/>
    <w:rsid w:val="005B2D93"/>
    <w:rsid w:val="005B3B99"/>
    <w:rsid w:val="005B452D"/>
    <w:rsid w:val="005C0807"/>
    <w:rsid w:val="005C107E"/>
    <w:rsid w:val="005C39C0"/>
    <w:rsid w:val="005C6E75"/>
    <w:rsid w:val="005D024E"/>
    <w:rsid w:val="005D2194"/>
    <w:rsid w:val="005D329F"/>
    <w:rsid w:val="005D59FF"/>
    <w:rsid w:val="005D604D"/>
    <w:rsid w:val="005E75A1"/>
    <w:rsid w:val="005F289F"/>
    <w:rsid w:val="005F48ED"/>
    <w:rsid w:val="00601D5F"/>
    <w:rsid w:val="00602AA2"/>
    <w:rsid w:val="0060424C"/>
    <w:rsid w:val="00604A89"/>
    <w:rsid w:val="00606E78"/>
    <w:rsid w:val="00607B1D"/>
    <w:rsid w:val="00607BF1"/>
    <w:rsid w:val="00613521"/>
    <w:rsid w:val="0061657D"/>
    <w:rsid w:val="00621DFC"/>
    <w:rsid w:val="00630D4D"/>
    <w:rsid w:val="006324A6"/>
    <w:rsid w:val="00632A74"/>
    <w:rsid w:val="006346F1"/>
    <w:rsid w:val="006379D8"/>
    <w:rsid w:val="006479F3"/>
    <w:rsid w:val="00654D42"/>
    <w:rsid w:val="0066452E"/>
    <w:rsid w:val="00666E02"/>
    <w:rsid w:val="0067515A"/>
    <w:rsid w:val="00682235"/>
    <w:rsid w:val="0068302C"/>
    <w:rsid w:val="00684EB3"/>
    <w:rsid w:val="00685B79"/>
    <w:rsid w:val="006865A2"/>
    <w:rsid w:val="006875FD"/>
    <w:rsid w:val="006969D9"/>
    <w:rsid w:val="006A40CD"/>
    <w:rsid w:val="006A4655"/>
    <w:rsid w:val="006B2B3C"/>
    <w:rsid w:val="006B3EAF"/>
    <w:rsid w:val="006C1D81"/>
    <w:rsid w:val="006C434B"/>
    <w:rsid w:val="006C6CBD"/>
    <w:rsid w:val="006C7038"/>
    <w:rsid w:val="006C7D58"/>
    <w:rsid w:val="006D6BFC"/>
    <w:rsid w:val="006D7F45"/>
    <w:rsid w:val="006E4009"/>
    <w:rsid w:val="006E73EF"/>
    <w:rsid w:val="006F0CEB"/>
    <w:rsid w:val="006F29BF"/>
    <w:rsid w:val="006F2B4D"/>
    <w:rsid w:val="006F3CBB"/>
    <w:rsid w:val="006F5E4F"/>
    <w:rsid w:val="0070072D"/>
    <w:rsid w:val="007079C9"/>
    <w:rsid w:val="00712B0B"/>
    <w:rsid w:val="00712CF5"/>
    <w:rsid w:val="00714D4D"/>
    <w:rsid w:val="00715E2D"/>
    <w:rsid w:val="00716F02"/>
    <w:rsid w:val="0072116C"/>
    <w:rsid w:val="00722DCF"/>
    <w:rsid w:val="007266D3"/>
    <w:rsid w:val="00732029"/>
    <w:rsid w:val="007320A0"/>
    <w:rsid w:val="0074054E"/>
    <w:rsid w:val="00755F9F"/>
    <w:rsid w:val="007604BB"/>
    <w:rsid w:val="00762260"/>
    <w:rsid w:val="00772909"/>
    <w:rsid w:val="00780397"/>
    <w:rsid w:val="00784E1E"/>
    <w:rsid w:val="00785232"/>
    <w:rsid w:val="007867D1"/>
    <w:rsid w:val="00791ED7"/>
    <w:rsid w:val="0079701E"/>
    <w:rsid w:val="007A21AC"/>
    <w:rsid w:val="007A21EB"/>
    <w:rsid w:val="007A30BC"/>
    <w:rsid w:val="007A4B70"/>
    <w:rsid w:val="007A62F0"/>
    <w:rsid w:val="007B166E"/>
    <w:rsid w:val="007B1A93"/>
    <w:rsid w:val="007B3380"/>
    <w:rsid w:val="007B63A6"/>
    <w:rsid w:val="007C36C9"/>
    <w:rsid w:val="007D02D6"/>
    <w:rsid w:val="007D39E0"/>
    <w:rsid w:val="007D6401"/>
    <w:rsid w:val="007D6DCE"/>
    <w:rsid w:val="007D77DB"/>
    <w:rsid w:val="007E01E4"/>
    <w:rsid w:val="007E1E16"/>
    <w:rsid w:val="007E2F84"/>
    <w:rsid w:val="007E590D"/>
    <w:rsid w:val="007E6528"/>
    <w:rsid w:val="007E6EC9"/>
    <w:rsid w:val="007E7A12"/>
    <w:rsid w:val="007F001B"/>
    <w:rsid w:val="007F0F98"/>
    <w:rsid w:val="007F36F0"/>
    <w:rsid w:val="007F7107"/>
    <w:rsid w:val="00800D4C"/>
    <w:rsid w:val="0080487C"/>
    <w:rsid w:val="0081030F"/>
    <w:rsid w:val="00811725"/>
    <w:rsid w:val="00812F4A"/>
    <w:rsid w:val="0082087D"/>
    <w:rsid w:val="00820B30"/>
    <w:rsid w:val="00830F77"/>
    <w:rsid w:val="00833E5C"/>
    <w:rsid w:val="00835771"/>
    <w:rsid w:val="00835C50"/>
    <w:rsid w:val="00842933"/>
    <w:rsid w:val="0085146E"/>
    <w:rsid w:val="00851765"/>
    <w:rsid w:val="00853460"/>
    <w:rsid w:val="0085370E"/>
    <w:rsid w:val="00853DC3"/>
    <w:rsid w:val="0086082C"/>
    <w:rsid w:val="0086210E"/>
    <w:rsid w:val="0086350E"/>
    <w:rsid w:val="00864ADC"/>
    <w:rsid w:val="00865B81"/>
    <w:rsid w:val="00872E00"/>
    <w:rsid w:val="00876D3C"/>
    <w:rsid w:val="00880153"/>
    <w:rsid w:val="00880B11"/>
    <w:rsid w:val="00880F97"/>
    <w:rsid w:val="0088133A"/>
    <w:rsid w:val="008842D8"/>
    <w:rsid w:val="0088642C"/>
    <w:rsid w:val="0089285E"/>
    <w:rsid w:val="0089436C"/>
    <w:rsid w:val="008B6C3D"/>
    <w:rsid w:val="008C02F9"/>
    <w:rsid w:val="008C3653"/>
    <w:rsid w:val="008C5179"/>
    <w:rsid w:val="008C681F"/>
    <w:rsid w:val="008D0CA3"/>
    <w:rsid w:val="008D14FD"/>
    <w:rsid w:val="008D365C"/>
    <w:rsid w:val="008D7622"/>
    <w:rsid w:val="008D7BAE"/>
    <w:rsid w:val="008F551C"/>
    <w:rsid w:val="008F67A4"/>
    <w:rsid w:val="009021A6"/>
    <w:rsid w:val="009030BF"/>
    <w:rsid w:val="00903B52"/>
    <w:rsid w:val="00904637"/>
    <w:rsid w:val="00905271"/>
    <w:rsid w:val="009061AE"/>
    <w:rsid w:val="0091032F"/>
    <w:rsid w:val="00914368"/>
    <w:rsid w:val="00920BE8"/>
    <w:rsid w:val="00923424"/>
    <w:rsid w:val="0092538D"/>
    <w:rsid w:val="009272A5"/>
    <w:rsid w:val="00927D1A"/>
    <w:rsid w:val="00930928"/>
    <w:rsid w:val="00931076"/>
    <w:rsid w:val="009314D1"/>
    <w:rsid w:val="009333CD"/>
    <w:rsid w:val="00933D51"/>
    <w:rsid w:val="009345D9"/>
    <w:rsid w:val="00934B15"/>
    <w:rsid w:val="00937C5D"/>
    <w:rsid w:val="00940C87"/>
    <w:rsid w:val="00942B62"/>
    <w:rsid w:val="00946FE0"/>
    <w:rsid w:val="0095323B"/>
    <w:rsid w:val="00956A0C"/>
    <w:rsid w:val="00956BD9"/>
    <w:rsid w:val="00956E0B"/>
    <w:rsid w:val="00957247"/>
    <w:rsid w:val="00962489"/>
    <w:rsid w:val="0096566E"/>
    <w:rsid w:val="0096756A"/>
    <w:rsid w:val="00967CD3"/>
    <w:rsid w:val="00970F34"/>
    <w:rsid w:val="009802D8"/>
    <w:rsid w:val="00990C2C"/>
    <w:rsid w:val="00996F76"/>
    <w:rsid w:val="009A4417"/>
    <w:rsid w:val="009A5171"/>
    <w:rsid w:val="009B4DCC"/>
    <w:rsid w:val="009B4F44"/>
    <w:rsid w:val="009C1466"/>
    <w:rsid w:val="009C34E2"/>
    <w:rsid w:val="009D0917"/>
    <w:rsid w:val="009D1285"/>
    <w:rsid w:val="009D2925"/>
    <w:rsid w:val="009D5DE5"/>
    <w:rsid w:val="009D75C6"/>
    <w:rsid w:val="009E1844"/>
    <w:rsid w:val="009E5B21"/>
    <w:rsid w:val="009F0D1B"/>
    <w:rsid w:val="009F4D38"/>
    <w:rsid w:val="009F5BBD"/>
    <w:rsid w:val="009F611D"/>
    <w:rsid w:val="009F696D"/>
    <w:rsid w:val="009F6BC6"/>
    <w:rsid w:val="009F74EF"/>
    <w:rsid w:val="00A02826"/>
    <w:rsid w:val="00A03E24"/>
    <w:rsid w:val="00A141B9"/>
    <w:rsid w:val="00A15D5A"/>
    <w:rsid w:val="00A17328"/>
    <w:rsid w:val="00A2383B"/>
    <w:rsid w:val="00A23A20"/>
    <w:rsid w:val="00A24443"/>
    <w:rsid w:val="00A268B9"/>
    <w:rsid w:val="00A2703A"/>
    <w:rsid w:val="00A306D7"/>
    <w:rsid w:val="00A33DFF"/>
    <w:rsid w:val="00A35115"/>
    <w:rsid w:val="00A36D9A"/>
    <w:rsid w:val="00A40085"/>
    <w:rsid w:val="00A44733"/>
    <w:rsid w:val="00A4514F"/>
    <w:rsid w:val="00A451DC"/>
    <w:rsid w:val="00A554AB"/>
    <w:rsid w:val="00A57062"/>
    <w:rsid w:val="00A61158"/>
    <w:rsid w:val="00A67781"/>
    <w:rsid w:val="00A67D72"/>
    <w:rsid w:val="00A67E8D"/>
    <w:rsid w:val="00A70065"/>
    <w:rsid w:val="00A71139"/>
    <w:rsid w:val="00A73EBE"/>
    <w:rsid w:val="00A761F9"/>
    <w:rsid w:val="00A76365"/>
    <w:rsid w:val="00A828F4"/>
    <w:rsid w:val="00A92B53"/>
    <w:rsid w:val="00A94239"/>
    <w:rsid w:val="00A94FA6"/>
    <w:rsid w:val="00AA0682"/>
    <w:rsid w:val="00AA391B"/>
    <w:rsid w:val="00AA49A0"/>
    <w:rsid w:val="00AA6710"/>
    <w:rsid w:val="00AB02E8"/>
    <w:rsid w:val="00AB0681"/>
    <w:rsid w:val="00AB6551"/>
    <w:rsid w:val="00AB7002"/>
    <w:rsid w:val="00AC351A"/>
    <w:rsid w:val="00AC3A15"/>
    <w:rsid w:val="00AD1D24"/>
    <w:rsid w:val="00AD24BA"/>
    <w:rsid w:val="00AD3116"/>
    <w:rsid w:val="00AD520B"/>
    <w:rsid w:val="00AE2E13"/>
    <w:rsid w:val="00AE3BCC"/>
    <w:rsid w:val="00AE522B"/>
    <w:rsid w:val="00AE56EB"/>
    <w:rsid w:val="00AF3128"/>
    <w:rsid w:val="00AF5DDF"/>
    <w:rsid w:val="00AF7E19"/>
    <w:rsid w:val="00B052F7"/>
    <w:rsid w:val="00B10552"/>
    <w:rsid w:val="00B10C9A"/>
    <w:rsid w:val="00B11E46"/>
    <w:rsid w:val="00B130EE"/>
    <w:rsid w:val="00B146F6"/>
    <w:rsid w:val="00B161EE"/>
    <w:rsid w:val="00B2796F"/>
    <w:rsid w:val="00B32344"/>
    <w:rsid w:val="00B424F6"/>
    <w:rsid w:val="00B425C3"/>
    <w:rsid w:val="00B440AD"/>
    <w:rsid w:val="00B45D4E"/>
    <w:rsid w:val="00B479BB"/>
    <w:rsid w:val="00B47EA7"/>
    <w:rsid w:val="00B53E7E"/>
    <w:rsid w:val="00B57E78"/>
    <w:rsid w:val="00B6342E"/>
    <w:rsid w:val="00B70037"/>
    <w:rsid w:val="00B71067"/>
    <w:rsid w:val="00B7113F"/>
    <w:rsid w:val="00B71489"/>
    <w:rsid w:val="00B71F6B"/>
    <w:rsid w:val="00B73088"/>
    <w:rsid w:val="00B75580"/>
    <w:rsid w:val="00B82AD6"/>
    <w:rsid w:val="00BA2BCF"/>
    <w:rsid w:val="00BA5B14"/>
    <w:rsid w:val="00BA60EB"/>
    <w:rsid w:val="00BA73B6"/>
    <w:rsid w:val="00BA7C0D"/>
    <w:rsid w:val="00BA7E27"/>
    <w:rsid w:val="00BB118F"/>
    <w:rsid w:val="00BB2603"/>
    <w:rsid w:val="00BB2AD8"/>
    <w:rsid w:val="00BB2EB9"/>
    <w:rsid w:val="00BB3CAE"/>
    <w:rsid w:val="00BB4FCD"/>
    <w:rsid w:val="00BC04E9"/>
    <w:rsid w:val="00BC0ADA"/>
    <w:rsid w:val="00BC11DF"/>
    <w:rsid w:val="00BC3734"/>
    <w:rsid w:val="00BC4D30"/>
    <w:rsid w:val="00BC5DBD"/>
    <w:rsid w:val="00BC75D6"/>
    <w:rsid w:val="00BD0318"/>
    <w:rsid w:val="00BD13EA"/>
    <w:rsid w:val="00BE1E6B"/>
    <w:rsid w:val="00BE3808"/>
    <w:rsid w:val="00BF411C"/>
    <w:rsid w:val="00BF5F6A"/>
    <w:rsid w:val="00C02619"/>
    <w:rsid w:val="00C03B88"/>
    <w:rsid w:val="00C04354"/>
    <w:rsid w:val="00C045C8"/>
    <w:rsid w:val="00C062E9"/>
    <w:rsid w:val="00C07B64"/>
    <w:rsid w:val="00C07E7D"/>
    <w:rsid w:val="00C119AA"/>
    <w:rsid w:val="00C12298"/>
    <w:rsid w:val="00C129BA"/>
    <w:rsid w:val="00C13721"/>
    <w:rsid w:val="00C14FE4"/>
    <w:rsid w:val="00C16525"/>
    <w:rsid w:val="00C1750F"/>
    <w:rsid w:val="00C26A27"/>
    <w:rsid w:val="00C3066D"/>
    <w:rsid w:val="00C33B70"/>
    <w:rsid w:val="00C35EB2"/>
    <w:rsid w:val="00C415C3"/>
    <w:rsid w:val="00C52416"/>
    <w:rsid w:val="00C531EA"/>
    <w:rsid w:val="00C543F4"/>
    <w:rsid w:val="00C6291C"/>
    <w:rsid w:val="00C633CB"/>
    <w:rsid w:val="00C664CD"/>
    <w:rsid w:val="00C736B7"/>
    <w:rsid w:val="00C73B6C"/>
    <w:rsid w:val="00C7742D"/>
    <w:rsid w:val="00C80541"/>
    <w:rsid w:val="00C81C72"/>
    <w:rsid w:val="00C81D4A"/>
    <w:rsid w:val="00C8253B"/>
    <w:rsid w:val="00C8329C"/>
    <w:rsid w:val="00C8655C"/>
    <w:rsid w:val="00C86A70"/>
    <w:rsid w:val="00C87337"/>
    <w:rsid w:val="00C8762C"/>
    <w:rsid w:val="00CA00F9"/>
    <w:rsid w:val="00CA0FE8"/>
    <w:rsid w:val="00CA2961"/>
    <w:rsid w:val="00CA5B79"/>
    <w:rsid w:val="00CA5F03"/>
    <w:rsid w:val="00CB09EE"/>
    <w:rsid w:val="00CB4FE3"/>
    <w:rsid w:val="00CB50D7"/>
    <w:rsid w:val="00CB7177"/>
    <w:rsid w:val="00CB7CED"/>
    <w:rsid w:val="00CC070F"/>
    <w:rsid w:val="00CC0891"/>
    <w:rsid w:val="00CC1998"/>
    <w:rsid w:val="00CC1B18"/>
    <w:rsid w:val="00CC4946"/>
    <w:rsid w:val="00CC5731"/>
    <w:rsid w:val="00CC64A1"/>
    <w:rsid w:val="00CD133F"/>
    <w:rsid w:val="00CE0162"/>
    <w:rsid w:val="00CE0E93"/>
    <w:rsid w:val="00CF29EE"/>
    <w:rsid w:val="00CF3B11"/>
    <w:rsid w:val="00CF43AE"/>
    <w:rsid w:val="00D057BB"/>
    <w:rsid w:val="00D16C8A"/>
    <w:rsid w:val="00D270A4"/>
    <w:rsid w:val="00D27389"/>
    <w:rsid w:val="00D27E1A"/>
    <w:rsid w:val="00D313D5"/>
    <w:rsid w:val="00D31FE9"/>
    <w:rsid w:val="00D34E1B"/>
    <w:rsid w:val="00D376BA"/>
    <w:rsid w:val="00D402F7"/>
    <w:rsid w:val="00D434A0"/>
    <w:rsid w:val="00D44DC7"/>
    <w:rsid w:val="00D45634"/>
    <w:rsid w:val="00D46D68"/>
    <w:rsid w:val="00D5568A"/>
    <w:rsid w:val="00D56F23"/>
    <w:rsid w:val="00D57CDF"/>
    <w:rsid w:val="00D57D95"/>
    <w:rsid w:val="00D57E3B"/>
    <w:rsid w:val="00D600C8"/>
    <w:rsid w:val="00D61246"/>
    <w:rsid w:val="00D63D73"/>
    <w:rsid w:val="00D64452"/>
    <w:rsid w:val="00D655CC"/>
    <w:rsid w:val="00D66E1E"/>
    <w:rsid w:val="00D70696"/>
    <w:rsid w:val="00D744B1"/>
    <w:rsid w:val="00D74925"/>
    <w:rsid w:val="00D75722"/>
    <w:rsid w:val="00D77D91"/>
    <w:rsid w:val="00D80CF5"/>
    <w:rsid w:val="00D867A8"/>
    <w:rsid w:val="00D87549"/>
    <w:rsid w:val="00DA10CD"/>
    <w:rsid w:val="00DA1BF1"/>
    <w:rsid w:val="00DA2CC2"/>
    <w:rsid w:val="00DA5BBA"/>
    <w:rsid w:val="00DB1062"/>
    <w:rsid w:val="00DB1964"/>
    <w:rsid w:val="00DB26D2"/>
    <w:rsid w:val="00DB67C9"/>
    <w:rsid w:val="00DB7527"/>
    <w:rsid w:val="00DC0C95"/>
    <w:rsid w:val="00DC1A25"/>
    <w:rsid w:val="00DC4F0B"/>
    <w:rsid w:val="00DD0F18"/>
    <w:rsid w:val="00DD35E2"/>
    <w:rsid w:val="00DD3AC7"/>
    <w:rsid w:val="00DD6580"/>
    <w:rsid w:val="00DE4BB4"/>
    <w:rsid w:val="00DE6DF4"/>
    <w:rsid w:val="00DE719A"/>
    <w:rsid w:val="00DF2EDC"/>
    <w:rsid w:val="00DF70E2"/>
    <w:rsid w:val="00E01D7F"/>
    <w:rsid w:val="00E05C03"/>
    <w:rsid w:val="00E11D91"/>
    <w:rsid w:val="00E11E7E"/>
    <w:rsid w:val="00E12D60"/>
    <w:rsid w:val="00E14AFD"/>
    <w:rsid w:val="00E17C72"/>
    <w:rsid w:val="00E21FC6"/>
    <w:rsid w:val="00E2368B"/>
    <w:rsid w:val="00E3543E"/>
    <w:rsid w:val="00E35AC3"/>
    <w:rsid w:val="00E379E8"/>
    <w:rsid w:val="00E431A9"/>
    <w:rsid w:val="00E4670B"/>
    <w:rsid w:val="00E56A51"/>
    <w:rsid w:val="00E619FF"/>
    <w:rsid w:val="00E669E2"/>
    <w:rsid w:val="00E70B33"/>
    <w:rsid w:val="00E73F5F"/>
    <w:rsid w:val="00E76135"/>
    <w:rsid w:val="00E76EBE"/>
    <w:rsid w:val="00E82F4F"/>
    <w:rsid w:val="00E864DF"/>
    <w:rsid w:val="00EA7FF5"/>
    <w:rsid w:val="00EB2CC3"/>
    <w:rsid w:val="00EB7161"/>
    <w:rsid w:val="00EC0EA7"/>
    <w:rsid w:val="00EC2844"/>
    <w:rsid w:val="00EC5500"/>
    <w:rsid w:val="00ED18F8"/>
    <w:rsid w:val="00EE0E3D"/>
    <w:rsid w:val="00EE13C0"/>
    <w:rsid w:val="00EE407E"/>
    <w:rsid w:val="00EE5618"/>
    <w:rsid w:val="00EE65C3"/>
    <w:rsid w:val="00EE6EDA"/>
    <w:rsid w:val="00EE778E"/>
    <w:rsid w:val="00EF13F9"/>
    <w:rsid w:val="00EF4102"/>
    <w:rsid w:val="00EF6719"/>
    <w:rsid w:val="00EF6C6C"/>
    <w:rsid w:val="00F02406"/>
    <w:rsid w:val="00F0245A"/>
    <w:rsid w:val="00F04445"/>
    <w:rsid w:val="00F056FC"/>
    <w:rsid w:val="00F062EF"/>
    <w:rsid w:val="00F0632F"/>
    <w:rsid w:val="00F069AE"/>
    <w:rsid w:val="00F07674"/>
    <w:rsid w:val="00F10476"/>
    <w:rsid w:val="00F10E0D"/>
    <w:rsid w:val="00F135D8"/>
    <w:rsid w:val="00F23B6D"/>
    <w:rsid w:val="00F2752A"/>
    <w:rsid w:val="00F27694"/>
    <w:rsid w:val="00F310D7"/>
    <w:rsid w:val="00F31299"/>
    <w:rsid w:val="00F32AAF"/>
    <w:rsid w:val="00F32E5C"/>
    <w:rsid w:val="00F32F4C"/>
    <w:rsid w:val="00F3534A"/>
    <w:rsid w:val="00F35BFB"/>
    <w:rsid w:val="00F36ACC"/>
    <w:rsid w:val="00F50D06"/>
    <w:rsid w:val="00F51609"/>
    <w:rsid w:val="00F51A09"/>
    <w:rsid w:val="00F55C25"/>
    <w:rsid w:val="00F563AB"/>
    <w:rsid w:val="00F633B7"/>
    <w:rsid w:val="00F65C26"/>
    <w:rsid w:val="00F67C62"/>
    <w:rsid w:val="00F73727"/>
    <w:rsid w:val="00F766A7"/>
    <w:rsid w:val="00F76B60"/>
    <w:rsid w:val="00F77AC1"/>
    <w:rsid w:val="00F81006"/>
    <w:rsid w:val="00F85325"/>
    <w:rsid w:val="00FA149B"/>
    <w:rsid w:val="00FB3826"/>
    <w:rsid w:val="00FB7C10"/>
    <w:rsid w:val="00FC37FA"/>
    <w:rsid w:val="00FD22B1"/>
    <w:rsid w:val="00FD33F1"/>
    <w:rsid w:val="00FD3566"/>
    <w:rsid w:val="00FE5397"/>
    <w:rsid w:val="00FE756F"/>
    <w:rsid w:val="00FF1301"/>
    <w:rsid w:val="00FF37A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2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toc 1" w:uiPriority="39"/>
    <w:lsdException w:name="toc 2" w:uiPriority="39"/>
    <w:lsdException w:name="Body Text" w:qFormat="1"/>
    <w:lsdException w:name="Subtitle" w:qFormat="1"/>
    <w:lsdException w:name="Hyperlink"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02826"/>
    <w:rPr>
      <w:sz w:val="24"/>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 Char1,Body Text Char Char,Body Text Char1 Char Char Char,Body Text Char Char Char Char Char,new legislation style Char Char Char Char Char,Body Text Char1 Char Char Char Char Char,Body Text Char Char Char Char Char Char Char,Body Te"/>
    <w:link w:val="BodyTextChar"/>
    <w:qFormat/>
    <w:rsid w:val="00812F4A"/>
    <w:pPr>
      <w:spacing w:before="240" w:line="300" w:lineRule="atLeast"/>
      <w:jc w:val="both"/>
    </w:pPr>
    <w:rPr>
      <w:sz w:val="24"/>
    </w:rPr>
  </w:style>
  <w:style w:type="paragraph" w:styleId="Footer">
    <w:name w:val="footer"/>
    <w:basedOn w:val="BodyText"/>
    <w:link w:val="FooterChar"/>
    <w:semiHidden/>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link w:val="BoxListBulletChar"/>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link w:val="BoxListBullet2Char"/>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uiPriority w:val="39"/>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uiPriority w:val="39"/>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aliases w:val="Body Text Char1 Char,Body Text Char Char Char,Body Text Char1 Char Char Char Char,Body Text Char Char Char Char Char Char,new legislation style Char Char Char Char Char Char,Body Text Char1 Char Char Char Char Char Char,Body Te Char"/>
    <w:basedOn w:val="DefaultParagraphFont"/>
    <w:link w:val="BodyText"/>
    <w:rsid w:val="00EB2CC3"/>
    <w:rPr>
      <w:sz w:val="24"/>
    </w:rPr>
  </w:style>
  <w:style w:type="character" w:customStyle="1" w:styleId="FooterChar">
    <w:name w:val="Footer Char"/>
    <w:basedOn w:val="BodyTextChar"/>
    <w:link w:val="Footer"/>
    <w:semiHidden/>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OC1Char">
    <w:name w:val="TOC 1 Char"/>
    <w:basedOn w:val="DefaultParagraphFont"/>
    <w:link w:val="TOC1"/>
    <w:rsid w:val="00F73727"/>
    <w:rPr>
      <w:rFonts w:ascii="Arial" w:hAnsi="Arial"/>
      <w:b/>
      <w:sz w:val="26"/>
      <w:szCs w:val="26"/>
      <w:lang w:eastAsia="en-US"/>
    </w:rPr>
  </w:style>
  <w:style w:type="character" w:styleId="Hyperlink">
    <w:name w:val="Hyperlink"/>
    <w:basedOn w:val="DefaultParagraphFont"/>
    <w:uiPriority w:val="99"/>
    <w:unhideWhenUsed/>
    <w:rsid w:val="001A548F"/>
    <w:rPr>
      <w:color w:val="78A22F" w:themeColor="hyperlink"/>
      <w:u w:val="single"/>
    </w:rPr>
  </w:style>
  <w:style w:type="character" w:customStyle="1" w:styleId="Heading3Char">
    <w:name w:val="Heading 3 Char"/>
    <w:basedOn w:val="DefaultParagraphFont"/>
    <w:link w:val="Heading3"/>
    <w:rsid w:val="001A548F"/>
    <w:rPr>
      <w:rFonts w:ascii="Arial" w:hAnsi="Arial"/>
      <w:b/>
      <w:sz w:val="26"/>
    </w:rPr>
  </w:style>
  <w:style w:type="character" w:customStyle="1" w:styleId="BoxListBulletChar">
    <w:name w:val="Box List Bullet Char"/>
    <w:basedOn w:val="DefaultParagraphFont"/>
    <w:link w:val="BoxListBullet"/>
    <w:rsid w:val="001A548F"/>
    <w:rPr>
      <w:rFonts w:ascii="Arial" w:hAnsi="Arial"/>
    </w:rPr>
  </w:style>
  <w:style w:type="character" w:customStyle="1" w:styleId="BoxChar">
    <w:name w:val="Box Char"/>
    <w:basedOn w:val="BodyTextChar"/>
    <w:link w:val="Box"/>
    <w:rsid w:val="001A548F"/>
    <w:rPr>
      <w:rFonts w:ascii="Arial" w:hAnsi="Arial"/>
      <w:sz w:val="24"/>
    </w:rPr>
  </w:style>
  <w:style w:type="character" w:customStyle="1" w:styleId="BoxListBullet2Char">
    <w:name w:val="Box List Bullet 2 Char"/>
    <w:basedOn w:val="BoxChar"/>
    <w:link w:val="BoxListBullet2"/>
    <w:rsid w:val="00117B3B"/>
    <w:rPr>
      <w:rFonts w:ascii="Arial" w:hAnsi="Arial"/>
      <w:sz w:val="24"/>
    </w:rPr>
  </w:style>
  <w:style w:type="character" w:customStyle="1" w:styleId="Heading4Char">
    <w:name w:val="Heading 4 Char"/>
    <w:basedOn w:val="DefaultParagraphFont"/>
    <w:link w:val="Heading4"/>
    <w:rsid w:val="000D5E5D"/>
    <w:rPr>
      <w:rFonts w:ascii="Arial" w:hAnsi="Arial"/>
      <w:sz w:val="24"/>
    </w:rPr>
  </w:style>
  <w:style w:type="paragraph" w:styleId="CommentSubject">
    <w:name w:val="annotation subject"/>
    <w:basedOn w:val="CommentText"/>
    <w:next w:val="CommentText"/>
    <w:link w:val="CommentSubjectChar"/>
    <w:rsid w:val="0085146E"/>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85146E"/>
    <w:rPr>
      <w:szCs w:val="24"/>
    </w:rPr>
  </w:style>
  <w:style w:type="character" w:customStyle="1" w:styleId="CommentSubjectChar">
    <w:name w:val="Comment Subject Char"/>
    <w:basedOn w:val="CommentTextChar"/>
    <w:link w:val="CommentSubject"/>
    <w:rsid w:val="0085146E"/>
    <w:rPr>
      <w:b/>
      <w:bCs/>
      <w:szCs w:val="24"/>
    </w:rPr>
  </w:style>
  <w:style w:type="paragraph" w:styleId="Revision">
    <w:name w:val="Revision"/>
    <w:hidden/>
    <w:uiPriority w:val="99"/>
    <w:semiHidden/>
    <w:rsid w:val="002035DD"/>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toc 1" w:uiPriority="39"/>
    <w:lsdException w:name="toc 2" w:uiPriority="39"/>
    <w:lsdException w:name="Body Text" w:qFormat="1"/>
    <w:lsdException w:name="Subtitle" w:qFormat="1"/>
    <w:lsdException w:name="Hyperlink"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02826"/>
    <w:rPr>
      <w:sz w:val="24"/>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 Char1,Body Text Char Char,Body Text Char1 Char Char Char,Body Text Char Char Char Char Char,new legislation style Char Char Char Char Char,Body Text Char1 Char Char Char Char Char,Body Text Char Char Char Char Char Char Char,Body Te"/>
    <w:link w:val="BodyTextChar"/>
    <w:qFormat/>
    <w:rsid w:val="00812F4A"/>
    <w:pPr>
      <w:spacing w:before="240" w:line="300" w:lineRule="atLeast"/>
      <w:jc w:val="both"/>
    </w:pPr>
    <w:rPr>
      <w:sz w:val="24"/>
    </w:rPr>
  </w:style>
  <w:style w:type="paragraph" w:styleId="Footer">
    <w:name w:val="footer"/>
    <w:basedOn w:val="BodyText"/>
    <w:link w:val="FooterChar"/>
    <w:semiHidden/>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link w:val="BoxListBulletChar"/>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link w:val="BoxListBullet2Char"/>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uiPriority w:val="39"/>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uiPriority w:val="39"/>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aliases w:val="Body Text Char1 Char,Body Text Char Char Char,Body Text Char1 Char Char Char Char,Body Text Char Char Char Char Char Char,new legislation style Char Char Char Char Char Char,Body Text Char1 Char Char Char Char Char Char,Body Te Char"/>
    <w:basedOn w:val="DefaultParagraphFont"/>
    <w:link w:val="BodyText"/>
    <w:rsid w:val="00EB2CC3"/>
    <w:rPr>
      <w:sz w:val="24"/>
    </w:rPr>
  </w:style>
  <w:style w:type="character" w:customStyle="1" w:styleId="FooterChar">
    <w:name w:val="Footer Char"/>
    <w:basedOn w:val="BodyTextChar"/>
    <w:link w:val="Footer"/>
    <w:semiHidden/>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OC1Char">
    <w:name w:val="TOC 1 Char"/>
    <w:basedOn w:val="DefaultParagraphFont"/>
    <w:link w:val="TOC1"/>
    <w:rsid w:val="00F73727"/>
    <w:rPr>
      <w:rFonts w:ascii="Arial" w:hAnsi="Arial"/>
      <w:b/>
      <w:sz w:val="26"/>
      <w:szCs w:val="26"/>
      <w:lang w:eastAsia="en-US"/>
    </w:rPr>
  </w:style>
  <w:style w:type="character" w:styleId="Hyperlink">
    <w:name w:val="Hyperlink"/>
    <w:basedOn w:val="DefaultParagraphFont"/>
    <w:uiPriority w:val="99"/>
    <w:unhideWhenUsed/>
    <w:rsid w:val="001A548F"/>
    <w:rPr>
      <w:color w:val="78A22F" w:themeColor="hyperlink"/>
      <w:u w:val="single"/>
    </w:rPr>
  </w:style>
  <w:style w:type="character" w:customStyle="1" w:styleId="Heading3Char">
    <w:name w:val="Heading 3 Char"/>
    <w:basedOn w:val="DefaultParagraphFont"/>
    <w:link w:val="Heading3"/>
    <w:rsid w:val="001A548F"/>
    <w:rPr>
      <w:rFonts w:ascii="Arial" w:hAnsi="Arial"/>
      <w:b/>
      <w:sz w:val="26"/>
    </w:rPr>
  </w:style>
  <w:style w:type="character" w:customStyle="1" w:styleId="BoxListBulletChar">
    <w:name w:val="Box List Bullet Char"/>
    <w:basedOn w:val="DefaultParagraphFont"/>
    <w:link w:val="BoxListBullet"/>
    <w:rsid w:val="001A548F"/>
    <w:rPr>
      <w:rFonts w:ascii="Arial" w:hAnsi="Arial"/>
    </w:rPr>
  </w:style>
  <w:style w:type="character" w:customStyle="1" w:styleId="BoxChar">
    <w:name w:val="Box Char"/>
    <w:basedOn w:val="BodyTextChar"/>
    <w:link w:val="Box"/>
    <w:rsid w:val="001A548F"/>
    <w:rPr>
      <w:rFonts w:ascii="Arial" w:hAnsi="Arial"/>
      <w:sz w:val="24"/>
    </w:rPr>
  </w:style>
  <w:style w:type="character" w:customStyle="1" w:styleId="BoxListBullet2Char">
    <w:name w:val="Box List Bullet 2 Char"/>
    <w:basedOn w:val="BoxChar"/>
    <w:link w:val="BoxListBullet2"/>
    <w:rsid w:val="00117B3B"/>
    <w:rPr>
      <w:rFonts w:ascii="Arial" w:hAnsi="Arial"/>
      <w:sz w:val="24"/>
    </w:rPr>
  </w:style>
  <w:style w:type="character" w:customStyle="1" w:styleId="Heading4Char">
    <w:name w:val="Heading 4 Char"/>
    <w:basedOn w:val="DefaultParagraphFont"/>
    <w:link w:val="Heading4"/>
    <w:rsid w:val="000D5E5D"/>
    <w:rPr>
      <w:rFonts w:ascii="Arial" w:hAnsi="Arial"/>
      <w:sz w:val="24"/>
    </w:rPr>
  </w:style>
  <w:style w:type="paragraph" w:styleId="CommentSubject">
    <w:name w:val="annotation subject"/>
    <w:basedOn w:val="CommentText"/>
    <w:next w:val="CommentText"/>
    <w:link w:val="CommentSubjectChar"/>
    <w:rsid w:val="0085146E"/>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85146E"/>
    <w:rPr>
      <w:szCs w:val="24"/>
    </w:rPr>
  </w:style>
  <w:style w:type="character" w:customStyle="1" w:styleId="CommentSubjectChar">
    <w:name w:val="Comment Subject Char"/>
    <w:basedOn w:val="CommentTextChar"/>
    <w:link w:val="CommentSubject"/>
    <w:rsid w:val="0085146E"/>
    <w:rPr>
      <w:b/>
      <w:bCs/>
      <w:szCs w:val="24"/>
    </w:rPr>
  </w:style>
  <w:style w:type="paragraph" w:styleId="Revision">
    <w:name w:val="Revision"/>
    <w:hidden/>
    <w:uiPriority w:val="99"/>
    <w:semiHidden/>
    <w:rsid w:val="002035D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8088582">
      <w:bodyDiv w:val="1"/>
      <w:marLeft w:val="0"/>
      <w:marRight w:val="0"/>
      <w:marTop w:val="0"/>
      <w:marBottom w:val="0"/>
      <w:divBdr>
        <w:top w:val="none" w:sz="0" w:space="0" w:color="auto"/>
        <w:left w:val="none" w:sz="0" w:space="0" w:color="auto"/>
        <w:bottom w:val="none" w:sz="0" w:space="0" w:color="auto"/>
        <w:right w:val="none" w:sz="0" w:space="0" w:color="auto"/>
      </w:divBdr>
    </w:div>
    <w:div w:id="1162968071">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3.emf"/><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header" Target="header2.xml"/><Relationship Id="rId10" Type="http://schemas.openxmlformats.org/officeDocument/2006/relationships/image" Target="media/image2.emf"/><Relationship Id="rId19" Type="http://schemas.openxmlformats.org/officeDocument/2006/relationships/image" Target="media/image11.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header" Target="header1.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4860E5-6C09-4AC1-8E96-391002BE51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Template>
  <TotalTime>70</TotalTime>
  <Pages>24</Pages>
  <Words>5224</Words>
  <Characters>30382</Characters>
  <Application>Microsoft Office Word</Application>
  <DocSecurity>0</DocSecurity>
  <Lines>253</Lines>
  <Paragraphs>71</Paragraphs>
  <ScaleCrop>false</ScaleCrop>
  <HeadingPairs>
    <vt:vector size="2" baseType="variant">
      <vt:variant>
        <vt:lpstr>Title</vt:lpstr>
      </vt:variant>
      <vt:variant>
        <vt:i4>1</vt:i4>
      </vt:variant>
    </vt:vector>
  </HeadingPairs>
  <TitlesOfParts>
    <vt:vector size="1" baseType="lpstr">
      <vt:lpstr>Chapter 9 Emergency services for fire events - Report on Government Services 2017</vt:lpstr>
    </vt:vector>
  </TitlesOfParts>
  <Company>Productivity Commission</Company>
  <LinksUpToDate>false</LinksUpToDate>
  <CharactersWithSpaces>35535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9 Emergency services for fire events - Report on Government Services 2017</dc:title>
  <dc:creator>Steering Committee for the Review of Government Service Provision</dc:creator>
  <cp:lastModifiedBy>Frech, Tanya</cp:lastModifiedBy>
  <cp:revision>15</cp:revision>
  <cp:lastPrinted>2017-01-09T01:59:00Z</cp:lastPrinted>
  <dcterms:created xsi:type="dcterms:W3CDTF">2016-12-15T00:01:00Z</dcterms:created>
  <dcterms:modified xsi:type="dcterms:W3CDTF">2017-01-09T22:31:00Z</dcterms:modified>
</cp:coreProperties>
</file>