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42744B" w:rsidRDefault="00AC7CEA" w:rsidP="0042744B">
      <w:pPr>
        <w:pStyle w:val="Heading1"/>
      </w:pPr>
      <w:r w:rsidRPr="0042744B">
        <w:t>D</w:t>
      </w:r>
      <w:r w:rsidR="00F8719B" w:rsidRPr="0042744B">
        <w:tab/>
      </w:r>
      <w:bookmarkStart w:id="0" w:name="_Appendix"/>
      <w:bookmarkStart w:id="1" w:name="ChapterTitle"/>
      <w:bookmarkEnd w:id="0"/>
      <w:r w:rsidR="00F8719B" w:rsidRPr="0042744B">
        <w:t xml:space="preserve">Emergency management sector </w:t>
      </w:r>
      <w:bookmarkEnd w:id="1"/>
      <w:r w:rsidR="008C57ED" w:rsidRPr="0042744B">
        <w:t>overview</w:t>
      </w:r>
    </w:p>
    <w:p w:rsidR="00DE2D11" w:rsidRPr="00D63281" w:rsidRDefault="00735D2B" w:rsidP="00E54790">
      <w:pPr>
        <w:pStyle w:val="TOC2"/>
        <w:ind w:left="567"/>
        <w:rPr>
          <w:sz w:val="24"/>
        </w:rPr>
      </w:pPr>
      <w:bookmarkStart w:id="2" w:name="begin"/>
      <w:bookmarkEnd w:id="2"/>
      <w:r w:rsidRPr="00D63281">
        <w:rPr>
          <w:sz w:val="24"/>
        </w:rPr>
        <w:t>CONTENTS</w:t>
      </w:r>
    </w:p>
    <w:sdt>
      <w:sdtPr>
        <w:rPr>
          <w:kern w:val="28"/>
          <w:sz w:val="52"/>
        </w:rPr>
        <w:id w:val="1577624202"/>
        <w:docPartObj>
          <w:docPartGallery w:val="Table of Contents"/>
          <w:docPartUnique/>
        </w:docPartObj>
      </w:sdtPr>
      <w:sdtEndPr>
        <w:rPr>
          <w:kern w:val="0"/>
          <w:sz w:val="26"/>
        </w:rPr>
      </w:sdtEndPr>
      <w:sdtContent>
        <w:p w:rsidR="00783794" w:rsidRDefault="00783794">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Introduction</w:t>
          </w:r>
          <w:r>
            <w:rPr>
              <w:noProof/>
            </w:rPr>
            <w:tab/>
          </w:r>
          <w:r w:rsidR="00EC37B8">
            <w:rPr>
              <w:noProof/>
            </w:rPr>
            <w:t>D.</w:t>
          </w:r>
          <w:r w:rsidR="00642BBB">
            <w:rPr>
              <w:noProof/>
            </w:rPr>
            <w:t>1</w:t>
          </w:r>
        </w:p>
        <w:p w:rsidR="00783794" w:rsidRDefault="00783794">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EC37B8">
            <w:rPr>
              <w:noProof/>
            </w:rPr>
            <w:t>D.</w:t>
          </w:r>
          <w:r w:rsidR="00642BBB">
            <w:rPr>
              <w:noProof/>
            </w:rPr>
            <w:t>8</w:t>
          </w:r>
        </w:p>
        <w:p w:rsidR="00783794" w:rsidRDefault="00783794">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EC37B8">
            <w:rPr>
              <w:noProof/>
            </w:rPr>
            <w:t>D.</w:t>
          </w:r>
          <w:r w:rsidR="00642BBB">
            <w:rPr>
              <w:noProof/>
            </w:rPr>
            <w:t>14</w:t>
          </w:r>
        </w:p>
        <w:p w:rsidR="0092007E" w:rsidRPr="00262ED3" w:rsidRDefault="00783794" w:rsidP="002636C7">
          <w:pPr>
            <w:pStyle w:val="TOC2"/>
            <w:tabs>
              <w:tab w:val="left" w:pos="1190"/>
            </w:tabs>
          </w:pPr>
          <w:r>
            <w:rPr>
              <w:noProof/>
            </w:rPr>
            <w:t>D.4</w:t>
          </w:r>
          <w:r>
            <w:rPr>
              <w:rFonts w:asciiTheme="minorHAnsi" w:eastAsiaTheme="minorEastAsia" w:hAnsiTheme="minorHAnsi" w:cstheme="minorBidi"/>
              <w:noProof/>
              <w:sz w:val="22"/>
              <w:szCs w:val="22"/>
              <w:lang w:eastAsia="en-AU"/>
            </w:rPr>
            <w:tab/>
          </w:r>
          <w:r>
            <w:rPr>
              <w:noProof/>
            </w:rPr>
            <w:t>References</w:t>
          </w:r>
          <w:r>
            <w:rPr>
              <w:noProof/>
            </w:rPr>
            <w:tab/>
          </w:r>
          <w:r w:rsidR="00EC37B8">
            <w:rPr>
              <w:noProof/>
            </w:rPr>
            <w:t>D.</w:t>
          </w:r>
          <w:r w:rsidR="00642BBB">
            <w:rPr>
              <w:noProof/>
            </w:rPr>
            <w:t>15</w:t>
          </w:r>
        </w:p>
      </w:sdtContent>
    </w:sdt>
    <w:p w:rsidR="0092007E" w:rsidRDefault="009200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007E" w:rsidTr="0092007E">
        <w:tc>
          <w:tcPr>
            <w:tcW w:w="8771" w:type="dxa"/>
            <w:tcBorders>
              <w:top w:val="single" w:sz="6" w:space="0" w:color="78A22F"/>
              <w:left w:val="nil"/>
              <w:bottom w:val="nil"/>
              <w:right w:val="nil"/>
            </w:tcBorders>
            <w:shd w:val="clear" w:color="auto" w:fill="F2F2F2" w:themeFill="background1" w:themeFillShade="F2"/>
          </w:tcPr>
          <w:p w:rsidR="0092007E" w:rsidRDefault="0092007E">
            <w:pPr>
              <w:pStyle w:val="BoxTitle"/>
            </w:pPr>
            <w:r w:rsidRPr="00262ED3">
              <w:t>Attachment tables</w:t>
            </w:r>
          </w:p>
        </w:tc>
      </w:tr>
      <w:tr w:rsidR="0092007E" w:rsidTr="0092007E">
        <w:trPr>
          <w:cantSplit/>
        </w:trPr>
        <w:tc>
          <w:tcPr>
            <w:tcW w:w="8771" w:type="dxa"/>
            <w:tcBorders>
              <w:top w:val="nil"/>
              <w:left w:val="nil"/>
              <w:bottom w:val="nil"/>
              <w:right w:val="nil"/>
            </w:tcBorders>
            <w:shd w:val="clear" w:color="auto" w:fill="F2F2F2" w:themeFill="background1" w:themeFillShade="F2"/>
          </w:tcPr>
          <w:p w:rsidR="0092007E" w:rsidRPr="002C08D1" w:rsidRDefault="00E27E3B" w:rsidP="005566F8">
            <w:pPr>
              <w:pStyle w:val="Box"/>
            </w:pPr>
            <w:r w:rsidRPr="009A6682">
              <w:rPr>
                <w:color w:val="000000" w:themeColor="text1"/>
              </w:rPr>
              <w:t>Attachment tables are identified in references throughout this chapter by a ‘DA’ prefix (for example, table DA.1) and</w:t>
            </w:r>
            <w:r w:rsidR="000E1445">
              <w:rPr>
                <w:color w:val="000000" w:themeColor="text1"/>
              </w:rPr>
              <w:t xml:space="preserve"> are available </w:t>
            </w:r>
            <w:r w:rsidR="005566F8" w:rsidRPr="005566F8">
              <w:rPr>
                <w:color w:val="000000" w:themeColor="text1"/>
              </w:rPr>
              <w:t>from the website www.pc.gov.au/rogs/2017.</w:t>
            </w:r>
          </w:p>
        </w:tc>
      </w:tr>
      <w:tr w:rsidR="0092007E" w:rsidTr="0092007E">
        <w:trPr>
          <w:cantSplit/>
        </w:trPr>
        <w:tc>
          <w:tcPr>
            <w:tcW w:w="8771" w:type="dxa"/>
            <w:tcBorders>
              <w:top w:val="nil"/>
              <w:left w:val="nil"/>
              <w:bottom w:val="single" w:sz="6" w:space="0" w:color="78A22F"/>
              <w:right w:val="nil"/>
            </w:tcBorders>
            <w:shd w:val="clear" w:color="auto" w:fill="F2F2F2" w:themeFill="background1" w:themeFillShade="F2"/>
          </w:tcPr>
          <w:p w:rsidR="0092007E" w:rsidRDefault="0092007E">
            <w:pPr>
              <w:pStyle w:val="Box"/>
              <w:spacing w:before="0" w:line="120" w:lineRule="exact"/>
            </w:pPr>
          </w:p>
        </w:tc>
      </w:tr>
      <w:tr w:rsidR="0092007E" w:rsidRPr="000863A5" w:rsidTr="0092007E">
        <w:tc>
          <w:tcPr>
            <w:tcW w:w="8771" w:type="dxa"/>
            <w:tcBorders>
              <w:top w:val="single" w:sz="6" w:space="0" w:color="78A22F"/>
              <w:left w:val="nil"/>
              <w:bottom w:val="nil"/>
              <w:right w:val="nil"/>
            </w:tcBorders>
          </w:tcPr>
          <w:p w:rsidR="0092007E" w:rsidRPr="00626D32" w:rsidRDefault="0092007E" w:rsidP="0092007E">
            <w:pPr>
              <w:pStyle w:val="BoxSpaceBelow"/>
            </w:pPr>
          </w:p>
        </w:tc>
      </w:tr>
    </w:tbl>
    <w:p w:rsidR="00DE2D11" w:rsidRPr="00262ED3" w:rsidRDefault="008B6E30" w:rsidP="00DE2D11">
      <w:pPr>
        <w:pStyle w:val="Heading2"/>
      </w:pPr>
      <w:bookmarkStart w:id="3" w:name="_Toc272325755"/>
      <w:bookmarkStart w:id="4" w:name="_Toc294252405"/>
      <w:bookmarkStart w:id="5" w:name="_Toc337997850"/>
      <w:bookmarkStart w:id="6" w:name="_Toc464990206"/>
      <w:proofErr w:type="spellStart"/>
      <w:r>
        <w:t>D.</w:t>
      </w:r>
      <w:r w:rsidR="00642BBB">
        <w:rPr>
          <w:noProof/>
        </w:rPr>
        <w:t>1</w:t>
      </w:r>
      <w:proofErr w:type="spellEnd"/>
      <w:r w:rsidR="00DE2D11">
        <w:tab/>
      </w:r>
      <w:r w:rsidR="00DE2D11" w:rsidRPr="00262ED3">
        <w:t>Introdu</w:t>
      </w:r>
      <w:r w:rsidR="00DE2D11">
        <w:t>c</w:t>
      </w:r>
      <w:r w:rsidR="00DE2D11" w:rsidRPr="00262ED3">
        <w:t>tion</w:t>
      </w:r>
      <w:bookmarkEnd w:id="3"/>
      <w:bookmarkEnd w:id="4"/>
      <w:bookmarkEnd w:id="5"/>
      <w:bookmarkEnd w:id="6"/>
    </w:p>
    <w:p w:rsidR="00DE2D11" w:rsidRDefault="00DE2D11" w:rsidP="00DE2D11">
      <w:pPr>
        <w:pStyle w:val="BodyText"/>
      </w:pPr>
      <w:r w:rsidRPr="00262ED3">
        <w:t xml:space="preserve">This </w:t>
      </w:r>
      <w:r w:rsidR="0054554B">
        <w:t>sector overview</w:t>
      </w:r>
      <w:r w:rsidRPr="00262ED3">
        <w:t xml:space="preserve"> provides an </w:t>
      </w:r>
      <w:r w:rsidR="000E1F88">
        <w:t>introduction to</w:t>
      </w:r>
      <w:r w:rsidR="00B95C94">
        <w:t xml:space="preserve"> the emergency management sector and the</w:t>
      </w:r>
      <w:r>
        <w:t xml:space="preserve"> government services reported in ‘</w:t>
      </w:r>
      <w:r w:rsidR="0082131F">
        <w:t xml:space="preserve">Emergency services for fire events’ (chapter 9) and ‘Ambulance </w:t>
      </w:r>
      <w:r w:rsidR="00E25825">
        <w:t>services</w:t>
      </w:r>
      <w:r>
        <w:t>’ (chapter </w:t>
      </w:r>
      <w:r w:rsidR="0082131F">
        <w:t>11</w:t>
      </w:r>
      <w:r w:rsidR="00B403ED">
        <w:t xml:space="preserve"> </w:t>
      </w:r>
      <w:r w:rsidR="00B403ED" w:rsidRPr="00473C03">
        <w:t>–</w:t>
      </w:r>
      <w:r w:rsidR="0025579C">
        <w:t xml:space="preserve"> </w:t>
      </w:r>
      <w:r w:rsidR="00240034">
        <w:t xml:space="preserve">included in the Health </w:t>
      </w:r>
      <w:r w:rsidR="00B403ED">
        <w:t xml:space="preserve">volume </w:t>
      </w:r>
      <w:r w:rsidR="00240034">
        <w:t>of the Report</w:t>
      </w:r>
      <w:r w:rsidR="0025579C">
        <w:t>)</w:t>
      </w:r>
      <w:r w:rsidR="00240034">
        <w:t>.</w:t>
      </w:r>
    </w:p>
    <w:p w:rsidR="00FC5ECC" w:rsidRDefault="007C04A0" w:rsidP="009B3C56">
      <w:pPr>
        <w:pStyle w:val="BodyText"/>
      </w:pPr>
      <w:r>
        <w:t xml:space="preserve">Emergency management is the practice of managing the impact from emergency events </w:t>
      </w:r>
      <w:r w:rsidR="00FC4D72">
        <w:t xml:space="preserve">on </w:t>
      </w:r>
      <w:r>
        <w:t>individuals, communities and the environment (</w:t>
      </w:r>
      <w:proofErr w:type="spellStart"/>
      <w:r w:rsidR="009553BB">
        <w:t>EMA</w:t>
      </w:r>
      <w:proofErr w:type="spellEnd"/>
      <w:r w:rsidR="009553BB">
        <w:t> 1998</w:t>
      </w:r>
      <w:r>
        <w:t>).</w:t>
      </w:r>
      <w:r w:rsidR="00934C22">
        <w:t xml:space="preserve"> Emergency events vary in size and intensity, affecting individuals (such as in medical emergencies), household/business assets (such as in building fires), or community, economy and the environment (such as in natural disasters) (box </w:t>
      </w:r>
      <w:proofErr w:type="spellStart"/>
      <w:r w:rsidR="00934C22">
        <w:t>D.1</w:t>
      </w:r>
      <w:proofErr w:type="spellEnd"/>
      <w:r w:rsidR="00934C22">
        <w:t xml:space="preserve">). </w:t>
      </w:r>
      <w:r w:rsidR="000E1F88">
        <w:t>Events of considerable magnitude or duration, such as earthquakes, cyclones and bushfires, can involve international, interstate and other cooperation and support.</w:t>
      </w:r>
    </w:p>
    <w:p w:rsidR="00E54790" w:rsidRDefault="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F2F2F2" w:themeFill="background1" w:themeFillShade="F2"/>
          </w:tcPr>
          <w:p w:rsidR="00E54790" w:rsidRDefault="00E54790" w:rsidP="00E54790">
            <w:pPr>
              <w:pStyle w:val="BoxTitle"/>
            </w:pPr>
            <w:r>
              <w:rPr>
                <w:b w:val="0"/>
              </w:rPr>
              <w:t xml:space="preserve">Box </w:t>
            </w:r>
            <w:proofErr w:type="spellStart"/>
            <w:r w:rsidR="008B6E30">
              <w:rPr>
                <w:b w:val="0"/>
              </w:rPr>
              <w:t>D.</w:t>
            </w:r>
            <w:r w:rsidR="00642BBB">
              <w:rPr>
                <w:b w:val="0"/>
                <w:noProof/>
              </w:rPr>
              <w:t>1</w:t>
            </w:r>
            <w:proofErr w:type="spellEnd"/>
            <w:r>
              <w:tab/>
              <w:t>Emergency events</w:t>
            </w:r>
          </w:p>
        </w:tc>
      </w:tr>
      <w:tr w:rsidR="00842F52" w:rsidRPr="00842F52" w:rsidTr="00E54790">
        <w:trPr>
          <w:cantSplit/>
        </w:trPr>
        <w:tc>
          <w:tcPr>
            <w:tcW w:w="8771" w:type="dxa"/>
            <w:tcBorders>
              <w:top w:val="nil"/>
              <w:left w:val="nil"/>
              <w:bottom w:val="nil"/>
              <w:right w:val="nil"/>
            </w:tcBorders>
            <w:shd w:val="clear" w:color="auto" w:fill="F2F2F2" w:themeFill="background1" w:themeFillShade="F2"/>
          </w:tcPr>
          <w:p w:rsidR="00E54790" w:rsidRPr="00842F52" w:rsidRDefault="00E54790" w:rsidP="00E54790">
            <w:pPr>
              <w:pStyle w:val="Box"/>
              <w:keepNext w:val="0"/>
              <w:rPr>
                <w:color w:val="000000" w:themeColor="text1"/>
              </w:rPr>
            </w:pPr>
            <w:r w:rsidRPr="00842F52">
              <w:rPr>
                <w:color w:val="000000" w:themeColor="text1"/>
              </w:rPr>
              <w:t xml:space="preserve">An emergency event is an event that endangers or threatens to endanger life, property </w:t>
            </w:r>
            <w:r w:rsidR="0032522A" w:rsidRPr="00842F52">
              <w:rPr>
                <w:color w:val="000000" w:themeColor="text1"/>
              </w:rPr>
              <w:t>and/</w:t>
            </w:r>
            <w:r w:rsidRPr="00842F52">
              <w:rPr>
                <w:color w:val="000000" w:themeColor="text1"/>
              </w:rPr>
              <w:t xml:space="preserve">or the environment, and </w:t>
            </w:r>
            <w:r w:rsidR="00B403ED">
              <w:rPr>
                <w:color w:val="000000" w:themeColor="text1"/>
              </w:rPr>
              <w:t>r</w:t>
            </w:r>
            <w:r w:rsidRPr="00842F52">
              <w:rPr>
                <w:color w:val="000000" w:themeColor="text1"/>
              </w:rPr>
              <w:t>equires a significant and coordinated response (</w:t>
            </w:r>
            <w:r w:rsidR="009553BB" w:rsidRPr="00842F52">
              <w:rPr>
                <w:color w:val="000000" w:themeColor="text1"/>
              </w:rPr>
              <w:t>EMA 1998</w:t>
            </w:r>
            <w:r w:rsidRPr="00842F52">
              <w:rPr>
                <w:color w:val="000000" w:themeColor="text1"/>
              </w:rPr>
              <w:t xml:space="preserve">). It </w:t>
            </w:r>
            <w:r w:rsidR="00B403ED">
              <w:rPr>
                <w:color w:val="000000" w:themeColor="text1"/>
              </w:rPr>
              <w:t>covers</w:t>
            </w:r>
            <w:r w:rsidRPr="00842F52">
              <w:rPr>
                <w:color w:val="000000" w:themeColor="text1"/>
              </w:rPr>
              <w:t>:</w:t>
            </w:r>
          </w:p>
          <w:p w:rsidR="00E54790" w:rsidRPr="00842F52" w:rsidRDefault="00E54790" w:rsidP="00E54790">
            <w:pPr>
              <w:pStyle w:val="BoxListBullet"/>
              <w:keepNext w:val="0"/>
              <w:numPr>
                <w:ilvl w:val="0"/>
                <w:numId w:val="20"/>
              </w:numPr>
              <w:rPr>
                <w:color w:val="000000" w:themeColor="text1"/>
              </w:rPr>
            </w:pPr>
            <w:r w:rsidRPr="00842F52">
              <w:rPr>
                <w:color w:val="000000" w:themeColor="text1"/>
              </w:rPr>
              <w:t xml:space="preserve">structure fires </w:t>
            </w:r>
          </w:p>
          <w:p w:rsidR="00E54790" w:rsidRPr="00842F52" w:rsidRDefault="00E54790" w:rsidP="00E54790">
            <w:pPr>
              <w:pStyle w:val="BoxListBullet"/>
              <w:keepNext w:val="0"/>
              <w:numPr>
                <w:ilvl w:val="0"/>
                <w:numId w:val="20"/>
              </w:numPr>
              <w:rPr>
                <w:color w:val="000000" w:themeColor="text1"/>
              </w:rPr>
            </w:pPr>
            <w:r w:rsidRPr="00842F52">
              <w:rPr>
                <w:color w:val="000000" w:themeColor="text1"/>
              </w:rPr>
              <w:t>rescues — including road crash rescues and marine rescues</w:t>
            </w:r>
          </w:p>
          <w:p w:rsidR="00E54790" w:rsidRPr="00842F52" w:rsidRDefault="00E54790" w:rsidP="00E54790">
            <w:pPr>
              <w:pStyle w:val="BoxListBullet"/>
              <w:keepNext w:val="0"/>
              <w:numPr>
                <w:ilvl w:val="0"/>
                <w:numId w:val="20"/>
              </w:numPr>
              <w:rPr>
                <w:color w:val="000000" w:themeColor="text1"/>
              </w:rPr>
            </w:pPr>
            <w:r w:rsidRPr="00842F52">
              <w:rPr>
                <w:color w:val="000000" w:themeColor="text1"/>
              </w:rPr>
              <w:t>me</w:t>
            </w:r>
            <w:r w:rsidR="00C86A42" w:rsidRPr="00842F52">
              <w:rPr>
                <w:color w:val="000000" w:themeColor="text1"/>
              </w:rPr>
              <w:t>dical emergencies and transport</w:t>
            </w:r>
          </w:p>
          <w:p w:rsidR="00E54790" w:rsidRPr="00842F52" w:rsidRDefault="00E54790" w:rsidP="00E54790">
            <w:pPr>
              <w:pStyle w:val="BoxListBullet"/>
              <w:keepNext w:val="0"/>
              <w:numPr>
                <w:ilvl w:val="0"/>
                <w:numId w:val="20"/>
              </w:numPr>
              <w:rPr>
                <w:color w:val="000000" w:themeColor="text1"/>
              </w:rPr>
            </w:pPr>
            <w:r w:rsidRPr="00842F52">
              <w:rPr>
                <w:color w:val="000000" w:themeColor="text1"/>
              </w:rPr>
              <w:t>natural disaster events — bushfire (landscape fire), earthquake, flood, storm, cyclone, storm surge, landslide, tsunami, mete</w:t>
            </w:r>
            <w:r w:rsidR="00C86A42" w:rsidRPr="00842F52">
              <w:rPr>
                <w:color w:val="000000" w:themeColor="text1"/>
              </w:rPr>
              <w:t>orite strike, and tornado</w:t>
            </w:r>
          </w:p>
          <w:p w:rsidR="00E54790" w:rsidRPr="00842F52" w:rsidRDefault="00E54790" w:rsidP="00E54790">
            <w:pPr>
              <w:pStyle w:val="BoxListBullet"/>
              <w:keepNext w:val="0"/>
              <w:numPr>
                <w:ilvl w:val="0"/>
                <w:numId w:val="20"/>
              </w:numPr>
              <w:rPr>
                <w:color w:val="000000" w:themeColor="text1"/>
              </w:rPr>
            </w:pPr>
            <w:r w:rsidRPr="00842F52">
              <w:rPr>
                <w:color w:val="000000" w:themeColor="text1"/>
              </w:rPr>
              <w:t>consequences of acts of terrorism</w:t>
            </w:r>
          </w:p>
          <w:p w:rsidR="00E54790" w:rsidRPr="00842F52" w:rsidRDefault="00E54790" w:rsidP="00E54790">
            <w:pPr>
              <w:pStyle w:val="BoxListBullet"/>
              <w:keepNext w:val="0"/>
              <w:numPr>
                <w:ilvl w:val="0"/>
                <w:numId w:val="20"/>
              </w:numPr>
              <w:rPr>
                <w:color w:val="000000" w:themeColor="text1"/>
              </w:rPr>
            </w:pPr>
            <w:r w:rsidRPr="00842F52">
              <w:rPr>
                <w:rFonts w:cs="Arial"/>
                <w:color w:val="000000" w:themeColor="text1"/>
              </w:rPr>
              <w:t>other natural events — such as drought, frost, heatwave, or epidemic</w:t>
            </w:r>
          </w:p>
          <w:p w:rsidR="00E54790" w:rsidRPr="00842F52" w:rsidRDefault="00E54790" w:rsidP="00E54790">
            <w:pPr>
              <w:pStyle w:val="BoxListBullet"/>
              <w:keepNext w:val="0"/>
              <w:numPr>
                <w:ilvl w:val="0"/>
                <w:numId w:val="20"/>
              </w:numPr>
              <w:rPr>
                <w:color w:val="000000" w:themeColor="text1"/>
              </w:rPr>
            </w:pPr>
            <w:r w:rsidRPr="00842F52">
              <w:rPr>
                <w:rFonts w:cs="Arial"/>
                <w:color w:val="000000" w:themeColor="text1"/>
              </w:rPr>
              <w:t>disaster events resulting from poor environmental planning, commercial development, or personal intervention</w:t>
            </w:r>
          </w:p>
          <w:p w:rsidR="00E54790" w:rsidRPr="00842F52" w:rsidRDefault="00E54790" w:rsidP="00842F52">
            <w:pPr>
              <w:pStyle w:val="BoxListBullet"/>
              <w:rPr>
                <w:color w:val="000000" w:themeColor="text1"/>
              </w:rPr>
            </w:pPr>
            <w:r w:rsidRPr="00842F52">
              <w:rPr>
                <w:color w:val="000000" w:themeColor="text1"/>
              </w:rPr>
              <w:t>technological and hazardous material incidents — such as chemical spills, harmful gas leaks, radiological contamination, explosions, and spills of petroleum products</w:t>
            </w:r>
          </w:p>
          <w:p w:rsidR="00FC4D72" w:rsidRPr="00842F52" w:rsidRDefault="00E54790" w:rsidP="00842F52">
            <w:pPr>
              <w:pStyle w:val="BoxListBullet"/>
              <w:rPr>
                <w:rStyle w:val="DraftingNote"/>
                <w:b w:val="0"/>
                <w:color w:val="000000" w:themeColor="text1"/>
              </w:rPr>
            </w:pPr>
            <w:r w:rsidRPr="00842F52">
              <w:rPr>
                <w:color w:val="000000" w:themeColor="text1"/>
              </w:rPr>
              <w:t>quarantine and control of diseases and biological contaminants.</w:t>
            </w:r>
          </w:p>
        </w:tc>
      </w:tr>
      <w:tr w:rsidR="00E54790" w:rsidTr="00E54790">
        <w:trPr>
          <w:cantSplit/>
        </w:trPr>
        <w:tc>
          <w:tcPr>
            <w:tcW w:w="8771" w:type="dxa"/>
            <w:tcBorders>
              <w:top w:val="nil"/>
              <w:left w:val="nil"/>
              <w:bottom w:val="nil"/>
              <w:right w:val="nil"/>
            </w:tcBorders>
            <w:shd w:val="clear" w:color="auto" w:fill="F2F2F2" w:themeFill="background1" w:themeFillShade="F2"/>
          </w:tcPr>
          <w:p w:rsidR="00E54790" w:rsidRDefault="00E54790" w:rsidP="0050635D">
            <w:pPr>
              <w:pStyle w:val="BoxSource"/>
            </w:pPr>
            <w:r>
              <w:rPr>
                <w:i/>
              </w:rPr>
              <w:t>Source</w:t>
            </w:r>
            <w:r w:rsidRPr="00167F06">
              <w:t xml:space="preserve">: </w:t>
            </w:r>
            <w:r w:rsidR="00E34B7A">
              <w:t>AEM</w:t>
            </w:r>
            <w:r>
              <w:t xml:space="preserve"> (201</w:t>
            </w:r>
            <w:r w:rsidR="0050635D">
              <w:t>5</w:t>
            </w:r>
            <w:r>
              <w:t>).</w:t>
            </w:r>
          </w:p>
        </w:tc>
      </w:tr>
      <w:tr w:rsidR="00E54790" w:rsidTr="00E54790">
        <w:trPr>
          <w:cantSplit/>
        </w:trPr>
        <w:tc>
          <w:tcPr>
            <w:tcW w:w="8771" w:type="dxa"/>
            <w:tcBorders>
              <w:top w:val="nil"/>
              <w:left w:val="nil"/>
              <w:bottom w:val="single" w:sz="6" w:space="0" w:color="78A22F"/>
              <w:right w:val="nil"/>
            </w:tcBorders>
            <w:shd w:val="clear" w:color="auto" w:fill="F2F2F2" w:themeFill="background1" w:themeFillShade="F2"/>
          </w:tcPr>
          <w:p w:rsidR="00E54790" w:rsidRDefault="00E54790">
            <w:pPr>
              <w:pStyle w:val="Box"/>
              <w:spacing w:before="0" w:line="120" w:lineRule="exact"/>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B403ED" w:rsidRDefault="00B403ED" w:rsidP="00D01F85">
      <w:pPr>
        <w:pStyle w:val="Heading3"/>
      </w:pPr>
      <w:r>
        <w:t>Roles and responsibilities</w:t>
      </w:r>
    </w:p>
    <w:p w:rsidR="008F3DBC" w:rsidRDefault="008F3DBC" w:rsidP="00F3441C">
      <w:pPr>
        <w:pStyle w:val="Heading4"/>
      </w:pPr>
      <w:r>
        <w:t>State and Territory governments</w:t>
      </w:r>
    </w:p>
    <w:p w:rsidR="008F3DBC" w:rsidRDefault="008F3DBC" w:rsidP="00E51C44">
      <w:pPr>
        <w:pStyle w:val="BodyText"/>
      </w:pPr>
      <w:r>
        <w:t xml:space="preserve">State and Territory governments are responsible for regulatory arrangements </w:t>
      </w:r>
      <w:r w:rsidR="00EA764F">
        <w:t xml:space="preserve">that </w:t>
      </w:r>
      <w:r>
        <w:t xml:space="preserve">protect life, property and the environment. </w:t>
      </w:r>
      <w:r w:rsidR="0083205B">
        <w:t>They</w:t>
      </w:r>
      <w:r>
        <w:t xml:space="preserve"> have primary responsibility for delivering emergency services directly to the community throu</w:t>
      </w:r>
      <w:r w:rsidR="0083205B">
        <w:t>gh emergency service</w:t>
      </w:r>
      <w:r>
        <w:t xml:space="preserve"> organisations. </w:t>
      </w:r>
      <w:r w:rsidR="00202A3A">
        <w:t>The range of emergency service organisations encompasses</w:t>
      </w:r>
      <w:r w:rsidR="00202A3A" w:rsidRPr="00202A3A">
        <w:rPr>
          <w:i/>
        </w:rPr>
        <w:t xml:space="preserve"> </w:t>
      </w:r>
      <w:r w:rsidR="00202A3A" w:rsidRPr="001F4661">
        <w:t>fire service organisations (chapter 9), ambulance service organisations (chapter 11), State and Territory Emergency Service organisations (SES)</w:t>
      </w:r>
      <w:r w:rsidR="00202A3A" w:rsidRPr="00202A3A">
        <w:t>,</w:t>
      </w:r>
      <w:r w:rsidR="00202A3A" w:rsidRPr="001F4661">
        <w:t xml:space="preserve"> </w:t>
      </w:r>
      <w:r w:rsidR="00202A3A">
        <w:t>m</w:t>
      </w:r>
      <w:r w:rsidR="00202A3A" w:rsidRPr="001F4661">
        <w:t xml:space="preserve">arine </w:t>
      </w:r>
      <w:r w:rsidR="00202A3A">
        <w:t xml:space="preserve">and lifesaving </w:t>
      </w:r>
      <w:r w:rsidR="00202A3A" w:rsidRPr="001F4661">
        <w:t>rescue and coast guard organisations</w:t>
      </w:r>
      <w:r w:rsidR="00240034">
        <w:t>.</w:t>
      </w:r>
    </w:p>
    <w:p w:rsidR="008F3DBC" w:rsidRPr="00202A3A" w:rsidRDefault="0083205B" w:rsidP="00E51C44">
      <w:pPr>
        <w:pStyle w:val="BodyText"/>
      </w:pPr>
      <w:r>
        <w:t>Emergency service</w:t>
      </w:r>
      <w:r w:rsidR="008F3DBC">
        <w:t xml:space="preserve"> organisations </w:t>
      </w:r>
      <w:r w:rsidR="003F0B39">
        <w:t xml:space="preserve">include </w:t>
      </w:r>
      <w:r w:rsidR="008F3DBC">
        <w:t>government departments</w:t>
      </w:r>
      <w:r w:rsidR="003F0B39">
        <w:t>,</w:t>
      </w:r>
      <w:r w:rsidR="008F3DBC">
        <w:t xml:space="preserve"> statutory authorities, and smaller branches, agencies or services within larger departments or authorities (table</w:t>
      </w:r>
      <w:r w:rsidR="003F0B39">
        <w:t> </w:t>
      </w:r>
      <w:r w:rsidR="008F3DBC">
        <w:t xml:space="preserve">DA.1). </w:t>
      </w:r>
      <w:r w:rsidR="00EA764F">
        <w:t>They also include</w:t>
      </w:r>
      <w:r w:rsidR="004F44BF">
        <w:t xml:space="preserve"> non</w:t>
      </w:r>
      <w:r w:rsidR="008F3DBC">
        <w:noBreakHyphen/>
        <w:t>government organisations</w:t>
      </w:r>
      <w:r w:rsidR="001360FC">
        <w:t>, supported by State and Territory government funding and legislation,</w:t>
      </w:r>
      <w:r w:rsidR="008F3DBC">
        <w:t xml:space="preserve"> </w:t>
      </w:r>
      <w:r w:rsidR="00EA764F">
        <w:t xml:space="preserve">which </w:t>
      </w:r>
      <w:r w:rsidR="008F3DBC">
        <w:t xml:space="preserve">provide emergency management </w:t>
      </w:r>
      <w:r w:rsidR="0087392E">
        <w:t>services</w:t>
      </w:r>
      <w:r w:rsidR="00EA764F">
        <w:t xml:space="preserve"> on behalf of the state</w:t>
      </w:r>
      <w:r w:rsidR="0087392E">
        <w:t>, such as St </w:t>
      </w:r>
      <w:r w:rsidR="008F3DBC">
        <w:t>John Ambulance in WA and the NT.</w:t>
      </w:r>
      <w:r w:rsidR="003F0B39">
        <w:t xml:space="preserve"> </w:t>
      </w:r>
    </w:p>
    <w:p w:rsidR="008F3DBC" w:rsidRDefault="008F3DBC" w:rsidP="00F3441C">
      <w:pPr>
        <w:pStyle w:val="Heading4"/>
      </w:pPr>
      <w:r>
        <w:t>Australian Government</w:t>
      </w:r>
    </w:p>
    <w:p w:rsidR="008F3DBC" w:rsidRPr="0075104E" w:rsidRDefault="000C17BA" w:rsidP="00165709">
      <w:pPr>
        <w:pStyle w:val="BodyText"/>
      </w:pPr>
      <w:r w:rsidRPr="00B73A74">
        <w:t xml:space="preserve">The primary role of the </w:t>
      </w:r>
      <w:r w:rsidRPr="00933B0E">
        <w:t>Australian</w:t>
      </w:r>
      <w:r w:rsidRPr="00B73A74">
        <w:t xml:space="preserve"> Government is to support the development, through State and Territory governments, of a national emergency management capability.</w:t>
      </w:r>
      <w:r>
        <w:t xml:space="preserve"> </w:t>
      </w:r>
      <w:r w:rsidR="008F3DBC">
        <w:t xml:space="preserve">Australian Government </w:t>
      </w:r>
      <w:r w:rsidR="000B2B8E">
        <w:t>assistance</w:t>
      </w:r>
      <w:r>
        <w:t xml:space="preserve"> </w:t>
      </w:r>
      <w:r w:rsidR="00A67AB9" w:rsidRPr="00E50D31">
        <w:t xml:space="preserve">includes financial assistance for natural disaster resilience, mitigation </w:t>
      </w:r>
      <w:r w:rsidR="00A67AB9" w:rsidRPr="00E50D31">
        <w:lastRenderedPageBreak/>
        <w:t>and preparedness</w:t>
      </w:r>
      <w:r w:rsidR="00B403ED">
        <w:t>,</w:t>
      </w:r>
      <w:r w:rsidR="00A67AB9" w:rsidRPr="00E50D31">
        <w:t xml:space="preserve"> and support for emergency relief and community recovery</w:t>
      </w:r>
      <w:r w:rsidR="008D244F" w:rsidRPr="00E50D31">
        <w:t>. State</w:t>
      </w:r>
      <w:r w:rsidR="008D244F">
        <w:t xml:space="preserve"> and Territory governments </w:t>
      </w:r>
      <w:r w:rsidR="003C22C7">
        <w:t>can</w:t>
      </w:r>
      <w:r w:rsidR="008D244F">
        <w:t xml:space="preserve"> also seek non</w:t>
      </w:r>
      <w:r w:rsidR="008D244F">
        <w:noBreakHyphen/>
        <w:t xml:space="preserve">financial assistance </w:t>
      </w:r>
      <w:r w:rsidR="008D244F" w:rsidRPr="001037DA">
        <w:t>for response and recovery activities</w:t>
      </w:r>
      <w:r w:rsidR="00202A3A">
        <w:t xml:space="preserve"> </w:t>
      </w:r>
      <w:r w:rsidR="00B403ED">
        <w:t>(</w:t>
      </w:r>
      <w:r w:rsidR="00202A3A">
        <w:t>for example, the Department of Defence can provide personnel, equipment and expertise to assist in the civil response to an emergency event</w:t>
      </w:r>
      <w:r w:rsidR="00B403ED">
        <w:t>)</w:t>
      </w:r>
      <w:r w:rsidR="00202A3A">
        <w:t>.</w:t>
      </w:r>
    </w:p>
    <w:p w:rsidR="008F3DBC" w:rsidRPr="006A3B23" w:rsidRDefault="008F3DBC" w:rsidP="006A3B23">
      <w:pPr>
        <w:pStyle w:val="BodyText"/>
      </w:pPr>
      <w:r w:rsidRPr="00B73A74">
        <w:t xml:space="preserve">Australian Government </w:t>
      </w:r>
      <w:r w:rsidR="000C17BA" w:rsidRPr="00B73A74">
        <w:t xml:space="preserve">agencies </w:t>
      </w:r>
      <w:r w:rsidRPr="00B73A74">
        <w:t xml:space="preserve">also </w:t>
      </w:r>
      <w:r w:rsidR="000C17BA" w:rsidRPr="00B73A74">
        <w:t>have</w:t>
      </w:r>
      <w:r w:rsidRPr="00B73A74">
        <w:t xml:space="preserve"> specific emergency management responsibilities</w:t>
      </w:r>
      <w:r>
        <w:t>, including: the control of exotic animal and plant diseases; aviation and maritime search and rescue; the management of major marine pollution</w:t>
      </w:r>
      <w:r w:rsidR="0083205B">
        <w:t xml:space="preserve"> (beyond coastal waters);</w:t>
      </w:r>
      <w:r>
        <w:t xml:space="preserve"> </w:t>
      </w:r>
      <w:r w:rsidR="0083205B">
        <w:t xml:space="preserve">the prediction of </w:t>
      </w:r>
      <w:r>
        <w:t>meteorological and geological hazards; the provision of firefighting services at some airports and some defence installations; human quarantine; and research</w:t>
      </w:r>
      <w:r w:rsidR="008D244F">
        <w:t>, reporting</w:t>
      </w:r>
      <w:r>
        <w:t xml:space="preserve"> and development. The </w:t>
      </w:r>
      <w:r w:rsidRPr="004C6F87">
        <w:t xml:space="preserve">Australian Government also </w:t>
      </w:r>
      <w:r w:rsidR="000C17BA" w:rsidRPr="004C6F87">
        <w:t>manages</w:t>
      </w:r>
      <w:r w:rsidRPr="004C6F87">
        <w:t xml:space="preserve"> the Crisis Coordination Centre, which</w:t>
      </w:r>
      <w:r w:rsidR="000B2B8E" w:rsidRPr="004C6F87">
        <w:t xml:space="preserve"> maintains</w:t>
      </w:r>
      <w:r w:rsidR="00A74071" w:rsidRPr="004C6F87">
        <w:t xml:space="preserve"> </w:t>
      </w:r>
      <w:r w:rsidRPr="004C6F87">
        <w:t>a 24</w:t>
      </w:r>
      <w:r w:rsidR="000B2B8E" w:rsidRPr="004C6F87">
        <w:noBreakHyphen/>
      </w:r>
      <w:r w:rsidRPr="004C6F87">
        <w:t xml:space="preserve">hour a day situational awareness, analysis and reporting capability </w:t>
      </w:r>
      <w:r w:rsidR="00A74071" w:rsidRPr="004C6F87">
        <w:t xml:space="preserve">and </w:t>
      </w:r>
      <w:r w:rsidRPr="004C6F87">
        <w:t xml:space="preserve">an emergency </w:t>
      </w:r>
      <w:r w:rsidRPr="006A3B23">
        <w:t>management planning capability</w:t>
      </w:r>
      <w:r w:rsidR="001525FA" w:rsidRPr="006A3B23">
        <w:t>.</w:t>
      </w:r>
    </w:p>
    <w:p w:rsidR="008F3DBC" w:rsidRDefault="008F3DBC" w:rsidP="00F3441C">
      <w:pPr>
        <w:pStyle w:val="Heading4"/>
      </w:pPr>
      <w:r>
        <w:t>Local governments</w:t>
      </w:r>
    </w:p>
    <w:p w:rsidR="00C57A4C" w:rsidRPr="00E50D31" w:rsidRDefault="001400E5" w:rsidP="00C57A4C">
      <w:pPr>
        <w:pStyle w:val="BodyText"/>
      </w:pPr>
      <w:r w:rsidRPr="00E50D31">
        <w:t>Local governments have specific emergency management responsibilities</w:t>
      </w:r>
      <w:r w:rsidR="00317C39" w:rsidRPr="00E50D31">
        <w:t xml:space="preserve"> </w:t>
      </w:r>
      <w:r w:rsidRPr="00E50D31">
        <w:t>in contributing to a range of measures</w:t>
      </w:r>
      <w:r w:rsidR="00C57A4C" w:rsidRPr="00E50D31">
        <w:t xml:space="preserve"> </w:t>
      </w:r>
      <w:r w:rsidRPr="00E50D31">
        <w:t>to manage risks to their communities and the environment and in coordinating community</w:t>
      </w:r>
      <w:r w:rsidR="00C57A4C" w:rsidRPr="00E50D31">
        <w:t xml:space="preserve"> </w:t>
      </w:r>
      <w:r w:rsidRPr="00E50D31">
        <w:t>resources and capabilities in responding to emergencies</w:t>
      </w:r>
      <w:r w:rsidR="00C57A4C" w:rsidRPr="00E50D31">
        <w:t>.</w:t>
      </w:r>
    </w:p>
    <w:p w:rsidR="008F3DBC" w:rsidRDefault="008F3DBC" w:rsidP="00E51C44">
      <w:pPr>
        <w:pStyle w:val="Heading3"/>
      </w:pPr>
      <w:r>
        <w:t>Profile of the emergency management sector</w:t>
      </w:r>
    </w:p>
    <w:p w:rsidR="00DE2D11" w:rsidRDefault="00DE2D11" w:rsidP="00DE2D11">
      <w:pPr>
        <w:pStyle w:val="BodyText"/>
      </w:pPr>
      <w:r>
        <w:t xml:space="preserve">Detailed profiles for </w:t>
      </w:r>
      <w:r w:rsidR="006D035B">
        <w:t xml:space="preserve">emergency services for </w:t>
      </w:r>
      <w:r w:rsidR="0087392E">
        <w:t>fire</w:t>
      </w:r>
      <w:r>
        <w:t xml:space="preserve"> events </w:t>
      </w:r>
      <w:r w:rsidR="0087392E">
        <w:t xml:space="preserve">and ambulance </w:t>
      </w:r>
      <w:r w:rsidR="006D035B">
        <w:t>services</w:t>
      </w:r>
      <w:r w:rsidR="0087392E">
        <w:t xml:space="preserve"> </w:t>
      </w:r>
      <w:r w:rsidR="00D9267F">
        <w:t xml:space="preserve">within </w:t>
      </w:r>
      <w:r>
        <w:t>the emergency management sector are reported in chapter</w:t>
      </w:r>
      <w:r w:rsidR="001525FA">
        <w:t> </w:t>
      </w:r>
      <w:r>
        <w:t>9</w:t>
      </w:r>
      <w:r w:rsidR="006D035B">
        <w:t xml:space="preserve"> and chapter 11 respectively</w:t>
      </w:r>
      <w:r w:rsidR="00EF3528">
        <w:t xml:space="preserve">. </w:t>
      </w:r>
      <w:r w:rsidR="00B403ED">
        <w:t>Descriptive statistics</w:t>
      </w:r>
      <w:r w:rsidRPr="00372995">
        <w:t xml:space="preserve"> for </w:t>
      </w:r>
      <w:r w:rsidR="00D135C1">
        <w:t>SES</w:t>
      </w:r>
      <w:r w:rsidR="001971BE">
        <w:t xml:space="preserve"> organisations </w:t>
      </w:r>
      <w:r w:rsidRPr="00372995">
        <w:t xml:space="preserve">are presented in </w:t>
      </w:r>
      <w:r w:rsidRPr="00473C03">
        <w:t>tables DA.</w:t>
      </w:r>
      <w:r w:rsidR="001971BE">
        <w:t>1</w:t>
      </w:r>
      <w:r w:rsidR="00343BD9">
        <w:t>4</w:t>
      </w:r>
      <w:r w:rsidRPr="00473C03">
        <w:t>–DA.</w:t>
      </w:r>
      <w:r w:rsidR="001971BE">
        <w:t>1</w:t>
      </w:r>
      <w:r w:rsidR="00343BD9">
        <w:t>9</w:t>
      </w:r>
      <w:r w:rsidRPr="00473C03">
        <w:t>.</w:t>
      </w:r>
    </w:p>
    <w:p w:rsidR="00D86B1C" w:rsidRDefault="00EC3DB0" w:rsidP="00F3441C">
      <w:pPr>
        <w:pStyle w:val="Heading4"/>
      </w:pPr>
      <w:r>
        <w:t>E</w:t>
      </w:r>
      <w:r w:rsidR="00235EBB">
        <w:t xml:space="preserve">mergency service organisation </w:t>
      </w:r>
      <w:r w:rsidR="002D5431">
        <w:t>costs</w:t>
      </w:r>
    </w:p>
    <w:p w:rsidR="000B2B8E" w:rsidRPr="00DA590F" w:rsidRDefault="009A4538" w:rsidP="009A4538">
      <w:pPr>
        <w:pStyle w:val="BodyText"/>
        <w:rPr>
          <w:color w:val="000000" w:themeColor="text1"/>
        </w:rPr>
      </w:pPr>
      <w:r w:rsidRPr="00DA590F">
        <w:rPr>
          <w:color w:val="000000" w:themeColor="text1"/>
        </w:rPr>
        <w:t xml:space="preserve">Nationally in </w:t>
      </w:r>
      <w:sdt>
        <w:sdtPr>
          <w:rPr>
            <w:color w:val="000000" w:themeColor="text1"/>
          </w:rPr>
          <w:alias w:val="Publish Date"/>
          <w:tag w:val=""/>
          <w:id w:val="1641995176"/>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547D71" w:rsidRPr="00DA590F">
            <w:rPr>
              <w:color w:val="000000" w:themeColor="text1"/>
            </w:rPr>
            <w:t>201</w:t>
          </w:r>
          <w:r w:rsidR="00A45D46" w:rsidRPr="00DA590F">
            <w:rPr>
              <w:color w:val="000000" w:themeColor="text1"/>
            </w:rPr>
            <w:t>5</w:t>
          </w:r>
          <w:r w:rsidR="00547D71" w:rsidRPr="00DA590F">
            <w:rPr>
              <w:color w:val="000000" w:themeColor="text1"/>
            </w:rPr>
            <w:t>-1</w:t>
          </w:r>
          <w:r w:rsidR="00A45D46" w:rsidRPr="00DA590F">
            <w:rPr>
              <w:color w:val="000000" w:themeColor="text1"/>
            </w:rPr>
            <w:t>6</w:t>
          </w:r>
        </w:sdtContent>
      </w:sdt>
      <w:r w:rsidR="000B2B8E" w:rsidRPr="00DA590F">
        <w:rPr>
          <w:color w:val="000000" w:themeColor="text1"/>
        </w:rPr>
        <w:t xml:space="preserve">, total expenditure across </w:t>
      </w:r>
      <w:r w:rsidRPr="00DA590F">
        <w:rPr>
          <w:color w:val="000000" w:themeColor="text1"/>
        </w:rPr>
        <w:t xml:space="preserve">ambulance, fire and emergency service </w:t>
      </w:r>
      <w:r w:rsidR="000B2B8E" w:rsidRPr="00DA590F">
        <w:rPr>
          <w:color w:val="000000" w:themeColor="text1"/>
        </w:rPr>
        <w:t xml:space="preserve">organisations was </w:t>
      </w:r>
      <w:r w:rsidR="00AE3061" w:rsidRPr="00DA590F">
        <w:rPr>
          <w:color w:val="000000" w:themeColor="text1"/>
        </w:rPr>
        <w:t>$</w:t>
      </w:r>
      <w:r w:rsidR="009C372B" w:rsidRPr="00DA590F">
        <w:rPr>
          <w:color w:val="000000" w:themeColor="text1"/>
        </w:rPr>
        <w:t>7.</w:t>
      </w:r>
      <w:r w:rsidR="00567904" w:rsidRPr="00DA590F">
        <w:rPr>
          <w:color w:val="000000" w:themeColor="text1"/>
        </w:rPr>
        <w:t>2</w:t>
      </w:r>
      <w:r w:rsidR="009C372B" w:rsidRPr="00DA590F">
        <w:rPr>
          <w:color w:val="000000" w:themeColor="text1"/>
        </w:rPr>
        <w:t xml:space="preserve"> </w:t>
      </w:r>
      <w:r w:rsidR="00AE3061" w:rsidRPr="00DA590F">
        <w:rPr>
          <w:color w:val="000000" w:themeColor="text1"/>
        </w:rPr>
        <w:t>billion</w:t>
      </w:r>
      <w:r w:rsidRPr="00DA590F">
        <w:rPr>
          <w:color w:val="000000" w:themeColor="text1"/>
        </w:rPr>
        <w:t>, or $</w:t>
      </w:r>
      <w:r w:rsidR="00567904" w:rsidRPr="00DA590F">
        <w:rPr>
          <w:color w:val="000000" w:themeColor="text1"/>
        </w:rPr>
        <w:t>302.70</w:t>
      </w:r>
      <w:r w:rsidR="00281B71" w:rsidRPr="00DA590F">
        <w:rPr>
          <w:color w:val="000000" w:themeColor="text1"/>
        </w:rPr>
        <w:t xml:space="preserve"> </w:t>
      </w:r>
      <w:r w:rsidRPr="00DA590F">
        <w:rPr>
          <w:color w:val="000000" w:themeColor="text1"/>
        </w:rPr>
        <w:t>per person in the population</w:t>
      </w:r>
      <w:r w:rsidR="009A568B" w:rsidRPr="00DA590F">
        <w:rPr>
          <w:color w:val="000000" w:themeColor="text1"/>
        </w:rPr>
        <w:t xml:space="preserve"> </w:t>
      </w:r>
      <w:r w:rsidR="002857C0" w:rsidRPr="00DA590F">
        <w:rPr>
          <w:color w:val="000000" w:themeColor="text1"/>
        </w:rPr>
        <w:t>(figure </w:t>
      </w:r>
      <w:r w:rsidR="008B6E30" w:rsidRPr="00DA590F">
        <w:rPr>
          <w:color w:val="000000" w:themeColor="text1"/>
        </w:rPr>
        <w:t>D.1</w:t>
      </w:r>
      <w:r w:rsidR="002857C0" w:rsidRPr="00DA590F">
        <w:rPr>
          <w:color w:val="000000" w:themeColor="text1"/>
        </w:rPr>
        <w:t xml:space="preserve"> and</w:t>
      </w:r>
      <w:r w:rsidR="00281B71" w:rsidRPr="00DA590F">
        <w:rPr>
          <w:color w:val="000000" w:themeColor="text1"/>
        </w:rPr>
        <w:br/>
      </w:r>
      <w:r w:rsidR="002857C0" w:rsidRPr="00DA590F">
        <w:rPr>
          <w:color w:val="000000" w:themeColor="text1"/>
        </w:rPr>
        <w:t>table DA.</w:t>
      </w:r>
      <w:r w:rsidR="00DF037A" w:rsidRPr="00DA590F">
        <w:rPr>
          <w:color w:val="000000" w:themeColor="text1"/>
        </w:rPr>
        <w:t>3</w:t>
      </w:r>
      <w:r w:rsidR="002857C0" w:rsidRPr="00DA590F">
        <w:rPr>
          <w:color w:val="000000" w:themeColor="text1"/>
        </w:rPr>
        <w:t>)</w:t>
      </w:r>
      <w:r w:rsidR="006C2AD5" w:rsidRPr="00DA590F">
        <w:rPr>
          <w:color w:val="000000" w:themeColor="text1"/>
        </w:rPr>
        <w:t>.</w:t>
      </w:r>
    </w:p>
    <w:p w:rsidR="00B403ED" w:rsidRPr="00DA590F" w:rsidRDefault="00B403ED" w:rsidP="009A4538">
      <w:pPr>
        <w:pStyle w:val="BodyText"/>
        <w:rPr>
          <w:color w:val="000000" w:themeColor="text1"/>
        </w:rPr>
      </w:pPr>
      <w:r w:rsidRPr="00DA590F">
        <w:rPr>
          <w:color w:val="000000" w:themeColor="text1"/>
        </w:rPr>
        <w:t>A range of other government agencies, such as police and health services, also fund emergency management (section D.3). In addition, governments also incur costs for government disaster coordination agencies and volunteer marine rescue and lifesaving organisations (these costs are not available for this Report).</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7078F7">
        <w:tc>
          <w:tcPr>
            <w:tcW w:w="8771" w:type="dxa"/>
            <w:tcBorders>
              <w:top w:val="single" w:sz="6" w:space="0" w:color="78A22F"/>
              <w:left w:val="nil"/>
              <w:bottom w:val="nil"/>
              <w:right w:val="nil"/>
            </w:tcBorders>
            <w:shd w:val="clear" w:color="auto" w:fill="auto"/>
          </w:tcPr>
          <w:p w:rsidR="00E54790" w:rsidRPr="00176D3F" w:rsidRDefault="00E54790" w:rsidP="00E24702">
            <w:pPr>
              <w:pStyle w:val="FigureTitle"/>
            </w:pPr>
            <w:r w:rsidRPr="00DA590F">
              <w:rPr>
                <w:b w:val="0"/>
                <w:color w:val="000000" w:themeColor="text1"/>
              </w:rPr>
              <w:t xml:space="preserve">Figure </w:t>
            </w:r>
            <w:bookmarkStart w:id="7" w:name="OLE_LINK2"/>
            <w:proofErr w:type="spellStart"/>
            <w:r w:rsidR="008B6E30" w:rsidRPr="00DA590F">
              <w:rPr>
                <w:b w:val="0"/>
                <w:color w:val="000000" w:themeColor="text1"/>
              </w:rPr>
              <w:t>D.</w:t>
            </w:r>
            <w:r w:rsidR="00642BBB">
              <w:rPr>
                <w:b w:val="0"/>
                <w:noProof/>
                <w:color w:val="000000" w:themeColor="text1"/>
              </w:rPr>
              <w:t>1</w:t>
            </w:r>
            <w:bookmarkEnd w:id="7"/>
            <w:proofErr w:type="spellEnd"/>
            <w:r w:rsidRPr="00DA590F">
              <w:rPr>
                <w:color w:val="000000" w:themeColor="text1"/>
              </w:rPr>
              <w:tab/>
              <w:t>Expenditure of emergency service organisations,</w:t>
            </w:r>
            <w:r w:rsidR="00EA764F" w:rsidRPr="00DA590F">
              <w:rPr>
                <w:color w:val="000000" w:themeColor="text1"/>
              </w:rPr>
              <w:t xml:space="preserve"> per person in the population</w:t>
            </w:r>
            <w:r w:rsidRPr="00DA590F">
              <w:rPr>
                <w:color w:val="000000" w:themeColor="text1"/>
              </w:rPr>
              <w:t xml:space="preserve"> </w:t>
            </w:r>
            <w:sdt>
              <w:sdtPr>
                <w:rPr>
                  <w:color w:val="000000" w:themeColor="text1"/>
                </w:rPr>
                <w:alias w:val="Publish Date"/>
                <w:tag w:val=""/>
                <w:id w:val="-1397586451"/>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A45D46" w:rsidRPr="00DA590F">
                  <w:rPr>
                    <w:color w:val="000000" w:themeColor="text1"/>
                  </w:rPr>
                  <w:t>2015-16</w:t>
                </w:r>
              </w:sdtContent>
            </w:sdt>
            <w:r w:rsidR="00D2678F" w:rsidRPr="00DA590F">
              <w:rPr>
                <w:color w:val="000000" w:themeColor="text1"/>
                <w:vertAlign w:val="superscript"/>
              </w:rPr>
              <w:t>a</w:t>
            </w:r>
          </w:p>
        </w:tc>
      </w:tr>
      <w:tr w:rsidR="00E54790" w:rsidTr="007078F7">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25579C" w:rsidRPr="006316A5" w:rsidRDefault="00337A16" w:rsidP="006316A5">
                  <w:pPr>
                    <w:pStyle w:val="Figure"/>
                  </w:pPr>
                  <w:r>
                    <w:rPr>
                      <w:noProof/>
                    </w:rPr>
                    <w:drawing>
                      <wp:inline distT="0" distB="0" distL="0" distR="0" wp14:anchorId="4D2D7E01" wp14:editId="6547CC92">
                        <wp:extent cx="5391150" cy="2876550"/>
                        <wp:effectExtent l="0" t="0" r="0" b="0"/>
                        <wp:docPr id="2" name="Picture 2" descr="Figure D.1 Expenditure of emergency service organisations, per person in the population,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7078F7">
        <w:tc>
          <w:tcPr>
            <w:tcW w:w="8771" w:type="dxa"/>
            <w:tcBorders>
              <w:top w:val="nil"/>
              <w:left w:val="nil"/>
              <w:bottom w:val="nil"/>
              <w:right w:val="nil"/>
            </w:tcBorders>
            <w:shd w:val="clear" w:color="auto" w:fill="auto"/>
          </w:tcPr>
          <w:p w:rsidR="00E54790" w:rsidRPr="00176D3F" w:rsidRDefault="00E54790" w:rsidP="004847BE">
            <w:pPr>
              <w:pStyle w:val="Note"/>
            </w:pPr>
            <w:r w:rsidRPr="00DB5302">
              <w:rPr>
                <w:rStyle w:val="NoteLabel"/>
                <w:position w:val="0"/>
              </w:rPr>
              <w:t>ASO</w:t>
            </w:r>
            <w:r w:rsidRPr="00DB5302">
              <w:rPr>
                <w:rStyle w:val="NoteLabel"/>
                <w:b w:val="0"/>
                <w:position w:val="0"/>
              </w:rPr>
              <w:t xml:space="preserve"> =</w:t>
            </w:r>
            <w:r w:rsidR="0050635D">
              <w:rPr>
                <w:rStyle w:val="NoteLabel"/>
                <w:b w:val="0"/>
                <w:position w:val="0"/>
              </w:rPr>
              <w:t xml:space="preserve"> Ambulance service organisation; </w:t>
            </w:r>
            <w:r w:rsidR="0050635D" w:rsidRPr="00DB5302">
              <w:rPr>
                <w:rStyle w:val="NoteLabel"/>
                <w:position w:val="0"/>
              </w:rPr>
              <w:t>FSO</w:t>
            </w:r>
            <w:r w:rsidR="0050635D" w:rsidRPr="00DB5302">
              <w:rPr>
                <w:rStyle w:val="NoteLabel"/>
                <w:b w:val="0"/>
                <w:position w:val="0"/>
              </w:rPr>
              <w:t xml:space="preserve"> = Fire service organisation</w:t>
            </w:r>
            <w:r w:rsidR="0050635D">
              <w:rPr>
                <w:rStyle w:val="NoteLabel"/>
                <w:b w:val="0"/>
                <w:position w:val="0"/>
              </w:rPr>
              <w:t xml:space="preserve">; </w:t>
            </w:r>
            <w:r w:rsidR="0050635D" w:rsidRPr="00DB5302">
              <w:rPr>
                <w:rStyle w:val="NoteLabel"/>
                <w:position w:val="0"/>
              </w:rPr>
              <w:t>SES</w:t>
            </w:r>
            <w:r w:rsidR="0050635D" w:rsidRPr="00DB5302">
              <w:rPr>
                <w:rStyle w:val="NoteLabel"/>
                <w:b w:val="0"/>
                <w:position w:val="0"/>
              </w:rPr>
              <w:t xml:space="preserve"> = State/Territory emergency service organisation</w:t>
            </w:r>
            <w:r w:rsidR="0050635D">
              <w:rPr>
                <w:rStyle w:val="NoteLabel"/>
                <w:b w:val="0"/>
                <w:position w:val="0"/>
              </w:rPr>
              <w:t>.</w:t>
            </w:r>
            <w:r w:rsidR="004847BE">
              <w:rPr>
                <w:rStyle w:val="NoteLabel"/>
                <w:b w:val="0"/>
                <w:position w:val="0"/>
              </w:rPr>
              <w:t xml:space="preserve"> </w:t>
            </w:r>
            <w:r w:rsidRPr="00B73A74">
              <w:rPr>
                <w:rStyle w:val="NoteLabel"/>
              </w:rPr>
              <w:t>a</w:t>
            </w:r>
            <w:r w:rsidR="00D2678F">
              <w:t> See table DA.3 for detailed footnotes and caveats.</w:t>
            </w:r>
          </w:p>
        </w:tc>
      </w:tr>
      <w:tr w:rsidR="00E54790" w:rsidRPr="00176D3F" w:rsidTr="007078F7">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t>: State and Territory governments</w:t>
            </w:r>
            <w:r w:rsidR="003C22C7">
              <w:t xml:space="preserve"> (unpublished)</w:t>
            </w:r>
            <w:r>
              <w:t>; table DA.3.</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AA3F9A" w:rsidRDefault="00235EBB" w:rsidP="008B6D78">
      <w:pPr>
        <w:pStyle w:val="Heading4"/>
      </w:pPr>
      <w:r>
        <w:t>Funding emergency service organisation</w:t>
      </w:r>
      <w:r w:rsidR="000C17BA">
        <w:t>s</w:t>
      </w:r>
      <w:r>
        <w:t xml:space="preserve"> </w:t>
      </w:r>
    </w:p>
    <w:p w:rsidR="008B6D78" w:rsidRPr="00E073EA" w:rsidRDefault="001755E9" w:rsidP="008B6D78">
      <w:pPr>
        <w:pStyle w:val="BodyText"/>
      </w:pPr>
      <w:r>
        <w:t>F</w:t>
      </w:r>
      <w:r w:rsidR="008B6D78" w:rsidRPr="00E073EA">
        <w:t xml:space="preserve">unding of </w:t>
      </w:r>
      <w:r w:rsidR="008B6D78" w:rsidRPr="00A05A09">
        <w:t>emergency services organisation</w:t>
      </w:r>
      <w:r w:rsidR="008B6D78">
        <w:t>s</w:t>
      </w:r>
      <w:r w:rsidR="008B6D78" w:rsidRPr="00E073EA">
        <w:t xml:space="preserve"> varies by service and jurisdiction (</w:t>
      </w:r>
      <w:r w:rsidR="008B6D78">
        <w:t>figure</w:t>
      </w:r>
      <w:r w:rsidR="008B6D78" w:rsidRPr="00E073EA">
        <w:t> </w:t>
      </w:r>
      <w:r w:rsidR="008B6D78">
        <w:t>D.2</w:t>
      </w:r>
      <w:r w:rsidR="008B6D78" w:rsidRPr="00E073EA">
        <w:t>)</w:t>
      </w:r>
      <w:r>
        <w:t xml:space="preserve"> and</w:t>
      </w:r>
      <w:r w:rsidR="008B6D78">
        <w:t xml:space="preserve"> </w:t>
      </w:r>
      <w:r w:rsidR="008B6D78" w:rsidRPr="00E073EA">
        <w:t xml:space="preserve">occurs </w:t>
      </w:r>
      <w:r w:rsidR="008B6D78">
        <w:t>through</w:t>
      </w:r>
      <w:r w:rsidR="008B6D78" w:rsidRPr="00E073EA">
        <w:t xml:space="preserve"> a mix of</w:t>
      </w:r>
      <w:r w:rsidR="00D96123">
        <w:t>:</w:t>
      </w:r>
    </w:p>
    <w:p w:rsidR="008B6D78" w:rsidRPr="007852DC" w:rsidRDefault="008B6D78" w:rsidP="007852DC">
      <w:pPr>
        <w:pStyle w:val="ListBullet"/>
      </w:pPr>
      <w:r w:rsidRPr="007852DC">
        <w:t>State and Territory governments grants</w:t>
      </w:r>
      <w:r w:rsidR="00B403ED" w:rsidRPr="007852DC">
        <w:t xml:space="preserve">, </w:t>
      </w:r>
      <w:r w:rsidRPr="007852DC">
        <w:t xml:space="preserve"> </w:t>
      </w:r>
    </w:p>
    <w:p w:rsidR="008B6D78" w:rsidRPr="007852DC" w:rsidRDefault="008B6D78" w:rsidP="007852DC">
      <w:pPr>
        <w:pStyle w:val="ListBullet"/>
      </w:pPr>
      <w:r w:rsidRPr="007852DC">
        <w:t>fire and emergency service levies</w:t>
      </w:r>
      <w:r w:rsidR="00B403ED" w:rsidRPr="007852DC">
        <w:t xml:space="preserve">, </w:t>
      </w:r>
      <w:r w:rsidRPr="007852DC">
        <w:t xml:space="preserve"> </w:t>
      </w:r>
    </w:p>
    <w:p w:rsidR="004A1791" w:rsidRPr="007852DC" w:rsidRDefault="008B6D78" w:rsidP="007852DC">
      <w:pPr>
        <w:pStyle w:val="ListBullet"/>
      </w:pPr>
      <w:r w:rsidRPr="007852DC">
        <w:t xml:space="preserve">ambulance user/transport charges </w:t>
      </w:r>
      <w:r w:rsidR="00B403ED" w:rsidRPr="007852DC">
        <w:t xml:space="preserve">and </w:t>
      </w:r>
    </w:p>
    <w:p w:rsidR="008B6D78" w:rsidRPr="007852DC" w:rsidRDefault="008B6D78" w:rsidP="007852DC">
      <w:pPr>
        <w:pStyle w:val="ListBullet"/>
      </w:pPr>
      <w:r w:rsidRPr="007852DC">
        <w:t>subscriptions and other revenue.</w:t>
      </w:r>
    </w:p>
    <w:p w:rsidR="00550829" w:rsidRDefault="00550829">
      <w:pPr>
        <w:rPr>
          <w:szCs w:val="20"/>
        </w:rPr>
      </w:pPr>
      <w:r>
        <w:br w:type="page"/>
      </w:r>
    </w:p>
    <w:p w:rsidR="004E5AA4" w:rsidRDefault="004E5AA4" w:rsidP="00F171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E5AA4" w:rsidTr="007078F7">
        <w:trPr>
          <w:tblHeader/>
        </w:trPr>
        <w:tc>
          <w:tcPr>
            <w:tcW w:w="8771" w:type="dxa"/>
            <w:tcBorders>
              <w:top w:val="single" w:sz="6" w:space="0" w:color="78A22F"/>
              <w:left w:val="nil"/>
              <w:bottom w:val="nil"/>
              <w:right w:val="nil"/>
            </w:tcBorders>
            <w:shd w:val="clear" w:color="auto" w:fill="auto"/>
          </w:tcPr>
          <w:p w:rsidR="004E5AA4" w:rsidRPr="00176D3F" w:rsidRDefault="004E5AA4" w:rsidP="004E5AA4">
            <w:pPr>
              <w:pStyle w:val="FigureTitle"/>
            </w:pPr>
            <w:r w:rsidRPr="00784A05">
              <w:rPr>
                <w:b w:val="0"/>
              </w:rPr>
              <w:t xml:space="preserve">Figure </w:t>
            </w:r>
            <w:proofErr w:type="spellStart"/>
            <w:r>
              <w:rPr>
                <w:b w:val="0"/>
              </w:rPr>
              <w:t>D.</w:t>
            </w:r>
            <w:r w:rsidR="00642BBB">
              <w:rPr>
                <w:b w:val="0"/>
                <w:noProof/>
              </w:rPr>
              <w:t>2</w:t>
            </w:r>
            <w:proofErr w:type="spellEnd"/>
            <w:r>
              <w:tab/>
              <w:t>E</w:t>
            </w:r>
            <w:r w:rsidRPr="00547C6E">
              <w:t>mergency service organisations</w:t>
            </w:r>
            <w:r>
              <w:t xml:space="preserve"> funding sources, </w:t>
            </w:r>
            <w:r>
              <w:br/>
            </w:r>
            <w:sdt>
              <w:sdtPr>
                <w:alias w:val="Publish Date"/>
                <w:tag w:val=""/>
                <w:id w:val="-2084434244"/>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t>2015-16</w:t>
                </w:r>
              </w:sdtContent>
            </w:sdt>
            <w:r w:rsidRPr="006179CF">
              <w:rPr>
                <w:vertAlign w:val="superscript"/>
              </w:rPr>
              <w:t>a</w:t>
            </w:r>
            <w:r>
              <w:rPr>
                <w:vertAlign w:val="superscript"/>
              </w:rPr>
              <w:t>, b</w:t>
            </w:r>
          </w:p>
        </w:tc>
      </w:tr>
      <w:tr w:rsidR="004E5AA4" w:rsidTr="00F171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4E5AA4" w:rsidRPr="00B1465D" w:rsidTr="00F1717E">
              <w:trPr>
                <w:tblHeader/>
                <w:jc w:val="center"/>
              </w:trPr>
              <w:tc>
                <w:tcPr>
                  <w:tcW w:w="5000" w:type="pct"/>
                  <w:tcBorders>
                    <w:top w:val="nil"/>
                    <w:bottom w:val="nil"/>
                  </w:tcBorders>
                </w:tcPr>
                <w:p w:rsidR="004E5AA4" w:rsidRPr="00DD2056" w:rsidRDefault="00337A16" w:rsidP="00DD2056">
                  <w:pPr>
                    <w:pStyle w:val="Figure"/>
                  </w:pPr>
                  <w:r>
                    <w:rPr>
                      <w:noProof/>
                    </w:rPr>
                    <w:drawing>
                      <wp:inline distT="0" distB="0" distL="0" distR="0" wp14:anchorId="0E7FDF93" wp14:editId="5AB0B868">
                        <wp:extent cx="5353050" cy="2686050"/>
                        <wp:effectExtent l="0" t="0" r="0" b="0"/>
                        <wp:docPr id="3" name="Picture 3" descr="Figure D.2 Emergency service organisations funding source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3050" cy="2686050"/>
                                </a:xfrm>
                                <a:prstGeom prst="rect">
                                  <a:avLst/>
                                </a:prstGeom>
                                <a:noFill/>
                                <a:ln>
                                  <a:noFill/>
                                </a:ln>
                              </pic:spPr>
                            </pic:pic>
                          </a:graphicData>
                        </a:graphic>
                      </wp:inline>
                    </w:drawing>
                  </w:r>
                </w:p>
              </w:tc>
            </w:tr>
          </w:tbl>
          <w:p w:rsidR="004E5AA4" w:rsidRDefault="004E5AA4" w:rsidP="00F1717E">
            <w:pPr>
              <w:pStyle w:val="Figure"/>
            </w:pPr>
          </w:p>
        </w:tc>
      </w:tr>
      <w:tr w:rsidR="004E5AA4" w:rsidRPr="00176D3F" w:rsidTr="00F1717E">
        <w:tc>
          <w:tcPr>
            <w:tcW w:w="8771" w:type="dxa"/>
            <w:tcBorders>
              <w:top w:val="nil"/>
              <w:left w:val="nil"/>
              <w:bottom w:val="nil"/>
              <w:right w:val="nil"/>
            </w:tcBorders>
            <w:shd w:val="clear" w:color="auto" w:fill="auto"/>
          </w:tcPr>
          <w:p w:rsidR="004E5AA4" w:rsidRPr="00176D3F" w:rsidRDefault="004E5AA4" w:rsidP="00F1717E">
            <w:pPr>
              <w:pStyle w:val="Note"/>
            </w:pPr>
            <w:r>
              <w:rPr>
                <w:rStyle w:val="NoteLabel"/>
              </w:rPr>
              <w:t>a</w:t>
            </w:r>
            <w:r>
              <w:t> </w:t>
            </w:r>
            <w:r w:rsidRPr="00204737">
              <w:t>See table DA.</w:t>
            </w:r>
            <w:r>
              <w:t>2</w:t>
            </w:r>
            <w:r w:rsidRPr="00204737">
              <w:t xml:space="preserve"> for detailed footnotes and caveats</w:t>
            </w:r>
            <w:r>
              <w:t xml:space="preserve">. </w:t>
            </w:r>
            <w:r>
              <w:rPr>
                <w:rStyle w:val="NoteLabel"/>
              </w:rPr>
              <w:t>b</w:t>
            </w:r>
            <w:r w:rsidRPr="00A132DB">
              <w:t xml:space="preserve"> Total levies in </w:t>
            </w:r>
            <w:r>
              <w:t xml:space="preserve">the </w:t>
            </w:r>
            <w:r w:rsidRPr="00A132DB">
              <w:t>ACT and the NT are nil.</w:t>
            </w:r>
          </w:p>
        </w:tc>
      </w:tr>
      <w:tr w:rsidR="004E5AA4" w:rsidRPr="00176D3F" w:rsidTr="00F1717E">
        <w:tc>
          <w:tcPr>
            <w:tcW w:w="8771" w:type="dxa"/>
            <w:tcBorders>
              <w:top w:val="nil"/>
              <w:left w:val="nil"/>
              <w:bottom w:val="nil"/>
              <w:right w:val="nil"/>
            </w:tcBorders>
            <w:shd w:val="clear" w:color="auto" w:fill="auto"/>
          </w:tcPr>
          <w:p w:rsidR="004E5AA4" w:rsidRPr="00176D3F" w:rsidRDefault="004E5AA4" w:rsidP="00F1717E">
            <w:pPr>
              <w:pStyle w:val="Source"/>
            </w:pPr>
            <w:r>
              <w:rPr>
                <w:i/>
              </w:rPr>
              <w:t>Source</w:t>
            </w:r>
            <w:r>
              <w:t>: State and Territory governments (unpublished); table DA.2.</w:t>
            </w:r>
          </w:p>
        </w:tc>
      </w:tr>
      <w:tr w:rsidR="004E5AA4" w:rsidTr="00F1717E">
        <w:tc>
          <w:tcPr>
            <w:tcW w:w="8771" w:type="dxa"/>
            <w:tcBorders>
              <w:top w:val="nil"/>
              <w:left w:val="nil"/>
              <w:bottom w:val="single" w:sz="6" w:space="0" w:color="78A22F"/>
              <w:right w:val="nil"/>
            </w:tcBorders>
            <w:shd w:val="clear" w:color="auto" w:fill="auto"/>
          </w:tcPr>
          <w:p w:rsidR="004E5AA4" w:rsidRDefault="004E5AA4" w:rsidP="00F1717E">
            <w:pPr>
              <w:pStyle w:val="Figurespace"/>
            </w:pPr>
          </w:p>
        </w:tc>
      </w:tr>
      <w:tr w:rsidR="004E5AA4" w:rsidRPr="000863A5" w:rsidTr="00F1717E">
        <w:tc>
          <w:tcPr>
            <w:tcW w:w="8771" w:type="dxa"/>
            <w:tcBorders>
              <w:top w:val="single" w:sz="6" w:space="0" w:color="78A22F"/>
              <w:left w:val="nil"/>
              <w:bottom w:val="nil"/>
              <w:right w:val="nil"/>
            </w:tcBorders>
          </w:tcPr>
          <w:p w:rsidR="004E5AA4" w:rsidRPr="00626D32" w:rsidRDefault="004E5AA4" w:rsidP="00F1717E">
            <w:pPr>
              <w:pStyle w:val="BoxSpaceBelow"/>
            </w:pPr>
          </w:p>
        </w:tc>
      </w:tr>
    </w:tbl>
    <w:p w:rsidR="00127F49" w:rsidRDefault="00191385" w:rsidP="00CA5370">
      <w:pPr>
        <w:pStyle w:val="BodyText"/>
      </w:pPr>
      <w:r w:rsidRPr="00CA5370">
        <w:t xml:space="preserve">The Australian Government provides </w:t>
      </w:r>
      <w:r w:rsidR="00385E5E" w:rsidRPr="00CA5370">
        <w:t xml:space="preserve">emergency management </w:t>
      </w:r>
      <w:r w:rsidRPr="00CA5370">
        <w:t xml:space="preserve">funding to </w:t>
      </w:r>
      <w:r w:rsidR="00A241B2" w:rsidRPr="00CA5370">
        <w:t xml:space="preserve">State </w:t>
      </w:r>
      <w:r w:rsidRPr="00CA5370">
        <w:t xml:space="preserve">and </w:t>
      </w:r>
      <w:r w:rsidR="00A241B2" w:rsidRPr="00CA5370">
        <w:t>Territory governments</w:t>
      </w:r>
      <w:r w:rsidR="00D96123">
        <w:t xml:space="preserve"> through </w:t>
      </w:r>
      <w:r w:rsidR="00FA3097" w:rsidRPr="00CA5370">
        <w:t>programs</w:t>
      </w:r>
      <w:r w:rsidR="00801024">
        <w:t xml:space="preserve"> including:</w:t>
      </w:r>
      <w:r w:rsidR="00240034">
        <w:t xml:space="preserve"> </w:t>
      </w:r>
    </w:p>
    <w:p w:rsidR="00DC11AF" w:rsidRDefault="004847BE" w:rsidP="00127F49">
      <w:pPr>
        <w:pStyle w:val="ListBullet"/>
      </w:pPr>
      <w:r w:rsidRPr="00CA5370">
        <w:t>T</w:t>
      </w:r>
      <w:r w:rsidR="00DC11AF" w:rsidRPr="00CA5370">
        <w:t xml:space="preserve">he </w:t>
      </w:r>
      <w:r w:rsidR="00DC11AF" w:rsidRPr="00CA5370">
        <w:rPr>
          <w:i/>
        </w:rPr>
        <w:t>Natural Disaster Relief and Recovery Arrangements</w:t>
      </w:r>
      <w:r w:rsidR="00DC11AF" w:rsidRPr="00CA5370">
        <w:t xml:space="preserve"> </w:t>
      </w:r>
      <w:bookmarkStart w:id="8" w:name="OLE_LINK21"/>
      <w:r w:rsidR="003F0B39" w:rsidRPr="00CA5370">
        <w:t>provide</w:t>
      </w:r>
      <w:r w:rsidR="00127F49">
        <w:t>s</w:t>
      </w:r>
      <w:r w:rsidR="00DC11AF" w:rsidRPr="00CA5370">
        <w:t xml:space="preserve"> assistance with relief and recovery efforts following an eligible natural disaster event. </w:t>
      </w:r>
      <w:bookmarkEnd w:id="8"/>
      <w:r w:rsidR="00127F49">
        <w:t xml:space="preserve">The contribution </w:t>
      </w:r>
      <w:r w:rsidR="00127F49" w:rsidRPr="00CA5370">
        <w:t>in 201</w:t>
      </w:r>
      <w:r w:rsidR="00127F49">
        <w:t>5</w:t>
      </w:r>
      <w:r w:rsidR="008C1141">
        <w:noBreakHyphen/>
      </w:r>
      <w:r w:rsidR="00127F49" w:rsidRPr="00CA5370">
        <w:t>1</w:t>
      </w:r>
      <w:r w:rsidR="00127F49">
        <w:t xml:space="preserve">6 was </w:t>
      </w:r>
      <w:r w:rsidR="00DF037A" w:rsidRPr="00CA5370">
        <w:t>$</w:t>
      </w:r>
      <w:r w:rsidR="00B20638">
        <w:t>224.1</w:t>
      </w:r>
      <w:r w:rsidR="00555317" w:rsidRPr="00CA5370">
        <w:t> </w:t>
      </w:r>
      <w:r w:rsidR="00DF037A" w:rsidRPr="00CA5370">
        <w:t>million</w:t>
      </w:r>
      <w:r w:rsidR="00851716">
        <w:t xml:space="preserve">. </w:t>
      </w:r>
      <w:r w:rsidR="00E27430" w:rsidRPr="00CA5370">
        <w:t xml:space="preserve">Allocations </w:t>
      </w:r>
      <w:r w:rsidR="003B7A0E" w:rsidRPr="00CA5370">
        <w:t>var</w:t>
      </w:r>
      <w:r w:rsidR="000C659B">
        <w:t>y</w:t>
      </w:r>
      <w:r w:rsidR="003B7A0E" w:rsidRPr="00CA5370">
        <w:t xml:space="preserve"> </w:t>
      </w:r>
      <w:r w:rsidR="003F0B39" w:rsidRPr="00CA5370">
        <w:t>across</w:t>
      </w:r>
      <w:r w:rsidR="003B7A0E" w:rsidRPr="00CA5370">
        <w:t xml:space="preserve"> jurisdictions and over time depending on the timing and nature of natur</w:t>
      </w:r>
      <w:r w:rsidR="003742CD" w:rsidRPr="00CA5370">
        <w:t>al disaster events (</w:t>
      </w:r>
      <w:r w:rsidR="00DB6777">
        <w:t>figure D.</w:t>
      </w:r>
      <w:r w:rsidR="00D75F6B">
        <w:t xml:space="preserve">3 </w:t>
      </w:r>
      <w:r w:rsidR="00DB6777">
        <w:t xml:space="preserve">and </w:t>
      </w:r>
      <w:r w:rsidR="003742CD" w:rsidRPr="00CA5370">
        <w:t>table DA.6)</w:t>
      </w:r>
      <w:r w:rsidR="00555317" w:rsidRPr="00CA5370">
        <w:t>.</w:t>
      </w:r>
    </w:p>
    <w:p w:rsidR="003C22C7" w:rsidRPr="003C22C7" w:rsidRDefault="00127F49" w:rsidP="00127F49">
      <w:pPr>
        <w:pStyle w:val="ListBullet"/>
        <w:rPr>
          <w:color w:val="000000"/>
        </w:rPr>
      </w:pPr>
      <w:r>
        <w:t>T</w:t>
      </w:r>
      <w:r w:rsidRPr="00CA1305">
        <w:t xml:space="preserve">he </w:t>
      </w:r>
      <w:r w:rsidRPr="00327F5C">
        <w:rPr>
          <w:i/>
        </w:rPr>
        <w:t>Natural Disaster Resilience Program</w:t>
      </w:r>
      <w:r>
        <w:t xml:space="preserve"> </w:t>
      </w:r>
      <w:r w:rsidRPr="00CA1305">
        <w:t>provides funding to strengthen community resilience to natural disasters.</w:t>
      </w:r>
      <w:r>
        <w:t xml:space="preserve"> In </w:t>
      </w:r>
      <w:sdt>
        <w:sdtPr>
          <w:alias w:val="Publish Date"/>
          <w:tag w:val=""/>
          <w:id w:val="517588311"/>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t>2015-16</w:t>
          </w:r>
        </w:sdtContent>
      </w:sdt>
      <w:r>
        <w:t xml:space="preserve"> funding was $13.4 million (table DA.5). </w:t>
      </w:r>
    </w:p>
    <w:p w:rsidR="00E54790" w:rsidRDefault="00E54790" w:rsidP="003C22C7">
      <w:pPr>
        <w:pStyle w:val="ListBullet"/>
        <w:numPr>
          <w:ilvl w:val="0"/>
          <w:numId w:val="0"/>
        </w:num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auto"/>
          </w:tcPr>
          <w:p w:rsidR="00E54790" w:rsidRPr="00176D3F" w:rsidRDefault="00E54790" w:rsidP="008C1141">
            <w:pPr>
              <w:pStyle w:val="FigureTitle"/>
            </w:pPr>
            <w:r w:rsidRPr="00784A05">
              <w:rPr>
                <w:b w:val="0"/>
              </w:rPr>
              <w:lastRenderedPageBreak/>
              <w:t xml:space="preserve">Figure </w:t>
            </w:r>
            <w:proofErr w:type="spellStart"/>
            <w:r w:rsidR="003C22C7">
              <w:rPr>
                <w:b w:val="0"/>
              </w:rPr>
              <w:t>D.3</w:t>
            </w:r>
            <w:proofErr w:type="spellEnd"/>
            <w:r>
              <w:tab/>
            </w:r>
            <w:r w:rsidRPr="00E8283D">
              <w:t xml:space="preserve">Natural Disaster Relief and Recovery Arrangements </w:t>
            </w:r>
            <w:r w:rsidR="008C1141">
              <w:t>assistance</w:t>
            </w:r>
            <w:r w:rsidR="008C1141" w:rsidRPr="006F77D2">
              <w:t xml:space="preserve"> </w:t>
            </w:r>
            <w:r w:rsidRPr="006F77D2">
              <w:t>(</w:t>
            </w:r>
            <w:sdt>
              <w:sdtPr>
                <w:alias w:val="Publish Date"/>
                <w:tag w:val=""/>
                <w:id w:val="589744322"/>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A45D46">
                  <w:t>2015-16</w:t>
                </w:r>
              </w:sdtContent>
            </w:sdt>
            <w:r w:rsidRPr="006F77D2">
              <w:t xml:space="preserve"> dollars)</w:t>
            </w:r>
            <w:r w:rsidR="002C6E38">
              <w:rPr>
                <w:vertAlign w:val="superscript"/>
              </w:rPr>
              <w:t>a</w:t>
            </w:r>
          </w:p>
        </w:tc>
      </w:tr>
      <w:tr w:rsidR="00E54790" w:rsidTr="00E54790">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982F34" w:rsidRDefault="00337A16" w:rsidP="007860CE">
                  <w:pPr>
                    <w:pStyle w:val="Figure"/>
                    <w:rPr>
                      <w:sz w:val="22"/>
                    </w:rPr>
                  </w:pPr>
                  <w:r>
                    <w:rPr>
                      <w:noProof/>
                      <w:sz w:val="22"/>
                    </w:rPr>
                    <w:drawing>
                      <wp:inline distT="0" distB="0" distL="0" distR="0" wp14:anchorId="489F5BDA" wp14:editId="24938D84">
                        <wp:extent cx="5286375" cy="2695575"/>
                        <wp:effectExtent l="0" t="0" r="9525" b="9525"/>
                        <wp:docPr id="4" name="Picture 4" descr="Figure D.3 Natual Disaster Relief and Recovery Arrangements assistance,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6375" cy="2695575"/>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2C6E38">
            <w:pPr>
              <w:pStyle w:val="Note"/>
            </w:pPr>
            <w:r>
              <w:rPr>
                <w:rStyle w:val="NoteLabel"/>
              </w:rPr>
              <w:t>a </w:t>
            </w:r>
            <w:r w:rsidR="002C6E38" w:rsidRPr="002C6E38">
              <w:t>See table DA.</w:t>
            </w:r>
            <w:r w:rsidR="002C6E38">
              <w:t>6</w:t>
            </w:r>
            <w:r w:rsidR="002C6E38" w:rsidRPr="002C6E38">
              <w:t xml:space="preserve"> for detailed footnotes and caveats</w:t>
            </w:r>
            <w:r w:rsidR="002C6E38">
              <w:t>.</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1014A4">
            <w:pPr>
              <w:pStyle w:val="Source"/>
            </w:pPr>
            <w:r>
              <w:rPr>
                <w:i/>
              </w:rPr>
              <w:t>Source</w:t>
            </w:r>
            <w:r w:rsidRPr="00167F06">
              <w:t xml:space="preserve">: </w:t>
            </w:r>
            <w:r>
              <w:t>Australian Gover</w:t>
            </w:r>
            <w:r w:rsidR="00E36C77">
              <w:t>nment (unpublished); table DA.6</w:t>
            </w:r>
            <w:r w:rsidR="001014A4">
              <w:t xml:space="preserve">. </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4847BE" w:rsidRDefault="00152F56" w:rsidP="003B7A0E">
      <w:pPr>
        <w:pStyle w:val="BodyText"/>
        <w:rPr>
          <w:color w:val="000000"/>
        </w:rPr>
      </w:pPr>
      <w:r>
        <w:rPr>
          <w:color w:val="000000"/>
        </w:rPr>
        <w:t xml:space="preserve">The </w:t>
      </w:r>
      <w:r w:rsidR="00DC11AF" w:rsidRPr="00B55DEE">
        <w:rPr>
          <w:color w:val="000000"/>
        </w:rPr>
        <w:t>Australian Government</w:t>
      </w:r>
      <w:r w:rsidR="00DC11AF">
        <w:rPr>
          <w:color w:val="000000"/>
        </w:rPr>
        <w:t xml:space="preserve"> also provides financial support to </w:t>
      </w:r>
      <w:r w:rsidR="00DC11AF" w:rsidRPr="00A132DB">
        <w:rPr>
          <w:color w:val="000000"/>
        </w:rPr>
        <w:t xml:space="preserve">eligible </w:t>
      </w:r>
      <w:r w:rsidR="00E24702" w:rsidRPr="00A132DB">
        <w:t>individuals</w:t>
      </w:r>
      <w:r w:rsidR="00DC11AF" w:rsidRPr="00A132DB">
        <w:t xml:space="preserve"> affected by a disaster</w:t>
      </w:r>
      <w:r w:rsidR="008C1141">
        <w:t xml:space="preserve">, with payments in </w:t>
      </w:r>
      <w:r w:rsidR="00DC11AF">
        <w:t>201</w:t>
      </w:r>
      <w:r w:rsidR="00B20638">
        <w:t>5</w:t>
      </w:r>
      <w:r w:rsidR="009C40E0">
        <w:t>-1</w:t>
      </w:r>
      <w:r w:rsidR="00B20638">
        <w:t>6</w:t>
      </w:r>
      <w:r w:rsidR="008C1141">
        <w:t xml:space="preserve"> </w:t>
      </w:r>
      <w:r w:rsidR="00DC11AF">
        <w:t>of $</w:t>
      </w:r>
      <w:r w:rsidR="00B20638">
        <w:t>22</w:t>
      </w:r>
      <w:r w:rsidR="00127F49">
        <w:t>.0</w:t>
      </w:r>
      <w:r w:rsidR="00DC11AF">
        <w:t xml:space="preserve"> million </w:t>
      </w:r>
      <w:r w:rsidR="00DC11AF">
        <w:rPr>
          <w:color w:val="000000"/>
        </w:rPr>
        <w:t>(table</w:t>
      </w:r>
      <w:r w:rsidR="003C5C21">
        <w:rPr>
          <w:color w:val="000000"/>
        </w:rPr>
        <w:t> </w:t>
      </w:r>
      <w:r w:rsidR="00DC11AF">
        <w:rPr>
          <w:color w:val="000000"/>
        </w:rPr>
        <w:t xml:space="preserve">DA.7). </w:t>
      </w:r>
    </w:p>
    <w:p w:rsidR="006F0A22" w:rsidRDefault="006F0A22" w:rsidP="005A64EF">
      <w:pPr>
        <w:pStyle w:val="Heading4"/>
        <w:shd w:val="clear" w:color="auto" w:fill="FFFFFF" w:themeFill="background1"/>
      </w:pPr>
      <w:r>
        <w:t xml:space="preserve">Emergency </w:t>
      </w:r>
      <w:r w:rsidR="00CD4E55">
        <w:t>service organisations</w:t>
      </w:r>
      <w:r>
        <w:t xml:space="preserve"> human resources</w:t>
      </w:r>
    </w:p>
    <w:p w:rsidR="00E54790" w:rsidRDefault="00DB5749" w:rsidP="006F0A22">
      <w:pPr>
        <w:pStyle w:val="BodyText"/>
      </w:pPr>
      <w:r>
        <w:t>Nationally</w:t>
      </w:r>
      <w:r w:rsidR="003C069B">
        <w:t xml:space="preserve"> in </w:t>
      </w:r>
      <w:sdt>
        <w:sdtPr>
          <w:alias w:val="Publish Date"/>
          <w:tag w:val=""/>
          <w:id w:val="643171572"/>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A45D46">
            <w:t>2015-16</w:t>
          </w:r>
        </w:sdtContent>
      </w:sdt>
      <w:r>
        <w:t>,</w:t>
      </w:r>
      <w:r w:rsidR="003B7A0E">
        <w:t xml:space="preserve"> </w:t>
      </w:r>
      <w:r w:rsidR="007078F7" w:rsidRPr="00EB761F">
        <w:t>35 285</w:t>
      </w:r>
      <w:r w:rsidR="00407452" w:rsidRPr="00EB761F">
        <w:t xml:space="preserve"> </w:t>
      </w:r>
      <w:r w:rsidR="0003642C" w:rsidRPr="00EB761F">
        <w:rPr>
          <w:color w:val="000000" w:themeColor="text1"/>
        </w:rPr>
        <w:t>full time equivalent (</w:t>
      </w:r>
      <w:r w:rsidRPr="00EB761F">
        <w:rPr>
          <w:color w:val="000000" w:themeColor="text1"/>
        </w:rPr>
        <w:t>FTE</w:t>
      </w:r>
      <w:r w:rsidR="0003642C" w:rsidRPr="00EB761F">
        <w:rPr>
          <w:color w:val="000000" w:themeColor="text1"/>
        </w:rPr>
        <w:t>)</w:t>
      </w:r>
      <w:r w:rsidRPr="00EB761F">
        <w:rPr>
          <w:color w:val="000000" w:themeColor="text1"/>
        </w:rPr>
        <w:t xml:space="preserve"> people were employed by emergency service organisations</w:t>
      </w:r>
      <w:r w:rsidR="003C069B" w:rsidRPr="00EB761F">
        <w:rPr>
          <w:color w:val="000000" w:themeColor="text1"/>
        </w:rPr>
        <w:t>.</w:t>
      </w:r>
      <w:r w:rsidRPr="00EB761F">
        <w:rPr>
          <w:color w:val="000000" w:themeColor="text1"/>
        </w:rPr>
        <w:t xml:space="preserve"> </w:t>
      </w:r>
      <w:r w:rsidR="003C069B" w:rsidRPr="00EB761F">
        <w:rPr>
          <w:color w:val="000000" w:themeColor="text1"/>
        </w:rPr>
        <w:t>O</w:t>
      </w:r>
      <w:r w:rsidR="000A05E5" w:rsidRPr="00EB761F">
        <w:rPr>
          <w:color w:val="000000" w:themeColor="text1"/>
        </w:rPr>
        <w:t>ver half</w:t>
      </w:r>
      <w:r w:rsidR="004847BE" w:rsidRPr="00EB761F">
        <w:rPr>
          <w:color w:val="000000" w:themeColor="text1"/>
        </w:rPr>
        <w:t xml:space="preserve"> (</w:t>
      </w:r>
      <w:r w:rsidR="00407452" w:rsidRPr="00EB761F">
        <w:rPr>
          <w:color w:val="000000" w:themeColor="text1"/>
        </w:rPr>
        <w:t>53.</w:t>
      </w:r>
      <w:r w:rsidR="00EB761F" w:rsidRPr="00EB761F">
        <w:rPr>
          <w:color w:val="000000" w:themeColor="text1"/>
        </w:rPr>
        <w:t>8</w:t>
      </w:r>
      <w:r w:rsidR="00407452" w:rsidRPr="00EB761F">
        <w:rPr>
          <w:color w:val="000000" w:themeColor="text1"/>
        </w:rPr>
        <w:t xml:space="preserve"> </w:t>
      </w:r>
      <w:r w:rsidR="003C069B" w:rsidRPr="00EB761F">
        <w:rPr>
          <w:color w:val="000000" w:themeColor="text1"/>
        </w:rPr>
        <w:t>per cent</w:t>
      </w:r>
      <w:r w:rsidR="004847BE" w:rsidRPr="00EB761F">
        <w:rPr>
          <w:color w:val="000000" w:themeColor="text1"/>
        </w:rPr>
        <w:t>)</w:t>
      </w:r>
      <w:r w:rsidR="003C069B" w:rsidRPr="00531A24">
        <w:rPr>
          <w:color w:val="000000" w:themeColor="text1"/>
        </w:rPr>
        <w:t xml:space="preserve"> </w:t>
      </w:r>
      <w:r w:rsidRPr="00531A24">
        <w:rPr>
          <w:color w:val="000000" w:themeColor="text1"/>
        </w:rPr>
        <w:t xml:space="preserve">were employed in fire and </w:t>
      </w:r>
      <w:r w:rsidR="003C069B" w:rsidRPr="00531A24">
        <w:rPr>
          <w:color w:val="000000" w:themeColor="text1"/>
        </w:rPr>
        <w:t>emergency service organisations</w:t>
      </w:r>
      <w:r w:rsidRPr="00531A24">
        <w:rPr>
          <w:color w:val="000000" w:themeColor="text1"/>
        </w:rPr>
        <w:t xml:space="preserve">, while </w:t>
      </w:r>
      <w:r w:rsidR="000A05E5" w:rsidRPr="00531A24">
        <w:rPr>
          <w:color w:val="000000" w:themeColor="text1"/>
        </w:rPr>
        <w:t xml:space="preserve">the remainder </w:t>
      </w:r>
      <w:r>
        <w:t xml:space="preserve">were employed by ambulance service organisations </w:t>
      </w:r>
      <w:r w:rsidR="006F0A22" w:rsidRPr="00547C6E">
        <w:t>(table </w:t>
      </w:r>
      <w:r w:rsidR="008B6E30">
        <w:t>D.</w:t>
      </w:r>
      <w:r w:rsidR="00D3750C">
        <w:t>1</w:t>
      </w:r>
      <w:r w:rsidR="00C27A15">
        <w:t>).</w:t>
      </w:r>
    </w:p>
    <w:p w:rsidR="00E54790" w:rsidRDefault="00E54790" w:rsidP="00E547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E54790" w:rsidTr="007B6A82">
        <w:tc>
          <w:tcPr>
            <w:tcW w:w="8771" w:type="dxa"/>
            <w:tcBorders>
              <w:top w:val="single" w:sz="6" w:space="0" w:color="78A22F" w:themeColor="accent1"/>
              <w:left w:val="nil"/>
              <w:bottom w:val="nil"/>
              <w:right w:val="nil"/>
            </w:tcBorders>
            <w:shd w:val="clear" w:color="auto" w:fill="auto"/>
          </w:tcPr>
          <w:p w:rsidR="00E54790" w:rsidRPr="000F0104" w:rsidRDefault="00E54790" w:rsidP="000F0104">
            <w:pPr>
              <w:pStyle w:val="TableTitle"/>
              <w:rPr>
                <w:vertAlign w:val="superscript"/>
              </w:rPr>
            </w:pPr>
            <w:r>
              <w:rPr>
                <w:b w:val="0"/>
              </w:rPr>
              <w:t xml:space="preserve">Table </w:t>
            </w:r>
            <w:proofErr w:type="spellStart"/>
            <w:r w:rsidR="008B6E30">
              <w:rPr>
                <w:b w:val="0"/>
              </w:rPr>
              <w:t>D.</w:t>
            </w:r>
            <w:r w:rsidR="00642BBB">
              <w:rPr>
                <w:b w:val="0"/>
                <w:noProof/>
              </w:rPr>
              <w:t>1</w:t>
            </w:r>
            <w:proofErr w:type="spellEnd"/>
            <w:r>
              <w:tab/>
            </w:r>
            <w:r w:rsidR="00E27430">
              <w:t>Full time equivalent s</w:t>
            </w:r>
            <w:r w:rsidR="008A4254" w:rsidRPr="001B17DA">
              <w:t>alaried</w:t>
            </w:r>
            <w:r w:rsidR="008A4254">
              <w:t xml:space="preserve"> personnel </w:t>
            </w:r>
            <w:r w:rsidR="008A4254" w:rsidRPr="00547C6E">
              <w:t xml:space="preserve">in </w:t>
            </w:r>
            <w:r w:rsidR="008A4254" w:rsidRPr="00EF0558">
              <w:t xml:space="preserve">ambulance, fire and </w:t>
            </w:r>
            <w:r w:rsidR="008A4254">
              <w:t xml:space="preserve">SES </w:t>
            </w:r>
            <w:r w:rsidR="008A4254" w:rsidRPr="00547C6E">
              <w:t>organisations</w:t>
            </w:r>
            <w:r w:rsidR="008A4254">
              <w:t>,</w:t>
            </w:r>
            <w:r w:rsidR="000F0104">
              <w:t xml:space="preserve"> </w:t>
            </w:r>
            <w:sdt>
              <w:sdtPr>
                <w:alias w:val="Publish Date"/>
                <w:tag w:val=""/>
                <w:id w:val="168066874"/>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A45D46">
                  <w:t>2015-16</w:t>
                </w:r>
              </w:sdtContent>
            </w:sdt>
            <w:r w:rsidR="000F0104">
              <w:rPr>
                <w:vertAlign w:val="superscript"/>
              </w:rPr>
              <w:t>a</w:t>
            </w:r>
          </w:p>
        </w:tc>
      </w:tr>
      <w:tr w:rsidR="00E54790" w:rsidTr="007B6A82">
        <w:trPr>
          <w:cantSplit/>
        </w:trPr>
        <w:tc>
          <w:tcPr>
            <w:tcW w:w="8771" w:type="dxa"/>
            <w:tcBorders>
              <w:top w:val="nil"/>
              <w:left w:val="nil"/>
              <w:bottom w:val="nil"/>
              <w:right w:val="nil"/>
            </w:tcBorders>
            <w:shd w:val="clear" w:color="auto" w:fill="auto"/>
          </w:tcPr>
          <w:tbl>
            <w:tblPr>
              <w:tblW w:w="5000" w:type="pct"/>
              <w:tblBorders>
                <w:top w:val="single" w:sz="4" w:space="0" w:color="BFBFBF"/>
                <w:bottom w:val="single" w:sz="4" w:space="0" w:color="BFBFBF"/>
                <w:insideH w:val="single" w:sz="4" w:space="0" w:color="BFBFBF"/>
              </w:tblBorders>
              <w:tblCellMar>
                <w:left w:w="0" w:type="dxa"/>
                <w:right w:w="0" w:type="dxa"/>
              </w:tblCellMar>
              <w:tblLook w:val="0000" w:firstRow="0" w:lastRow="0" w:firstColumn="0" w:lastColumn="0" w:noHBand="0" w:noVBand="0"/>
            </w:tblPr>
            <w:tblGrid>
              <w:gridCol w:w="1296"/>
              <w:gridCol w:w="815"/>
              <w:gridCol w:w="815"/>
              <w:gridCol w:w="815"/>
              <w:gridCol w:w="814"/>
              <w:gridCol w:w="814"/>
              <w:gridCol w:w="814"/>
              <w:gridCol w:w="814"/>
              <w:gridCol w:w="814"/>
              <w:gridCol w:w="814"/>
            </w:tblGrid>
            <w:tr w:rsidR="008A4254" w:rsidRPr="0075104E" w:rsidTr="008A4254">
              <w:tc>
                <w:tcPr>
                  <w:tcW w:w="751" w:type="pct"/>
                  <w:shd w:val="clear" w:color="auto" w:fill="auto"/>
                </w:tcPr>
                <w:p w:rsidR="008A4254" w:rsidRPr="0075104E" w:rsidRDefault="008A4254" w:rsidP="0092007E">
                  <w:pPr>
                    <w:pStyle w:val="TableColumnHeading"/>
                    <w:jc w:val="left"/>
                    <w:rPr>
                      <w:rFonts w:asciiTheme="minorHAnsi" w:hAnsiTheme="minorHAnsi" w:cstheme="minorHAnsi"/>
                      <w:sz w:val="20"/>
                    </w:rPr>
                  </w:pPr>
                </w:p>
              </w:tc>
              <w:tc>
                <w:tcPr>
                  <w:tcW w:w="472" w:type="pct"/>
                  <w:shd w:val="clear" w:color="auto" w:fill="auto"/>
                </w:tcPr>
                <w:p w:rsidR="008A4254" w:rsidRPr="00F1717E" w:rsidRDefault="008A4254" w:rsidP="00F1717E">
                  <w:pPr>
                    <w:pStyle w:val="TableColumnHeading"/>
                  </w:pPr>
                  <w:r w:rsidRPr="00F1717E">
                    <w:t>NSW</w:t>
                  </w:r>
                </w:p>
              </w:tc>
              <w:tc>
                <w:tcPr>
                  <w:tcW w:w="472" w:type="pct"/>
                  <w:shd w:val="clear" w:color="auto" w:fill="auto"/>
                </w:tcPr>
                <w:p w:rsidR="008A4254" w:rsidRPr="00F1717E" w:rsidRDefault="008A4254" w:rsidP="00F1717E">
                  <w:pPr>
                    <w:pStyle w:val="TableColumnHeading"/>
                  </w:pPr>
                  <w:r w:rsidRPr="00F1717E">
                    <w:t>Vic</w:t>
                  </w:r>
                </w:p>
              </w:tc>
              <w:tc>
                <w:tcPr>
                  <w:tcW w:w="472" w:type="pct"/>
                  <w:shd w:val="clear" w:color="auto" w:fill="auto"/>
                </w:tcPr>
                <w:p w:rsidR="008A4254" w:rsidRPr="00F1717E" w:rsidRDefault="008A4254" w:rsidP="00F1717E">
                  <w:pPr>
                    <w:pStyle w:val="TableColumnHeading"/>
                  </w:pPr>
                  <w:r w:rsidRPr="00F1717E">
                    <w:t>Qld</w:t>
                  </w:r>
                </w:p>
              </w:tc>
              <w:tc>
                <w:tcPr>
                  <w:tcW w:w="472" w:type="pct"/>
                  <w:shd w:val="clear" w:color="auto" w:fill="auto"/>
                </w:tcPr>
                <w:p w:rsidR="008A4254" w:rsidRPr="00F1717E" w:rsidRDefault="008A4254" w:rsidP="00F1717E">
                  <w:pPr>
                    <w:pStyle w:val="TableColumnHeading"/>
                  </w:pPr>
                  <w:r w:rsidRPr="00F1717E">
                    <w:t>WA</w:t>
                  </w:r>
                </w:p>
              </w:tc>
              <w:tc>
                <w:tcPr>
                  <w:tcW w:w="472" w:type="pct"/>
                  <w:shd w:val="clear" w:color="auto" w:fill="auto"/>
                </w:tcPr>
                <w:p w:rsidR="008A4254" w:rsidRPr="00F1717E" w:rsidRDefault="008A4254" w:rsidP="00F1717E">
                  <w:pPr>
                    <w:pStyle w:val="TableColumnHeading"/>
                  </w:pPr>
                  <w:r w:rsidRPr="00F1717E">
                    <w:t>SA</w:t>
                  </w:r>
                </w:p>
              </w:tc>
              <w:tc>
                <w:tcPr>
                  <w:tcW w:w="472" w:type="pct"/>
                  <w:shd w:val="clear" w:color="auto" w:fill="auto"/>
                </w:tcPr>
                <w:p w:rsidR="008A4254" w:rsidRPr="00F1717E" w:rsidRDefault="008A4254" w:rsidP="00F1717E">
                  <w:pPr>
                    <w:pStyle w:val="TableColumnHeading"/>
                  </w:pPr>
                  <w:proofErr w:type="spellStart"/>
                  <w:r w:rsidRPr="00F1717E">
                    <w:t>Tas</w:t>
                  </w:r>
                  <w:proofErr w:type="spellEnd"/>
                </w:p>
              </w:tc>
              <w:tc>
                <w:tcPr>
                  <w:tcW w:w="472" w:type="pct"/>
                  <w:shd w:val="clear" w:color="auto" w:fill="auto"/>
                </w:tcPr>
                <w:p w:rsidR="008A4254" w:rsidRPr="00F1717E" w:rsidRDefault="008A4254" w:rsidP="00F1717E">
                  <w:pPr>
                    <w:pStyle w:val="TableColumnHeading"/>
                  </w:pPr>
                  <w:r w:rsidRPr="00F1717E">
                    <w:t>ACT</w:t>
                  </w:r>
                </w:p>
              </w:tc>
              <w:tc>
                <w:tcPr>
                  <w:tcW w:w="472" w:type="pct"/>
                  <w:shd w:val="clear" w:color="auto" w:fill="auto"/>
                </w:tcPr>
                <w:p w:rsidR="008A4254" w:rsidRPr="00F1717E" w:rsidRDefault="008A4254" w:rsidP="00F1717E">
                  <w:pPr>
                    <w:pStyle w:val="TableColumnHeading"/>
                  </w:pPr>
                  <w:r w:rsidRPr="00F1717E">
                    <w:t>NT</w:t>
                  </w:r>
                </w:p>
              </w:tc>
              <w:tc>
                <w:tcPr>
                  <w:tcW w:w="472" w:type="pct"/>
                  <w:shd w:val="clear" w:color="auto" w:fill="auto"/>
                </w:tcPr>
                <w:p w:rsidR="008A4254" w:rsidRPr="00F1717E" w:rsidRDefault="008A4254" w:rsidP="00F1717E">
                  <w:pPr>
                    <w:pStyle w:val="TableColumnHeading"/>
                    <w:ind w:right="28"/>
                  </w:pPr>
                  <w:proofErr w:type="spellStart"/>
                  <w:r w:rsidRPr="00F1717E">
                    <w:t>Aust</w:t>
                  </w:r>
                  <w:proofErr w:type="spellEnd"/>
                </w:p>
              </w:tc>
            </w:tr>
          </w:tbl>
          <w:p w:rsidR="00E54790" w:rsidRPr="0075104E" w:rsidRDefault="00E54790" w:rsidP="008A4254">
            <w:pPr>
              <w:pStyle w:val="HeaderEnd"/>
              <w:rPr>
                <w:rFonts w:asciiTheme="minorHAnsi" w:hAnsiTheme="minorHAnsi" w:cstheme="minorHAnsi"/>
                <w:sz w:val="20"/>
              </w:rPr>
            </w:pPr>
          </w:p>
          <w:tbl>
            <w:tblPr>
              <w:tblW w:w="4969" w:type="pct"/>
              <w:tblBorders>
                <w:bottom w:val="single" w:sz="4" w:space="0" w:color="BFBFBF"/>
              </w:tblBorders>
              <w:tblCellMar>
                <w:left w:w="0" w:type="dxa"/>
                <w:right w:w="0" w:type="dxa"/>
              </w:tblCellMar>
              <w:tblLook w:val="0000" w:firstRow="0" w:lastRow="0" w:firstColumn="0" w:lastColumn="0" w:noHBand="0" w:noVBand="0"/>
            </w:tblPr>
            <w:tblGrid>
              <w:gridCol w:w="8625"/>
            </w:tblGrid>
            <w:tr w:rsidR="008A4254" w:rsidRPr="0075104E" w:rsidTr="008A4254">
              <w:tc>
                <w:tcPr>
                  <w:tcW w:w="5000" w:type="pct"/>
                  <w:vAlign w:val="center"/>
                </w:tcPr>
                <w:p w:rsidR="008B6E30" w:rsidRPr="003C22C7" w:rsidRDefault="008B6E30" w:rsidP="008B6E30">
                  <w:pPr>
                    <w:pStyle w:val="HeaderEnd"/>
                    <w:rPr>
                      <w:rFonts w:asciiTheme="minorHAnsi" w:hAnsiTheme="minorHAnsi" w:cstheme="minorHAnsi"/>
                      <w:sz w:val="20"/>
                    </w:rPr>
                  </w:pPr>
                </w:p>
                <w:tbl>
                  <w:tblPr>
                    <w:tblW w:w="8625" w:type="dxa"/>
                    <w:tblCellMar>
                      <w:left w:w="57" w:type="dxa"/>
                      <w:right w:w="57" w:type="dxa"/>
                    </w:tblCellMar>
                    <w:tblLook w:val="04A0" w:firstRow="1" w:lastRow="0" w:firstColumn="1" w:lastColumn="0" w:noHBand="0" w:noVBand="1"/>
                  </w:tblPr>
                  <w:tblGrid>
                    <w:gridCol w:w="1250"/>
                    <w:gridCol w:w="818"/>
                    <w:gridCol w:w="819"/>
                    <w:gridCol w:w="819"/>
                    <w:gridCol w:w="820"/>
                    <w:gridCol w:w="819"/>
                    <w:gridCol w:w="820"/>
                    <w:gridCol w:w="820"/>
                    <w:gridCol w:w="820"/>
                    <w:gridCol w:w="820"/>
                  </w:tblGrid>
                  <w:tr w:rsidR="008B6E30" w:rsidRPr="003C22C7" w:rsidTr="00F1717E">
                    <w:trPr>
                      <w:divId w:val="231238211"/>
                      <w:trHeight w:val="255"/>
                    </w:trPr>
                    <w:tc>
                      <w:tcPr>
                        <w:tcW w:w="8625" w:type="dxa"/>
                        <w:gridSpan w:val="10"/>
                        <w:tcBorders>
                          <w:left w:val="nil"/>
                          <w:bottom w:val="nil"/>
                          <w:right w:val="nil"/>
                        </w:tcBorders>
                        <w:shd w:val="clear" w:color="auto" w:fill="auto"/>
                        <w:noWrap/>
                        <w:vAlign w:val="center"/>
                        <w:hideMark/>
                      </w:tcPr>
                      <w:p w:rsidR="008B6E30" w:rsidRPr="003C22C7" w:rsidRDefault="008B6E30" w:rsidP="009D2193">
                        <w:pPr>
                          <w:pStyle w:val="TableBodyText"/>
                          <w:spacing w:before="40"/>
                          <w:ind w:left="0" w:right="0"/>
                          <w:jc w:val="left"/>
                          <w:rPr>
                            <w:rFonts w:asciiTheme="minorHAnsi" w:hAnsiTheme="minorHAnsi" w:cstheme="minorHAnsi"/>
                            <w:sz w:val="20"/>
                          </w:rPr>
                        </w:pPr>
                        <w:r w:rsidRPr="003C22C7">
                          <w:rPr>
                            <w:rFonts w:asciiTheme="minorHAnsi" w:hAnsiTheme="minorHAnsi" w:cstheme="minorHAnsi"/>
                            <w:sz w:val="20"/>
                          </w:rPr>
                          <w:t>Total ambulance, fire and emergency service organisations</w:t>
                        </w:r>
                      </w:p>
                    </w:tc>
                  </w:tr>
                  <w:tr w:rsidR="008B6E30" w:rsidRPr="0075104E" w:rsidTr="00F1717E">
                    <w:trPr>
                      <w:divId w:val="231238211"/>
                      <w:trHeight w:val="159"/>
                    </w:trPr>
                    <w:tc>
                      <w:tcPr>
                        <w:tcW w:w="8625" w:type="dxa"/>
                        <w:gridSpan w:val="10"/>
                        <w:tcBorders>
                          <w:top w:val="nil"/>
                          <w:left w:val="nil"/>
                          <w:bottom w:val="nil"/>
                          <w:right w:val="nil"/>
                        </w:tcBorders>
                        <w:shd w:val="clear" w:color="auto" w:fill="auto"/>
                        <w:noWrap/>
                        <w:vAlign w:val="center"/>
                        <w:hideMark/>
                      </w:tcPr>
                      <w:p w:rsidR="008B6E30" w:rsidRPr="003C22C7" w:rsidRDefault="008B6E30" w:rsidP="003C22C7">
                        <w:pPr>
                          <w:pStyle w:val="TableBodyText"/>
                          <w:spacing w:before="40"/>
                          <w:ind w:left="170" w:right="0"/>
                          <w:jc w:val="left"/>
                          <w:rPr>
                            <w:rFonts w:asciiTheme="minorHAnsi" w:hAnsiTheme="minorHAnsi" w:cstheme="minorHAnsi"/>
                            <w:i/>
                            <w:sz w:val="20"/>
                          </w:rPr>
                        </w:pPr>
                        <w:r w:rsidRPr="003C22C7">
                          <w:rPr>
                            <w:rFonts w:asciiTheme="minorHAnsi" w:hAnsiTheme="minorHAnsi" w:cstheme="minorHAnsi"/>
                            <w:i/>
                            <w:sz w:val="20"/>
                          </w:rPr>
                          <w:t>Ambulance service organisations</w:t>
                        </w:r>
                      </w:p>
                    </w:tc>
                  </w:tr>
                  <w:tr w:rsidR="000B4F77" w:rsidRPr="0075104E" w:rsidTr="00F1717E">
                    <w:trPr>
                      <w:divId w:val="231238211"/>
                      <w:trHeight w:val="255"/>
                    </w:trPr>
                    <w:tc>
                      <w:tcPr>
                        <w:tcW w:w="1250" w:type="dxa"/>
                        <w:tcBorders>
                          <w:top w:val="nil"/>
                          <w:left w:val="nil"/>
                          <w:bottom w:val="nil"/>
                          <w:right w:val="nil"/>
                        </w:tcBorders>
                        <w:shd w:val="clear" w:color="auto" w:fill="auto"/>
                        <w:vAlign w:val="center"/>
                        <w:hideMark/>
                      </w:tcPr>
                      <w:p w:rsidR="000B4F77" w:rsidRPr="0075104E" w:rsidRDefault="000B4F77" w:rsidP="008B6E30">
                        <w:pPr>
                          <w:pStyle w:val="TableBodyText"/>
                          <w:ind w:firstLine="197"/>
                          <w:jc w:val="left"/>
                          <w:rPr>
                            <w:rFonts w:asciiTheme="minorHAnsi" w:hAnsiTheme="minorHAnsi" w:cstheme="minorHAnsi"/>
                            <w:sz w:val="20"/>
                          </w:rPr>
                        </w:pPr>
                      </w:p>
                    </w:tc>
                    <w:tc>
                      <w:tcPr>
                        <w:tcW w:w="818"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w:t>
                        </w:r>
                        <w:r w:rsidR="00F1717E">
                          <w:t>4 349</w:t>
                        </w:r>
                      </w:p>
                    </w:tc>
                    <w:tc>
                      <w:tcPr>
                        <w:tcW w:w="819"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4 </w:t>
                        </w:r>
                        <w:r w:rsidR="001330DE">
                          <w:t>454</w:t>
                        </w:r>
                      </w:p>
                    </w:tc>
                    <w:tc>
                      <w:tcPr>
                        <w:tcW w:w="819"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w:t>
                        </w:r>
                        <w:r w:rsidR="007E50A2">
                          <w:t>3 822</w:t>
                        </w:r>
                      </w:p>
                    </w:tc>
                    <w:tc>
                      <w:tcPr>
                        <w:tcW w:w="820"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1 4</w:t>
                        </w:r>
                        <w:r w:rsidR="007E50A2">
                          <w:t>78</w:t>
                        </w:r>
                      </w:p>
                    </w:tc>
                    <w:tc>
                      <w:tcPr>
                        <w:tcW w:w="819"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1 </w:t>
                        </w:r>
                        <w:r w:rsidR="007E50A2">
                          <w:t>313</w:t>
                        </w:r>
                      </w:p>
                    </w:tc>
                    <w:tc>
                      <w:tcPr>
                        <w:tcW w:w="820"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w:t>
                        </w:r>
                        <w:r w:rsidR="007E50A2">
                          <w:t>402</w:t>
                        </w:r>
                      </w:p>
                    </w:tc>
                    <w:tc>
                      <w:tcPr>
                        <w:tcW w:w="820"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2</w:t>
                        </w:r>
                        <w:r w:rsidR="007E50A2">
                          <w:t>40</w:t>
                        </w:r>
                      </w:p>
                    </w:tc>
                    <w:tc>
                      <w:tcPr>
                        <w:tcW w:w="820" w:type="dxa"/>
                        <w:tcBorders>
                          <w:top w:val="nil"/>
                          <w:left w:val="nil"/>
                          <w:bottom w:val="nil"/>
                          <w:right w:val="nil"/>
                        </w:tcBorders>
                        <w:shd w:val="clear" w:color="auto" w:fill="auto"/>
                        <w:vAlign w:val="center"/>
                      </w:tcPr>
                      <w:p w:rsidR="000B4F77" w:rsidRPr="003C22C7" w:rsidRDefault="000B4F77" w:rsidP="00F1717E">
                        <w:pPr>
                          <w:pStyle w:val="TableBodyText"/>
                          <w:ind w:right="28"/>
                        </w:pPr>
                        <w:r w:rsidRPr="003C22C7">
                          <w:t xml:space="preserve">  2</w:t>
                        </w:r>
                        <w:r w:rsidR="007E50A2">
                          <w:t>48</w:t>
                        </w:r>
                      </w:p>
                    </w:tc>
                    <w:tc>
                      <w:tcPr>
                        <w:tcW w:w="820" w:type="dxa"/>
                        <w:tcBorders>
                          <w:top w:val="nil"/>
                          <w:left w:val="nil"/>
                          <w:bottom w:val="nil"/>
                          <w:right w:val="nil"/>
                        </w:tcBorders>
                        <w:shd w:val="clear" w:color="auto" w:fill="auto"/>
                        <w:vAlign w:val="center"/>
                      </w:tcPr>
                      <w:p w:rsidR="000B4F77" w:rsidRPr="003C22C7" w:rsidRDefault="007E50A2" w:rsidP="00F1717E">
                        <w:pPr>
                          <w:pStyle w:val="TableBodyText"/>
                          <w:ind w:right="28"/>
                        </w:pPr>
                        <w:r>
                          <w:t xml:space="preserve"> 16 306</w:t>
                        </w:r>
                      </w:p>
                    </w:tc>
                  </w:tr>
                  <w:tr w:rsidR="001B4B5B" w:rsidRPr="0075104E" w:rsidTr="00F1717E">
                    <w:trPr>
                      <w:divId w:val="231238211"/>
                      <w:trHeight w:val="255"/>
                    </w:trPr>
                    <w:tc>
                      <w:tcPr>
                        <w:tcW w:w="8625" w:type="dxa"/>
                        <w:gridSpan w:val="10"/>
                        <w:tcBorders>
                          <w:top w:val="nil"/>
                          <w:left w:val="nil"/>
                          <w:bottom w:val="nil"/>
                          <w:right w:val="nil"/>
                        </w:tcBorders>
                        <w:shd w:val="clear" w:color="auto" w:fill="auto"/>
                        <w:noWrap/>
                        <w:vAlign w:val="center"/>
                        <w:hideMark/>
                      </w:tcPr>
                      <w:p w:rsidR="001B4B5B" w:rsidRPr="003C22C7" w:rsidRDefault="001B4B5B" w:rsidP="003C22C7">
                        <w:pPr>
                          <w:pStyle w:val="TableBodyText"/>
                          <w:spacing w:before="40"/>
                          <w:ind w:left="170" w:right="0"/>
                          <w:jc w:val="left"/>
                          <w:rPr>
                            <w:rFonts w:asciiTheme="minorHAnsi" w:hAnsiTheme="minorHAnsi" w:cstheme="minorHAnsi"/>
                            <w:sz w:val="20"/>
                          </w:rPr>
                        </w:pPr>
                        <w:r w:rsidRPr="003C22C7">
                          <w:rPr>
                            <w:rFonts w:asciiTheme="minorHAnsi" w:hAnsiTheme="minorHAnsi" w:cstheme="minorHAnsi"/>
                            <w:i/>
                            <w:sz w:val="20"/>
                          </w:rPr>
                          <w:t>Fire and emergency service organisations (FSO and SES)</w:t>
                        </w:r>
                      </w:p>
                    </w:tc>
                  </w:tr>
                  <w:tr w:rsidR="00203844" w:rsidRPr="0075104E" w:rsidTr="00F1717E">
                    <w:trPr>
                      <w:divId w:val="231238211"/>
                      <w:trHeight w:val="255"/>
                    </w:trPr>
                    <w:tc>
                      <w:tcPr>
                        <w:tcW w:w="1250" w:type="dxa"/>
                        <w:tcBorders>
                          <w:top w:val="nil"/>
                          <w:left w:val="nil"/>
                          <w:bottom w:val="nil"/>
                          <w:right w:val="nil"/>
                        </w:tcBorders>
                        <w:shd w:val="clear" w:color="auto" w:fill="auto"/>
                        <w:vAlign w:val="center"/>
                        <w:hideMark/>
                      </w:tcPr>
                      <w:p w:rsidR="00203844" w:rsidRPr="0075104E" w:rsidRDefault="00203844" w:rsidP="003C22C7">
                        <w:pPr>
                          <w:pStyle w:val="TableBodyText"/>
                          <w:ind w:left="227" w:firstLine="198"/>
                          <w:jc w:val="left"/>
                          <w:rPr>
                            <w:rFonts w:asciiTheme="minorHAnsi" w:hAnsiTheme="minorHAnsi" w:cstheme="minorHAnsi"/>
                            <w:sz w:val="20"/>
                          </w:rPr>
                        </w:pPr>
                        <w:r w:rsidRPr="0075104E">
                          <w:rPr>
                            <w:rFonts w:asciiTheme="minorHAnsi" w:hAnsiTheme="minorHAnsi" w:cstheme="minorHAnsi"/>
                            <w:sz w:val="20"/>
                          </w:rPr>
                          <w:t>FSOs</w:t>
                        </w:r>
                      </w:p>
                    </w:tc>
                    <w:tc>
                      <w:tcPr>
                        <w:tcW w:w="818" w:type="dxa"/>
                        <w:tcBorders>
                          <w:top w:val="nil"/>
                          <w:left w:val="nil"/>
                          <w:bottom w:val="nil"/>
                          <w:right w:val="nil"/>
                        </w:tcBorders>
                        <w:shd w:val="clear" w:color="auto" w:fill="auto"/>
                        <w:vAlign w:val="center"/>
                      </w:tcPr>
                      <w:p w:rsidR="00203844" w:rsidRPr="00203844" w:rsidRDefault="00203844" w:rsidP="00F1717E">
                        <w:pPr>
                          <w:pStyle w:val="TableBodyText"/>
                          <w:ind w:right="28"/>
                        </w:pPr>
                        <w:r w:rsidRPr="00203844">
                          <w:t xml:space="preserve"> 5 432</w:t>
                        </w:r>
                      </w:p>
                    </w:tc>
                    <w:tc>
                      <w:tcPr>
                        <w:tcW w:w="819" w:type="dxa"/>
                        <w:tcBorders>
                          <w:top w:val="nil"/>
                          <w:left w:val="nil"/>
                          <w:bottom w:val="nil"/>
                          <w:right w:val="nil"/>
                        </w:tcBorders>
                        <w:shd w:val="clear" w:color="auto" w:fill="auto"/>
                        <w:vAlign w:val="center"/>
                      </w:tcPr>
                      <w:p w:rsidR="00203844" w:rsidRPr="00203844" w:rsidRDefault="007E50A2" w:rsidP="00F1717E">
                        <w:pPr>
                          <w:pStyle w:val="TableBodyText"/>
                          <w:ind w:right="28"/>
                        </w:pPr>
                        <w:r>
                          <w:t xml:space="preserve"> 6 642</w:t>
                        </w:r>
                      </w:p>
                    </w:tc>
                    <w:tc>
                      <w:tcPr>
                        <w:tcW w:w="819" w:type="dxa"/>
                        <w:tcBorders>
                          <w:top w:val="nil"/>
                          <w:left w:val="nil"/>
                          <w:bottom w:val="nil"/>
                          <w:right w:val="nil"/>
                        </w:tcBorders>
                        <w:shd w:val="clear" w:color="auto" w:fill="auto"/>
                        <w:vAlign w:val="center"/>
                      </w:tcPr>
                      <w:p w:rsidR="00203844" w:rsidRPr="00203844" w:rsidRDefault="00203844" w:rsidP="00F1717E">
                        <w:pPr>
                          <w:pStyle w:val="TableBodyText"/>
                          <w:ind w:right="28"/>
                        </w:pPr>
                        <w:r w:rsidRPr="00203844">
                          <w:t xml:space="preserve"> 3 </w:t>
                        </w:r>
                        <w:r w:rsidR="007B6A82">
                          <w:t>124</w:t>
                        </w:r>
                      </w:p>
                    </w:tc>
                    <w:tc>
                      <w:tcPr>
                        <w:tcW w:w="820" w:type="dxa"/>
                        <w:tcBorders>
                          <w:top w:val="nil"/>
                          <w:left w:val="nil"/>
                          <w:bottom w:val="nil"/>
                          <w:right w:val="nil"/>
                        </w:tcBorders>
                        <w:shd w:val="clear" w:color="auto" w:fill="auto"/>
                        <w:vAlign w:val="center"/>
                      </w:tcPr>
                      <w:p w:rsidR="00203844" w:rsidRPr="00203844" w:rsidRDefault="007E50A2" w:rsidP="00F1717E">
                        <w:pPr>
                          <w:pStyle w:val="TableBodyText"/>
                          <w:ind w:right="28"/>
                        </w:pPr>
                        <w:r>
                          <w:t xml:space="preserve"> 1 529</w:t>
                        </w:r>
                      </w:p>
                    </w:tc>
                    <w:tc>
                      <w:tcPr>
                        <w:tcW w:w="819" w:type="dxa"/>
                        <w:tcBorders>
                          <w:top w:val="nil"/>
                          <w:left w:val="nil"/>
                          <w:bottom w:val="nil"/>
                          <w:right w:val="nil"/>
                        </w:tcBorders>
                        <w:shd w:val="clear" w:color="auto" w:fill="auto"/>
                        <w:vAlign w:val="center"/>
                      </w:tcPr>
                      <w:p w:rsidR="00203844" w:rsidRPr="00203844" w:rsidRDefault="007E50A2" w:rsidP="00F1717E">
                        <w:pPr>
                          <w:pStyle w:val="TableBodyText"/>
                          <w:ind w:right="28"/>
                        </w:pPr>
                        <w:r>
                          <w:t xml:space="preserve"> 1 084</w:t>
                        </w:r>
                      </w:p>
                    </w:tc>
                    <w:tc>
                      <w:tcPr>
                        <w:tcW w:w="820" w:type="dxa"/>
                        <w:tcBorders>
                          <w:top w:val="nil"/>
                          <w:left w:val="nil"/>
                          <w:bottom w:val="nil"/>
                          <w:right w:val="nil"/>
                        </w:tcBorders>
                        <w:shd w:val="clear" w:color="auto" w:fill="auto"/>
                        <w:vAlign w:val="center"/>
                      </w:tcPr>
                      <w:p w:rsidR="00203844" w:rsidRPr="00203844" w:rsidRDefault="00203844" w:rsidP="00F1717E">
                        <w:pPr>
                          <w:pStyle w:val="TableBodyText"/>
                          <w:ind w:right="28"/>
                        </w:pPr>
                        <w:r w:rsidRPr="00203844">
                          <w:t xml:space="preserve">  4</w:t>
                        </w:r>
                        <w:r w:rsidR="007E50A2">
                          <w:t>24</w:t>
                        </w:r>
                      </w:p>
                    </w:tc>
                    <w:tc>
                      <w:tcPr>
                        <w:tcW w:w="820" w:type="dxa"/>
                        <w:tcBorders>
                          <w:top w:val="nil"/>
                          <w:left w:val="nil"/>
                          <w:bottom w:val="nil"/>
                          <w:right w:val="nil"/>
                        </w:tcBorders>
                        <w:shd w:val="clear" w:color="auto" w:fill="auto"/>
                        <w:vAlign w:val="center"/>
                      </w:tcPr>
                      <w:p w:rsidR="00203844" w:rsidRPr="00203844" w:rsidRDefault="00203844" w:rsidP="00F1717E">
                        <w:pPr>
                          <w:pStyle w:val="TableBodyText"/>
                          <w:ind w:right="28"/>
                        </w:pPr>
                        <w:r w:rsidRPr="00203844">
                          <w:t xml:space="preserve">  </w:t>
                        </w:r>
                        <w:r w:rsidR="007B6A82">
                          <w:t>467</w:t>
                        </w:r>
                      </w:p>
                    </w:tc>
                    <w:tc>
                      <w:tcPr>
                        <w:tcW w:w="820" w:type="dxa"/>
                        <w:tcBorders>
                          <w:top w:val="nil"/>
                          <w:left w:val="nil"/>
                          <w:bottom w:val="nil"/>
                          <w:right w:val="nil"/>
                        </w:tcBorders>
                        <w:shd w:val="clear" w:color="auto" w:fill="auto"/>
                        <w:vAlign w:val="center"/>
                      </w:tcPr>
                      <w:p w:rsidR="00203844" w:rsidRPr="00203844" w:rsidRDefault="00203844" w:rsidP="00F1717E">
                        <w:pPr>
                          <w:pStyle w:val="TableBodyText"/>
                          <w:ind w:right="28"/>
                        </w:pPr>
                        <w:r w:rsidRPr="00203844">
                          <w:t xml:space="preserve">  </w:t>
                        </w:r>
                        <w:r w:rsidR="007E50A2">
                          <w:t>27</w:t>
                        </w:r>
                        <w:r w:rsidR="007B6A82">
                          <w:t>8</w:t>
                        </w:r>
                      </w:p>
                    </w:tc>
                    <w:tc>
                      <w:tcPr>
                        <w:tcW w:w="820" w:type="dxa"/>
                        <w:tcBorders>
                          <w:top w:val="nil"/>
                          <w:left w:val="nil"/>
                          <w:bottom w:val="nil"/>
                          <w:right w:val="nil"/>
                        </w:tcBorders>
                        <w:shd w:val="clear" w:color="auto" w:fill="auto"/>
                        <w:vAlign w:val="center"/>
                      </w:tcPr>
                      <w:p w:rsidR="00203844" w:rsidRPr="00203844" w:rsidRDefault="00203844" w:rsidP="00F1717E">
                        <w:pPr>
                          <w:pStyle w:val="TableBodyText"/>
                          <w:ind w:right="28"/>
                        </w:pPr>
                        <w:r w:rsidRPr="00203844">
                          <w:t xml:space="preserve"> 1</w:t>
                        </w:r>
                        <w:r w:rsidR="007B6A82">
                          <w:t>8</w:t>
                        </w:r>
                        <w:r w:rsidR="007E50A2">
                          <w:t xml:space="preserve"> </w:t>
                        </w:r>
                        <w:r w:rsidR="007B6A82">
                          <w:t>979</w:t>
                        </w:r>
                      </w:p>
                    </w:tc>
                  </w:tr>
                  <w:tr w:rsidR="00F3576F" w:rsidRPr="0075104E" w:rsidTr="00F1717E">
                    <w:trPr>
                      <w:divId w:val="231238211"/>
                      <w:trHeight w:val="255"/>
                    </w:trPr>
                    <w:tc>
                      <w:tcPr>
                        <w:tcW w:w="1250" w:type="dxa"/>
                        <w:tcBorders>
                          <w:top w:val="nil"/>
                          <w:left w:val="nil"/>
                          <w:bottom w:val="nil"/>
                          <w:right w:val="nil"/>
                        </w:tcBorders>
                        <w:shd w:val="clear" w:color="auto" w:fill="auto"/>
                        <w:vAlign w:val="center"/>
                        <w:hideMark/>
                      </w:tcPr>
                      <w:p w:rsidR="00F3576F" w:rsidRPr="00A37E16" w:rsidRDefault="00F3576F" w:rsidP="003C22C7">
                        <w:pPr>
                          <w:pStyle w:val="TableBodyText"/>
                          <w:ind w:left="227" w:firstLine="198"/>
                          <w:jc w:val="left"/>
                          <w:rPr>
                            <w:rFonts w:asciiTheme="minorHAnsi" w:hAnsiTheme="minorHAnsi" w:cstheme="minorHAnsi"/>
                            <w:sz w:val="20"/>
                          </w:rPr>
                        </w:pPr>
                        <w:r w:rsidRPr="00A37E16">
                          <w:rPr>
                            <w:rFonts w:asciiTheme="minorHAnsi" w:hAnsiTheme="minorHAnsi" w:cstheme="minorHAnsi"/>
                            <w:sz w:val="20"/>
                          </w:rPr>
                          <w:t>SES</w:t>
                        </w:r>
                      </w:p>
                    </w:tc>
                    <w:tc>
                      <w:tcPr>
                        <w:tcW w:w="818"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324</w:t>
                        </w:r>
                      </w:p>
                    </w:tc>
                    <w:tc>
                      <w:tcPr>
                        <w:tcW w:w="819"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167</w:t>
                        </w:r>
                      </w:p>
                    </w:tc>
                    <w:tc>
                      <w:tcPr>
                        <w:tcW w:w="819"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98</w:t>
                        </w:r>
                      </w:p>
                    </w:tc>
                    <w:tc>
                      <w:tcPr>
                        <w:tcW w:w="820" w:type="dxa"/>
                        <w:tcBorders>
                          <w:top w:val="nil"/>
                          <w:left w:val="nil"/>
                          <w:bottom w:val="nil"/>
                          <w:right w:val="nil"/>
                        </w:tcBorders>
                        <w:shd w:val="clear" w:color="auto" w:fill="auto"/>
                        <w:vAlign w:val="center"/>
                      </w:tcPr>
                      <w:p w:rsidR="00F3576F" w:rsidRPr="00F3576F" w:rsidRDefault="00F3576F" w:rsidP="00F1717E">
                        <w:pPr>
                          <w:pStyle w:val="TableBodyText"/>
                          <w:ind w:right="28"/>
                        </w:pPr>
                        <w:proofErr w:type="spellStart"/>
                        <w:r w:rsidRPr="00F3576F">
                          <w:t>na</w:t>
                        </w:r>
                        <w:proofErr w:type="spellEnd"/>
                      </w:p>
                    </w:tc>
                    <w:tc>
                      <w:tcPr>
                        <w:tcW w:w="819"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51</w:t>
                        </w:r>
                      </w:p>
                    </w:tc>
                    <w:tc>
                      <w:tcPr>
                        <w:tcW w:w="820"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24</w:t>
                        </w:r>
                      </w:p>
                    </w:tc>
                    <w:tc>
                      <w:tcPr>
                        <w:tcW w:w="820"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7</w:t>
                        </w:r>
                      </w:p>
                    </w:tc>
                    <w:tc>
                      <w:tcPr>
                        <w:tcW w:w="820" w:type="dxa"/>
                        <w:tcBorders>
                          <w:top w:val="nil"/>
                          <w:left w:val="nil"/>
                          <w:bottom w:val="nil"/>
                          <w:right w:val="nil"/>
                        </w:tcBorders>
                        <w:shd w:val="clear" w:color="auto" w:fill="auto"/>
                        <w:vAlign w:val="center"/>
                      </w:tcPr>
                      <w:p w:rsidR="00F3576F" w:rsidRPr="00F3576F" w:rsidRDefault="00F3576F" w:rsidP="00F1717E">
                        <w:pPr>
                          <w:pStyle w:val="TableBodyText"/>
                          <w:ind w:right="28"/>
                        </w:pPr>
                        <w:r w:rsidRPr="00F3576F">
                          <w:t xml:space="preserve">  24</w:t>
                        </w:r>
                      </w:p>
                    </w:tc>
                    <w:tc>
                      <w:tcPr>
                        <w:tcW w:w="820" w:type="dxa"/>
                        <w:tcBorders>
                          <w:top w:val="nil"/>
                          <w:left w:val="nil"/>
                          <w:bottom w:val="nil"/>
                          <w:right w:val="nil"/>
                        </w:tcBorders>
                        <w:shd w:val="clear" w:color="auto" w:fill="auto"/>
                        <w:vAlign w:val="center"/>
                      </w:tcPr>
                      <w:p w:rsidR="00F3576F" w:rsidRPr="00F3576F" w:rsidRDefault="00F3576F" w:rsidP="00F1717E">
                        <w:pPr>
                          <w:pStyle w:val="TableBodyText"/>
                          <w:ind w:right="28"/>
                        </w:pPr>
                        <w:proofErr w:type="spellStart"/>
                        <w:r w:rsidRPr="00F3576F">
                          <w:t>na</w:t>
                        </w:r>
                        <w:proofErr w:type="spellEnd"/>
                      </w:p>
                    </w:tc>
                  </w:tr>
                  <w:tr w:rsidR="00F3576F" w:rsidRPr="0075104E" w:rsidTr="00F1717E">
                    <w:trPr>
                      <w:divId w:val="231238211"/>
                      <w:trHeight w:val="255"/>
                    </w:trPr>
                    <w:tc>
                      <w:tcPr>
                        <w:tcW w:w="1250" w:type="dxa"/>
                        <w:tcBorders>
                          <w:top w:val="nil"/>
                          <w:left w:val="nil"/>
                          <w:right w:val="nil"/>
                        </w:tcBorders>
                        <w:shd w:val="clear" w:color="auto" w:fill="auto"/>
                        <w:vAlign w:val="center"/>
                        <w:hideMark/>
                      </w:tcPr>
                      <w:p w:rsidR="00F3576F" w:rsidRPr="003C22C7" w:rsidRDefault="00F3576F" w:rsidP="003C22C7">
                        <w:pPr>
                          <w:pStyle w:val="TableBodyText"/>
                          <w:ind w:left="227" w:firstLine="198"/>
                          <w:jc w:val="left"/>
                          <w:rPr>
                            <w:rFonts w:asciiTheme="minorHAnsi" w:hAnsiTheme="minorHAnsi" w:cstheme="minorHAnsi"/>
                            <w:sz w:val="20"/>
                          </w:rPr>
                        </w:pPr>
                        <w:r w:rsidRPr="003C22C7">
                          <w:rPr>
                            <w:rFonts w:asciiTheme="minorHAnsi" w:hAnsiTheme="minorHAnsi" w:cstheme="minorHAnsi"/>
                            <w:sz w:val="20"/>
                          </w:rPr>
                          <w:t>Total</w:t>
                        </w:r>
                      </w:p>
                    </w:tc>
                    <w:tc>
                      <w:tcPr>
                        <w:tcW w:w="818"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5 756</w:t>
                        </w:r>
                      </w:p>
                    </w:tc>
                    <w:tc>
                      <w:tcPr>
                        <w:tcW w:w="819"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6 </w:t>
                        </w:r>
                        <w:r w:rsidR="007E50A2">
                          <w:t>809</w:t>
                        </w:r>
                      </w:p>
                    </w:tc>
                    <w:tc>
                      <w:tcPr>
                        <w:tcW w:w="819"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3 </w:t>
                        </w:r>
                        <w:r w:rsidR="007B6A82">
                          <w:t>222</w:t>
                        </w:r>
                      </w:p>
                    </w:tc>
                    <w:tc>
                      <w:tcPr>
                        <w:tcW w:w="820"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1 5</w:t>
                        </w:r>
                        <w:r w:rsidR="007E50A2">
                          <w:t>29</w:t>
                        </w:r>
                      </w:p>
                    </w:tc>
                    <w:tc>
                      <w:tcPr>
                        <w:tcW w:w="819" w:type="dxa"/>
                        <w:tcBorders>
                          <w:top w:val="nil"/>
                          <w:left w:val="nil"/>
                          <w:right w:val="nil"/>
                        </w:tcBorders>
                        <w:shd w:val="clear" w:color="auto" w:fill="auto"/>
                        <w:vAlign w:val="center"/>
                      </w:tcPr>
                      <w:p w:rsidR="00F3576F" w:rsidRPr="003C22C7" w:rsidRDefault="007E50A2" w:rsidP="00F1717E">
                        <w:pPr>
                          <w:pStyle w:val="TableBodyText"/>
                          <w:ind w:right="28"/>
                        </w:pPr>
                        <w:r>
                          <w:t xml:space="preserve"> 1 135</w:t>
                        </w:r>
                      </w:p>
                    </w:tc>
                    <w:tc>
                      <w:tcPr>
                        <w:tcW w:w="820"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4</w:t>
                        </w:r>
                        <w:r w:rsidR="007E50A2">
                          <w:t>48</w:t>
                        </w:r>
                      </w:p>
                    </w:tc>
                    <w:tc>
                      <w:tcPr>
                        <w:tcW w:w="820"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w:t>
                        </w:r>
                        <w:r w:rsidR="007B6A82">
                          <w:t>474</w:t>
                        </w:r>
                      </w:p>
                    </w:tc>
                    <w:tc>
                      <w:tcPr>
                        <w:tcW w:w="820"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3</w:t>
                        </w:r>
                        <w:r w:rsidR="007E50A2">
                          <w:t>0</w:t>
                        </w:r>
                        <w:r w:rsidR="007B6A82">
                          <w:t>2</w:t>
                        </w:r>
                      </w:p>
                    </w:tc>
                    <w:tc>
                      <w:tcPr>
                        <w:tcW w:w="820" w:type="dxa"/>
                        <w:tcBorders>
                          <w:top w:val="nil"/>
                          <w:left w:val="nil"/>
                          <w:right w:val="nil"/>
                        </w:tcBorders>
                        <w:shd w:val="clear" w:color="auto" w:fill="auto"/>
                        <w:vAlign w:val="center"/>
                      </w:tcPr>
                      <w:p w:rsidR="00F3576F" w:rsidRPr="003C22C7" w:rsidRDefault="00F3576F" w:rsidP="00F1717E">
                        <w:pPr>
                          <w:pStyle w:val="TableBodyText"/>
                          <w:ind w:right="28"/>
                        </w:pPr>
                        <w:r w:rsidRPr="003C22C7">
                          <w:t xml:space="preserve"> 1</w:t>
                        </w:r>
                        <w:r w:rsidR="007B6A82">
                          <w:t>8</w:t>
                        </w:r>
                        <w:r w:rsidRPr="003C22C7">
                          <w:t xml:space="preserve"> </w:t>
                        </w:r>
                        <w:r w:rsidR="007B6A82">
                          <w:t>979</w:t>
                        </w:r>
                      </w:p>
                    </w:tc>
                  </w:tr>
                  <w:tr w:rsidR="00F3576F" w:rsidRPr="0075104E" w:rsidTr="00F1717E">
                    <w:trPr>
                      <w:divId w:val="231238211"/>
                      <w:trHeight w:val="270"/>
                    </w:trPr>
                    <w:tc>
                      <w:tcPr>
                        <w:tcW w:w="1250" w:type="dxa"/>
                        <w:tcBorders>
                          <w:top w:val="nil"/>
                          <w:left w:val="nil"/>
                          <w:right w:val="nil"/>
                        </w:tcBorders>
                        <w:shd w:val="clear" w:color="auto" w:fill="auto"/>
                        <w:noWrap/>
                        <w:vAlign w:val="center"/>
                        <w:hideMark/>
                      </w:tcPr>
                      <w:p w:rsidR="00F3576F" w:rsidRPr="0075104E" w:rsidRDefault="00F3576F" w:rsidP="009D2193">
                        <w:pPr>
                          <w:pStyle w:val="TableBodyText"/>
                          <w:spacing w:before="40"/>
                          <w:ind w:left="0" w:right="0"/>
                          <w:jc w:val="left"/>
                          <w:rPr>
                            <w:rFonts w:asciiTheme="minorHAnsi" w:hAnsiTheme="minorHAnsi" w:cstheme="minorHAnsi"/>
                            <w:b/>
                            <w:sz w:val="20"/>
                          </w:rPr>
                        </w:pPr>
                        <w:r w:rsidRPr="0075104E">
                          <w:rPr>
                            <w:rFonts w:asciiTheme="minorHAnsi" w:hAnsiTheme="minorHAnsi" w:cstheme="minorHAnsi"/>
                            <w:b/>
                            <w:sz w:val="20"/>
                          </w:rPr>
                          <w:t>Total</w:t>
                        </w:r>
                      </w:p>
                    </w:tc>
                    <w:tc>
                      <w:tcPr>
                        <w:tcW w:w="818"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w:t>
                        </w:r>
                        <w:r w:rsidR="007E50A2">
                          <w:rPr>
                            <w:b/>
                          </w:rPr>
                          <w:t>10 104</w:t>
                        </w:r>
                      </w:p>
                    </w:tc>
                    <w:tc>
                      <w:tcPr>
                        <w:tcW w:w="819"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1</w:t>
                        </w:r>
                        <w:r w:rsidR="007E50A2">
                          <w:rPr>
                            <w:b/>
                          </w:rPr>
                          <w:t>1 263</w:t>
                        </w:r>
                      </w:p>
                    </w:tc>
                    <w:tc>
                      <w:tcPr>
                        <w:tcW w:w="819"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7 </w:t>
                        </w:r>
                        <w:r w:rsidR="007E50A2">
                          <w:rPr>
                            <w:b/>
                          </w:rPr>
                          <w:t>0</w:t>
                        </w:r>
                        <w:r w:rsidR="007B6A82">
                          <w:rPr>
                            <w:b/>
                          </w:rPr>
                          <w:t>44</w:t>
                        </w:r>
                      </w:p>
                    </w:tc>
                    <w:tc>
                      <w:tcPr>
                        <w:tcW w:w="820" w:type="dxa"/>
                        <w:tcBorders>
                          <w:top w:val="nil"/>
                          <w:left w:val="nil"/>
                          <w:right w:val="nil"/>
                        </w:tcBorders>
                        <w:shd w:val="clear" w:color="auto" w:fill="auto"/>
                        <w:vAlign w:val="center"/>
                      </w:tcPr>
                      <w:p w:rsidR="00F3576F" w:rsidRDefault="007E50A2" w:rsidP="00F1717E">
                        <w:pPr>
                          <w:pStyle w:val="TableBodyText"/>
                          <w:ind w:right="28"/>
                          <w:rPr>
                            <w:b/>
                          </w:rPr>
                        </w:pPr>
                        <w:r>
                          <w:rPr>
                            <w:b/>
                          </w:rPr>
                          <w:t xml:space="preserve"> 3 007</w:t>
                        </w:r>
                      </w:p>
                    </w:tc>
                    <w:tc>
                      <w:tcPr>
                        <w:tcW w:w="819"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2 4</w:t>
                        </w:r>
                        <w:r w:rsidR="007E50A2">
                          <w:rPr>
                            <w:b/>
                          </w:rPr>
                          <w:t>47</w:t>
                        </w:r>
                      </w:p>
                    </w:tc>
                    <w:tc>
                      <w:tcPr>
                        <w:tcW w:w="820" w:type="dxa"/>
                        <w:tcBorders>
                          <w:top w:val="nil"/>
                          <w:left w:val="nil"/>
                          <w:right w:val="nil"/>
                        </w:tcBorders>
                        <w:shd w:val="clear" w:color="auto" w:fill="auto"/>
                        <w:vAlign w:val="center"/>
                      </w:tcPr>
                      <w:p w:rsidR="00F3576F" w:rsidRDefault="007E50A2" w:rsidP="00F1717E">
                        <w:pPr>
                          <w:pStyle w:val="TableBodyText"/>
                          <w:ind w:right="28"/>
                          <w:rPr>
                            <w:b/>
                          </w:rPr>
                        </w:pPr>
                        <w:r>
                          <w:rPr>
                            <w:b/>
                          </w:rPr>
                          <w:t xml:space="preserve">  85</w:t>
                        </w:r>
                        <w:r w:rsidR="00F3576F">
                          <w:rPr>
                            <w:b/>
                          </w:rPr>
                          <w:t>0</w:t>
                        </w:r>
                      </w:p>
                    </w:tc>
                    <w:tc>
                      <w:tcPr>
                        <w:tcW w:w="820"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w:t>
                        </w:r>
                        <w:r w:rsidR="007B6A82">
                          <w:rPr>
                            <w:b/>
                          </w:rPr>
                          <w:t>714</w:t>
                        </w:r>
                      </w:p>
                    </w:tc>
                    <w:tc>
                      <w:tcPr>
                        <w:tcW w:w="820"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5</w:t>
                        </w:r>
                        <w:r w:rsidR="007B6A82">
                          <w:rPr>
                            <w:b/>
                          </w:rPr>
                          <w:t>50</w:t>
                        </w:r>
                      </w:p>
                    </w:tc>
                    <w:tc>
                      <w:tcPr>
                        <w:tcW w:w="820" w:type="dxa"/>
                        <w:tcBorders>
                          <w:top w:val="nil"/>
                          <w:left w:val="nil"/>
                          <w:right w:val="nil"/>
                        </w:tcBorders>
                        <w:shd w:val="clear" w:color="auto" w:fill="auto"/>
                        <w:vAlign w:val="center"/>
                      </w:tcPr>
                      <w:p w:rsidR="00F3576F" w:rsidRDefault="00F3576F" w:rsidP="00F1717E">
                        <w:pPr>
                          <w:pStyle w:val="TableBodyText"/>
                          <w:ind w:right="28"/>
                          <w:rPr>
                            <w:b/>
                          </w:rPr>
                        </w:pPr>
                        <w:r>
                          <w:rPr>
                            <w:b/>
                          </w:rPr>
                          <w:t xml:space="preserve"> 35 </w:t>
                        </w:r>
                        <w:r w:rsidR="007B6A82">
                          <w:rPr>
                            <w:b/>
                          </w:rPr>
                          <w:t>285</w:t>
                        </w:r>
                      </w:p>
                    </w:tc>
                  </w:tr>
                </w:tbl>
                <w:p w:rsidR="008A4254" w:rsidRPr="0075104E" w:rsidRDefault="008A4254" w:rsidP="0092007E">
                  <w:pPr>
                    <w:pStyle w:val="FooterEnd"/>
                    <w:keepNext/>
                    <w:rPr>
                      <w:rFonts w:asciiTheme="minorHAnsi" w:hAnsiTheme="minorHAnsi" w:cstheme="minorHAnsi"/>
                      <w:sz w:val="20"/>
                    </w:rPr>
                  </w:pPr>
                </w:p>
              </w:tc>
            </w:tr>
          </w:tbl>
          <w:p w:rsidR="00E54790" w:rsidRDefault="00E54790" w:rsidP="00E54790">
            <w:pPr>
              <w:pStyle w:val="Box"/>
            </w:pPr>
          </w:p>
        </w:tc>
      </w:tr>
      <w:tr w:rsidR="00E54790" w:rsidTr="00E54790">
        <w:trPr>
          <w:cantSplit/>
        </w:trPr>
        <w:tc>
          <w:tcPr>
            <w:tcW w:w="8771" w:type="dxa"/>
            <w:tcBorders>
              <w:top w:val="nil"/>
              <w:left w:val="nil"/>
              <w:bottom w:val="nil"/>
              <w:right w:val="nil"/>
            </w:tcBorders>
            <w:shd w:val="clear" w:color="auto" w:fill="auto"/>
          </w:tcPr>
          <w:p w:rsidR="00E54790" w:rsidRDefault="008A4254" w:rsidP="004847BE">
            <w:pPr>
              <w:pStyle w:val="Note"/>
              <w:rPr>
                <w:i/>
              </w:rPr>
            </w:pPr>
            <w:r w:rsidRPr="00B73A74">
              <w:rPr>
                <w:rStyle w:val="NoteLabel"/>
              </w:rPr>
              <w:t>a</w:t>
            </w:r>
            <w:r w:rsidR="00887266">
              <w:rPr>
                <w:rFonts w:cs="Arial"/>
                <w:sz w:val="24"/>
                <w:szCs w:val="24"/>
              </w:rPr>
              <w:t> </w:t>
            </w:r>
            <w:r w:rsidR="00887266" w:rsidRPr="00887266">
              <w:t>See table</w:t>
            </w:r>
            <w:r w:rsidR="00887266">
              <w:t xml:space="preserve">s </w:t>
            </w:r>
            <w:r w:rsidR="00887266" w:rsidRPr="00887266">
              <w:t>DA.</w:t>
            </w:r>
            <w:r w:rsidR="00887266">
              <w:t>4</w:t>
            </w:r>
            <w:r w:rsidR="00887266" w:rsidRPr="00887266">
              <w:t xml:space="preserve"> </w:t>
            </w:r>
            <w:r w:rsidR="00887266">
              <w:t xml:space="preserve">and DA.17 </w:t>
            </w:r>
            <w:r w:rsidR="00887266" w:rsidRPr="00887266">
              <w:t>for detailed footnotes and caveats</w:t>
            </w:r>
            <w:r w:rsidR="00887266">
              <w:t>.</w:t>
            </w:r>
            <w:r w:rsidR="004847BE">
              <w:t xml:space="preserve"> </w:t>
            </w:r>
            <w:proofErr w:type="spellStart"/>
            <w:r w:rsidRPr="00D47327">
              <w:rPr>
                <w:b/>
              </w:rPr>
              <w:t>na</w:t>
            </w:r>
            <w:proofErr w:type="spellEnd"/>
            <w:r>
              <w:t xml:space="preserve"> Not available</w:t>
            </w:r>
            <w:r w:rsidRPr="00547C6E">
              <w:t>.</w:t>
            </w:r>
          </w:p>
        </w:tc>
      </w:tr>
      <w:tr w:rsidR="00E54790" w:rsidTr="00E54790">
        <w:trPr>
          <w:cantSplit/>
        </w:trPr>
        <w:tc>
          <w:tcPr>
            <w:tcW w:w="8771" w:type="dxa"/>
            <w:tcBorders>
              <w:top w:val="nil"/>
              <w:left w:val="nil"/>
              <w:bottom w:val="nil"/>
              <w:right w:val="nil"/>
            </w:tcBorders>
            <w:shd w:val="clear" w:color="auto" w:fill="auto"/>
          </w:tcPr>
          <w:p w:rsidR="00E54790" w:rsidRDefault="008A4254" w:rsidP="008A4254">
            <w:pPr>
              <w:pStyle w:val="Source"/>
            </w:pPr>
            <w:r w:rsidRPr="00547C6E">
              <w:rPr>
                <w:i/>
              </w:rPr>
              <w:t>Source</w:t>
            </w:r>
            <w:r w:rsidRPr="00547C6E">
              <w:t>: State and Territory governments (unpublished); table</w:t>
            </w:r>
            <w:r w:rsidR="00BA4496">
              <w:t>s</w:t>
            </w:r>
            <w:r w:rsidRPr="00547C6E">
              <w:t> </w:t>
            </w:r>
            <w:r>
              <w:t>D</w:t>
            </w:r>
            <w:r w:rsidRPr="00547C6E">
              <w:t>A.</w:t>
            </w:r>
            <w:r>
              <w:t>4</w:t>
            </w:r>
            <w:r w:rsidR="003C22C7">
              <w:t xml:space="preserve"> and DA.17</w:t>
            </w:r>
            <w:r w:rsidRPr="00547C6E">
              <w:t>.</w:t>
            </w:r>
          </w:p>
        </w:tc>
      </w:tr>
      <w:tr w:rsidR="00E54790" w:rsidTr="00E54790">
        <w:trPr>
          <w:cantSplit/>
        </w:trPr>
        <w:tc>
          <w:tcPr>
            <w:tcW w:w="8771" w:type="dxa"/>
            <w:tcBorders>
              <w:top w:val="nil"/>
              <w:left w:val="nil"/>
              <w:bottom w:val="single" w:sz="6" w:space="0" w:color="78A22F" w:themeColor="accent1"/>
              <w:right w:val="nil"/>
            </w:tcBorders>
            <w:shd w:val="clear" w:color="auto" w:fill="auto"/>
          </w:tcPr>
          <w:p w:rsidR="00E54790" w:rsidRDefault="00E54790" w:rsidP="00E54790">
            <w:pPr>
              <w:pStyle w:val="Box"/>
              <w:spacing w:before="0" w:line="120" w:lineRule="exact"/>
            </w:pPr>
          </w:p>
        </w:tc>
      </w:tr>
      <w:tr w:rsidR="00E54790" w:rsidRPr="000863A5" w:rsidTr="00E54790">
        <w:tc>
          <w:tcPr>
            <w:tcW w:w="8771" w:type="dxa"/>
            <w:tcBorders>
              <w:top w:val="single" w:sz="6" w:space="0" w:color="78A22F" w:themeColor="accent1"/>
              <w:left w:val="nil"/>
              <w:bottom w:val="nil"/>
              <w:right w:val="nil"/>
            </w:tcBorders>
          </w:tcPr>
          <w:p w:rsidR="00E54790" w:rsidRPr="00626D32" w:rsidRDefault="00E54790" w:rsidP="00E54790">
            <w:pPr>
              <w:pStyle w:val="BoxSpaceBelow"/>
            </w:pPr>
          </w:p>
        </w:tc>
      </w:tr>
    </w:tbl>
    <w:p w:rsidR="006227A1" w:rsidRPr="00896E03" w:rsidRDefault="001F7EB6" w:rsidP="00896E03">
      <w:pPr>
        <w:pStyle w:val="Heading4"/>
      </w:pPr>
      <w:r>
        <w:t>Volunteers</w:t>
      </w:r>
    </w:p>
    <w:p w:rsidR="003C069B" w:rsidRDefault="003C069B" w:rsidP="007D5A52">
      <w:pPr>
        <w:pStyle w:val="BodyText"/>
      </w:pPr>
      <w:r w:rsidRPr="007D5A52">
        <w:t xml:space="preserve">In </w:t>
      </w:r>
      <w:sdt>
        <w:sdtPr>
          <w:alias w:val="Publish Date"/>
          <w:tag w:val=""/>
          <w:id w:val="-234543243"/>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A45D46" w:rsidRPr="007D5A52">
            <w:t>2015-16</w:t>
          </w:r>
        </w:sdtContent>
      </w:sdt>
      <w:r w:rsidRPr="007D5A52">
        <w:t>,</w:t>
      </w:r>
      <w:r w:rsidR="003B7A0E" w:rsidRPr="007D5A52">
        <w:t xml:space="preserve"> </w:t>
      </w:r>
      <w:r w:rsidR="00407452" w:rsidRPr="005A147B">
        <w:t>25</w:t>
      </w:r>
      <w:r w:rsidR="00B35620" w:rsidRPr="005A147B">
        <w:t>6</w:t>
      </w:r>
      <w:r w:rsidR="00407452" w:rsidRPr="005A147B">
        <w:t> </w:t>
      </w:r>
      <w:r w:rsidR="00B35620" w:rsidRPr="005A147B">
        <w:t>451</w:t>
      </w:r>
      <w:r w:rsidR="00407452">
        <w:t xml:space="preserve"> </w:t>
      </w:r>
      <w:r w:rsidRPr="007D5A52">
        <w:t xml:space="preserve">fire, ambulance and emergency service volunteers </w:t>
      </w:r>
      <w:r w:rsidR="00B62F25" w:rsidRPr="007D5A52">
        <w:t xml:space="preserve">(and another </w:t>
      </w:r>
      <w:r w:rsidR="003738E3">
        <w:t>2</w:t>
      </w:r>
      <w:r w:rsidR="005A147B">
        <w:t>620</w:t>
      </w:r>
      <w:r w:rsidR="003738E3">
        <w:t xml:space="preserve"> c</w:t>
      </w:r>
      <w:r w:rsidR="00B62F25" w:rsidRPr="007D5A52">
        <w:t xml:space="preserve">ommunity first response ambulance volunteers) </w:t>
      </w:r>
      <w:r w:rsidRPr="007D5A52">
        <w:t>were on the records of emergency service organisations (table</w:t>
      </w:r>
      <w:r w:rsidR="001C4CC4" w:rsidRPr="007D5A52">
        <w:t xml:space="preserve"> DA.4</w:t>
      </w:r>
      <w:r w:rsidRPr="007D5A52">
        <w:t>).</w:t>
      </w:r>
      <w:r w:rsidR="001C4CC4" w:rsidRPr="007D5A52">
        <w:t xml:space="preserve"> </w:t>
      </w:r>
      <w:r w:rsidR="00483714" w:rsidRPr="007D5A52">
        <w:t>Emergency services volunteers play a significant role in the provision of emergency services in Australia</w:t>
      </w:r>
      <w:r w:rsidRPr="007D5A52">
        <w:t>, particularly in rural and remote areas, by providing:</w:t>
      </w:r>
    </w:p>
    <w:p w:rsidR="003C069B" w:rsidRDefault="003C069B" w:rsidP="007D5A52">
      <w:pPr>
        <w:pStyle w:val="ListBullet"/>
      </w:pPr>
      <w:r>
        <w:t>response services in the event of an emergency</w:t>
      </w:r>
    </w:p>
    <w:p w:rsidR="003C069B" w:rsidRDefault="003C069B" w:rsidP="007D5A52">
      <w:pPr>
        <w:pStyle w:val="ListBullet"/>
      </w:pPr>
      <w:r w:rsidRPr="00DE2D98">
        <w:t>community education</w:t>
      </w:r>
      <w:r>
        <w:t xml:space="preserve">, </w:t>
      </w:r>
      <w:r w:rsidRPr="00DE2D98">
        <w:t>cadet schemes</w:t>
      </w:r>
      <w:r>
        <w:t xml:space="preserve"> and </w:t>
      </w:r>
      <w:r w:rsidRPr="00DE2D98">
        <w:t>nationa</w:t>
      </w:r>
      <w:r>
        <w:t>l accredited emergency training</w:t>
      </w:r>
    </w:p>
    <w:p w:rsidR="003C069B" w:rsidRDefault="003C069B" w:rsidP="007D5A52">
      <w:pPr>
        <w:pStyle w:val="ListBullet"/>
      </w:pPr>
      <w:r>
        <w:t>emergency event</w:t>
      </w:r>
      <w:r w:rsidRPr="00DE2D98">
        <w:t xml:space="preserve"> support and administrative roles</w:t>
      </w:r>
    </w:p>
    <w:p w:rsidR="003C069B" w:rsidRPr="00DE2D98" w:rsidRDefault="003C069B" w:rsidP="007D5A52">
      <w:pPr>
        <w:pStyle w:val="ListBullet"/>
      </w:pPr>
      <w:r>
        <w:t xml:space="preserve">community </w:t>
      </w:r>
      <w:r w:rsidRPr="00DE2D98">
        <w:t>prevention, preparedness and recovery programs.</w:t>
      </w:r>
    </w:p>
    <w:p w:rsidR="00DE2D11" w:rsidRPr="00262ED3" w:rsidRDefault="00DE2D11" w:rsidP="005A64EF">
      <w:pPr>
        <w:pStyle w:val="Heading3"/>
        <w:shd w:val="clear" w:color="auto" w:fill="FFFFFF" w:themeFill="background1"/>
      </w:pPr>
      <w:r>
        <w:t>S</w:t>
      </w:r>
      <w:r w:rsidRPr="00262ED3">
        <w:t>ocial and economic factors affecting demand for services</w:t>
      </w:r>
    </w:p>
    <w:p w:rsidR="00A92397" w:rsidRPr="009C372B" w:rsidRDefault="004F5962" w:rsidP="00800311">
      <w:pPr>
        <w:pStyle w:val="BodyText"/>
        <w:rPr>
          <w:color w:val="000000" w:themeColor="text1"/>
        </w:rPr>
      </w:pPr>
      <w:r w:rsidRPr="009C372B">
        <w:rPr>
          <w:color w:val="000000" w:themeColor="text1"/>
        </w:rPr>
        <w:t xml:space="preserve">The size, severity, timing, location and impacts of emergencies are difficult to predict. However, </w:t>
      </w:r>
      <w:r w:rsidR="00800311" w:rsidRPr="009C372B">
        <w:rPr>
          <w:color w:val="000000" w:themeColor="text1"/>
        </w:rPr>
        <w:t>many known factors increase vulnerability to emergency events (COAG 2011). Work</w:t>
      </w:r>
      <w:r w:rsidR="00800311" w:rsidRPr="009C372B">
        <w:rPr>
          <w:color w:val="000000" w:themeColor="text1"/>
        </w:rPr>
        <w:noBreakHyphen/>
        <w:t>life patterns, lifestyle expectations, demographic changes, domestic migration, and community fragmentation are increasing community susceptibility and demand for emergency management services</w:t>
      </w:r>
      <w:r w:rsidR="00A92397" w:rsidRPr="009C372B">
        <w:rPr>
          <w:color w:val="000000" w:themeColor="text1"/>
        </w:rPr>
        <w:t xml:space="preserve"> (COAG 2009)</w:t>
      </w:r>
      <w:r w:rsidR="005F50D5" w:rsidRPr="009C372B">
        <w:rPr>
          <w:color w:val="000000" w:themeColor="text1"/>
        </w:rPr>
        <w:t xml:space="preserve">. </w:t>
      </w:r>
    </w:p>
    <w:p w:rsidR="00A92397" w:rsidRPr="009C372B" w:rsidRDefault="0054595C" w:rsidP="00C369A8">
      <w:pPr>
        <w:pStyle w:val="BodyText"/>
        <w:rPr>
          <w:rStyle w:val="DraftingNote"/>
          <w:color w:val="000000" w:themeColor="text1"/>
        </w:rPr>
      </w:pPr>
      <w:r w:rsidRPr="009C372B">
        <w:rPr>
          <w:color w:val="000000" w:themeColor="text1"/>
        </w:rPr>
        <w:t>Within individual communities, certain members may be more vulnerable or become vulnerable over time</w:t>
      </w:r>
      <w:r w:rsidR="00B56654" w:rsidRPr="009C372B">
        <w:rPr>
          <w:color w:val="000000" w:themeColor="text1"/>
        </w:rPr>
        <w:t>,</w:t>
      </w:r>
      <w:r w:rsidRPr="009C372B">
        <w:rPr>
          <w:color w:val="000000" w:themeColor="text1"/>
        </w:rPr>
        <w:t xml:space="preserve"> and may need tailored advice and support. </w:t>
      </w:r>
      <w:r w:rsidR="00A92397" w:rsidRPr="009C372B">
        <w:rPr>
          <w:color w:val="000000" w:themeColor="text1"/>
        </w:rPr>
        <w:t xml:space="preserve">Factors that can </w:t>
      </w:r>
      <w:r w:rsidR="00311DDF" w:rsidRPr="009C372B">
        <w:rPr>
          <w:color w:val="000000" w:themeColor="text1"/>
        </w:rPr>
        <w:t xml:space="preserve">increase </w:t>
      </w:r>
      <w:r w:rsidR="00A92397" w:rsidRPr="009C372B">
        <w:rPr>
          <w:color w:val="000000" w:themeColor="text1"/>
        </w:rPr>
        <w:t>vulnerability include</w:t>
      </w:r>
      <w:r w:rsidR="00311DDF" w:rsidRPr="009C372B">
        <w:rPr>
          <w:color w:val="000000" w:themeColor="text1"/>
        </w:rPr>
        <w:t>: greater level of socioeconomic disadvantage in the community; English as a second language; more remote areas; older population; reduce</w:t>
      </w:r>
      <w:r w:rsidR="00B25A1B">
        <w:rPr>
          <w:color w:val="000000" w:themeColor="text1"/>
        </w:rPr>
        <w:t>d</w:t>
      </w:r>
      <w:r w:rsidR="00311DDF" w:rsidRPr="009C372B">
        <w:rPr>
          <w:color w:val="000000" w:themeColor="text1"/>
        </w:rPr>
        <w:t xml:space="preserve"> mobility; reduced </w:t>
      </w:r>
      <w:r w:rsidR="009C372B" w:rsidRPr="009C372B">
        <w:rPr>
          <w:color w:val="000000" w:themeColor="text1"/>
        </w:rPr>
        <w:t>access to services.</w:t>
      </w:r>
    </w:p>
    <w:p w:rsidR="00DE2D11" w:rsidRPr="00262ED3" w:rsidRDefault="00DE2D11" w:rsidP="005A64EF">
      <w:pPr>
        <w:pStyle w:val="Heading3"/>
        <w:shd w:val="clear" w:color="auto" w:fill="FFFFFF" w:themeFill="background1"/>
      </w:pPr>
      <w:r w:rsidRPr="00262ED3">
        <w:lastRenderedPageBreak/>
        <w:t>Service</w:t>
      </w:r>
      <w:r w:rsidR="001525FA">
        <w:noBreakHyphen/>
      </w:r>
      <w:r w:rsidRPr="00262ED3">
        <w:t>sector objectives</w:t>
      </w:r>
    </w:p>
    <w:p w:rsidR="00DE2D11" w:rsidRDefault="00DE2D11" w:rsidP="00DE2D11">
      <w:pPr>
        <w:pStyle w:val="BodyText"/>
      </w:pPr>
      <w:r w:rsidRPr="00A05A09">
        <w:t xml:space="preserve">The framework of performance indicators in this </w:t>
      </w:r>
      <w:r w:rsidR="0054554B">
        <w:t>sector overview</w:t>
      </w:r>
      <w:r w:rsidRPr="00A05A09">
        <w:t xml:space="preserve"> is based on objectives</w:t>
      </w:r>
      <w:r w:rsidRPr="00214F67">
        <w:t xml:space="preserve"> for emergency </w:t>
      </w:r>
      <w:r w:rsidRPr="00A05A09">
        <w:t xml:space="preserve">management </w:t>
      </w:r>
      <w:r>
        <w:t xml:space="preserve">established in the </w:t>
      </w:r>
      <w:r w:rsidRPr="00AF3A82">
        <w:rPr>
          <w:i/>
        </w:rPr>
        <w:t>National Strategy for Disaster Resilience</w:t>
      </w:r>
      <w:r>
        <w:t xml:space="preserve"> and </w:t>
      </w:r>
      <w:r w:rsidRPr="00547C6E">
        <w:t xml:space="preserve">are </w:t>
      </w:r>
      <w:r w:rsidRPr="00A05A09">
        <w:t xml:space="preserve">common to all Australian </w:t>
      </w:r>
      <w:r w:rsidR="000836B9" w:rsidRPr="00A05A09">
        <w:t>emergency services organisation</w:t>
      </w:r>
      <w:r w:rsidR="000836B9">
        <w:t>s</w:t>
      </w:r>
      <w:r w:rsidRPr="00A05A09">
        <w:t xml:space="preserve"> (box </w:t>
      </w:r>
      <w:r w:rsidR="004A5FB9">
        <w:t>D.</w:t>
      </w:r>
      <w:r w:rsidR="004B3368">
        <w:t>2).</w:t>
      </w:r>
      <w:r w:rsidR="00D75F6B" w:rsidRPr="00D75F6B">
        <w:t xml:space="preserve"> </w:t>
      </w:r>
      <w:r w:rsidR="00D75F6B">
        <w:t>To meet these objectives, emergency service organisations</w:t>
      </w:r>
      <w:r w:rsidR="00D75F6B" w:rsidRPr="00A24D54">
        <w:t xml:space="preserve"> </w:t>
      </w:r>
      <w:r w:rsidR="00D75F6B" w:rsidRPr="00A05A09">
        <w:t>classify the</w:t>
      </w:r>
      <w:r w:rsidR="00D75F6B">
        <w:t>ir</w:t>
      </w:r>
      <w:r w:rsidR="00D75F6B" w:rsidRPr="00A05A09">
        <w:t xml:space="preserve"> key functions in managing emergency events</w:t>
      </w:r>
      <w:r w:rsidR="00D75F6B">
        <w:t xml:space="preserve"> to t</w:t>
      </w:r>
      <w:r w:rsidR="00D75F6B" w:rsidRPr="00A05A09">
        <w:t>he prevention/mitigation, preparedness, response and recovery framework</w:t>
      </w:r>
      <w:r w:rsidR="00D75F6B">
        <w:t>.</w:t>
      </w:r>
    </w:p>
    <w:p w:rsidR="0016656F" w:rsidRDefault="001665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656F" w:rsidTr="0092007E">
        <w:tc>
          <w:tcPr>
            <w:tcW w:w="8771" w:type="dxa"/>
            <w:tcBorders>
              <w:top w:val="single" w:sz="6" w:space="0" w:color="78A22F"/>
              <w:left w:val="nil"/>
              <w:bottom w:val="nil"/>
              <w:right w:val="nil"/>
            </w:tcBorders>
            <w:shd w:val="clear" w:color="auto" w:fill="F2F2F2" w:themeFill="background1" w:themeFillShade="F2"/>
          </w:tcPr>
          <w:p w:rsidR="0016656F" w:rsidRDefault="0016656F">
            <w:pPr>
              <w:pStyle w:val="BoxTitle"/>
            </w:pPr>
            <w:r w:rsidRPr="00A05A09">
              <w:rPr>
                <w:b w:val="0"/>
              </w:rPr>
              <w:t>Box </w:t>
            </w:r>
            <w:bookmarkStart w:id="9" w:name="OLE_LINK10"/>
            <w:proofErr w:type="spellStart"/>
            <w:r w:rsidR="008B6E30">
              <w:rPr>
                <w:b w:val="0"/>
              </w:rPr>
              <w:t>D.</w:t>
            </w:r>
            <w:r w:rsidR="00642BBB">
              <w:rPr>
                <w:b w:val="0"/>
                <w:noProof/>
              </w:rPr>
              <w:t>2</w:t>
            </w:r>
            <w:bookmarkEnd w:id="9"/>
            <w:proofErr w:type="spellEnd"/>
            <w:r w:rsidRPr="00A05A09">
              <w:tab/>
              <w:t>Objectives for emergency management</w:t>
            </w:r>
          </w:p>
        </w:tc>
      </w:tr>
      <w:tr w:rsidR="0016656F" w:rsidTr="0092007E">
        <w:trPr>
          <w:cantSplit/>
        </w:trPr>
        <w:tc>
          <w:tcPr>
            <w:tcW w:w="8771" w:type="dxa"/>
            <w:tcBorders>
              <w:top w:val="nil"/>
              <w:left w:val="nil"/>
              <w:bottom w:val="nil"/>
              <w:right w:val="nil"/>
            </w:tcBorders>
            <w:shd w:val="clear" w:color="auto" w:fill="F2F2F2" w:themeFill="background1" w:themeFillShade="F2"/>
          </w:tcPr>
          <w:p w:rsidR="0016656F" w:rsidRPr="009777D8" w:rsidRDefault="0016656F" w:rsidP="0092007E">
            <w:pPr>
              <w:pStyle w:val="Box"/>
            </w:pPr>
            <w:r w:rsidRPr="009777D8">
              <w:t xml:space="preserve">Emergency management services aim to build disaster resilient communities that work together to understand and manage the risks that </w:t>
            </w:r>
            <w:r>
              <w:t>they</w:t>
            </w:r>
            <w:r w:rsidRPr="009777D8">
              <w:t xml:space="preserve"> confront</w:t>
            </w:r>
            <w:r w:rsidR="00311DDF">
              <w:t>, th</w:t>
            </w:r>
            <w:r w:rsidR="00B25A1B">
              <w:t>r</w:t>
            </w:r>
            <w:r w:rsidR="00311DDF">
              <w:t xml:space="preserve">ough providing </w:t>
            </w:r>
            <w:r w:rsidRPr="009777D8">
              <w:t>highly effective, efficient and accessible services that:</w:t>
            </w:r>
          </w:p>
          <w:p w:rsidR="0016656F" w:rsidRPr="009777D8" w:rsidRDefault="0016656F" w:rsidP="0092007E">
            <w:pPr>
              <w:pStyle w:val="BoxListBullet"/>
              <w:keepNext w:val="0"/>
            </w:pPr>
            <w:r w:rsidRPr="009777D8">
              <w:t>reduce the adverse effects of emergencies and disasters on the community (including people, property, infrastructure, economy and environment)</w:t>
            </w:r>
          </w:p>
          <w:p w:rsidR="0016656F" w:rsidRDefault="0016656F" w:rsidP="0092007E">
            <w:pPr>
              <w:pStyle w:val="BoxListBullet"/>
              <w:keepNext w:val="0"/>
            </w:pPr>
            <w:r w:rsidRPr="009777D8">
              <w:t>contribute to the management of risks to the community</w:t>
            </w:r>
          </w:p>
          <w:p w:rsidR="00C369A8" w:rsidRPr="009777D8" w:rsidRDefault="00C369A8" w:rsidP="0092007E">
            <w:pPr>
              <w:pStyle w:val="BoxListBullet"/>
              <w:keepNext w:val="0"/>
            </w:pPr>
            <w:r>
              <w:t>contribute to community recovery</w:t>
            </w:r>
          </w:p>
          <w:p w:rsidR="0016656F" w:rsidRPr="009777D8" w:rsidRDefault="0016656F" w:rsidP="0092007E">
            <w:pPr>
              <w:pStyle w:val="BoxListBullet"/>
              <w:keepNext w:val="0"/>
            </w:pPr>
            <w:r w:rsidRPr="009777D8">
              <w:t>enhance public safety.</w:t>
            </w:r>
          </w:p>
        </w:tc>
      </w:tr>
      <w:tr w:rsidR="0016656F" w:rsidTr="0092007E">
        <w:trPr>
          <w:cantSplit/>
        </w:trPr>
        <w:tc>
          <w:tcPr>
            <w:tcW w:w="8771" w:type="dxa"/>
            <w:tcBorders>
              <w:top w:val="nil"/>
              <w:left w:val="nil"/>
              <w:bottom w:val="single" w:sz="6" w:space="0" w:color="78A22F"/>
              <w:right w:val="nil"/>
            </w:tcBorders>
            <w:shd w:val="clear" w:color="auto" w:fill="F2F2F2" w:themeFill="background1" w:themeFillShade="F2"/>
          </w:tcPr>
          <w:p w:rsidR="0016656F" w:rsidRDefault="0016656F">
            <w:pPr>
              <w:pStyle w:val="Box"/>
              <w:spacing w:before="0" w:line="120" w:lineRule="exact"/>
            </w:pPr>
          </w:p>
        </w:tc>
      </w:tr>
      <w:tr w:rsidR="0016656F" w:rsidRPr="000863A5" w:rsidTr="0092007E">
        <w:tc>
          <w:tcPr>
            <w:tcW w:w="8771" w:type="dxa"/>
            <w:tcBorders>
              <w:top w:val="single" w:sz="6" w:space="0" w:color="78A22F"/>
              <w:left w:val="nil"/>
              <w:bottom w:val="nil"/>
              <w:right w:val="nil"/>
            </w:tcBorders>
          </w:tcPr>
          <w:p w:rsidR="0016656F" w:rsidRPr="00626D32" w:rsidRDefault="0016656F" w:rsidP="0092007E">
            <w:pPr>
              <w:pStyle w:val="BoxSpaceBelow"/>
            </w:pPr>
          </w:p>
        </w:tc>
      </w:tr>
    </w:tbl>
    <w:p w:rsidR="00DE2D11" w:rsidRPr="00262ED3" w:rsidRDefault="008B6E30" w:rsidP="00DE2D11">
      <w:pPr>
        <w:pStyle w:val="Heading2"/>
      </w:pPr>
      <w:bookmarkStart w:id="10" w:name="_Toc294252406"/>
      <w:bookmarkStart w:id="11" w:name="_Toc337997851"/>
      <w:bookmarkStart w:id="12" w:name="_Toc464990207"/>
      <w:proofErr w:type="spellStart"/>
      <w:r>
        <w:t>D.</w:t>
      </w:r>
      <w:r w:rsidR="00642BBB">
        <w:rPr>
          <w:noProof/>
        </w:rPr>
        <w:t>2</w:t>
      </w:r>
      <w:proofErr w:type="spellEnd"/>
      <w:r w:rsidR="00DE2D11">
        <w:tab/>
        <w:t>Sector</w:t>
      </w:r>
      <w:r w:rsidR="00DE2D11" w:rsidRPr="00262ED3">
        <w:t xml:space="preserve"> performance indicator framework</w:t>
      </w:r>
      <w:bookmarkEnd w:id="10"/>
      <w:bookmarkEnd w:id="11"/>
      <w:bookmarkEnd w:id="12"/>
    </w:p>
    <w:p w:rsidR="00DE2D11" w:rsidRPr="00262ED3" w:rsidRDefault="00DE2D11" w:rsidP="009E399C">
      <w:pPr>
        <w:pStyle w:val="BodyText"/>
      </w:pPr>
      <w:r w:rsidRPr="00262ED3">
        <w:t xml:space="preserve">This </w:t>
      </w:r>
      <w:r w:rsidR="0054554B">
        <w:t>sector overview</w:t>
      </w:r>
      <w:r w:rsidRPr="00262ED3">
        <w:t xml:space="preserve"> </w:t>
      </w:r>
      <w:r>
        <w:t xml:space="preserve">is based on </w:t>
      </w:r>
      <w:r w:rsidRPr="00262ED3">
        <w:t xml:space="preserve">a </w:t>
      </w:r>
      <w:r>
        <w:t xml:space="preserve">sector </w:t>
      </w:r>
      <w:r w:rsidRPr="00262ED3">
        <w:t>performance indicator framework (figure</w:t>
      </w:r>
      <w:r w:rsidR="00FE727D">
        <w:t> </w:t>
      </w:r>
      <w:r w:rsidR="008B6E30">
        <w:t>D.4</w:t>
      </w:r>
      <w:r w:rsidR="005F50D5">
        <w:t>)</w:t>
      </w:r>
      <w:r w:rsidR="00311DDF">
        <w:t xml:space="preserve"> </w:t>
      </w:r>
      <w:r w:rsidRPr="00262ED3">
        <w:t>made up of the following elements:</w:t>
      </w:r>
    </w:p>
    <w:p w:rsidR="00AA3F9A" w:rsidRPr="00262ED3" w:rsidRDefault="007A6E08" w:rsidP="00D75F6B">
      <w:pPr>
        <w:pStyle w:val="ListBullet"/>
      </w:pPr>
      <w:r>
        <w:t>s</w:t>
      </w:r>
      <w:r w:rsidR="00AA3F9A">
        <w:t>ector objectives</w:t>
      </w:r>
      <w:r w:rsidR="00AA3F9A" w:rsidRPr="00262ED3">
        <w:t xml:space="preserve"> — </w:t>
      </w:r>
      <w:r w:rsidR="00AA3F9A">
        <w:t>five sector objectives</w:t>
      </w:r>
      <w:r w:rsidR="00AA3F9A" w:rsidRPr="00262ED3">
        <w:t xml:space="preserve"> </w:t>
      </w:r>
      <w:r w:rsidR="00DB3343">
        <w:t xml:space="preserve">reflect </w:t>
      </w:r>
      <w:r w:rsidR="00AA3F9A" w:rsidRPr="00262ED3">
        <w:t xml:space="preserve">the key objectives of </w:t>
      </w:r>
      <w:r w:rsidR="00AA3F9A">
        <w:t>emergency management (box D.</w:t>
      </w:r>
      <w:r w:rsidR="003E58FB">
        <w:t>2</w:t>
      </w:r>
      <w:r w:rsidR="00AA3F9A">
        <w:t>)</w:t>
      </w:r>
    </w:p>
    <w:p w:rsidR="00AA3F9A" w:rsidRDefault="007A6E08" w:rsidP="00D75F6B">
      <w:pPr>
        <w:pStyle w:val="ListBullet"/>
      </w:pPr>
      <w:r>
        <w:t>s</w:t>
      </w:r>
      <w:r w:rsidR="00AA3F9A" w:rsidRPr="00262ED3">
        <w:t>ector</w:t>
      </w:r>
      <w:r w:rsidR="001525FA">
        <w:noBreakHyphen/>
      </w:r>
      <w:r w:rsidR="00AA3F9A" w:rsidRPr="00262ED3">
        <w:t xml:space="preserve">wide indicators — </w:t>
      </w:r>
      <w:r w:rsidR="00BB25E0">
        <w:t>three</w:t>
      </w:r>
      <w:r w:rsidR="00AA3F9A">
        <w:t xml:space="preserve"> </w:t>
      </w:r>
      <w:r w:rsidR="00AA3F9A" w:rsidRPr="00262ED3">
        <w:t>sector</w:t>
      </w:r>
      <w:r w:rsidR="001525FA">
        <w:noBreakHyphen/>
      </w:r>
      <w:r w:rsidR="00AA3F9A" w:rsidRPr="00262ED3">
        <w:t xml:space="preserve">wide indicators </w:t>
      </w:r>
      <w:r w:rsidR="00AA3F9A">
        <w:t>relate to the sector objectives</w:t>
      </w:r>
      <w:r w:rsidR="00D75F6B">
        <w:t>.</w:t>
      </w:r>
    </w:p>
    <w:p w:rsidR="00D75F6B" w:rsidRDefault="00D75F6B" w:rsidP="00D75F6B">
      <w:pPr>
        <w:pStyle w:val="BodyText"/>
      </w:pPr>
      <w:bookmarkStart w:id="13" w:name="_Toc343076269"/>
      <w:bookmarkStart w:id="14" w:name="_Toc343077259"/>
    </w:p>
    <w:bookmarkEnd w:id="13"/>
    <w:bookmarkEnd w:id="14"/>
    <w:p w:rsidR="00845E9A" w:rsidRDefault="00845E9A" w:rsidP="0082131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45E9A" w:rsidTr="0082131F">
        <w:trPr>
          <w:tblHeader/>
        </w:trPr>
        <w:tc>
          <w:tcPr>
            <w:tcW w:w="8771" w:type="dxa"/>
            <w:tcBorders>
              <w:top w:val="single" w:sz="6" w:space="0" w:color="78A22F"/>
              <w:left w:val="nil"/>
              <w:bottom w:val="nil"/>
              <w:right w:val="nil"/>
            </w:tcBorders>
            <w:shd w:val="clear" w:color="auto" w:fill="auto"/>
          </w:tcPr>
          <w:p w:rsidR="00845E9A" w:rsidRPr="00176D3F" w:rsidRDefault="00845E9A" w:rsidP="003B5138">
            <w:pPr>
              <w:pStyle w:val="FigureTitle"/>
            </w:pPr>
            <w:r w:rsidRPr="00784A05">
              <w:rPr>
                <w:b w:val="0"/>
              </w:rPr>
              <w:t xml:space="preserve">Figure </w:t>
            </w:r>
            <w:proofErr w:type="spellStart"/>
            <w:r w:rsidR="00DD0613">
              <w:rPr>
                <w:b w:val="0"/>
              </w:rPr>
              <w:t>D.</w:t>
            </w:r>
            <w:r w:rsidR="00D75F6B">
              <w:rPr>
                <w:b w:val="0"/>
              </w:rPr>
              <w:t>4</w:t>
            </w:r>
            <w:proofErr w:type="spellEnd"/>
            <w:r w:rsidR="00DD0613">
              <w:tab/>
              <w:t>Emergency management sector performance indicator framework</w:t>
            </w:r>
          </w:p>
        </w:tc>
      </w:tr>
      <w:tr w:rsidR="00845E9A" w:rsidTr="00954DF7">
        <w:trPr>
          <w:trHeight w:val="5803"/>
        </w:trPr>
        <w:tc>
          <w:tcPr>
            <w:tcW w:w="8771" w:type="dxa"/>
            <w:tcBorders>
              <w:top w:val="nil"/>
              <w:left w:val="nil"/>
              <w:bottom w:val="nil"/>
              <w:right w:val="nil"/>
            </w:tcBorders>
            <w:shd w:val="clear" w:color="auto" w:fill="auto"/>
            <w:tcMar>
              <w:top w:w="28" w:type="dxa"/>
              <w:bottom w:w="28" w:type="dxa"/>
            </w:tcMar>
          </w:tcPr>
          <w:tbl>
            <w:tblPr>
              <w:tblW w:w="8353"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353"/>
            </w:tblGrid>
            <w:tr w:rsidR="00845E9A" w:rsidRPr="00B1465D" w:rsidTr="00C247C8">
              <w:trPr>
                <w:trHeight w:val="5782"/>
                <w:tblHeader/>
                <w:jc w:val="center"/>
              </w:trPr>
              <w:tc>
                <w:tcPr>
                  <w:tcW w:w="5000" w:type="pct"/>
                  <w:tcBorders>
                    <w:top w:val="nil"/>
                    <w:bottom w:val="nil"/>
                  </w:tcBorders>
                </w:tcPr>
                <w:p w:rsidR="00845E9A" w:rsidRPr="00B1465D" w:rsidRDefault="00845E9A" w:rsidP="0082131F">
                  <w:pPr>
                    <w:pStyle w:val="Figure"/>
                    <w:spacing w:before="60" w:after="60"/>
                    <w:rPr>
                      <w:rFonts w:ascii="Arial" w:hAnsi="Arial" w:cs="Arial"/>
                      <w:sz w:val="18"/>
                      <w:szCs w:val="18"/>
                    </w:rPr>
                  </w:pPr>
                  <w:r>
                    <w:rPr>
                      <w:rFonts w:ascii="Arial" w:hAnsi="Arial" w:cs="Arial"/>
                      <w:noProof/>
                      <w:sz w:val="18"/>
                      <w:szCs w:val="18"/>
                    </w:rPr>
                    <w:drawing>
                      <wp:inline distT="0" distB="0" distL="0" distR="0" wp14:anchorId="4BA8DA31" wp14:editId="27C77074">
                        <wp:extent cx="5390707" cy="3760120"/>
                        <wp:effectExtent l="0" t="0" r="635" b="0"/>
                        <wp:docPr id="9" name="Picture 9" descr="Figure D.4 Emergency managemen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3690" cy="3762201"/>
                                </a:xfrm>
                                <a:prstGeom prst="rect">
                                  <a:avLst/>
                                </a:prstGeom>
                                <a:noFill/>
                                <a:ln>
                                  <a:noFill/>
                                </a:ln>
                              </pic:spPr>
                            </pic:pic>
                          </a:graphicData>
                        </a:graphic>
                      </wp:inline>
                    </w:drawing>
                  </w:r>
                </w:p>
              </w:tc>
            </w:tr>
          </w:tbl>
          <w:p w:rsidR="00845E9A" w:rsidRDefault="00845E9A" w:rsidP="0082131F">
            <w:pPr>
              <w:pStyle w:val="Figure"/>
            </w:pPr>
          </w:p>
        </w:tc>
      </w:tr>
      <w:tr w:rsidR="00845E9A" w:rsidRPr="000863A5" w:rsidTr="0082131F">
        <w:tc>
          <w:tcPr>
            <w:tcW w:w="8771" w:type="dxa"/>
            <w:tcBorders>
              <w:top w:val="single" w:sz="6" w:space="0" w:color="78A22F"/>
              <w:left w:val="nil"/>
              <w:bottom w:val="nil"/>
              <w:right w:val="nil"/>
            </w:tcBorders>
          </w:tcPr>
          <w:p w:rsidR="00845E9A" w:rsidRPr="00626D32" w:rsidRDefault="00845E9A" w:rsidP="0082131F">
            <w:pPr>
              <w:pStyle w:val="BoxSpaceBelow"/>
            </w:pPr>
          </w:p>
        </w:tc>
      </w:tr>
    </w:tbl>
    <w:p w:rsidR="003531B4" w:rsidRPr="00262ED3" w:rsidRDefault="003531B4" w:rsidP="003531B4">
      <w:pPr>
        <w:pStyle w:val="Heading4"/>
      </w:pPr>
      <w:r>
        <w:t>Community preparedness for emergency events</w:t>
      </w:r>
    </w:p>
    <w:p w:rsidR="003531B4" w:rsidRDefault="00386D7E" w:rsidP="003531B4">
      <w:pPr>
        <w:pStyle w:val="BodyText"/>
      </w:pPr>
      <w:r>
        <w:t>‘</w:t>
      </w:r>
      <w:r w:rsidR="003531B4">
        <w:t>Community preparedness for emergency events’ is an</w:t>
      </w:r>
      <w:r w:rsidR="003531B4" w:rsidRPr="009D4350">
        <w:t xml:space="preserve"> indicator of </w:t>
      </w:r>
      <w:r w:rsidR="0073792D">
        <w:t xml:space="preserve">governments’ </w:t>
      </w:r>
      <w:r w:rsidR="003531B4">
        <w:t>objective</w:t>
      </w:r>
      <w:r w:rsidR="0073792D">
        <w:t>s</w:t>
      </w:r>
      <w:r w:rsidR="003531B4">
        <w:t xml:space="preserve"> </w:t>
      </w:r>
      <w:r w:rsidR="003531B4" w:rsidRPr="009D4350">
        <w:t xml:space="preserve">to </w:t>
      </w:r>
      <w:r w:rsidR="003531B4" w:rsidRPr="009F2CED">
        <w:t>reduce the adverse effects of emergencies and disasters on the community and to contribute to the management of risks to the community</w:t>
      </w:r>
      <w:r w:rsidR="003531B4" w:rsidRPr="009D4350">
        <w:t xml:space="preserve"> (box</w:t>
      </w:r>
      <w:r w:rsidR="003531B4">
        <w:t> D.</w:t>
      </w:r>
      <w:r w:rsidR="001808D9">
        <w:t>3</w:t>
      </w:r>
      <w:r w:rsidR="003531B4" w:rsidRPr="00262ED3">
        <w:t>).</w:t>
      </w:r>
    </w:p>
    <w:p w:rsidR="003531B4" w:rsidRPr="00257EE1" w:rsidRDefault="003531B4" w:rsidP="003531B4">
      <w:pPr>
        <w:pStyle w:val="BoxSpaceAbove"/>
        <w:rPr>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7304" w:rsidRPr="003531B4" w:rsidTr="0044196A">
        <w:tc>
          <w:tcPr>
            <w:tcW w:w="8771" w:type="dxa"/>
            <w:tcBorders>
              <w:top w:val="single" w:sz="6" w:space="0" w:color="78A22F"/>
              <w:left w:val="nil"/>
              <w:bottom w:val="nil"/>
              <w:right w:val="nil"/>
            </w:tcBorders>
            <w:shd w:val="clear" w:color="auto" w:fill="F2F2F2" w:themeFill="background1" w:themeFillShade="F2"/>
          </w:tcPr>
          <w:p w:rsidR="003531B4" w:rsidRPr="003531B4" w:rsidRDefault="003531B4" w:rsidP="0044196A">
            <w:pPr>
              <w:pStyle w:val="BoxTitle"/>
            </w:pPr>
            <w:r w:rsidRPr="003531B4">
              <w:rPr>
                <w:b w:val="0"/>
              </w:rPr>
              <w:t xml:space="preserve">Box </w:t>
            </w:r>
            <w:proofErr w:type="spellStart"/>
            <w:r w:rsidR="008B6E30">
              <w:rPr>
                <w:b w:val="0"/>
              </w:rPr>
              <w:t>D.</w:t>
            </w:r>
            <w:r w:rsidR="00642BBB">
              <w:rPr>
                <w:b w:val="0"/>
                <w:noProof/>
              </w:rPr>
              <w:t>3</w:t>
            </w:r>
            <w:proofErr w:type="spellEnd"/>
            <w:r w:rsidRPr="003531B4">
              <w:tab/>
            </w:r>
            <w:r>
              <w:t>Community preparedness for emergency events</w:t>
            </w:r>
          </w:p>
        </w:tc>
      </w:tr>
      <w:tr w:rsidR="00D07304" w:rsidRPr="003531B4" w:rsidTr="0044196A">
        <w:trPr>
          <w:cantSplit/>
        </w:trPr>
        <w:tc>
          <w:tcPr>
            <w:tcW w:w="8771" w:type="dxa"/>
            <w:tcBorders>
              <w:top w:val="nil"/>
              <w:left w:val="nil"/>
              <w:bottom w:val="nil"/>
              <w:right w:val="nil"/>
            </w:tcBorders>
            <w:shd w:val="clear" w:color="auto" w:fill="F2F2F2" w:themeFill="background1" w:themeFillShade="F2"/>
          </w:tcPr>
          <w:p w:rsidR="003531B4" w:rsidRPr="003531B4" w:rsidRDefault="003531B4" w:rsidP="0044196A">
            <w:pPr>
              <w:pStyle w:val="Box"/>
              <w:rPr>
                <w:szCs w:val="24"/>
              </w:rPr>
            </w:pPr>
            <w:r w:rsidRPr="003531B4">
              <w:t>‘</w:t>
            </w:r>
            <w:r>
              <w:t>Community preparedness for emergency events</w:t>
            </w:r>
            <w:r w:rsidRPr="003531B4">
              <w:t xml:space="preserve">’ is defined as the number of </w:t>
            </w:r>
            <w:r>
              <w:t>people who</w:t>
            </w:r>
            <w:r w:rsidR="007D421C">
              <w:t xml:space="preserve"> know what to do to prepare for an emergency and/or </w:t>
            </w:r>
            <w:r>
              <w:t>ha</w:t>
            </w:r>
            <w:r w:rsidR="007D421C">
              <w:t>ve</w:t>
            </w:r>
            <w:r>
              <w:t xml:space="preserve"> developed an emergency plan</w:t>
            </w:r>
            <w:r w:rsidR="0073792D">
              <w:t xml:space="preserve">, </w:t>
            </w:r>
            <w:r w:rsidRPr="003531B4">
              <w:t xml:space="preserve">divided by the total </w:t>
            </w:r>
            <w:r>
              <w:t>population</w:t>
            </w:r>
            <w:r w:rsidRPr="003531B4">
              <w:t>.</w:t>
            </w:r>
          </w:p>
          <w:p w:rsidR="003531B4" w:rsidRPr="003531B4" w:rsidRDefault="003531B4" w:rsidP="0044196A">
            <w:pPr>
              <w:pStyle w:val="Box"/>
              <w:rPr>
                <w:szCs w:val="24"/>
              </w:rPr>
            </w:pPr>
            <w:r w:rsidRPr="003531B4">
              <w:t xml:space="preserve">The higher the proportion of </w:t>
            </w:r>
            <w:r w:rsidR="00080BFE">
              <w:t>the population</w:t>
            </w:r>
            <w:r w:rsidR="00080BFE" w:rsidRPr="003531B4">
              <w:t xml:space="preserve"> </w:t>
            </w:r>
            <w:r w:rsidR="003C22C7">
              <w:t>who are prepared for an emergency event</w:t>
            </w:r>
            <w:r w:rsidRPr="003531B4">
              <w:t xml:space="preserve">, the </w:t>
            </w:r>
            <w:r w:rsidR="000A2580">
              <w:t>more likely the impact of emergency events will be minimised</w:t>
            </w:r>
            <w:r w:rsidRPr="003531B4">
              <w:t>.</w:t>
            </w:r>
          </w:p>
          <w:p w:rsidR="003531B4" w:rsidRPr="003531B4" w:rsidRDefault="003531B4" w:rsidP="0044196A">
            <w:pPr>
              <w:pStyle w:val="Box"/>
            </w:pPr>
            <w:r w:rsidRPr="003531B4">
              <w:t>Data reported for this measure are:</w:t>
            </w:r>
          </w:p>
          <w:p w:rsidR="003531B4" w:rsidRPr="003531B4" w:rsidRDefault="003531B4" w:rsidP="0044196A">
            <w:pPr>
              <w:pStyle w:val="BoxListBullet"/>
            </w:pPr>
            <w:r w:rsidRPr="003531B4">
              <w:t xml:space="preserve">comparable (subject to caveats) across jurisdictions </w:t>
            </w:r>
            <w:r w:rsidR="0073792D">
              <w:t>(</w:t>
            </w:r>
            <w:r w:rsidR="00EF35CC">
              <w:t>only available for one reporting period</w:t>
            </w:r>
            <w:r w:rsidR="0073792D">
              <w:t>)</w:t>
            </w:r>
          </w:p>
          <w:p w:rsidR="003531B4" w:rsidRPr="003531B4" w:rsidRDefault="003531B4" w:rsidP="003B5138">
            <w:pPr>
              <w:pStyle w:val="BoxListBullet"/>
            </w:pPr>
            <w:r w:rsidRPr="003531B4">
              <w:t>complete (subject to caveats) for the 2011-12 reporting period. All required 201</w:t>
            </w:r>
            <w:r w:rsidR="000A2580">
              <w:t>1</w:t>
            </w:r>
            <w:r w:rsidRPr="003531B4">
              <w:t>-1</w:t>
            </w:r>
            <w:r w:rsidR="000A2580">
              <w:t>2</w:t>
            </w:r>
            <w:r w:rsidRPr="003531B4">
              <w:t xml:space="preserve"> data are available for all jurisdictions.</w:t>
            </w:r>
          </w:p>
        </w:tc>
      </w:tr>
      <w:tr w:rsidR="00D07304" w:rsidRPr="003531B4" w:rsidTr="0044196A">
        <w:trPr>
          <w:cantSplit/>
        </w:trPr>
        <w:tc>
          <w:tcPr>
            <w:tcW w:w="8771" w:type="dxa"/>
            <w:tcBorders>
              <w:top w:val="nil"/>
              <w:left w:val="nil"/>
              <w:bottom w:val="single" w:sz="6" w:space="0" w:color="78A22F"/>
              <w:right w:val="nil"/>
            </w:tcBorders>
            <w:shd w:val="clear" w:color="auto" w:fill="F2F2F2" w:themeFill="background1" w:themeFillShade="F2"/>
          </w:tcPr>
          <w:p w:rsidR="003531B4" w:rsidRPr="003531B4" w:rsidRDefault="003531B4" w:rsidP="0044196A">
            <w:pPr>
              <w:pStyle w:val="Box"/>
              <w:spacing w:before="0" w:line="120" w:lineRule="exact"/>
            </w:pPr>
          </w:p>
        </w:tc>
      </w:tr>
      <w:tr w:rsidR="003531B4" w:rsidRPr="00893137" w:rsidTr="0044196A">
        <w:tc>
          <w:tcPr>
            <w:tcW w:w="8771" w:type="dxa"/>
            <w:tcBorders>
              <w:top w:val="single" w:sz="6" w:space="0" w:color="78A22F"/>
              <w:left w:val="nil"/>
              <w:bottom w:val="nil"/>
              <w:right w:val="nil"/>
            </w:tcBorders>
          </w:tcPr>
          <w:p w:rsidR="003531B4" w:rsidRPr="00257EE1" w:rsidRDefault="003531B4" w:rsidP="0044196A">
            <w:pPr>
              <w:pStyle w:val="BoxSpaceBelow"/>
              <w:rPr>
                <w:color w:val="FF00FF"/>
              </w:rPr>
            </w:pPr>
          </w:p>
        </w:tc>
      </w:tr>
    </w:tbl>
    <w:p w:rsidR="00B2497F" w:rsidRDefault="00D75F6B" w:rsidP="003B5138">
      <w:pPr>
        <w:pStyle w:val="BodyText"/>
      </w:pPr>
      <w:r>
        <w:lastRenderedPageBreak/>
        <w:t>N</w:t>
      </w:r>
      <w:r w:rsidR="00080BFE">
        <w:t>ationally</w:t>
      </w:r>
      <w:r w:rsidR="006A4136">
        <w:t xml:space="preserve"> </w:t>
      </w:r>
      <w:r w:rsidR="00DB3343">
        <w:t>in 2011</w:t>
      </w:r>
      <w:r w:rsidR="00DB3343">
        <w:noBreakHyphen/>
        <w:t>12</w:t>
      </w:r>
      <w:r w:rsidR="009A5AEB">
        <w:t xml:space="preserve">, </w:t>
      </w:r>
      <w:r w:rsidR="00A36A4F">
        <w:t>30.7</w:t>
      </w:r>
      <w:r w:rsidR="00B2497F">
        <w:t> </w:t>
      </w:r>
      <w:r w:rsidR="00A36A4F">
        <w:t xml:space="preserve">per cent </w:t>
      </w:r>
      <w:r w:rsidR="006A4136">
        <w:t>of respondents report</w:t>
      </w:r>
      <w:r w:rsidR="00B2497F">
        <w:t>ed</w:t>
      </w:r>
      <w:r w:rsidR="006A4136">
        <w:t xml:space="preserve"> that they </w:t>
      </w:r>
      <w:r w:rsidR="00B2497F">
        <w:t>had</w:t>
      </w:r>
      <w:r w:rsidR="006A4136">
        <w:t xml:space="preserve"> developed emergency plans in the event of a natural disaster</w:t>
      </w:r>
      <w:r w:rsidR="00A36A4F">
        <w:t xml:space="preserve">, while 29.9 per cent of respondents stated that they had ‘a fair bit’ or ‘a lot’ of knowledge of </w:t>
      </w:r>
      <w:r w:rsidR="00A36A4F" w:rsidRPr="00A36A4F">
        <w:t>what to do to prepare for natural disasters</w:t>
      </w:r>
      <w:r w:rsidR="00A36A4F">
        <w:t xml:space="preserve"> (</w:t>
      </w:r>
      <w:r w:rsidR="00343BD9">
        <w:t>table DA.8</w:t>
      </w:r>
      <w:r w:rsidR="00080BFE">
        <w:t>)</w:t>
      </w:r>
      <w:r w:rsidR="003C4FC7">
        <w:t>.</w:t>
      </w:r>
      <w:r w:rsidR="00AA3AF7">
        <w:t xml:space="preserve"> People were more likely to have developed an emergency plan where they perceived that a natural disaster was likely to occur in their community or if they perceived that a natural disaster was likely to affect their home (figure D.5)</w:t>
      </w:r>
      <w:r w:rsidR="00904A52">
        <w:t>.</w:t>
      </w:r>
    </w:p>
    <w:p w:rsidR="00210EA0" w:rsidRDefault="00210EA0" w:rsidP="00441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0EA0" w:rsidTr="0044196A">
        <w:tc>
          <w:tcPr>
            <w:tcW w:w="8771" w:type="dxa"/>
            <w:tcBorders>
              <w:top w:val="single" w:sz="6" w:space="0" w:color="78A22F"/>
              <w:left w:val="nil"/>
              <w:bottom w:val="nil"/>
              <w:right w:val="nil"/>
            </w:tcBorders>
            <w:shd w:val="clear" w:color="auto" w:fill="auto"/>
          </w:tcPr>
          <w:p w:rsidR="00210EA0" w:rsidRPr="00A42D2D" w:rsidRDefault="00210EA0" w:rsidP="003C22C7">
            <w:pPr>
              <w:pStyle w:val="FigureTitle"/>
              <w:rPr>
                <w:vertAlign w:val="superscript"/>
              </w:rPr>
            </w:pPr>
            <w:r w:rsidRPr="00784A05">
              <w:rPr>
                <w:b w:val="0"/>
              </w:rPr>
              <w:t xml:space="preserve">Figure </w:t>
            </w:r>
            <w:bookmarkStart w:id="15" w:name="OLE_LINK3"/>
            <w:proofErr w:type="spellStart"/>
            <w:r w:rsidR="008B6E30">
              <w:rPr>
                <w:b w:val="0"/>
              </w:rPr>
              <w:t>D.</w:t>
            </w:r>
            <w:bookmarkEnd w:id="15"/>
            <w:r w:rsidR="003C22C7">
              <w:rPr>
                <w:b w:val="0"/>
              </w:rPr>
              <w:t>5</w:t>
            </w:r>
            <w:proofErr w:type="spellEnd"/>
            <w:r>
              <w:tab/>
            </w:r>
            <w:r w:rsidRPr="00210EA0">
              <w:t>Proportion of people that have developed emergency plans in the event of a natural disaster</w:t>
            </w:r>
            <w:r w:rsidR="00A42D2D">
              <w:t>, 2011-12</w:t>
            </w:r>
            <w:r w:rsidR="00842C63">
              <w:rPr>
                <w:vertAlign w:val="superscript"/>
              </w:rPr>
              <w:t>a</w:t>
            </w:r>
          </w:p>
        </w:tc>
      </w:tr>
      <w:tr w:rsidR="00210EA0" w:rsidTr="0044196A">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210EA0" w:rsidTr="007860CE">
              <w:trPr>
                <w:jc w:val="center"/>
              </w:trPr>
              <w:tc>
                <w:tcPr>
                  <w:tcW w:w="5000" w:type="pct"/>
                  <w:tcBorders>
                    <w:top w:val="nil"/>
                    <w:bottom w:val="nil"/>
                  </w:tcBorders>
                </w:tcPr>
                <w:p w:rsidR="00210EA0" w:rsidRPr="007860CE" w:rsidRDefault="0025579C" w:rsidP="007860CE">
                  <w:pPr>
                    <w:pStyle w:val="Figure"/>
                  </w:pPr>
                  <w:r>
                    <w:rPr>
                      <w:noProof/>
                    </w:rPr>
                    <w:drawing>
                      <wp:inline distT="0" distB="0" distL="0" distR="0" wp14:anchorId="2931E623" wp14:editId="7A5697F1">
                        <wp:extent cx="5419725" cy="2686050"/>
                        <wp:effectExtent l="0" t="0" r="9525" b="0"/>
                        <wp:docPr id="1" name="Picture 1" descr="Figure D.5 Proportion of people that have developed emergency plans in the event of a natural disaster,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725" cy="2686050"/>
                                </a:xfrm>
                                <a:prstGeom prst="rect">
                                  <a:avLst/>
                                </a:prstGeom>
                                <a:noFill/>
                                <a:ln>
                                  <a:noFill/>
                                </a:ln>
                              </pic:spPr>
                            </pic:pic>
                          </a:graphicData>
                        </a:graphic>
                      </wp:inline>
                    </w:drawing>
                  </w:r>
                </w:p>
              </w:tc>
            </w:tr>
          </w:tbl>
          <w:p w:rsidR="00210EA0" w:rsidRDefault="00210EA0" w:rsidP="0044196A">
            <w:pPr>
              <w:pStyle w:val="Figure"/>
            </w:pPr>
          </w:p>
        </w:tc>
      </w:tr>
      <w:tr w:rsidR="00210EA0" w:rsidRPr="00176D3F" w:rsidTr="0044196A">
        <w:tc>
          <w:tcPr>
            <w:tcW w:w="8771" w:type="dxa"/>
            <w:tcBorders>
              <w:top w:val="nil"/>
              <w:left w:val="nil"/>
              <w:bottom w:val="nil"/>
              <w:right w:val="nil"/>
            </w:tcBorders>
            <w:shd w:val="clear" w:color="auto" w:fill="auto"/>
          </w:tcPr>
          <w:p w:rsidR="00210EA0" w:rsidRPr="00176D3F" w:rsidRDefault="00210EA0" w:rsidP="001D4EE3">
            <w:pPr>
              <w:pStyle w:val="Note"/>
              <w:keepNext/>
            </w:pPr>
            <w:r>
              <w:rPr>
                <w:rStyle w:val="NoteLabel"/>
              </w:rPr>
              <w:t>a</w:t>
            </w:r>
            <w:r>
              <w:t xml:space="preserve"> </w:t>
            </w:r>
            <w:r w:rsidR="001D4EE3" w:rsidRPr="001D4EE3">
              <w:t xml:space="preserve">See </w:t>
            </w:r>
            <w:r w:rsidR="009E56E8">
              <w:t xml:space="preserve">box D.3 and </w:t>
            </w:r>
            <w:r w:rsidR="001D4EE3" w:rsidRPr="001D4EE3">
              <w:t>table DA.</w:t>
            </w:r>
            <w:r w:rsidR="001D4EE3">
              <w:t xml:space="preserve">8 </w:t>
            </w:r>
            <w:r w:rsidR="009E56E8" w:rsidRPr="009E56E8">
              <w:t>detailed definitions, footnotes and caveats</w:t>
            </w:r>
            <w:r w:rsidR="001D4EE3">
              <w:t>.</w:t>
            </w:r>
          </w:p>
        </w:tc>
      </w:tr>
      <w:tr w:rsidR="00210EA0" w:rsidRPr="00176D3F" w:rsidTr="0044196A">
        <w:tc>
          <w:tcPr>
            <w:tcW w:w="8771" w:type="dxa"/>
            <w:tcBorders>
              <w:top w:val="nil"/>
              <w:left w:val="nil"/>
              <w:bottom w:val="nil"/>
              <w:right w:val="nil"/>
            </w:tcBorders>
            <w:shd w:val="clear" w:color="auto" w:fill="auto"/>
          </w:tcPr>
          <w:p w:rsidR="00210EA0" w:rsidRPr="00176D3F" w:rsidRDefault="006A4136" w:rsidP="00516E1B">
            <w:pPr>
              <w:pStyle w:val="Source"/>
            </w:pPr>
            <w:r>
              <w:rPr>
                <w:i/>
              </w:rPr>
              <w:t>S</w:t>
            </w:r>
            <w:r w:rsidR="00210EA0" w:rsidRPr="00784A05">
              <w:rPr>
                <w:i/>
              </w:rPr>
              <w:t>ource</w:t>
            </w:r>
            <w:r w:rsidR="00210EA0" w:rsidRPr="00176D3F">
              <w:t xml:space="preserve">: </w:t>
            </w:r>
            <w:r w:rsidRPr="006A4136">
              <w:t xml:space="preserve">Western, M., Mazerolle, L., </w:t>
            </w:r>
            <w:r>
              <w:t>and</w:t>
            </w:r>
            <w:r w:rsidR="000E291E">
              <w:t xml:space="preserve"> </w:t>
            </w:r>
            <w:proofErr w:type="spellStart"/>
            <w:r w:rsidRPr="006A4136">
              <w:t>Boreham</w:t>
            </w:r>
            <w:proofErr w:type="spellEnd"/>
            <w:r w:rsidRPr="006A4136">
              <w:t>, P.</w:t>
            </w:r>
            <w:r w:rsidR="00CC0532">
              <w:t xml:space="preserve"> (2012),</w:t>
            </w:r>
            <w:r w:rsidRPr="006A4136">
              <w:t xml:space="preserve"> </w:t>
            </w:r>
            <w:r w:rsidRPr="007A6E08">
              <w:rPr>
                <w:i/>
              </w:rPr>
              <w:t>National Security and Preparedness Survey 2011-12</w:t>
            </w:r>
            <w:r w:rsidR="00B57038">
              <w:t>; table DA.8.</w:t>
            </w:r>
          </w:p>
        </w:tc>
      </w:tr>
      <w:tr w:rsidR="00210EA0" w:rsidTr="0044196A">
        <w:tc>
          <w:tcPr>
            <w:tcW w:w="8771" w:type="dxa"/>
            <w:tcBorders>
              <w:top w:val="nil"/>
              <w:left w:val="nil"/>
              <w:bottom w:val="single" w:sz="6" w:space="0" w:color="78A22F"/>
              <w:right w:val="nil"/>
            </w:tcBorders>
            <w:shd w:val="clear" w:color="auto" w:fill="auto"/>
          </w:tcPr>
          <w:p w:rsidR="00210EA0" w:rsidRDefault="00210EA0" w:rsidP="0044196A">
            <w:pPr>
              <w:pStyle w:val="Figurespace"/>
            </w:pPr>
          </w:p>
        </w:tc>
      </w:tr>
      <w:tr w:rsidR="00210EA0" w:rsidRPr="000863A5" w:rsidTr="0044196A">
        <w:tc>
          <w:tcPr>
            <w:tcW w:w="8771" w:type="dxa"/>
            <w:tcBorders>
              <w:top w:val="single" w:sz="6" w:space="0" w:color="78A22F"/>
              <w:left w:val="nil"/>
              <w:bottom w:val="nil"/>
              <w:right w:val="nil"/>
            </w:tcBorders>
          </w:tcPr>
          <w:p w:rsidR="00210EA0" w:rsidRPr="00626D32" w:rsidRDefault="00210EA0" w:rsidP="0044196A">
            <w:pPr>
              <w:pStyle w:val="BoxSpaceBelow"/>
            </w:pPr>
          </w:p>
        </w:tc>
      </w:tr>
    </w:tbl>
    <w:p w:rsidR="00DE2D11" w:rsidRPr="00262ED3" w:rsidRDefault="00DE2D11" w:rsidP="005A64EF">
      <w:pPr>
        <w:pStyle w:val="Heading4"/>
        <w:shd w:val="clear" w:color="auto" w:fill="FFFFFF" w:themeFill="background1"/>
      </w:pPr>
      <w:r w:rsidRPr="00B65CEF">
        <w:t xml:space="preserve">Total asset loss from </w:t>
      </w:r>
      <w:r>
        <w:t>emergency events</w:t>
      </w:r>
      <w:r w:rsidRPr="00B65CEF">
        <w:t xml:space="preserve"> </w:t>
      </w:r>
    </w:p>
    <w:p w:rsidR="00DE2D11" w:rsidRDefault="00DE2D11" w:rsidP="00DE2D11">
      <w:pPr>
        <w:pStyle w:val="BodyText"/>
      </w:pPr>
      <w:r>
        <w:t>‘</w:t>
      </w:r>
      <w:r w:rsidRPr="009D4350">
        <w:t>T</w:t>
      </w:r>
      <w:r>
        <w:t>otal asset loss from emergency events’ is an</w:t>
      </w:r>
      <w:r w:rsidRPr="009D4350">
        <w:t xml:space="preserve"> indicator of </w:t>
      </w:r>
      <w:r w:rsidR="00EB0156">
        <w:t xml:space="preserve">the </w:t>
      </w:r>
      <w:r w:rsidR="0073792D">
        <w:t xml:space="preserve">governments’ </w:t>
      </w:r>
      <w:r w:rsidR="00EB0156">
        <w:t>objective</w:t>
      </w:r>
      <w:r w:rsidR="001D435B">
        <w:t>s</w:t>
      </w:r>
      <w:r w:rsidR="00EB0156">
        <w:t xml:space="preserve"> </w:t>
      </w:r>
      <w:r w:rsidRPr="009D4350">
        <w:t xml:space="preserve">to </w:t>
      </w:r>
      <w:r w:rsidR="002D5083" w:rsidRPr="009F2CED">
        <w:t xml:space="preserve">reduce the adverse effects of emergencies and disasters on the community </w:t>
      </w:r>
      <w:r w:rsidR="001D435B" w:rsidRPr="009F2CED">
        <w:t>and to contribute to the management of risks to the community</w:t>
      </w:r>
      <w:r w:rsidRPr="009D4350">
        <w:t xml:space="preserve"> (box</w:t>
      </w:r>
      <w:r>
        <w:t> </w:t>
      </w:r>
      <w:r w:rsidR="002A3ECC">
        <w:t>D.</w:t>
      </w:r>
      <w:r w:rsidR="001808D9">
        <w:t>4</w:t>
      </w:r>
      <w:r w:rsidRPr="00262ED3">
        <w:t>).</w:t>
      </w:r>
    </w:p>
    <w:p w:rsidR="00A273B7" w:rsidRDefault="00A273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73B7" w:rsidTr="00E33E05">
        <w:tc>
          <w:tcPr>
            <w:tcW w:w="8771" w:type="dxa"/>
            <w:tcBorders>
              <w:top w:val="single" w:sz="6" w:space="0" w:color="78A22F"/>
              <w:left w:val="nil"/>
              <w:bottom w:val="nil"/>
              <w:right w:val="nil"/>
            </w:tcBorders>
            <w:shd w:val="clear" w:color="auto" w:fill="F2F2F2" w:themeFill="background1" w:themeFillShade="F2"/>
          </w:tcPr>
          <w:p w:rsidR="00A273B7" w:rsidRDefault="00A273B7">
            <w:pPr>
              <w:pStyle w:val="BoxTitle"/>
            </w:pPr>
            <w:r>
              <w:rPr>
                <w:b w:val="0"/>
              </w:rPr>
              <w:t xml:space="preserve">Box </w:t>
            </w:r>
            <w:bookmarkStart w:id="16" w:name="OLE_LINK7"/>
            <w:proofErr w:type="spellStart"/>
            <w:r w:rsidR="008B6E30">
              <w:rPr>
                <w:b w:val="0"/>
              </w:rPr>
              <w:t>D.</w:t>
            </w:r>
            <w:r w:rsidR="00642BBB">
              <w:rPr>
                <w:b w:val="0"/>
                <w:noProof/>
              </w:rPr>
              <w:t>4</w:t>
            </w:r>
            <w:bookmarkEnd w:id="16"/>
            <w:proofErr w:type="spellEnd"/>
            <w:r>
              <w:tab/>
            </w:r>
            <w:r w:rsidRPr="00B65CEF">
              <w:t xml:space="preserve">Total asset loss from </w:t>
            </w:r>
            <w:r>
              <w:t>emergency events</w:t>
            </w:r>
          </w:p>
        </w:tc>
      </w:tr>
      <w:tr w:rsidR="00A273B7" w:rsidTr="00E33E05">
        <w:trPr>
          <w:cantSplit/>
        </w:trPr>
        <w:tc>
          <w:tcPr>
            <w:tcW w:w="8771" w:type="dxa"/>
            <w:tcBorders>
              <w:top w:val="nil"/>
              <w:left w:val="nil"/>
              <w:bottom w:val="nil"/>
              <w:right w:val="nil"/>
            </w:tcBorders>
            <w:shd w:val="clear" w:color="auto" w:fill="F2F2F2" w:themeFill="background1" w:themeFillShade="F2"/>
          </w:tcPr>
          <w:p w:rsidR="00A273B7" w:rsidRDefault="0002620A" w:rsidP="002604D1">
            <w:pPr>
              <w:pStyle w:val="Box"/>
            </w:pPr>
            <w:r>
              <w:t>‘</w:t>
            </w:r>
            <w:r w:rsidRPr="009D4350">
              <w:t>T</w:t>
            </w:r>
            <w:r>
              <w:t xml:space="preserve">otal asset loss from emergency events’ is </w:t>
            </w:r>
            <w:r w:rsidRPr="0002620A">
              <w:t>defined as the insured asset losses incurred by the community following disaster event</w:t>
            </w:r>
            <w:r w:rsidR="00572D4D">
              <w:t>s</w:t>
            </w:r>
            <w:r w:rsidR="00D74028">
              <w:t>,</w:t>
            </w:r>
            <w:r>
              <w:t xml:space="preserve"> divided by the total population. Insured asset losses</w:t>
            </w:r>
            <w:r w:rsidR="00A273B7" w:rsidRPr="001272EC">
              <w:t xml:space="preserve"> </w:t>
            </w:r>
            <w:r w:rsidR="00A273B7">
              <w:t xml:space="preserve">are </w:t>
            </w:r>
            <w:r w:rsidR="00A273B7" w:rsidRPr="001272EC">
              <w:t>derived from general insurance companies</w:t>
            </w:r>
            <w:r w:rsidR="00736328">
              <w:t xml:space="preserve"> submissions</w:t>
            </w:r>
            <w:r w:rsidR="00A273B7" w:rsidRPr="001272EC">
              <w:t xml:space="preserve"> following large events incurring cos</w:t>
            </w:r>
            <w:r w:rsidR="003B5138">
              <w:t xml:space="preserve">t to the community and insurers. </w:t>
            </w:r>
            <w:r w:rsidR="002604D1" w:rsidRPr="001272EC">
              <w:t>Events are only recorded where there is a potential for the insured loss to exceed $10</w:t>
            </w:r>
            <w:r w:rsidR="002604D1">
              <w:t> </w:t>
            </w:r>
            <w:r w:rsidR="002604D1" w:rsidRPr="001272EC">
              <w:t>mil</w:t>
            </w:r>
            <w:r w:rsidR="002604D1">
              <w:t>lion</w:t>
            </w:r>
            <w:r w:rsidR="00736328">
              <w:t>, so m</w:t>
            </w:r>
            <w:r w:rsidR="002604D1" w:rsidRPr="001272EC">
              <w:t>any large single losses occur</w:t>
            </w:r>
            <w:r w:rsidR="009E56E8">
              <w:t>ring</w:t>
            </w:r>
            <w:r w:rsidR="002604D1" w:rsidRPr="001272EC">
              <w:t xml:space="preserve"> on a day to day basis are not </w:t>
            </w:r>
            <w:r w:rsidR="00DA0571">
              <w:t>included</w:t>
            </w:r>
            <w:r w:rsidR="002604D1" w:rsidRPr="001272EC">
              <w:t>.</w:t>
            </w:r>
            <w:r w:rsidR="002604D1">
              <w:t xml:space="preserve"> </w:t>
            </w:r>
            <w:r w:rsidR="00DA0571">
              <w:t xml:space="preserve">Other asset losses </w:t>
            </w:r>
            <w:r w:rsidR="00A273B7" w:rsidRPr="00CE3C0C">
              <w:t xml:space="preserve">not currently </w:t>
            </w:r>
            <w:r w:rsidR="00736328">
              <w:t>included relate to</w:t>
            </w:r>
            <w:r w:rsidR="00A273B7">
              <w:t>:</w:t>
            </w:r>
            <w:r w:rsidR="00A273B7" w:rsidRPr="00CE3C0C">
              <w:t xml:space="preserve"> </w:t>
            </w:r>
          </w:p>
          <w:p w:rsidR="00A273B7" w:rsidRDefault="00516E1B" w:rsidP="00E33E05">
            <w:pPr>
              <w:pStyle w:val="BoxListBullet"/>
              <w:keepNext w:val="0"/>
            </w:pPr>
            <w:r>
              <w:t>for all levels of</w:t>
            </w:r>
            <w:r w:rsidR="00A273B7">
              <w:t xml:space="preserve"> </w:t>
            </w:r>
            <w:r w:rsidR="00A273B7" w:rsidRPr="00CE3C0C">
              <w:t>government</w:t>
            </w:r>
            <w:r w:rsidR="00A273B7">
              <w:t xml:space="preserve"> — </w:t>
            </w:r>
            <w:r w:rsidR="00A273B7" w:rsidRPr="00B73A74">
              <w:t xml:space="preserve">uninsurable assets such as roads, bridges, </w:t>
            </w:r>
            <w:r w:rsidR="00C03461">
              <w:t xml:space="preserve">and </w:t>
            </w:r>
            <w:r w:rsidR="00A273B7" w:rsidRPr="00B73A74">
              <w:t>recreational facilities are not considered</w:t>
            </w:r>
            <w:r w:rsidR="0010717E">
              <w:t xml:space="preserve"> (th</w:t>
            </w:r>
            <w:r w:rsidR="00A273B7" w:rsidRPr="00B73A74">
              <w:t>is is of greatest significance in rural and remote areas</w:t>
            </w:r>
            <w:r w:rsidR="0010717E">
              <w:t>)</w:t>
            </w:r>
            <w:r w:rsidR="00A273B7" w:rsidRPr="00B73A74">
              <w:t xml:space="preserve"> </w:t>
            </w:r>
          </w:p>
          <w:p w:rsidR="00A273B7" w:rsidRDefault="00A273B7" w:rsidP="00E33E05">
            <w:pPr>
              <w:pStyle w:val="BoxListBullet"/>
              <w:keepNext w:val="0"/>
            </w:pPr>
            <w:r w:rsidRPr="00CE3C0C">
              <w:t>remedial and environmental damage costs (including pollution of foreshores and</w:t>
            </w:r>
            <w:r>
              <w:t xml:space="preserve"> riverbanks and beach erosion)</w:t>
            </w:r>
            <w:r w:rsidR="0010717E">
              <w:t>.</w:t>
            </w:r>
          </w:p>
          <w:p w:rsidR="00934C22" w:rsidRDefault="00934C22" w:rsidP="00934C22">
            <w:pPr>
              <w:pStyle w:val="Box"/>
            </w:pPr>
            <w:r>
              <w:t xml:space="preserve">Annual insured asset losses need to be interpreted with caution. They can be particularly volatile overtime due to the influence of large irregular emergency events such as bushfires (chapter 9) and extreme weather events. For most jurisdictions, the value of asset losses can be very low (or zero) in most years, punctuated by large natural disaster events (table </w:t>
            </w:r>
            <w:proofErr w:type="spellStart"/>
            <w:r>
              <w:t>DA.10</w:t>
            </w:r>
            <w:proofErr w:type="spellEnd"/>
            <w:r>
              <w:t>).</w:t>
            </w:r>
          </w:p>
          <w:p w:rsidR="00A273B7" w:rsidRDefault="00A273B7" w:rsidP="00AE2CED">
            <w:pPr>
              <w:pStyle w:val="Box"/>
            </w:pPr>
            <w:r w:rsidRPr="00113E91">
              <w:t xml:space="preserve">A low or decreasing </w:t>
            </w:r>
            <w:r>
              <w:t>value of total asset loss from emergency</w:t>
            </w:r>
            <w:r w:rsidRPr="001272EC">
              <w:t xml:space="preserve"> </w:t>
            </w:r>
            <w:r>
              <w:t xml:space="preserve">events </w:t>
            </w:r>
            <w:r w:rsidRPr="00113E91">
              <w:t>is desirable.</w:t>
            </w:r>
          </w:p>
          <w:p w:rsidR="00A273B7" w:rsidRDefault="00A273B7" w:rsidP="00A273B7">
            <w:pPr>
              <w:pStyle w:val="Box"/>
              <w:ind w:right="-138"/>
            </w:pPr>
            <w:r>
              <w:t>Data for these measures are:</w:t>
            </w:r>
          </w:p>
          <w:p w:rsidR="00A273B7" w:rsidRPr="00764BB9" w:rsidRDefault="00A273B7" w:rsidP="00A273B7">
            <w:pPr>
              <w:pStyle w:val="BoxListBullet"/>
            </w:pPr>
            <w:r w:rsidRPr="00764BB9">
              <w:t>comparable (subject to caveats) across jurisdictions and over time</w:t>
            </w:r>
          </w:p>
          <w:p w:rsidR="00A273B7" w:rsidRDefault="00A273B7" w:rsidP="003B5138">
            <w:pPr>
              <w:pStyle w:val="BoxListBullet"/>
            </w:pPr>
            <w:r>
              <w:t>complete (subject to caveats) for the current reporting period</w:t>
            </w:r>
            <w:r w:rsidRPr="0052371F">
              <w:t xml:space="preserve">. All required </w:t>
            </w:r>
            <w:r w:rsidR="00B745C3">
              <w:t>2015</w:t>
            </w:r>
            <w:r w:rsidR="0039132D">
              <w:t>-</w:t>
            </w:r>
            <w:r w:rsidR="00B745C3">
              <w:t xml:space="preserve">16 </w:t>
            </w:r>
            <w:r w:rsidRPr="0052371F">
              <w:t>data are available for all jurisdictions.</w:t>
            </w:r>
          </w:p>
        </w:tc>
      </w:tr>
      <w:tr w:rsidR="00A273B7" w:rsidTr="00E33E05">
        <w:trPr>
          <w:cantSplit/>
        </w:trPr>
        <w:tc>
          <w:tcPr>
            <w:tcW w:w="8771" w:type="dxa"/>
            <w:tcBorders>
              <w:top w:val="nil"/>
              <w:left w:val="nil"/>
              <w:bottom w:val="nil"/>
              <w:right w:val="nil"/>
            </w:tcBorders>
            <w:shd w:val="clear" w:color="auto" w:fill="F2F2F2" w:themeFill="background1" w:themeFillShade="F2"/>
          </w:tcPr>
          <w:p w:rsidR="00A273B7" w:rsidRDefault="00A273B7" w:rsidP="00DF61C9">
            <w:pPr>
              <w:pStyle w:val="BoxSource"/>
            </w:pPr>
            <w:r>
              <w:rPr>
                <w:i/>
              </w:rPr>
              <w:t>Source</w:t>
            </w:r>
            <w:r w:rsidRPr="00167F06">
              <w:t xml:space="preserve">: </w:t>
            </w:r>
            <w:r>
              <w:t>ICA (201</w:t>
            </w:r>
            <w:r w:rsidR="00E34B7A">
              <w:t>4</w:t>
            </w:r>
            <w:r>
              <w:t xml:space="preserve">); </w:t>
            </w:r>
            <w:r w:rsidR="00E34B7A">
              <w:t>AEM</w:t>
            </w:r>
            <w:r>
              <w:t xml:space="preserve"> (</w:t>
            </w:r>
            <w:r w:rsidR="00DA0571">
              <w:t>2015</w:t>
            </w:r>
            <w:r>
              <w:t>).</w:t>
            </w:r>
          </w:p>
        </w:tc>
      </w:tr>
      <w:tr w:rsidR="00A273B7" w:rsidTr="00E33E05">
        <w:trPr>
          <w:cantSplit/>
        </w:trPr>
        <w:tc>
          <w:tcPr>
            <w:tcW w:w="8771" w:type="dxa"/>
            <w:tcBorders>
              <w:top w:val="nil"/>
              <w:left w:val="nil"/>
              <w:bottom w:val="single" w:sz="6" w:space="0" w:color="78A22F"/>
              <w:right w:val="nil"/>
            </w:tcBorders>
            <w:shd w:val="clear" w:color="auto" w:fill="F2F2F2" w:themeFill="background1" w:themeFillShade="F2"/>
          </w:tcPr>
          <w:p w:rsidR="00A273B7" w:rsidRDefault="00A273B7">
            <w:pPr>
              <w:pStyle w:val="Box"/>
              <w:spacing w:before="0" w:line="120" w:lineRule="exact"/>
            </w:pPr>
          </w:p>
        </w:tc>
      </w:tr>
      <w:tr w:rsidR="00A273B7" w:rsidRPr="000863A5" w:rsidTr="00E33E05">
        <w:tc>
          <w:tcPr>
            <w:tcW w:w="8771" w:type="dxa"/>
            <w:tcBorders>
              <w:top w:val="single" w:sz="6" w:space="0" w:color="78A22F"/>
              <w:left w:val="nil"/>
              <w:bottom w:val="nil"/>
              <w:right w:val="nil"/>
            </w:tcBorders>
          </w:tcPr>
          <w:p w:rsidR="00A273B7" w:rsidRPr="00626D32" w:rsidRDefault="00A273B7" w:rsidP="00E33E05">
            <w:pPr>
              <w:pStyle w:val="BoxSpaceBelow"/>
            </w:pPr>
          </w:p>
        </w:tc>
      </w:tr>
    </w:tbl>
    <w:p w:rsidR="002F4FE9" w:rsidRPr="007A6E08" w:rsidRDefault="00E03CB4" w:rsidP="002F4FE9">
      <w:pPr>
        <w:pStyle w:val="BodyText"/>
        <w:rPr>
          <w:color w:val="000000" w:themeColor="text1"/>
        </w:rPr>
      </w:pPr>
      <w:bookmarkStart w:id="17" w:name="_Toc343076270"/>
      <w:bookmarkStart w:id="18" w:name="_Toc343077260"/>
      <w:r>
        <w:t>Nationally</w:t>
      </w:r>
      <w:r w:rsidR="00516E1B">
        <w:t xml:space="preserve"> in 201</w:t>
      </w:r>
      <w:r w:rsidR="000625AD">
        <w:t>5</w:t>
      </w:r>
      <w:r w:rsidR="00516E1B">
        <w:t>-1</w:t>
      </w:r>
      <w:r w:rsidR="000625AD">
        <w:t>6</w:t>
      </w:r>
      <w:r>
        <w:t>, the insured asset loss from emergency events was $</w:t>
      </w:r>
      <w:r w:rsidR="006A318F" w:rsidRPr="0050687F">
        <w:rPr>
          <w:color w:val="000000" w:themeColor="text1"/>
        </w:rPr>
        <w:t>1.1</w:t>
      </w:r>
      <w:r w:rsidR="00F260BD" w:rsidRPr="0050687F">
        <w:rPr>
          <w:color w:val="000000" w:themeColor="text1"/>
        </w:rPr>
        <w:t xml:space="preserve"> </w:t>
      </w:r>
      <w:r w:rsidR="00CB1130" w:rsidRPr="0050687F">
        <w:rPr>
          <w:color w:val="000000" w:themeColor="text1"/>
        </w:rPr>
        <w:t>billion</w:t>
      </w:r>
      <w:r w:rsidR="00516E1B">
        <w:t xml:space="preserve">, equating to </w:t>
      </w:r>
      <w:r>
        <w:t>$</w:t>
      </w:r>
      <w:r w:rsidR="006A318F">
        <w:t>45.13</w:t>
      </w:r>
      <w:r w:rsidR="00F260BD">
        <w:t xml:space="preserve"> </w:t>
      </w:r>
      <w:r>
        <w:t>per person</w:t>
      </w:r>
      <w:r w:rsidR="00FB4532">
        <w:t xml:space="preserve"> in the population</w:t>
      </w:r>
      <w:r w:rsidR="00C03461">
        <w:t xml:space="preserve"> (table</w:t>
      </w:r>
      <w:r w:rsidR="00C9558F">
        <w:t>s</w:t>
      </w:r>
      <w:r w:rsidR="00C03461">
        <w:t> DA.9</w:t>
      </w:r>
      <w:r w:rsidR="00757BB9">
        <w:t>–</w:t>
      </w:r>
      <w:r w:rsidR="00C9558F">
        <w:t>10</w:t>
      </w:r>
      <w:r w:rsidR="004C2F75">
        <w:t xml:space="preserve"> </w:t>
      </w:r>
      <w:r w:rsidR="002F4FE9" w:rsidRPr="00975203">
        <w:rPr>
          <w:color w:val="000000" w:themeColor="text1"/>
        </w:rPr>
        <w:t xml:space="preserve">and figure D.6). </w:t>
      </w:r>
    </w:p>
    <w:p w:rsidR="00E03CB4" w:rsidRDefault="00E03CB4" w:rsidP="00226A4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3CB4" w:rsidTr="00226A44">
        <w:tc>
          <w:tcPr>
            <w:tcW w:w="8771" w:type="dxa"/>
            <w:tcBorders>
              <w:top w:val="single" w:sz="6" w:space="0" w:color="78A22F"/>
              <w:left w:val="nil"/>
              <w:bottom w:val="nil"/>
              <w:right w:val="nil"/>
            </w:tcBorders>
            <w:shd w:val="clear" w:color="auto" w:fill="auto"/>
          </w:tcPr>
          <w:p w:rsidR="00E03CB4" w:rsidRPr="0083419D" w:rsidRDefault="00E03CB4" w:rsidP="008D2405">
            <w:pPr>
              <w:pStyle w:val="FigureTitle"/>
              <w:rPr>
                <w:vertAlign w:val="superscript"/>
              </w:rPr>
            </w:pPr>
            <w:r w:rsidRPr="00784A05">
              <w:rPr>
                <w:b w:val="0"/>
              </w:rPr>
              <w:t xml:space="preserve">Figure </w:t>
            </w:r>
            <w:bookmarkStart w:id="19" w:name="OLE_LINK12"/>
            <w:proofErr w:type="spellStart"/>
            <w:r w:rsidR="008B6E30">
              <w:rPr>
                <w:b w:val="0"/>
              </w:rPr>
              <w:t>D.</w:t>
            </w:r>
            <w:bookmarkEnd w:id="19"/>
            <w:r w:rsidR="008D2405">
              <w:rPr>
                <w:b w:val="0"/>
              </w:rPr>
              <w:t>6</w:t>
            </w:r>
            <w:proofErr w:type="spellEnd"/>
            <w:r>
              <w:tab/>
            </w:r>
            <w:r w:rsidR="00B06C92" w:rsidRPr="00B06C92">
              <w:t>Asset loss from emergency events</w:t>
            </w:r>
            <w:r w:rsidR="002F4FE9">
              <w:t xml:space="preserve"> </w:t>
            </w:r>
            <w:r w:rsidR="00B06C92" w:rsidRPr="00B06C92">
              <w:t>(</w:t>
            </w:r>
            <w:r w:rsidR="00D221EA" w:rsidRPr="00B06C92">
              <w:t>201</w:t>
            </w:r>
            <w:r w:rsidR="00D221EA">
              <w:t>5</w:t>
            </w:r>
            <w:r w:rsidR="003E7D1B">
              <w:noBreakHyphen/>
            </w:r>
            <w:r w:rsidR="00D221EA" w:rsidRPr="00B06C92">
              <w:t>1</w:t>
            </w:r>
            <w:r w:rsidR="00D221EA">
              <w:t>6</w:t>
            </w:r>
            <w:r w:rsidR="00D221EA" w:rsidRPr="00B06C92">
              <w:t xml:space="preserve"> </w:t>
            </w:r>
            <w:r w:rsidR="00B06C92" w:rsidRPr="00B06C92">
              <w:t>dollars)</w:t>
            </w:r>
            <w:r w:rsidR="00842C63">
              <w:rPr>
                <w:vertAlign w:val="superscript"/>
              </w:rPr>
              <w:t>a</w:t>
            </w:r>
          </w:p>
        </w:tc>
      </w:tr>
      <w:tr w:rsidR="00E03CB4" w:rsidTr="00226A44">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A5731C" w:rsidTr="00397E4D">
              <w:trPr>
                <w:trHeight w:val="1244"/>
                <w:jc w:val="center"/>
              </w:trPr>
              <w:tc>
                <w:tcPr>
                  <w:tcW w:w="5000" w:type="pct"/>
                  <w:tcBorders>
                    <w:top w:val="nil"/>
                    <w:bottom w:val="nil"/>
                  </w:tcBorders>
                </w:tcPr>
                <w:p w:rsidR="0025579C" w:rsidRPr="00F14299" w:rsidRDefault="00337A16" w:rsidP="00F14299">
                  <w:pPr>
                    <w:pStyle w:val="Figure"/>
                  </w:pPr>
                  <w:r>
                    <w:rPr>
                      <w:noProof/>
                    </w:rPr>
                    <w:drawing>
                      <wp:inline distT="0" distB="0" distL="0" distR="0" wp14:anchorId="670FE079" wp14:editId="67237FC2">
                        <wp:extent cx="5400675" cy="2762250"/>
                        <wp:effectExtent l="0" t="0" r="9525" b="0"/>
                        <wp:docPr id="5" name="Picture 5" descr="Figure D.6 Asset loss from emergency events,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762250"/>
                                </a:xfrm>
                                <a:prstGeom prst="rect">
                                  <a:avLst/>
                                </a:prstGeom>
                                <a:noFill/>
                                <a:ln>
                                  <a:noFill/>
                                </a:ln>
                              </pic:spPr>
                            </pic:pic>
                          </a:graphicData>
                        </a:graphic>
                      </wp:inline>
                    </w:drawing>
                  </w:r>
                </w:p>
              </w:tc>
            </w:tr>
          </w:tbl>
          <w:p w:rsidR="00E03CB4" w:rsidRDefault="00E03CB4" w:rsidP="00226A44">
            <w:pPr>
              <w:pStyle w:val="Figure"/>
            </w:pPr>
          </w:p>
        </w:tc>
      </w:tr>
      <w:tr w:rsidR="00E03CB4" w:rsidRPr="00176D3F" w:rsidTr="00226A44">
        <w:tc>
          <w:tcPr>
            <w:tcW w:w="8771" w:type="dxa"/>
            <w:tcBorders>
              <w:top w:val="nil"/>
              <w:left w:val="nil"/>
              <w:bottom w:val="nil"/>
              <w:right w:val="nil"/>
            </w:tcBorders>
            <w:shd w:val="clear" w:color="auto" w:fill="auto"/>
          </w:tcPr>
          <w:p w:rsidR="00E03CB4" w:rsidRPr="00176D3F" w:rsidRDefault="006101B5" w:rsidP="00240982">
            <w:pPr>
              <w:pStyle w:val="Note"/>
            </w:pPr>
            <w:r w:rsidRPr="00261C7E">
              <w:rPr>
                <w:rStyle w:val="NoteLabel"/>
              </w:rPr>
              <w:t>a</w:t>
            </w:r>
            <w:r>
              <w:rPr>
                <w:rStyle w:val="NoteLabel"/>
              </w:rPr>
              <w:t> </w:t>
            </w:r>
            <w:r w:rsidR="00240982" w:rsidRPr="00240982">
              <w:t xml:space="preserve">See </w:t>
            </w:r>
            <w:r w:rsidR="009E56E8">
              <w:t xml:space="preserve">box D.4 and </w:t>
            </w:r>
            <w:r w:rsidR="00240982" w:rsidRPr="00240982">
              <w:t>table DA.</w:t>
            </w:r>
            <w:r w:rsidR="00240982">
              <w:t xml:space="preserve">9 </w:t>
            </w:r>
            <w:r w:rsidR="00240982" w:rsidRPr="00240982">
              <w:t xml:space="preserve">for </w:t>
            </w:r>
            <w:r w:rsidR="009E56E8" w:rsidRPr="009E56E8">
              <w:t>detailed definitions, footnotes and caveats</w:t>
            </w:r>
            <w:r w:rsidR="00240982">
              <w:t>.</w:t>
            </w:r>
          </w:p>
        </w:tc>
      </w:tr>
      <w:tr w:rsidR="00E03CB4" w:rsidRPr="00176D3F" w:rsidTr="00226A44">
        <w:tc>
          <w:tcPr>
            <w:tcW w:w="8771" w:type="dxa"/>
            <w:tcBorders>
              <w:top w:val="nil"/>
              <w:left w:val="nil"/>
              <w:bottom w:val="nil"/>
              <w:right w:val="nil"/>
            </w:tcBorders>
            <w:shd w:val="clear" w:color="auto" w:fill="auto"/>
          </w:tcPr>
          <w:p w:rsidR="00E03CB4" w:rsidRPr="00176D3F" w:rsidRDefault="006101B5" w:rsidP="00F14299">
            <w:pPr>
              <w:pStyle w:val="Source"/>
            </w:pPr>
            <w:r w:rsidRPr="00984110">
              <w:rPr>
                <w:i/>
              </w:rPr>
              <w:t>Source</w:t>
            </w:r>
            <w:r>
              <w:t>: ICA (201</w:t>
            </w:r>
            <w:r w:rsidR="00F14299">
              <w:t>6</w:t>
            </w:r>
            <w:r>
              <w:t xml:space="preserve">), </w:t>
            </w:r>
            <w:r w:rsidRPr="00262ED3">
              <w:t xml:space="preserve">table </w:t>
            </w:r>
            <w:r>
              <w:t>D</w:t>
            </w:r>
            <w:r w:rsidRPr="00262ED3">
              <w:t>A.</w:t>
            </w:r>
            <w:r>
              <w:t>9</w:t>
            </w:r>
            <w:r w:rsidRPr="00262ED3">
              <w:t>.</w:t>
            </w:r>
          </w:p>
        </w:tc>
      </w:tr>
      <w:tr w:rsidR="00E03CB4" w:rsidTr="00226A44">
        <w:tc>
          <w:tcPr>
            <w:tcW w:w="8771" w:type="dxa"/>
            <w:tcBorders>
              <w:top w:val="nil"/>
              <w:left w:val="nil"/>
              <w:bottom w:val="single" w:sz="6" w:space="0" w:color="78A22F"/>
              <w:right w:val="nil"/>
            </w:tcBorders>
            <w:shd w:val="clear" w:color="auto" w:fill="auto"/>
          </w:tcPr>
          <w:p w:rsidR="00E03CB4" w:rsidRDefault="00E03CB4" w:rsidP="00226A44">
            <w:pPr>
              <w:pStyle w:val="Figurespace"/>
            </w:pPr>
          </w:p>
        </w:tc>
      </w:tr>
      <w:tr w:rsidR="00E03CB4" w:rsidRPr="000863A5" w:rsidTr="00226A44">
        <w:tc>
          <w:tcPr>
            <w:tcW w:w="8771" w:type="dxa"/>
            <w:tcBorders>
              <w:top w:val="single" w:sz="6" w:space="0" w:color="78A22F"/>
              <w:left w:val="nil"/>
              <w:bottom w:val="nil"/>
              <w:right w:val="nil"/>
            </w:tcBorders>
          </w:tcPr>
          <w:p w:rsidR="00E03CB4" w:rsidRPr="00626D32" w:rsidRDefault="00E03CB4" w:rsidP="00226A44">
            <w:pPr>
              <w:pStyle w:val="BoxSpaceBelow"/>
            </w:pPr>
          </w:p>
        </w:tc>
      </w:tr>
    </w:tbl>
    <w:bookmarkEnd w:id="17"/>
    <w:bookmarkEnd w:id="18"/>
    <w:p w:rsidR="00DE2D11" w:rsidRPr="00262ED3" w:rsidRDefault="00DE2D11" w:rsidP="003E7D1B">
      <w:pPr>
        <w:pStyle w:val="Heading4"/>
      </w:pPr>
      <w:r w:rsidRPr="00B65CEF">
        <w:t xml:space="preserve">Deaths from emergency events </w:t>
      </w:r>
    </w:p>
    <w:p w:rsidR="00397E4D" w:rsidRDefault="00DE2D11" w:rsidP="002D5083">
      <w:pPr>
        <w:pStyle w:val="BodyText"/>
      </w:pPr>
      <w:r>
        <w:t>‘</w:t>
      </w:r>
      <w:r w:rsidRPr="00B65CEF">
        <w:t>Deaths from emergency events</w:t>
      </w:r>
      <w:r>
        <w:t>’ is an</w:t>
      </w:r>
      <w:r w:rsidRPr="009D4350">
        <w:t xml:space="preserve"> indicator of governments’ objective</w:t>
      </w:r>
      <w:r w:rsidR="00FD76AE">
        <w:t>s</w:t>
      </w:r>
      <w:r w:rsidRPr="009D4350">
        <w:t xml:space="preserve"> to</w:t>
      </w:r>
      <w:r w:rsidRPr="009F2CED">
        <w:t xml:space="preserve"> </w:t>
      </w:r>
      <w:r w:rsidR="002D5083" w:rsidRPr="009F2CED">
        <w:t>reduce the adverse effects of emergencies and disasters on the community (including people, property, infrastructure, economy and environment)</w:t>
      </w:r>
      <w:r w:rsidR="00305D72" w:rsidRPr="009F2CED">
        <w:t xml:space="preserve"> and to enhance public safety</w:t>
      </w:r>
      <w:r w:rsidR="002D5083">
        <w:t xml:space="preserve"> </w:t>
      </w:r>
      <w:r w:rsidRPr="00262ED3">
        <w:t>(box </w:t>
      </w:r>
      <w:r w:rsidR="004A5FB9">
        <w:t>D.</w:t>
      </w:r>
      <w:r w:rsidR="00D221EA">
        <w:t>5</w:t>
      </w:r>
      <w:r w:rsidRPr="00262ED3">
        <w:t xml:space="preserve">). </w:t>
      </w:r>
    </w:p>
    <w:p w:rsidR="00FB0A41" w:rsidRDefault="00FB0A4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F2F2F2" w:themeFill="background1" w:themeFillShade="F2"/>
          </w:tcPr>
          <w:p w:rsidR="00FB0A41" w:rsidRDefault="00FB0A41" w:rsidP="00D221EA">
            <w:pPr>
              <w:pStyle w:val="BoxTitle"/>
            </w:pPr>
            <w:r>
              <w:rPr>
                <w:b w:val="0"/>
              </w:rPr>
              <w:t xml:space="preserve">Box </w:t>
            </w:r>
            <w:proofErr w:type="spellStart"/>
            <w:r w:rsidR="00337FD8">
              <w:rPr>
                <w:b w:val="0"/>
              </w:rPr>
              <w:t>D.</w:t>
            </w:r>
            <w:r w:rsidR="00D221EA">
              <w:rPr>
                <w:b w:val="0"/>
              </w:rPr>
              <w:t>5</w:t>
            </w:r>
            <w:proofErr w:type="spellEnd"/>
            <w:r>
              <w:tab/>
            </w:r>
            <w:r w:rsidRPr="00B65CEF">
              <w:t>Deaths from emergency events</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FB0A41">
            <w:pPr>
              <w:pStyle w:val="Box"/>
            </w:pPr>
            <w:r w:rsidRPr="00262ED3">
              <w:t>‘</w:t>
            </w:r>
            <w:r w:rsidRPr="00B65CEF">
              <w:t>Deaths from emergency events</w:t>
            </w:r>
            <w:r w:rsidRPr="00262ED3">
              <w:t xml:space="preserve">’ is defined as </w:t>
            </w:r>
            <w:r>
              <w:t>the number of deaths</w:t>
            </w:r>
            <w:r w:rsidR="00FD76AE">
              <w:t xml:space="preserve"> from emergency events</w:t>
            </w:r>
            <w:r>
              <w:t xml:space="preserve"> per </w:t>
            </w:r>
            <w:r w:rsidR="00C708C1">
              <w:t xml:space="preserve">million people in a </w:t>
            </w:r>
            <w:r>
              <w:t>calendar year</w:t>
            </w:r>
            <w:r w:rsidR="00C708C1">
              <w:t xml:space="preserve">. Three </w:t>
            </w:r>
            <w:r>
              <w:t>categories</w:t>
            </w:r>
            <w:r w:rsidR="00C708C1">
              <w:t xml:space="preserve"> are presented</w:t>
            </w:r>
            <w:r>
              <w:t>:</w:t>
            </w:r>
          </w:p>
          <w:p w:rsidR="00FB0A41" w:rsidRDefault="00FB0A41" w:rsidP="00FB0A41">
            <w:pPr>
              <w:pStyle w:val="BoxListBullet"/>
            </w:pPr>
            <w:r>
              <w:t>road traffic deaths — deaths primarily caused by accidents involving road transport vehicles</w:t>
            </w:r>
          </w:p>
          <w:p w:rsidR="00FB0A41" w:rsidRDefault="00FB0A41" w:rsidP="00FB0A41">
            <w:pPr>
              <w:pStyle w:val="BoxListBullet"/>
            </w:pPr>
            <w:r>
              <w:t>fire deaths — deaths primarily caused by exposure to smoke, fire or flames</w:t>
            </w:r>
          </w:p>
          <w:p w:rsidR="00FB0A41" w:rsidRPr="00262ED3" w:rsidRDefault="00FB0A41" w:rsidP="00FB0A41">
            <w:pPr>
              <w:pStyle w:val="BoxListBullet"/>
            </w:pPr>
            <w:r>
              <w:t>deaths from e</w:t>
            </w:r>
            <w:r w:rsidRPr="00FE2860">
              <w:t>xposure to forces of nature</w:t>
            </w:r>
            <w:r>
              <w:t xml:space="preserve"> — including exposure to excessive natural heat</w:t>
            </w:r>
            <w:r w:rsidR="00FD76AE">
              <w:t xml:space="preserve"> or cold</w:t>
            </w:r>
            <w:r>
              <w:t xml:space="preserve">, exposure to sunlight, victim of lightning, victim of earthquake, victim of volcanic eruption, victim of avalanche, landslide and other earth movements, victim of cataclysmic storm, and victim of flood. </w:t>
            </w:r>
          </w:p>
          <w:p w:rsidR="00FB0A41" w:rsidRPr="00262ED3" w:rsidRDefault="00FB0A41" w:rsidP="00FB0A41">
            <w:pPr>
              <w:pStyle w:val="Box"/>
            </w:pPr>
            <w:r w:rsidRPr="00262ED3">
              <w:t xml:space="preserve">A low or decreasing </w:t>
            </w:r>
            <w:r>
              <w:t xml:space="preserve">number </w:t>
            </w:r>
            <w:r w:rsidRPr="00262ED3">
              <w:t xml:space="preserve">of </w:t>
            </w:r>
            <w:r>
              <w:t>d</w:t>
            </w:r>
            <w:r w:rsidRPr="00B65CEF">
              <w:t>eaths from emergency events</w:t>
            </w:r>
            <w:r>
              <w:t xml:space="preserve"> </w:t>
            </w:r>
            <w:r w:rsidRPr="00262ED3">
              <w:t>is desirable.</w:t>
            </w:r>
          </w:p>
          <w:p w:rsidR="00ED247B" w:rsidRPr="00F648FD" w:rsidRDefault="00ED247B" w:rsidP="00ED247B">
            <w:pPr>
              <w:pStyle w:val="Box"/>
            </w:pPr>
            <w:r w:rsidRPr="00F648FD">
              <w:t>Caution should be taken when interpreting these results as the ABS have randomly assigned values in categories where the number of deaths are low, to protect confidentiality.</w:t>
            </w:r>
          </w:p>
          <w:p w:rsidR="00FB0A41" w:rsidRDefault="00FB0A41" w:rsidP="00FB0A41">
            <w:pPr>
              <w:pStyle w:val="Box"/>
              <w:keepNext w:val="0"/>
              <w:ind w:right="-138"/>
            </w:pPr>
            <w:r>
              <w:t>Data for these measures are:</w:t>
            </w:r>
          </w:p>
          <w:p w:rsidR="00FB0A41" w:rsidRPr="00764BB9" w:rsidRDefault="00FB0A41" w:rsidP="00FB0A41">
            <w:pPr>
              <w:pStyle w:val="BoxListBullet"/>
            </w:pPr>
            <w:r w:rsidRPr="00764BB9">
              <w:t>comparable (subject to caveats) across jurisdictions and over time</w:t>
            </w:r>
          </w:p>
          <w:p w:rsidR="00FB0A41" w:rsidRDefault="00FB0A41" w:rsidP="00F648FD">
            <w:pPr>
              <w:pStyle w:val="BoxListBullet"/>
            </w:pPr>
            <w:r w:rsidRPr="00930A54">
              <w:rPr>
                <w:color w:val="000000" w:themeColor="text1"/>
              </w:rPr>
              <w:t>complete (subject to caveats) for the current reporting period. All required 201</w:t>
            </w:r>
            <w:r w:rsidR="00736328">
              <w:rPr>
                <w:color w:val="000000" w:themeColor="text1"/>
              </w:rPr>
              <w:t>5</w:t>
            </w:r>
            <w:r w:rsidRPr="00930A54">
              <w:rPr>
                <w:color w:val="000000" w:themeColor="text1"/>
              </w:rPr>
              <w:t xml:space="preserve"> data are available for all jurisdictions.</w:t>
            </w:r>
            <w:r w:rsidR="0039132D" w:rsidRPr="00930A54">
              <w:rPr>
                <w:color w:val="000000" w:themeColor="text1"/>
              </w:rPr>
              <w:t xml:space="preserve"> </w:t>
            </w:r>
          </w:p>
        </w:tc>
      </w:tr>
      <w:tr w:rsidR="00FB0A41" w:rsidTr="00E33E05">
        <w:trPr>
          <w:cantSplit/>
        </w:trPr>
        <w:tc>
          <w:tcPr>
            <w:tcW w:w="8771" w:type="dxa"/>
            <w:tcBorders>
              <w:top w:val="nil"/>
              <w:left w:val="nil"/>
              <w:bottom w:val="single" w:sz="6" w:space="0" w:color="78A22F"/>
              <w:right w:val="nil"/>
            </w:tcBorders>
            <w:shd w:val="clear" w:color="auto" w:fill="F2F2F2" w:themeFill="background1" w:themeFillShade="F2"/>
          </w:tcPr>
          <w:p w:rsidR="00FB0A41" w:rsidRDefault="00FB0A41">
            <w:pPr>
              <w:pStyle w:val="Box"/>
              <w:spacing w:before="0" w:line="120" w:lineRule="exact"/>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EF2FA9" w:rsidRDefault="00876403" w:rsidP="00876403">
      <w:pPr>
        <w:pStyle w:val="BodyText"/>
        <w:rPr>
          <w:color w:val="000000" w:themeColor="text1"/>
        </w:rPr>
      </w:pPr>
      <w:bookmarkStart w:id="20" w:name="_Toc343076271"/>
      <w:bookmarkStart w:id="21" w:name="_Toc343077261"/>
      <w:r w:rsidRPr="00EF2FA9">
        <w:rPr>
          <w:color w:val="000000" w:themeColor="text1"/>
        </w:rPr>
        <w:t>Nationally</w:t>
      </w:r>
      <w:r w:rsidR="00FD76AE">
        <w:rPr>
          <w:color w:val="000000" w:themeColor="text1"/>
        </w:rPr>
        <w:t xml:space="preserve"> in </w:t>
      </w:r>
      <w:r w:rsidR="00D557AE">
        <w:rPr>
          <w:color w:val="000000" w:themeColor="text1"/>
        </w:rPr>
        <w:t>2015</w:t>
      </w:r>
      <w:r w:rsidRPr="00EF2FA9">
        <w:rPr>
          <w:color w:val="000000" w:themeColor="text1"/>
        </w:rPr>
        <w:t xml:space="preserve">, there were </w:t>
      </w:r>
      <w:r w:rsidR="00EF2FA9" w:rsidRPr="00EF2FA9">
        <w:rPr>
          <w:color w:val="000000" w:themeColor="text1"/>
        </w:rPr>
        <w:t>5</w:t>
      </w:r>
      <w:r w:rsidR="00F260BD">
        <w:rPr>
          <w:color w:val="000000" w:themeColor="text1"/>
        </w:rPr>
        <w:t>8.3</w:t>
      </w:r>
      <w:r w:rsidRPr="00EF2FA9">
        <w:rPr>
          <w:color w:val="000000" w:themeColor="text1"/>
        </w:rPr>
        <w:t xml:space="preserve"> </w:t>
      </w:r>
      <w:r w:rsidR="003E7D1B" w:rsidRPr="00EF2FA9">
        <w:rPr>
          <w:color w:val="000000" w:themeColor="text1"/>
        </w:rPr>
        <w:t xml:space="preserve">deaths </w:t>
      </w:r>
      <w:r w:rsidRPr="00EF2FA9">
        <w:rPr>
          <w:color w:val="000000" w:themeColor="text1"/>
        </w:rPr>
        <w:t>per million people</w:t>
      </w:r>
      <w:r w:rsidR="004B7E48">
        <w:rPr>
          <w:color w:val="000000" w:themeColor="text1"/>
        </w:rPr>
        <w:t xml:space="preserve"> </w:t>
      </w:r>
      <w:r w:rsidRPr="00EF2FA9">
        <w:rPr>
          <w:color w:val="000000" w:themeColor="text1"/>
        </w:rPr>
        <w:t>from emergency events</w:t>
      </w:r>
      <w:r w:rsidR="00EF2FA9">
        <w:rPr>
          <w:color w:val="000000" w:themeColor="text1"/>
        </w:rPr>
        <w:t xml:space="preserve">, a decrease from </w:t>
      </w:r>
      <w:r w:rsidR="00DF61C9">
        <w:rPr>
          <w:color w:val="000000" w:themeColor="text1"/>
        </w:rPr>
        <w:t>60.3</w:t>
      </w:r>
      <w:r w:rsidR="00F260BD">
        <w:rPr>
          <w:color w:val="000000" w:themeColor="text1"/>
        </w:rPr>
        <w:t xml:space="preserve"> </w:t>
      </w:r>
      <w:r w:rsidR="00EF2FA9">
        <w:rPr>
          <w:color w:val="000000" w:themeColor="text1"/>
        </w:rPr>
        <w:t>deaths per million people in 201</w:t>
      </w:r>
      <w:r w:rsidR="00F260BD">
        <w:rPr>
          <w:color w:val="000000" w:themeColor="text1"/>
        </w:rPr>
        <w:t>4</w:t>
      </w:r>
      <w:r w:rsidR="00FD76AE">
        <w:rPr>
          <w:color w:val="000000" w:themeColor="text1"/>
        </w:rPr>
        <w:t xml:space="preserve"> (table DA.13)</w:t>
      </w:r>
      <w:r w:rsidR="00EF2FA9">
        <w:rPr>
          <w:color w:val="000000" w:themeColor="text1"/>
        </w:rPr>
        <w:t>.</w:t>
      </w:r>
    </w:p>
    <w:p w:rsidR="00FE464E" w:rsidRDefault="00FE464E" w:rsidP="00A5731C">
      <w:pPr>
        <w:pStyle w:val="Heading5"/>
        <w:shd w:val="clear" w:color="auto" w:fill="FFFFFF" w:themeFill="background1"/>
      </w:pPr>
      <w:r>
        <w:t xml:space="preserve">Road traffic deaths </w:t>
      </w:r>
    </w:p>
    <w:p w:rsidR="00FE464E" w:rsidRPr="00930A54" w:rsidRDefault="00FE464E" w:rsidP="00FE464E">
      <w:pPr>
        <w:pStyle w:val="BodyText"/>
        <w:rPr>
          <w:color w:val="000000" w:themeColor="text1"/>
        </w:rPr>
      </w:pPr>
      <w:r w:rsidRPr="00930A54">
        <w:rPr>
          <w:color w:val="000000" w:themeColor="text1"/>
        </w:rPr>
        <w:t>Road crash incidents are the single largest contributor to deaths from emergency events reported</w:t>
      </w:r>
      <w:r w:rsidR="00C920BF">
        <w:rPr>
          <w:color w:val="000000" w:themeColor="text1"/>
        </w:rPr>
        <w:t>, making up 90 per cent of these deaths (tables DA.11 and DA.13)</w:t>
      </w:r>
      <w:r w:rsidRPr="00930A54">
        <w:rPr>
          <w:color w:val="000000" w:themeColor="text1"/>
        </w:rPr>
        <w:t xml:space="preserve">. </w:t>
      </w:r>
    </w:p>
    <w:p w:rsidR="00B15A24" w:rsidRDefault="00B15A24" w:rsidP="00B15A24">
      <w:pPr>
        <w:pStyle w:val="BodyText"/>
        <w:rPr>
          <w:color w:val="000000" w:themeColor="text1"/>
        </w:rPr>
      </w:pPr>
      <w:r w:rsidRPr="008F6FA3">
        <w:rPr>
          <w:color w:val="000000" w:themeColor="text1"/>
        </w:rPr>
        <w:t>From 198</w:t>
      </w:r>
      <w:r w:rsidR="00DD2CE9">
        <w:rPr>
          <w:color w:val="000000" w:themeColor="text1"/>
        </w:rPr>
        <w:t>6</w:t>
      </w:r>
      <w:r w:rsidRPr="008F6FA3">
        <w:rPr>
          <w:color w:val="000000" w:themeColor="text1"/>
        </w:rPr>
        <w:t xml:space="preserve"> to 201</w:t>
      </w:r>
      <w:r w:rsidR="00DD2CE9">
        <w:rPr>
          <w:color w:val="000000" w:themeColor="text1"/>
        </w:rPr>
        <w:t>5</w:t>
      </w:r>
      <w:r w:rsidRPr="008F6FA3">
        <w:rPr>
          <w:color w:val="000000" w:themeColor="text1"/>
        </w:rPr>
        <w:t xml:space="preserve">, road traffic deaths declined from </w:t>
      </w:r>
      <w:r w:rsidR="008F6FA3" w:rsidRPr="008F6FA3">
        <w:rPr>
          <w:color w:val="000000" w:themeColor="text1"/>
        </w:rPr>
        <w:t>1</w:t>
      </w:r>
      <w:r w:rsidR="00DD2CE9">
        <w:rPr>
          <w:color w:val="000000" w:themeColor="text1"/>
        </w:rPr>
        <w:t xml:space="preserve">87.3 </w:t>
      </w:r>
      <w:r w:rsidRPr="008F6FA3">
        <w:rPr>
          <w:color w:val="000000" w:themeColor="text1"/>
        </w:rPr>
        <w:t xml:space="preserve">to </w:t>
      </w:r>
      <w:r w:rsidR="008F6FA3" w:rsidRPr="008F6FA3">
        <w:rPr>
          <w:color w:val="000000" w:themeColor="text1"/>
        </w:rPr>
        <w:t>5</w:t>
      </w:r>
      <w:r w:rsidR="003E2216">
        <w:rPr>
          <w:color w:val="000000" w:themeColor="text1"/>
        </w:rPr>
        <w:t>2.</w:t>
      </w:r>
      <w:r w:rsidR="00DD2CE9">
        <w:rPr>
          <w:color w:val="000000" w:themeColor="text1"/>
        </w:rPr>
        <w:t>9</w:t>
      </w:r>
      <w:r w:rsidR="003E7D1B" w:rsidRPr="008F6FA3">
        <w:rPr>
          <w:color w:val="000000" w:themeColor="text1"/>
        </w:rPr>
        <w:t> </w:t>
      </w:r>
      <w:r w:rsidRPr="008F6FA3">
        <w:rPr>
          <w:color w:val="000000" w:themeColor="text1"/>
        </w:rPr>
        <w:t>deaths</w:t>
      </w:r>
      <w:r w:rsidR="003E7D1B" w:rsidRPr="008F6FA3">
        <w:rPr>
          <w:color w:val="000000" w:themeColor="text1"/>
        </w:rPr>
        <w:t> </w:t>
      </w:r>
      <w:r w:rsidRPr="008F6FA3">
        <w:rPr>
          <w:color w:val="000000" w:themeColor="text1"/>
        </w:rPr>
        <w:t>per</w:t>
      </w:r>
      <w:r w:rsidR="003E7D1B" w:rsidRPr="008F6FA3">
        <w:rPr>
          <w:color w:val="000000" w:themeColor="text1"/>
        </w:rPr>
        <w:t> </w:t>
      </w:r>
      <w:r w:rsidRPr="008F6FA3">
        <w:rPr>
          <w:color w:val="000000" w:themeColor="text1"/>
        </w:rPr>
        <w:t>million</w:t>
      </w:r>
      <w:r w:rsidR="003E7D1B" w:rsidRPr="008F6FA3">
        <w:rPr>
          <w:color w:val="000000" w:themeColor="text1"/>
        </w:rPr>
        <w:t> </w:t>
      </w:r>
      <w:r w:rsidRPr="008F6FA3">
        <w:rPr>
          <w:color w:val="000000" w:themeColor="text1"/>
        </w:rPr>
        <w:t>people (figure </w:t>
      </w:r>
      <w:r w:rsidR="00337FD8" w:rsidRPr="008F6FA3">
        <w:rPr>
          <w:color w:val="000000" w:themeColor="text1"/>
        </w:rPr>
        <w:t>D.</w:t>
      </w:r>
      <w:r w:rsidR="0087580E">
        <w:rPr>
          <w:color w:val="000000" w:themeColor="text1"/>
        </w:rPr>
        <w:t>7</w:t>
      </w:r>
      <w:r w:rsidRPr="008F6FA3">
        <w:rPr>
          <w:color w:val="000000" w:themeColor="text1"/>
        </w:rPr>
        <w:t xml:space="preserve">). </w:t>
      </w:r>
    </w:p>
    <w:p w:rsidR="00965D5B" w:rsidRDefault="00965D5B" w:rsidP="003348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65D5B" w:rsidTr="00334814">
        <w:trPr>
          <w:tblHeader/>
        </w:trPr>
        <w:tc>
          <w:tcPr>
            <w:tcW w:w="8771" w:type="dxa"/>
            <w:tcBorders>
              <w:top w:val="single" w:sz="6" w:space="0" w:color="78A22F"/>
              <w:left w:val="nil"/>
              <w:bottom w:val="nil"/>
              <w:right w:val="nil"/>
            </w:tcBorders>
            <w:shd w:val="clear" w:color="auto" w:fill="auto"/>
          </w:tcPr>
          <w:p w:rsidR="00887A1C" w:rsidRPr="00887A1C" w:rsidRDefault="00965D5B" w:rsidP="00757BB9">
            <w:pPr>
              <w:pStyle w:val="FigureTitle"/>
            </w:pPr>
            <w:r w:rsidRPr="00784A05">
              <w:rPr>
                <w:b w:val="0"/>
              </w:rPr>
              <w:t xml:space="preserve">Figure </w:t>
            </w:r>
            <w:proofErr w:type="spellStart"/>
            <w:r>
              <w:rPr>
                <w:b w:val="0"/>
              </w:rPr>
              <w:t>D.7</w:t>
            </w:r>
            <w:proofErr w:type="spellEnd"/>
            <w:r>
              <w:tab/>
              <w:t>Road traffic deaths, by State and Territory, 198</w:t>
            </w:r>
            <w:r w:rsidR="00AA18A5">
              <w:t>6</w:t>
            </w:r>
            <w:r>
              <w:t xml:space="preserve"> to 201</w:t>
            </w:r>
            <w:r w:rsidR="00AA18A5">
              <w:t>5</w:t>
            </w:r>
            <w:r w:rsidRPr="001023E1">
              <w:rPr>
                <w:rStyle w:val="NoteLabel"/>
                <w:b/>
              </w:rPr>
              <w:t>a</w:t>
            </w:r>
            <w:r w:rsidR="00757BB9">
              <w:t xml:space="preserve"> </w:t>
            </w:r>
          </w:p>
        </w:tc>
      </w:tr>
      <w:tr w:rsidR="00965D5B" w:rsidTr="0033481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965D5B" w:rsidRPr="00B1465D" w:rsidTr="00334814">
              <w:trPr>
                <w:tblHeader/>
                <w:jc w:val="center"/>
              </w:trPr>
              <w:tc>
                <w:tcPr>
                  <w:tcW w:w="5000" w:type="pct"/>
                  <w:tcBorders>
                    <w:top w:val="nil"/>
                    <w:bottom w:val="nil"/>
                  </w:tcBorders>
                </w:tcPr>
                <w:p w:rsidR="00965D5B" w:rsidRPr="00B1465D" w:rsidRDefault="00337A16" w:rsidP="00334814">
                  <w:pPr>
                    <w:pStyle w:val="Figure"/>
                    <w:spacing w:before="60" w:after="60"/>
                    <w:rPr>
                      <w:rFonts w:ascii="Arial" w:hAnsi="Arial" w:cs="Arial"/>
                      <w:sz w:val="18"/>
                      <w:szCs w:val="18"/>
                    </w:rPr>
                  </w:pPr>
                  <w:r>
                    <w:rPr>
                      <w:rFonts w:ascii="Arial" w:hAnsi="Arial" w:cs="Arial"/>
                      <w:noProof/>
                      <w:sz w:val="18"/>
                      <w:szCs w:val="18"/>
                    </w:rPr>
                    <w:drawing>
                      <wp:inline distT="0" distB="0" distL="0" distR="0" wp14:anchorId="57E934B4" wp14:editId="2897C791">
                        <wp:extent cx="5305425" cy="2457450"/>
                        <wp:effectExtent l="0" t="0" r="9525" b="0"/>
                        <wp:docPr id="6" name="Picture 6" descr="Figure D.7 Road traffic deaths, by State and Territory, 1986 to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5425" cy="2457450"/>
                                </a:xfrm>
                                <a:prstGeom prst="rect">
                                  <a:avLst/>
                                </a:prstGeom>
                                <a:noFill/>
                                <a:ln>
                                  <a:noFill/>
                                </a:ln>
                              </pic:spPr>
                            </pic:pic>
                          </a:graphicData>
                        </a:graphic>
                      </wp:inline>
                    </w:drawing>
                  </w:r>
                </w:p>
              </w:tc>
            </w:tr>
          </w:tbl>
          <w:p w:rsidR="00965D5B" w:rsidRDefault="00965D5B" w:rsidP="00334814">
            <w:pPr>
              <w:pStyle w:val="Figure"/>
            </w:pPr>
          </w:p>
        </w:tc>
      </w:tr>
      <w:tr w:rsidR="00DC10EE" w:rsidRPr="00176D3F" w:rsidTr="00644823">
        <w:tc>
          <w:tcPr>
            <w:tcW w:w="8771" w:type="dxa"/>
            <w:tcBorders>
              <w:top w:val="nil"/>
              <w:left w:val="nil"/>
              <w:bottom w:val="nil"/>
              <w:right w:val="nil"/>
            </w:tcBorders>
            <w:shd w:val="clear" w:color="auto" w:fill="auto"/>
          </w:tcPr>
          <w:p w:rsidR="00DC10EE" w:rsidRPr="00176D3F" w:rsidRDefault="00365575" w:rsidP="008D2405">
            <w:pPr>
              <w:pStyle w:val="Note"/>
            </w:pPr>
            <w:r>
              <w:rPr>
                <w:rStyle w:val="NoteLabel"/>
              </w:rPr>
              <w:t>a</w:t>
            </w:r>
            <w:r>
              <w:t> </w:t>
            </w:r>
            <w:r w:rsidR="00936A83">
              <w:t>See</w:t>
            </w:r>
            <w:r w:rsidR="0010717E">
              <w:t xml:space="preserve"> </w:t>
            </w:r>
            <w:r w:rsidR="008D2405" w:rsidRPr="008D2405">
              <w:t>box D.</w:t>
            </w:r>
            <w:r w:rsidR="008D2405">
              <w:t>5</w:t>
            </w:r>
            <w:r w:rsidR="008D2405" w:rsidRPr="008D2405">
              <w:t xml:space="preserve"> and </w:t>
            </w:r>
            <w:r w:rsidR="00936A83">
              <w:t xml:space="preserve">table DA.11 for </w:t>
            </w:r>
            <w:r w:rsidR="008D2405" w:rsidRPr="008D2405">
              <w:t>detailed definitions, footnotes and caveats</w:t>
            </w:r>
            <w:r w:rsidR="00936A83">
              <w:t>.</w:t>
            </w:r>
            <w:r w:rsidRPr="00D761A7">
              <w:t>.</w:t>
            </w:r>
          </w:p>
        </w:tc>
      </w:tr>
      <w:tr w:rsidR="00DC10EE" w:rsidRPr="00176D3F" w:rsidTr="00644823">
        <w:tc>
          <w:tcPr>
            <w:tcW w:w="8771" w:type="dxa"/>
            <w:tcBorders>
              <w:top w:val="nil"/>
              <w:left w:val="nil"/>
              <w:bottom w:val="nil"/>
              <w:right w:val="nil"/>
            </w:tcBorders>
            <w:shd w:val="clear" w:color="auto" w:fill="auto"/>
          </w:tcPr>
          <w:p w:rsidR="00DC10EE" w:rsidRPr="00936A83" w:rsidRDefault="00365575" w:rsidP="008D2405">
            <w:pPr>
              <w:pStyle w:val="Source"/>
              <w:rPr>
                <w:color w:val="000000" w:themeColor="text1"/>
              </w:rPr>
            </w:pPr>
            <w:r w:rsidRPr="00936A83">
              <w:rPr>
                <w:i/>
                <w:color w:val="000000" w:themeColor="text1"/>
              </w:rPr>
              <w:t>Source</w:t>
            </w:r>
            <w:r w:rsidRPr="00936A83">
              <w:rPr>
                <w:color w:val="000000" w:themeColor="text1"/>
              </w:rPr>
              <w:t>: ABS (</w:t>
            </w:r>
            <w:r w:rsidR="008D2405" w:rsidRPr="00936A83">
              <w:rPr>
                <w:color w:val="000000" w:themeColor="text1"/>
              </w:rPr>
              <w:t>201</w:t>
            </w:r>
            <w:r w:rsidR="008D2405">
              <w:rPr>
                <w:color w:val="000000" w:themeColor="text1"/>
              </w:rPr>
              <w:t>6</w:t>
            </w:r>
            <w:r w:rsidRPr="00936A83">
              <w:rPr>
                <w:color w:val="000000" w:themeColor="text1"/>
              </w:rPr>
              <w:t xml:space="preserve">) </w:t>
            </w:r>
            <w:r w:rsidRPr="00936A83">
              <w:rPr>
                <w:i/>
                <w:color w:val="000000" w:themeColor="text1"/>
              </w:rPr>
              <w:t>Causes of Death, Australia</w:t>
            </w:r>
            <w:r w:rsidR="008D2405">
              <w:rPr>
                <w:i/>
                <w:color w:val="000000" w:themeColor="text1"/>
              </w:rPr>
              <w:t xml:space="preserve"> 2015</w:t>
            </w:r>
            <w:r w:rsidRPr="00936A83">
              <w:rPr>
                <w:color w:val="000000" w:themeColor="text1"/>
              </w:rPr>
              <w:t>, Cat. no. 3303.0; table DA.1</w:t>
            </w:r>
            <w:r w:rsidR="000E56F9" w:rsidRPr="00936A83">
              <w:rPr>
                <w:color w:val="000000" w:themeColor="text1"/>
              </w:rPr>
              <w:t>1</w:t>
            </w:r>
            <w:r w:rsidRPr="00936A83">
              <w:rPr>
                <w:color w:val="000000" w:themeColor="text1"/>
              </w:rPr>
              <w:t>.</w:t>
            </w:r>
          </w:p>
        </w:tc>
      </w:tr>
      <w:tr w:rsidR="00DC10EE" w:rsidTr="00644823">
        <w:tc>
          <w:tcPr>
            <w:tcW w:w="8771" w:type="dxa"/>
            <w:tcBorders>
              <w:top w:val="nil"/>
              <w:left w:val="nil"/>
              <w:bottom w:val="single" w:sz="6" w:space="0" w:color="78A22F"/>
              <w:right w:val="nil"/>
            </w:tcBorders>
            <w:shd w:val="clear" w:color="auto" w:fill="auto"/>
          </w:tcPr>
          <w:p w:rsidR="00DC10EE" w:rsidRDefault="00DC10EE" w:rsidP="00644823">
            <w:pPr>
              <w:pStyle w:val="Figurespace"/>
            </w:pPr>
          </w:p>
        </w:tc>
      </w:tr>
      <w:tr w:rsidR="00DC10EE" w:rsidRPr="000863A5" w:rsidTr="00644823">
        <w:tc>
          <w:tcPr>
            <w:tcW w:w="8771" w:type="dxa"/>
            <w:tcBorders>
              <w:top w:val="single" w:sz="6" w:space="0" w:color="78A22F"/>
              <w:left w:val="nil"/>
              <w:bottom w:val="nil"/>
              <w:right w:val="nil"/>
            </w:tcBorders>
          </w:tcPr>
          <w:p w:rsidR="00DC10EE" w:rsidRPr="00626D32" w:rsidRDefault="00DC10EE" w:rsidP="00644823">
            <w:pPr>
              <w:pStyle w:val="BoxSpaceBelow"/>
            </w:pPr>
          </w:p>
        </w:tc>
      </w:tr>
    </w:tbl>
    <w:bookmarkEnd w:id="20"/>
    <w:bookmarkEnd w:id="21"/>
    <w:p w:rsidR="00B24ACD" w:rsidRPr="00411ECE" w:rsidRDefault="00B24ACD" w:rsidP="00B24ACD">
      <w:pPr>
        <w:pStyle w:val="Heading5"/>
        <w:shd w:val="clear" w:color="auto" w:fill="FFFFFF" w:themeFill="background1"/>
        <w:rPr>
          <w:color w:val="000000" w:themeColor="text1"/>
        </w:rPr>
      </w:pPr>
      <w:r w:rsidRPr="00411ECE">
        <w:rPr>
          <w:color w:val="000000" w:themeColor="text1"/>
        </w:rPr>
        <w:t>Fire deaths</w:t>
      </w:r>
    </w:p>
    <w:p w:rsidR="00B24ACD" w:rsidRPr="00D317F9" w:rsidRDefault="00B24ACD" w:rsidP="00B24ACD">
      <w:pPr>
        <w:pStyle w:val="BodyText"/>
        <w:rPr>
          <w:rStyle w:val="DraftingNote"/>
          <w:color w:val="000000" w:themeColor="text1"/>
        </w:rPr>
      </w:pPr>
      <w:r w:rsidRPr="00F648FD">
        <w:t>The number of fire deaths varies from year to year, often impacted by large bushfires.</w:t>
      </w:r>
      <w:r w:rsidR="008F03DA" w:rsidRPr="00F648FD">
        <w:t xml:space="preserve"> In 201</w:t>
      </w:r>
      <w:r w:rsidR="00DD2CE9" w:rsidRPr="00F648FD">
        <w:t>5</w:t>
      </w:r>
      <w:r w:rsidR="008F03DA" w:rsidRPr="00F648FD">
        <w:t>, t</w:t>
      </w:r>
      <w:r w:rsidRPr="00F648FD">
        <w:t>here were 9</w:t>
      </w:r>
      <w:r w:rsidR="00A9457B" w:rsidRPr="00F648FD">
        <w:t>7</w:t>
      </w:r>
      <w:r w:rsidRPr="00F648FD">
        <w:t xml:space="preserve"> fire deaths nationally (details in </w:t>
      </w:r>
      <w:r w:rsidRPr="00D317F9">
        <w:rPr>
          <w:color w:val="000000" w:themeColor="text1"/>
        </w:rPr>
        <w:t xml:space="preserve">chapter 9). </w:t>
      </w:r>
    </w:p>
    <w:p w:rsidR="00912749" w:rsidRPr="00D317F9" w:rsidRDefault="00912749" w:rsidP="00912749">
      <w:pPr>
        <w:pStyle w:val="Heading5"/>
        <w:rPr>
          <w:color w:val="000000" w:themeColor="text1"/>
        </w:rPr>
      </w:pPr>
      <w:r w:rsidRPr="00D317F9">
        <w:rPr>
          <w:color w:val="000000" w:themeColor="text1"/>
        </w:rPr>
        <w:t>Deaths from exposure to forces of nature</w:t>
      </w:r>
    </w:p>
    <w:p w:rsidR="00D20051" w:rsidRPr="00CD496D" w:rsidRDefault="00912749" w:rsidP="00F648FD">
      <w:pPr>
        <w:pStyle w:val="BodyText"/>
      </w:pPr>
      <w:r>
        <w:t>Relatively few deaths (</w:t>
      </w:r>
      <w:r w:rsidR="003D6BFE">
        <w:t>3</w:t>
      </w:r>
      <w:r w:rsidR="00AC07D8">
        <w:t>3</w:t>
      </w:r>
      <w:r w:rsidR="003D6BFE">
        <w:t> </w:t>
      </w:r>
      <w:r>
        <w:t>deaths in 201</w:t>
      </w:r>
      <w:r w:rsidR="00A9457B">
        <w:t>5</w:t>
      </w:r>
      <w:r w:rsidR="008808D6">
        <w:t xml:space="preserve"> nationally</w:t>
      </w:r>
      <w:r w:rsidR="0088551D">
        <w:t xml:space="preserve">, or </w:t>
      </w:r>
      <w:r w:rsidR="003D6BFE">
        <w:t>1.4</w:t>
      </w:r>
      <w:r w:rsidR="0088551D">
        <w:t> deaths per million people in the population</w:t>
      </w:r>
      <w:r>
        <w:t xml:space="preserve">) are </w:t>
      </w:r>
      <w:r w:rsidR="004368C2">
        <w:t xml:space="preserve">recorded as being </w:t>
      </w:r>
      <w:r>
        <w:t>caused by exposure to forces of nature (table DA.</w:t>
      </w:r>
      <w:r w:rsidR="00B27D27">
        <w:t>12</w:t>
      </w:r>
      <w:r>
        <w:t>)</w:t>
      </w:r>
      <w:r w:rsidRPr="00EA07DD">
        <w:t>.</w:t>
      </w:r>
      <w:r>
        <w:t xml:space="preserve"> </w:t>
      </w:r>
    </w:p>
    <w:p w:rsidR="00DE2D11" w:rsidRPr="00262ED3" w:rsidRDefault="00337FD8" w:rsidP="00F648FD">
      <w:pPr>
        <w:pStyle w:val="Heading2"/>
        <w:keepNext w:val="0"/>
        <w:widowControl w:val="0"/>
      </w:pPr>
      <w:bookmarkStart w:id="22" w:name="_Toc294252408"/>
      <w:bookmarkStart w:id="23" w:name="_Toc337997852"/>
      <w:bookmarkStart w:id="24" w:name="_Toc464990208"/>
      <w:proofErr w:type="spellStart"/>
      <w:r>
        <w:t>D.</w:t>
      </w:r>
      <w:r w:rsidR="00642BBB">
        <w:rPr>
          <w:noProof/>
        </w:rPr>
        <w:t>3</w:t>
      </w:r>
      <w:proofErr w:type="spellEnd"/>
      <w:r w:rsidR="00DE2D11">
        <w:tab/>
      </w:r>
      <w:r w:rsidR="00DE2D11" w:rsidRPr="00262ED3">
        <w:t>Cross</w:t>
      </w:r>
      <w:r w:rsidR="001525FA">
        <w:noBreakHyphen/>
      </w:r>
      <w:r w:rsidR="00DE2D11" w:rsidRPr="00262ED3">
        <w:t>cutting and interface issues</w:t>
      </w:r>
      <w:bookmarkEnd w:id="23"/>
      <w:bookmarkEnd w:id="24"/>
    </w:p>
    <w:p w:rsidR="00DE2D11" w:rsidRPr="009777D8" w:rsidRDefault="00DE2D11" w:rsidP="00F648FD">
      <w:pPr>
        <w:pStyle w:val="BodyText"/>
        <w:widowControl w:val="0"/>
      </w:pPr>
      <w:r w:rsidRPr="009777D8">
        <w:t>The effective development of a ‘resilient community’ — one that works together to understand and manage the risks that it confronts</w:t>
      </w:r>
      <w:r w:rsidR="002322A2">
        <w:t xml:space="preserve"> (COAG 2011)</w:t>
      </w:r>
      <w:r w:rsidRPr="009777D8">
        <w:t xml:space="preserve"> — requires the support and input of a range of community stakeholders, including from other government services</w:t>
      </w:r>
      <w:r w:rsidR="00F31EBE">
        <w:t>.</w:t>
      </w:r>
    </w:p>
    <w:p w:rsidR="00DE2D11" w:rsidRDefault="00DE2D11" w:rsidP="00F648FD">
      <w:pPr>
        <w:pStyle w:val="ListBullet"/>
        <w:widowControl w:val="0"/>
      </w:pPr>
      <w:r w:rsidRPr="000B68CD">
        <w:rPr>
          <w:i/>
        </w:rPr>
        <w:t>Police services</w:t>
      </w:r>
      <w:r w:rsidRPr="009777D8">
        <w:t xml:space="preserve"> have a critical role in effective emergency management within each jurisdiction</w:t>
      </w:r>
      <w:r>
        <w:t xml:space="preserve">. They generally </w:t>
      </w:r>
      <w:r w:rsidRPr="009777D8">
        <w:t>assum</w:t>
      </w:r>
      <w:r>
        <w:t>e</w:t>
      </w:r>
      <w:r w:rsidRPr="009777D8">
        <w:t xml:space="preserve"> critical roles </w:t>
      </w:r>
      <w:r>
        <w:t xml:space="preserve">in </w:t>
      </w:r>
      <w:r w:rsidRPr="009777D8">
        <w:t xml:space="preserve">a jurisdiction’s disaster management </w:t>
      </w:r>
      <w:r>
        <w:t xml:space="preserve">plans and coordination authorities </w:t>
      </w:r>
      <w:r w:rsidRPr="009777D8">
        <w:t>(</w:t>
      </w:r>
      <w:r w:rsidRPr="00E52605">
        <w:rPr>
          <w:spacing w:val="-6"/>
        </w:rPr>
        <w:t xml:space="preserve">Victorian Bushfires </w:t>
      </w:r>
      <w:r w:rsidR="005C2964">
        <w:rPr>
          <w:spacing w:val="-6"/>
        </w:rPr>
        <w:t xml:space="preserve">Royal </w:t>
      </w:r>
      <w:r w:rsidRPr="00E52605">
        <w:rPr>
          <w:spacing w:val="-6"/>
        </w:rPr>
        <w:t>Commission</w:t>
      </w:r>
      <w:r>
        <w:rPr>
          <w:spacing w:val="-6"/>
        </w:rPr>
        <w:t> </w:t>
      </w:r>
      <w:r w:rsidRPr="00D9622F">
        <w:rPr>
          <w:spacing w:val="-6"/>
        </w:rPr>
        <w:t>20</w:t>
      </w:r>
      <w:r>
        <w:rPr>
          <w:spacing w:val="-6"/>
        </w:rPr>
        <w:t>10</w:t>
      </w:r>
      <w:r w:rsidRPr="009777D8">
        <w:t xml:space="preserve">; </w:t>
      </w:r>
      <w:r>
        <w:rPr>
          <w:spacing w:val="-6"/>
        </w:rPr>
        <w:t>Queensland Floods Commission of Inquiry </w:t>
      </w:r>
      <w:r w:rsidRPr="009777D8">
        <w:t>201</w:t>
      </w:r>
      <w:r w:rsidR="0091119B">
        <w:t>2</w:t>
      </w:r>
      <w:r w:rsidR="00A46887">
        <w:t>).</w:t>
      </w:r>
      <w:r w:rsidR="00B745C3">
        <w:t xml:space="preserve"> </w:t>
      </w:r>
      <w:r w:rsidR="008D2405" w:rsidRPr="008D2405">
        <w:t xml:space="preserve">Police services (and the justice system) </w:t>
      </w:r>
      <w:r w:rsidR="008D2405">
        <w:t xml:space="preserve">also </w:t>
      </w:r>
      <w:r w:rsidR="008D2405" w:rsidRPr="008D2405">
        <w:t>have a critical role in implementing the prevention strategies of a jurisdiction — such as enforcing road laws</w:t>
      </w:r>
      <w:r w:rsidR="008D2405">
        <w:t>.</w:t>
      </w:r>
    </w:p>
    <w:p w:rsidR="00DE2D11" w:rsidRPr="009777D8" w:rsidRDefault="00DE2D11" w:rsidP="00D124AE">
      <w:pPr>
        <w:pStyle w:val="ListBullet"/>
        <w:widowControl w:val="0"/>
      </w:pPr>
      <w:r w:rsidRPr="000B68CD">
        <w:rPr>
          <w:i/>
        </w:rPr>
        <w:lastRenderedPageBreak/>
        <w:t>Health services</w:t>
      </w:r>
      <w:r w:rsidR="00C56C0E">
        <w:t>,</w:t>
      </w:r>
      <w:r w:rsidRPr="009777D8">
        <w:t xml:space="preserve"> in particular emergency departments of public hospitals</w:t>
      </w:r>
      <w:r>
        <w:t xml:space="preserve">, </w:t>
      </w:r>
      <w:r w:rsidRPr="009777D8">
        <w:t>have an important role in the preparation an</w:t>
      </w:r>
      <w:r w:rsidR="00C86A42">
        <w:t>d response to emergency events</w:t>
      </w:r>
      <w:r w:rsidR="009C3CEC">
        <w:t>.</w:t>
      </w:r>
      <w:r w:rsidR="008D2405" w:rsidRPr="008D2405">
        <w:t xml:space="preserve"> Similarly, ambulance services are an integral part of a jurisdiction’s health service providing emergency as well as non-emergency patient care and transport.</w:t>
      </w:r>
    </w:p>
    <w:p w:rsidR="00BF7142" w:rsidRPr="009777D8" w:rsidRDefault="00BF7142" w:rsidP="0010717E">
      <w:pPr>
        <w:pStyle w:val="ListBullet"/>
        <w:widowControl w:val="0"/>
      </w:pPr>
      <w:r w:rsidRPr="00BF7142">
        <w:t xml:space="preserve">In large scale emergencies, a range of agencies may be called upon to provide assistance. For example, through Australian Government arrangements for the provision of assistance to </w:t>
      </w:r>
      <w:r w:rsidR="009C3CEC">
        <w:t>s</w:t>
      </w:r>
      <w:r w:rsidRPr="00BF7142">
        <w:t>tates</w:t>
      </w:r>
      <w:r w:rsidR="0091119B">
        <w:t xml:space="preserve"> and </w:t>
      </w:r>
      <w:r w:rsidR="009C3CEC">
        <w:t>t</w:t>
      </w:r>
      <w:r w:rsidRPr="00BF7142">
        <w:t>erritories, the Australian Defence Force has been called upon to assist emergency services organisations in responding to emergencies such as the 2011 Queensland floods (Queensland Floods Commission of Inquiry 201</w:t>
      </w:r>
      <w:r w:rsidR="0091119B">
        <w:t>2</w:t>
      </w:r>
      <w:r w:rsidRPr="00BF7142">
        <w:t>).</w:t>
      </w:r>
    </w:p>
    <w:p w:rsidR="00867919" w:rsidRDefault="00206FD1" w:rsidP="00DE2D11">
      <w:pPr>
        <w:pStyle w:val="BodyText"/>
      </w:pPr>
      <w:r>
        <w:t>E</w:t>
      </w:r>
      <w:r w:rsidR="00867919" w:rsidRPr="00867919">
        <w:t>mergency services, police and public hospitals are</w:t>
      </w:r>
      <w:r>
        <w:t xml:space="preserve"> also</w:t>
      </w:r>
      <w:r w:rsidR="00867919" w:rsidRPr="00867919">
        <w:t xml:space="preserve"> key services involved </w:t>
      </w:r>
      <w:r w:rsidR="00B607AC">
        <w:t>in</w:t>
      </w:r>
      <w:r>
        <w:t xml:space="preserve"> preventing and dealing with acts of terrorism </w:t>
      </w:r>
      <w:r w:rsidR="00CE7072">
        <w:t xml:space="preserve">as </w:t>
      </w:r>
      <w:r>
        <w:t xml:space="preserve">set out in </w:t>
      </w:r>
      <w:r w:rsidRPr="00CE7072">
        <w:t>Australia</w:t>
      </w:r>
      <w:r w:rsidR="00B607AC">
        <w:t>’s</w:t>
      </w:r>
      <w:r w:rsidR="00867919" w:rsidRPr="00CE7072">
        <w:t xml:space="preserve"> National Counter Terrorism Plan</w:t>
      </w:r>
      <w:r w:rsidR="00867919">
        <w:t xml:space="preserve"> (NCTC 2012)</w:t>
      </w:r>
      <w:r w:rsidR="00867919" w:rsidRPr="00867919">
        <w:t xml:space="preserve">. While </w:t>
      </w:r>
      <w:r w:rsidR="00F733F2">
        <w:t xml:space="preserve">this Report </w:t>
      </w:r>
      <w:r w:rsidR="00867919" w:rsidRPr="00867919">
        <w:t>do</w:t>
      </w:r>
      <w:r w:rsidR="00F733F2">
        <w:t>es</w:t>
      </w:r>
      <w:r w:rsidR="00867919" w:rsidRPr="00867919">
        <w:t xml:space="preserve"> not explicitly include the details of these government activities, such activities need to be kept in mind when interpreting performance results</w:t>
      </w:r>
      <w:r w:rsidR="00867919">
        <w:t>.</w:t>
      </w:r>
    </w:p>
    <w:p w:rsidR="00CD496D" w:rsidRPr="00CD496D" w:rsidRDefault="00934C22" w:rsidP="00CD496D">
      <w:pPr>
        <w:pStyle w:val="BodyText"/>
      </w:pPr>
      <w:r>
        <w:t xml:space="preserve">The National Strategy for Disaster Resilience recognises that the needs of vulnerable communities should be considered in developing emergency management plans and programmes. </w:t>
      </w:r>
      <w:proofErr w:type="spellStart"/>
      <w:r>
        <w:t>ANZEMC</w:t>
      </w:r>
      <w:proofErr w:type="spellEnd"/>
      <w:r>
        <w:t xml:space="preserve"> has also identified the resilience of vulnerable sections of society (including Aboriginal and Torres Strait Islander Australians, culturally and linguistically diverse communities, children and youth, the elderly and people with disability) as a priority area for action (</w:t>
      </w:r>
      <w:proofErr w:type="spellStart"/>
      <w:r>
        <w:t>COAG</w:t>
      </w:r>
      <w:proofErr w:type="spellEnd"/>
      <w:r>
        <w:t xml:space="preserve"> 2012). </w:t>
      </w:r>
      <w:bookmarkStart w:id="25" w:name="_GoBack"/>
      <w:bookmarkEnd w:id="25"/>
      <w:r w:rsidR="00CD496D" w:rsidRPr="003B7523">
        <w:t xml:space="preserve">The 2007 </w:t>
      </w:r>
      <w:r w:rsidR="00CD496D" w:rsidRPr="003B7523">
        <w:rPr>
          <w:i/>
        </w:rPr>
        <w:t>Keeping Our Mob Safe: The National Emergency Management Strateg</w:t>
      </w:r>
      <w:r w:rsidR="007A1EFC" w:rsidRPr="003B7523">
        <w:rPr>
          <w:i/>
        </w:rPr>
        <w:t>y Fo</w:t>
      </w:r>
      <w:r w:rsidR="00DF61C9">
        <w:rPr>
          <w:i/>
        </w:rPr>
        <w:t>r </w:t>
      </w:r>
      <w:r w:rsidR="007A1EFC" w:rsidRPr="003B7523">
        <w:rPr>
          <w:i/>
        </w:rPr>
        <w:t xml:space="preserve">Remote Indigenous Communities </w:t>
      </w:r>
      <w:r w:rsidR="003A24AD">
        <w:t xml:space="preserve">(currently under review) </w:t>
      </w:r>
      <w:r w:rsidR="00CD496D" w:rsidRPr="003B7523">
        <w:t xml:space="preserve">provides a </w:t>
      </w:r>
      <w:r w:rsidR="00CD496D" w:rsidRPr="003B7523">
        <w:rPr>
          <w:color w:val="000000" w:themeColor="text1"/>
        </w:rPr>
        <w:t>framework for coordinated and cooperative approaches to emergency management in remote indigenous communities (</w:t>
      </w:r>
      <w:r w:rsidR="008E280D" w:rsidRPr="003B7523">
        <w:rPr>
          <w:color w:val="000000" w:themeColor="text1"/>
        </w:rPr>
        <w:t>AEM </w:t>
      </w:r>
      <w:r w:rsidR="0011699B">
        <w:rPr>
          <w:color w:val="000000" w:themeColor="text1"/>
        </w:rPr>
        <w:t>2007).</w:t>
      </w:r>
    </w:p>
    <w:p w:rsidR="00DE2D11" w:rsidRPr="00E44CA8" w:rsidRDefault="00337FD8" w:rsidP="0010717E">
      <w:pPr>
        <w:pStyle w:val="Heading2"/>
        <w:keepNext w:val="0"/>
        <w:widowControl w:val="0"/>
      </w:pPr>
      <w:bookmarkStart w:id="26" w:name="_Toc438213139"/>
      <w:bookmarkStart w:id="27" w:name="_Toc464990209"/>
      <w:bookmarkEnd w:id="22"/>
      <w:proofErr w:type="spellStart"/>
      <w:r>
        <w:t>D.</w:t>
      </w:r>
      <w:r w:rsidR="007A6B08">
        <w:t>4</w:t>
      </w:r>
      <w:proofErr w:type="spellEnd"/>
      <w:r w:rsidR="00DE2D11" w:rsidRPr="00E44CA8">
        <w:tab/>
        <w:t>Refe</w:t>
      </w:r>
      <w:r w:rsidR="0037024B" w:rsidRPr="00E44CA8">
        <w:t>r</w:t>
      </w:r>
      <w:r w:rsidR="00DE2D11" w:rsidRPr="00E44CA8">
        <w:t>ences</w:t>
      </w:r>
      <w:bookmarkEnd w:id="26"/>
      <w:bookmarkEnd w:id="27"/>
    </w:p>
    <w:p w:rsidR="00900242" w:rsidRPr="00E44CA8" w:rsidRDefault="00900242" w:rsidP="0010717E">
      <w:pPr>
        <w:pStyle w:val="Reference"/>
        <w:widowControl w:val="0"/>
      </w:pPr>
      <w:r w:rsidRPr="00E44CA8">
        <w:rPr>
          <w:spacing w:val="-6"/>
        </w:rPr>
        <w:t>ABS (Australian Bureau of Statistics) 201</w:t>
      </w:r>
      <w:r w:rsidR="0035060C">
        <w:rPr>
          <w:spacing w:val="-6"/>
        </w:rPr>
        <w:t>5</w:t>
      </w:r>
      <w:r w:rsidRPr="00E44CA8">
        <w:rPr>
          <w:spacing w:val="-6"/>
        </w:rPr>
        <w:t xml:space="preserve">, </w:t>
      </w:r>
      <w:r w:rsidRPr="00E44CA8">
        <w:rPr>
          <w:i/>
        </w:rPr>
        <w:t>Causes of Death Australia, 20</w:t>
      </w:r>
      <w:r w:rsidR="00147A98" w:rsidRPr="00E44CA8">
        <w:rPr>
          <w:i/>
        </w:rPr>
        <w:t>1</w:t>
      </w:r>
      <w:r w:rsidR="0035060C">
        <w:rPr>
          <w:i/>
        </w:rPr>
        <w:t>3</w:t>
      </w:r>
      <w:r w:rsidRPr="00E44CA8">
        <w:t>, Cat.</w:t>
      </w:r>
      <w:r w:rsidR="001A29D5" w:rsidRPr="00E44CA8">
        <w:t> </w:t>
      </w:r>
      <w:r w:rsidRPr="00E44CA8">
        <w:t>no. 3303.0, Canberra.</w:t>
      </w:r>
    </w:p>
    <w:p w:rsidR="0083419D" w:rsidRPr="00E44CA8" w:rsidRDefault="0083419D" w:rsidP="0010717E">
      <w:pPr>
        <w:pStyle w:val="Reference"/>
        <w:widowControl w:val="0"/>
      </w:pPr>
      <w:r w:rsidRPr="00E44CA8">
        <w:rPr>
          <w:spacing w:val="-6"/>
        </w:rPr>
        <w:t>AEM (Australian Emergency Management</w:t>
      </w:r>
      <w:r w:rsidR="00990FC0" w:rsidRPr="00E44CA8">
        <w:rPr>
          <w:spacing w:val="-6"/>
        </w:rPr>
        <w:t>)</w:t>
      </w:r>
      <w:r w:rsidRPr="00E44CA8">
        <w:rPr>
          <w:spacing w:val="-6"/>
        </w:rPr>
        <w:t xml:space="preserve"> 201</w:t>
      </w:r>
      <w:r w:rsidR="0035060C">
        <w:rPr>
          <w:spacing w:val="-6"/>
        </w:rPr>
        <w:t>5</w:t>
      </w:r>
      <w:r w:rsidRPr="00E44CA8">
        <w:t xml:space="preserve">, </w:t>
      </w:r>
      <w:r w:rsidRPr="00E44CA8">
        <w:rPr>
          <w:i/>
        </w:rPr>
        <w:t>Australian Emergency Management Knowledge Hub</w:t>
      </w:r>
      <w:r w:rsidRPr="00E44CA8">
        <w:t>, www.emknowledge.gov.au/disaster-information (accessed 1</w:t>
      </w:r>
      <w:r w:rsidR="0035060C">
        <w:t>2</w:t>
      </w:r>
      <w:r w:rsidRPr="00E44CA8">
        <w:t> October 201</w:t>
      </w:r>
      <w:r w:rsidR="0035060C">
        <w:t>5</w:t>
      </w:r>
      <w:r w:rsidRPr="00E44CA8">
        <w:t>).</w:t>
      </w:r>
    </w:p>
    <w:p w:rsidR="00237847" w:rsidRPr="00E44CA8" w:rsidRDefault="00237847" w:rsidP="00E24702">
      <w:pPr>
        <w:pStyle w:val="Reference"/>
      </w:pPr>
      <w:r>
        <w:rPr>
          <w:spacing w:val="-6"/>
        </w:rPr>
        <w:t>—— </w:t>
      </w:r>
      <w:r w:rsidRPr="00237847">
        <w:t xml:space="preserve">2007, </w:t>
      </w:r>
      <w:r w:rsidRPr="00237847">
        <w:rPr>
          <w:i/>
        </w:rPr>
        <w:t>Keeping Our Mob Safe: The National Emergency Management Strateg</w:t>
      </w:r>
      <w:r>
        <w:rPr>
          <w:i/>
        </w:rPr>
        <w:t>y For </w:t>
      </w:r>
      <w:r w:rsidRPr="00237847">
        <w:rPr>
          <w:i/>
        </w:rPr>
        <w:t>Remote</w:t>
      </w:r>
      <w:r>
        <w:rPr>
          <w:i/>
        </w:rPr>
        <w:t> </w:t>
      </w:r>
      <w:r w:rsidRPr="00237847">
        <w:rPr>
          <w:i/>
        </w:rPr>
        <w:t>Indigenous</w:t>
      </w:r>
      <w:r>
        <w:rPr>
          <w:i/>
        </w:rPr>
        <w:t> </w:t>
      </w:r>
      <w:r w:rsidRPr="00237847">
        <w:rPr>
          <w:i/>
        </w:rPr>
        <w:t>Communities</w:t>
      </w:r>
      <w:r>
        <w:t> ht</w:t>
      </w:r>
      <w:r w:rsidRPr="00237847">
        <w:t>tps://www.ag.gov.au/EmergencyManagement/</w:t>
      </w:r>
      <w:r>
        <w:br/>
      </w:r>
      <w:r w:rsidRPr="00237847">
        <w:t>Community/Documents/keeping-our-mob-safe.aspx (accessed 1</w:t>
      </w:r>
      <w:r>
        <w:t>6 November </w:t>
      </w:r>
      <w:r w:rsidRPr="00237847">
        <w:t>2015)</w:t>
      </w:r>
      <w:r w:rsidRPr="00E44CA8">
        <w:t>.</w:t>
      </w:r>
    </w:p>
    <w:p w:rsidR="009451A0" w:rsidRPr="00E44CA8" w:rsidRDefault="009451A0" w:rsidP="00C807D9">
      <w:pPr>
        <w:pStyle w:val="Reference"/>
      </w:pPr>
      <w:r w:rsidRPr="00E44CA8">
        <w:rPr>
          <w:lang w:val="en"/>
        </w:rPr>
        <w:t xml:space="preserve">ATC (Australian Transport Council) 2011, </w:t>
      </w:r>
      <w:r w:rsidRPr="00E44CA8">
        <w:rPr>
          <w:i/>
        </w:rPr>
        <w:t xml:space="preserve">National Road Safety Strategy </w:t>
      </w:r>
      <w:r w:rsidRPr="00E44CA8">
        <w:rPr>
          <w:i/>
        </w:rPr>
        <w:br/>
        <w:t>2011–2020</w:t>
      </w:r>
      <w:r w:rsidRPr="00E44CA8">
        <w:t>, Australian Government, Canberra.</w:t>
      </w:r>
    </w:p>
    <w:p w:rsidR="008D2405" w:rsidRDefault="00DE2D11" w:rsidP="00C807D9">
      <w:pPr>
        <w:pStyle w:val="Reference"/>
        <w:rPr>
          <w:color w:val="000000" w:themeColor="text1"/>
        </w:rPr>
      </w:pPr>
      <w:r w:rsidRPr="00E44CA8">
        <w:t xml:space="preserve">COAG (Council of Australian </w:t>
      </w:r>
      <w:r w:rsidRPr="002A010B">
        <w:rPr>
          <w:color w:val="000000" w:themeColor="text1"/>
        </w:rPr>
        <w:t xml:space="preserve">Governments) </w:t>
      </w:r>
      <w:r w:rsidR="008D2405" w:rsidRPr="002A010B">
        <w:rPr>
          <w:color w:val="000000" w:themeColor="text1"/>
        </w:rPr>
        <w:t xml:space="preserve">2012, </w:t>
      </w:r>
      <w:r w:rsidR="008D2405" w:rsidRPr="002A010B">
        <w:rPr>
          <w:i/>
          <w:color w:val="000000" w:themeColor="text1"/>
        </w:rPr>
        <w:t>Standing Council on Police and Emergency Management: Terms of Reference</w:t>
      </w:r>
      <w:r w:rsidR="008D2405" w:rsidRPr="002A010B">
        <w:rPr>
          <w:color w:val="000000" w:themeColor="text1"/>
        </w:rPr>
        <w:t>, www.ag.gov.au/Committeesandcouncils/Ministerialcouncils/Pages/StandingCouncilon</w:t>
      </w:r>
      <w:r w:rsidR="008D2405">
        <w:rPr>
          <w:color w:val="000000" w:themeColor="text1"/>
        </w:rPr>
        <w:t xml:space="preserve"> </w:t>
      </w:r>
      <w:r w:rsidR="008D2405" w:rsidRPr="002A010B">
        <w:rPr>
          <w:color w:val="000000" w:themeColor="text1"/>
        </w:rPr>
        <w:t>PoliceandEmergencyManagement.aspx (cited 1 Nov 2012)</w:t>
      </w:r>
    </w:p>
    <w:p w:rsidR="00DE2D11" w:rsidRPr="002A010B" w:rsidRDefault="00DE2D11" w:rsidP="00C807D9">
      <w:pPr>
        <w:pStyle w:val="Reference"/>
        <w:rPr>
          <w:color w:val="000000" w:themeColor="text1"/>
        </w:rPr>
      </w:pPr>
      <w:r w:rsidRPr="002A010B">
        <w:rPr>
          <w:color w:val="000000" w:themeColor="text1"/>
        </w:rPr>
        <w:lastRenderedPageBreak/>
        <w:t>——</w:t>
      </w:r>
      <w:r w:rsidRPr="002A010B">
        <w:rPr>
          <w:color w:val="000000" w:themeColor="text1"/>
          <w:szCs w:val="24"/>
        </w:rPr>
        <w:t> </w:t>
      </w:r>
      <w:r w:rsidR="004230F5" w:rsidRPr="002A010B">
        <w:rPr>
          <w:color w:val="000000" w:themeColor="text1"/>
        </w:rPr>
        <w:t xml:space="preserve">2011, </w:t>
      </w:r>
      <w:r w:rsidR="004230F5" w:rsidRPr="002A010B">
        <w:rPr>
          <w:i/>
          <w:color w:val="000000" w:themeColor="text1"/>
        </w:rPr>
        <w:t>National Strategy for Disaster Resilience</w:t>
      </w:r>
      <w:r w:rsidR="004230F5" w:rsidRPr="002A010B">
        <w:rPr>
          <w:color w:val="000000" w:themeColor="text1"/>
        </w:rPr>
        <w:t>, Australian Government, Council of A</w:t>
      </w:r>
      <w:r w:rsidR="00126FF6" w:rsidRPr="002A010B">
        <w:rPr>
          <w:color w:val="000000" w:themeColor="text1"/>
        </w:rPr>
        <w:t>ustralian Governments, Canberra</w:t>
      </w:r>
    </w:p>
    <w:p w:rsidR="006D55D8" w:rsidRPr="002A010B" w:rsidRDefault="006D55D8" w:rsidP="00C807D9">
      <w:pPr>
        <w:pStyle w:val="Reference"/>
        <w:rPr>
          <w:color w:val="000000" w:themeColor="text1"/>
        </w:rPr>
      </w:pPr>
      <w:r w:rsidRPr="002A010B">
        <w:rPr>
          <w:color w:val="000000" w:themeColor="text1"/>
        </w:rPr>
        <w:t xml:space="preserve">—— 2009, </w:t>
      </w:r>
      <w:r w:rsidRPr="002A010B">
        <w:rPr>
          <w:i/>
          <w:color w:val="000000" w:themeColor="text1"/>
        </w:rPr>
        <w:t>National Disaster Resilience Statement</w:t>
      </w:r>
      <w:r w:rsidRPr="002A010B">
        <w:rPr>
          <w:color w:val="000000" w:themeColor="text1"/>
        </w:rPr>
        <w:t>, Excerpt from Communiqué, Council of Australian Governments, Brisbane, 7 December 2009</w:t>
      </w:r>
      <w:r w:rsidR="00612044">
        <w:rPr>
          <w:color w:val="000000" w:themeColor="text1"/>
        </w:rPr>
        <w:t>.</w:t>
      </w:r>
    </w:p>
    <w:p w:rsidR="00DE2D11" w:rsidRPr="00E44CA8" w:rsidRDefault="00DE2D11" w:rsidP="00C807D9">
      <w:pPr>
        <w:pStyle w:val="Reference"/>
      </w:pPr>
      <w:r w:rsidRPr="00E44CA8">
        <w:rPr>
          <w:spacing w:val="-6"/>
        </w:rPr>
        <w:t>Dawson M. and Morris S., 2008, ‘Modelling community vulnerability to fires using socio</w:t>
      </w:r>
      <w:r w:rsidRPr="00E44CA8">
        <w:rPr>
          <w:spacing w:val="-6"/>
        </w:rPr>
        <w:noBreakHyphen/>
        <w:t xml:space="preserve">economic indexes’, </w:t>
      </w:r>
      <w:r w:rsidRPr="00E44CA8">
        <w:rPr>
          <w:i/>
          <w:spacing w:val="-6"/>
        </w:rPr>
        <w:t>Modelling, Monitoring and Management of Forest Fires</w:t>
      </w:r>
      <w:r w:rsidRPr="00E44CA8">
        <w:rPr>
          <w:spacing w:val="-6"/>
        </w:rPr>
        <w:t xml:space="preserve">, ed. J. de la Heras, C.A. </w:t>
      </w:r>
      <w:proofErr w:type="spellStart"/>
      <w:r w:rsidRPr="00E44CA8">
        <w:rPr>
          <w:spacing w:val="-6"/>
        </w:rPr>
        <w:t>Brebbia</w:t>
      </w:r>
      <w:proofErr w:type="spellEnd"/>
      <w:r w:rsidRPr="00E44CA8">
        <w:rPr>
          <w:spacing w:val="-6"/>
        </w:rPr>
        <w:t xml:space="preserve">, D. </w:t>
      </w:r>
      <w:proofErr w:type="spellStart"/>
      <w:r w:rsidRPr="00E44CA8">
        <w:rPr>
          <w:spacing w:val="-6"/>
        </w:rPr>
        <w:t>Viegas</w:t>
      </w:r>
      <w:proofErr w:type="spellEnd"/>
      <w:r w:rsidRPr="00E44CA8">
        <w:rPr>
          <w:spacing w:val="-6"/>
        </w:rPr>
        <w:t xml:space="preserve"> and V. Leone, WIT Press,</w:t>
      </w:r>
      <w:r w:rsidRPr="00E44CA8">
        <w:t xml:space="preserve"> pp. 277</w:t>
      </w:r>
      <w:r w:rsidR="001525FA" w:rsidRPr="00E44CA8">
        <w:t>–</w:t>
      </w:r>
      <w:r w:rsidRPr="00E44CA8">
        <w:t>285.</w:t>
      </w:r>
    </w:p>
    <w:p w:rsidR="00E34B7A" w:rsidRPr="00495745" w:rsidRDefault="00E34B7A" w:rsidP="00E34B7A">
      <w:pPr>
        <w:pStyle w:val="Reference"/>
        <w:rPr>
          <w:spacing w:val="-6"/>
        </w:rPr>
      </w:pPr>
      <w:r>
        <w:rPr>
          <w:spacing w:val="-6"/>
        </w:rPr>
        <w:t>EMA</w:t>
      </w:r>
      <w:r w:rsidRPr="00495745">
        <w:rPr>
          <w:spacing w:val="-6"/>
        </w:rPr>
        <w:t xml:space="preserve"> (</w:t>
      </w:r>
      <w:r>
        <w:rPr>
          <w:spacing w:val="-6"/>
        </w:rPr>
        <w:t>Emergency Management Australia</w:t>
      </w:r>
      <w:r w:rsidRPr="00495745">
        <w:rPr>
          <w:spacing w:val="-6"/>
        </w:rPr>
        <w:t>) </w:t>
      </w:r>
      <w:r>
        <w:rPr>
          <w:spacing w:val="-6"/>
        </w:rPr>
        <w:t>1998</w:t>
      </w:r>
      <w:r w:rsidRPr="00495745">
        <w:rPr>
          <w:spacing w:val="-6"/>
        </w:rPr>
        <w:t xml:space="preserve">, </w:t>
      </w:r>
      <w:r w:rsidRPr="00495745">
        <w:rPr>
          <w:i/>
          <w:spacing w:val="-6"/>
        </w:rPr>
        <w:t>Australian Emergency Terms Thesaurus</w:t>
      </w:r>
      <w:r w:rsidRPr="00495745">
        <w:rPr>
          <w:spacing w:val="-6"/>
        </w:rPr>
        <w:t>, Australian Emergency Manuals Series, Australian Government, Canberra.</w:t>
      </w:r>
    </w:p>
    <w:p w:rsidR="00DE2D11" w:rsidRPr="00495745" w:rsidRDefault="00DE2D11" w:rsidP="00C807D9">
      <w:pPr>
        <w:pStyle w:val="Reference"/>
        <w:rPr>
          <w:spacing w:val="-6"/>
        </w:rPr>
      </w:pPr>
      <w:r w:rsidRPr="00495745">
        <w:rPr>
          <w:spacing w:val="-6"/>
        </w:rPr>
        <w:t xml:space="preserve">FESA (Fire and Emergency Services Authority of Western Australia) 2010, </w:t>
      </w:r>
      <w:r w:rsidRPr="00495745">
        <w:rPr>
          <w:i/>
          <w:spacing w:val="-6"/>
        </w:rPr>
        <w:t>Fatal Fires in Western Australia 2001</w:t>
      </w:r>
      <w:r w:rsidR="00622D04" w:rsidRPr="00495745">
        <w:rPr>
          <w:i/>
          <w:spacing w:val="-6"/>
        </w:rPr>
        <w:t>–</w:t>
      </w:r>
      <w:r w:rsidRPr="00495745">
        <w:rPr>
          <w:i/>
          <w:spacing w:val="-6"/>
        </w:rPr>
        <w:t>2006</w:t>
      </w:r>
      <w:r w:rsidRPr="00495745">
        <w:rPr>
          <w:spacing w:val="-6"/>
        </w:rPr>
        <w:t>, www.fesa.wa.gov.au/publications/GeneralReports/</w:t>
      </w:r>
      <w:r w:rsidR="003871E8">
        <w:rPr>
          <w:spacing w:val="-6"/>
        </w:rPr>
        <w:br/>
      </w:r>
      <w:r w:rsidRPr="00495745">
        <w:rPr>
          <w:spacing w:val="-6"/>
        </w:rPr>
        <w:t>FESA_Report-FatalFiresinWA2001</w:t>
      </w:r>
      <w:r w:rsidR="001525FA">
        <w:rPr>
          <w:spacing w:val="-6"/>
        </w:rPr>
        <w:t>–</w:t>
      </w:r>
      <w:r w:rsidRPr="00495745">
        <w:rPr>
          <w:spacing w:val="-6"/>
        </w:rPr>
        <w:t>2006.pdf (accessed 31</w:t>
      </w:r>
      <w:r w:rsidR="00BE3E26">
        <w:rPr>
          <w:spacing w:val="-6"/>
        </w:rPr>
        <w:t> </w:t>
      </w:r>
      <w:r w:rsidRPr="00495745">
        <w:rPr>
          <w:spacing w:val="-6"/>
        </w:rPr>
        <w:t>August 2011).</w:t>
      </w:r>
    </w:p>
    <w:p w:rsidR="00DE2D11" w:rsidRPr="00495745" w:rsidRDefault="001350BD" w:rsidP="00DE2D11">
      <w:pPr>
        <w:pStyle w:val="Reference"/>
      </w:pPr>
      <w:r>
        <w:t>ICA (</w:t>
      </w:r>
      <w:r w:rsidR="00DE2D11" w:rsidRPr="00495745">
        <w:t>Insurance Council of Australia</w:t>
      </w:r>
      <w:r>
        <w:t>)</w:t>
      </w:r>
      <w:r w:rsidR="00DE2D11" w:rsidRPr="00495745">
        <w:t xml:space="preserve"> 201</w:t>
      </w:r>
      <w:r w:rsidR="00E34B7A">
        <w:t>4</w:t>
      </w:r>
      <w:r w:rsidR="00DE2D11" w:rsidRPr="00495745">
        <w:t xml:space="preserve">, </w:t>
      </w:r>
      <w:r w:rsidR="00DE2D11" w:rsidRPr="00495745">
        <w:rPr>
          <w:i/>
        </w:rPr>
        <w:t>Historical &amp; current disaster statistics</w:t>
      </w:r>
      <w:r w:rsidR="00DE2D11" w:rsidRPr="00495745">
        <w:t xml:space="preserve">, </w:t>
      </w:r>
      <w:r w:rsidRPr="001350BD">
        <w:t>www.insurancecouncil.com.au/statistics</w:t>
      </w:r>
      <w:r w:rsidR="00DE2D11" w:rsidRPr="00495745">
        <w:t xml:space="preserve"> (accessed 10</w:t>
      </w:r>
      <w:r>
        <w:t> </w:t>
      </w:r>
      <w:r w:rsidR="00DE2D11" w:rsidRPr="00495745">
        <w:t>October</w:t>
      </w:r>
      <w:r w:rsidR="00BE3E26">
        <w:t xml:space="preserve"> </w:t>
      </w:r>
      <w:r w:rsidR="00DE2D11" w:rsidRPr="00495745">
        <w:t>201</w:t>
      </w:r>
      <w:r w:rsidR="00E34B7A">
        <w:t>4</w:t>
      </w:r>
      <w:r w:rsidR="00612044">
        <w:t>).</w:t>
      </w:r>
    </w:p>
    <w:p w:rsidR="00867919" w:rsidRPr="00015B8F" w:rsidRDefault="00867919" w:rsidP="00867919">
      <w:pPr>
        <w:pStyle w:val="Reference"/>
        <w:rPr>
          <w:color w:val="000000" w:themeColor="text1"/>
        </w:rPr>
      </w:pPr>
      <w:r w:rsidRPr="00015B8F">
        <w:rPr>
          <w:color w:val="000000" w:themeColor="text1"/>
        </w:rPr>
        <w:t>NCTC (National Counter</w:t>
      </w:r>
      <w:r w:rsidR="001525FA" w:rsidRPr="00015B8F">
        <w:rPr>
          <w:color w:val="000000" w:themeColor="text1"/>
        </w:rPr>
        <w:noBreakHyphen/>
      </w:r>
      <w:r w:rsidRPr="00015B8F">
        <w:rPr>
          <w:color w:val="000000" w:themeColor="text1"/>
        </w:rPr>
        <w:t>Terrorism Committee</w:t>
      </w:r>
      <w:r w:rsidR="00D50496" w:rsidRPr="00015B8F">
        <w:rPr>
          <w:color w:val="000000" w:themeColor="text1"/>
        </w:rPr>
        <w:t>)</w:t>
      </w:r>
      <w:r w:rsidRPr="00015B8F">
        <w:rPr>
          <w:color w:val="000000" w:themeColor="text1"/>
        </w:rPr>
        <w:t xml:space="preserve"> 2012, </w:t>
      </w:r>
      <w:r w:rsidRPr="00015B8F">
        <w:rPr>
          <w:i/>
          <w:color w:val="000000" w:themeColor="text1"/>
        </w:rPr>
        <w:t>National counter</w:t>
      </w:r>
      <w:r w:rsidR="001525FA" w:rsidRPr="00015B8F">
        <w:rPr>
          <w:i/>
          <w:color w:val="000000" w:themeColor="text1"/>
        </w:rPr>
        <w:noBreakHyphen/>
      </w:r>
      <w:r w:rsidRPr="00015B8F">
        <w:rPr>
          <w:i/>
          <w:color w:val="000000" w:themeColor="text1"/>
        </w:rPr>
        <w:t>terrorism plan</w:t>
      </w:r>
      <w:r w:rsidRPr="00015B8F">
        <w:rPr>
          <w:color w:val="000000" w:themeColor="text1"/>
        </w:rPr>
        <w:t>, 3</w:t>
      </w:r>
      <w:r w:rsidR="00206FD1" w:rsidRPr="00015B8F">
        <w:rPr>
          <w:color w:val="000000" w:themeColor="text1"/>
        </w:rPr>
        <w:t>rd</w:t>
      </w:r>
      <w:r w:rsidRPr="00015B8F">
        <w:rPr>
          <w:color w:val="000000" w:themeColor="text1"/>
        </w:rPr>
        <w:t xml:space="preserve"> edition 2012, </w:t>
      </w:r>
      <w:r w:rsidR="00206FD1" w:rsidRPr="00015B8F">
        <w:rPr>
          <w:color w:val="000000" w:themeColor="text1"/>
        </w:rPr>
        <w:t>Australian Government, Canberra.</w:t>
      </w:r>
    </w:p>
    <w:p w:rsidR="00DE2D11" w:rsidRPr="00015B8F" w:rsidRDefault="00DE2D11" w:rsidP="00C807D9">
      <w:pPr>
        <w:pStyle w:val="Reference"/>
        <w:rPr>
          <w:color w:val="000000" w:themeColor="text1"/>
          <w:spacing w:val="-6"/>
        </w:rPr>
      </w:pPr>
      <w:r w:rsidRPr="00015B8F">
        <w:rPr>
          <w:color w:val="000000" w:themeColor="text1"/>
        </w:rPr>
        <w:t>Queensland Floods Commission of Inquiry</w:t>
      </w:r>
      <w:r w:rsidRPr="00015B8F">
        <w:rPr>
          <w:color w:val="000000" w:themeColor="text1"/>
          <w:spacing w:val="-6"/>
        </w:rPr>
        <w:t> 201</w:t>
      </w:r>
      <w:r w:rsidR="00C11B29" w:rsidRPr="00015B8F">
        <w:rPr>
          <w:color w:val="000000" w:themeColor="text1"/>
          <w:spacing w:val="-6"/>
        </w:rPr>
        <w:t>2</w:t>
      </w:r>
      <w:r w:rsidRPr="00015B8F">
        <w:rPr>
          <w:color w:val="000000" w:themeColor="text1"/>
          <w:spacing w:val="-6"/>
        </w:rPr>
        <w:t xml:space="preserve">, </w:t>
      </w:r>
      <w:r w:rsidRPr="00015B8F">
        <w:rPr>
          <w:i/>
          <w:color w:val="000000" w:themeColor="text1"/>
        </w:rPr>
        <w:t xml:space="preserve">Queensland Floods Commission of Inquiry: </w:t>
      </w:r>
      <w:r w:rsidR="00C11B29" w:rsidRPr="00015B8F">
        <w:rPr>
          <w:i/>
          <w:color w:val="000000" w:themeColor="text1"/>
        </w:rPr>
        <w:t>Final</w:t>
      </w:r>
      <w:r w:rsidRPr="00015B8F">
        <w:rPr>
          <w:i/>
          <w:color w:val="000000" w:themeColor="text1"/>
        </w:rPr>
        <w:t xml:space="preserve"> Report</w:t>
      </w:r>
      <w:r w:rsidRPr="00015B8F">
        <w:rPr>
          <w:color w:val="000000" w:themeColor="text1"/>
        </w:rPr>
        <w:t xml:space="preserve">, </w:t>
      </w:r>
      <w:r w:rsidRPr="00015B8F">
        <w:rPr>
          <w:color w:val="000000" w:themeColor="text1"/>
          <w:spacing w:val="-6"/>
        </w:rPr>
        <w:t xml:space="preserve">by Commissioner Holmes C.E., </w:t>
      </w:r>
      <w:r w:rsidRPr="00015B8F">
        <w:rPr>
          <w:color w:val="000000" w:themeColor="text1"/>
        </w:rPr>
        <w:t>Queensland Floods Commission of Inquiry, Brisbane.</w:t>
      </w:r>
      <w:r w:rsidRPr="00015B8F">
        <w:rPr>
          <w:color w:val="000000" w:themeColor="text1"/>
          <w:spacing w:val="-6"/>
        </w:rPr>
        <w:t xml:space="preserve"> </w:t>
      </w:r>
    </w:p>
    <w:p w:rsidR="00FE4B9D" w:rsidRDefault="00DE2D11" w:rsidP="005D2453">
      <w:pPr>
        <w:pStyle w:val="Reference"/>
        <w:rPr>
          <w:spacing w:val="-6"/>
        </w:rPr>
      </w:pPr>
      <w:r w:rsidRPr="00495745">
        <w:rPr>
          <w:spacing w:val="-6"/>
        </w:rPr>
        <w:t xml:space="preserve">Victorian Bushfires </w:t>
      </w:r>
      <w:r w:rsidR="00113BCA" w:rsidRPr="00495745">
        <w:rPr>
          <w:spacing w:val="-6"/>
        </w:rPr>
        <w:t xml:space="preserve">Royal </w:t>
      </w:r>
      <w:r w:rsidRPr="00495745">
        <w:rPr>
          <w:spacing w:val="-6"/>
        </w:rPr>
        <w:t xml:space="preserve">Commission 2010, </w:t>
      </w:r>
      <w:r w:rsidRPr="00495745">
        <w:rPr>
          <w:i/>
          <w:spacing w:val="-6"/>
        </w:rPr>
        <w:t xml:space="preserve">2009 Victorian Bushfires </w:t>
      </w:r>
      <w:r w:rsidR="00113BCA" w:rsidRPr="00495745">
        <w:rPr>
          <w:i/>
          <w:spacing w:val="-6"/>
        </w:rPr>
        <w:t xml:space="preserve">Royal </w:t>
      </w:r>
      <w:r w:rsidRPr="00495745">
        <w:rPr>
          <w:i/>
          <w:spacing w:val="-6"/>
        </w:rPr>
        <w:t>Commission: Final Report</w:t>
      </w:r>
      <w:r w:rsidRPr="00495745">
        <w:rPr>
          <w:spacing w:val="-6"/>
        </w:rPr>
        <w:t>, by Commissioner Teague B., McLeod R., and Pascoe S., Pa</w:t>
      </w:r>
      <w:r w:rsidR="00612044">
        <w:rPr>
          <w:spacing w:val="-6"/>
        </w:rPr>
        <w:t>rliament of Victoria, Melbourne.</w:t>
      </w:r>
    </w:p>
    <w:p w:rsidR="007648BC" w:rsidRPr="0010717E" w:rsidRDefault="006A4136" w:rsidP="00783342">
      <w:pPr>
        <w:pStyle w:val="Reference"/>
        <w:rPr>
          <w:spacing w:val="-6"/>
        </w:rPr>
      </w:pPr>
      <w:r w:rsidRPr="006A4136">
        <w:rPr>
          <w:spacing w:val="-6"/>
        </w:rPr>
        <w:t xml:space="preserve">Western, M., Mazerolle, L., </w:t>
      </w:r>
      <w:r>
        <w:rPr>
          <w:spacing w:val="-6"/>
        </w:rPr>
        <w:t xml:space="preserve">and </w:t>
      </w:r>
      <w:proofErr w:type="spellStart"/>
      <w:r w:rsidRPr="006A4136">
        <w:rPr>
          <w:spacing w:val="-6"/>
        </w:rPr>
        <w:t>Boreham</w:t>
      </w:r>
      <w:proofErr w:type="spellEnd"/>
      <w:r w:rsidRPr="006A4136">
        <w:rPr>
          <w:spacing w:val="-6"/>
        </w:rPr>
        <w:t>, P.</w:t>
      </w:r>
      <w:r>
        <w:rPr>
          <w:spacing w:val="-6"/>
        </w:rPr>
        <w:t> 2012,</w:t>
      </w:r>
      <w:r w:rsidRPr="006A4136">
        <w:rPr>
          <w:spacing w:val="-6"/>
        </w:rPr>
        <w:t xml:space="preserve"> </w:t>
      </w:r>
      <w:r w:rsidRPr="007648BC">
        <w:rPr>
          <w:i/>
          <w:spacing w:val="-6"/>
        </w:rPr>
        <w:t>National Security and Preparedness Survey 2011-2012</w:t>
      </w:r>
      <w:r>
        <w:rPr>
          <w:spacing w:val="-6"/>
        </w:rPr>
        <w:t>,</w:t>
      </w:r>
      <w:r w:rsidRPr="006A4136">
        <w:rPr>
          <w:spacing w:val="-6"/>
        </w:rPr>
        <w:t xml:space="preserve"> Institute for Social Science Research and the Australian Research Council Centre of Excellence in Policing and Security, The University of Queensland, Brisbane</w:t>
      </w:r>
      <w:r>
        <w:rPr>
          <w:spacing w:val="-6"/>
        </w:rPr>
        <w:t>, 2012</w:t>
      </w:r>
      <w:r w:rsidR="00612044">
        <w:rPr>
          <w:spacing w:val="-6"/>
        </w:rPr>
        <w:t>.</w:t>
      </w:r>
    </w:p>
    <w:sectPr w:rsidR="007648BC" w:rsidRPr="0010717E" w:rsidSect="009A1B11">
      <w:headerReference w:type="even" r:id="rId17"/>
      <w:headerReference w:type="default" r:id="rId18"/>
      <w:footerReference w:type="even" r:id="rId19"/>
      <w:footerReference w:type="default" r:id="rId20"/>
      <w:pgSz w:w="11907" w:h="16840" w:code="9"/>
      <w:pgMar w:top="1440" w:right="1440" w:bottom="1440" w:left="1440"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BB9" w:rsidRDefault="00757BB9">
      <w:r>
        <w:separator/>
      </w:r>
    </w:p>
  </w:endnote>
  <w:endnote w:type="continuationSeparator" w:id="0">
    <w:p w:rsidR="00757BB9" w:rsidRDefault="00757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57BB9" w:rsidTr="00695F96">
      <w:trPr>
        <w:trHeight w:hRule="exact" w:val="567"/>
      </w:trPr>
      <w:tc>
        <w:tcPr>
          <w:tcW w:w="510" w:type="dxa"/>
        </w:tcPr>
        <w:p w:rsidR="00757BB9" w:rsidRPr="00A24443" w:rsidRDefault="00757BB9" w:rsidP="0019293B">
          <w:pPr>
            <w:pStyle w:val="Footer"/>
            <w:tabs>
              <w:tab w:val="left" w:pos="0"/>
            </w:tabs>
            <w:ind w:right="0"/>
            <w:rPr>
              <w:rStyle w:val="PageNumber"/>
              <w:caps w:val="0"/>
            </w:rPr>
          </w:pPr>
          <w:r>
            <w:rPr>
              <w:rStyle w:val="PageNumber"/>
              <w:caps w:val="0"/>
            </w:rPr>
            <w:t>D.</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34C22">
            <w:rPr>
              <w:rStyle w:val="PageNumber"/>
              <w:caps w:val="0"/>
              <w:noProof/>
            </w:rPr>
            <w:t>2</w:t>
          </w:r>
          <w:r w:rsidRPr="00A24443">
            <w:rPr>
              <w:rStyle w:val="PageNumber"/>
              <w:caps w:val="0"/>
            </w:rPr>
            <w:fldChar w:fldCharType="end"/>
          </w:r>
        </w:p>
      </w:tc>
      <w:tc>
        <w:tcPr>
          <w:tcW w:w="7767" w:type="dxa"/>
        </w:tcPr>
        <w:p w:rsidR="00757BB9" w:rsidRPr="0013739A" w:rsidRDefault="00642BBB" w:rsidP="003E03DA">
          <w:pPr>
            <w:pStyle w:val="Footer"/>
            <w:rPr>
              <w:rFonts w:cs="Arial"/>
            </w:rPr>
          </w:pPr>
          <w:r>
            <w:rPr>
              <w:rFonts w:cs="Arial"/>
            </w:rPr>
            <w:t>REPORT ON GOVERNMENT SERVICES 2017</w:t>
          </w:r>
          <w:bookmarkStart w:id="28" w:name="DraftReportEven"/>
          <w:bookmarkEnd w:id="28"/>
        </w:p>
      </w:tc>
      <w:tc>
        <w:tcPr>
          <w:tcW w:w="510" w:type="dxa"/>
        </w:tcPr>
        <w:p w:rsidR="00757BB9" w:rsidRDefault="00757BB9" w:rsidP="0019293B">
          <w:pPr>
            <w:pStyle w:val="Footer"/>
          </w:pPr>
        </w:p>
      </w:tc>
    </w:tr>
  </w:tbl>
  <w:p w:rsidR="00757BB9" w:rsidRDefault="00757BB9" w:rsidP="0019293B">
    <w:pPr>
      <w:pStyle w:val="FooterEnd"/>
    </w:pPr>
  </w:p>
  <w:p w:rsidR="00757BB9" w:rsidRDefault="00757BB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57BB9" w:rsidTr="00695F96">
      <w:trPr>
        <w:trHeight w:hRule="exact" w:val="567"/>
      </w:trPr>
      <w:tc>
        <w:tcPr>
          <w:tcW w:w="510" w:type="dxa"/>
        </w:tcPr>
        <w:p w:rsidR="00757BB9" w:rsidRDefault="00757BB9">
          <w:pPr>
            <w:pStyle w:val="Footer"/>
            <w:ind w:right="360" w:firstLine="360"/>
          </w:pPr>
        </w:p>
      </w:tc>
      <w:tc>
        <w:tcPr>
          <w:tcW w:w="7767" w:type="dxa"/>
        </w:tcPr>
        <w:p w:rsidR="00757BB9" w:rsidRPr="00BA5B14" w:rsidRDefault="00642BBB" w:rsidP="00695F96">
          <w:pPr>
            <w:pStyle w:val="Footer"/>
            <w:jc w:val="right"/>
            <w:rPr>
              <w:rFonts w:cs="Arial"/>
            </w:rPr>
          </w:pPr>
          <w:r>
            <w:rPr>
              <w:rFonts w:cs="Arial"/>
            </w:rPr>
            <w:t>Emergency management sector overview</w:t>
          </w:r>
        </w:p>
      </w:tc>
      <w:tc>
        <w:tcPr>
          <w:tcW w:w="510" w:type="dxa"/>
        </w:tcPr>
        <w:p w:rsidR="00757BB9" w:rsidRPr="00A24443" w:rsidRDefault="00757BB9">
          <w:pPr>
            <w:pStyle w:val="Footer"/>
            <w:jc w:val="right"/>
            <w:rPr>
              <w:caps w:val="0"/>
            </w:rPr>
          </w:pPr>
          <w:r>
            <w:rPr>
              <w:rStyle w:val="PageNumber"/>
              <w:caps w:val="0"/>
            </w:rPr>
            <w:t>D.</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34C22">
            <w:rPr>
              <w:rStyle w:val="PageNumber"/>
              <w:caps w:val="0"/>
              <w:noProof/>
            </w:rPr>
            <w:t>1</w:t>
          </w:r>
          <w:r w:rsidRPr="00A24443">
            <w:rPr>
              <w:rStyle w:val="PageNumber"/>
              <w:caps w:val="0"/>
            </w:rPr>
            <w:fldChar w:fldCharType="end"/>
          </w:r>
        </w:p>
      </w:tc>
    </w:tr>
  </w:tbl>
  <w:p w:rsidR="00757BB9" w:rsidRDefault="00757BB9">
    <w:pPr>
      <w:pStyle w:val="FooterEnd"/>
    </w:pPr>
  </w:p>
  <w:p w:rsidR="00757BB9" w:rsidRDefault="00757BB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BB9" w:rsidRDefault="00757BB9">
      <w:r>
        <w:separator/>
      </w:r>
    </w:p>
  </w:footnote>
  <w:footnote w:type="continuationSeparator" w:id="0">
    <w:p w:rsidR="00757BB9" w:rsidRDefault="00757B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1418"/>
      <w:gridCol w:w="7371"/>
    </w:tblGrid>
    <w:tr w:rsidR="00757BB9" w:rsidTr="00540704">
      <w:tc>
        <w:tcPr>
          <w:tcW w:w="1418" w:type="dxa"/>
          <w:tcBorders>
            <w:top w:val="single" w:sz="24" w:space="0" w:color="auto"/>
          </w:tcBorders>
        </w:tcPr>
        <w:p w:rsidR="00757BB9" w:rsidRDefault="00757BB9" w:rsidP="009F26F0">
          <w:pPr>
            <w:pStyle w:val="HeaderEven"/>
            <w:ind w:right="567"/>
          </w:pPr>
        </w:p>
      </w:tc>
      <w:tc>
        <w:tcPr>
          <w:tcW w:w="7371" w:type="dxa"/>
          <w:tcBorders>
            <w:top w:val="single" w:sz="6" w:space="0" w:color="auto"/>
          </w:tcBorders>
        </w:tcPr>
        <w:p w:rsidR="00757BB9" w:rsidRPr="003E03DA" w:rsidRDefault="00757BB9" w:rsidP="00293D59">
          <w:pPr>
            <w:pStyle w:val="HeaderEven"/>
            <w:ind w:left="-454" w:right="142" w:firstLine="454"/>
            <w:jc w:val="right"/>
            <w:rPr>
              <w:sz w:val="28"/>
              <w:szCs w:val="28"/>
            </w:rPr>
          </w:pPr>
        </w:p>
      </w:tc>
    </w:tr>
  </w:tbl>
  <w:p w:rsidR="00757BB9" w:rsidRDefault="00757BB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000" w:firstRow="0" w:lastRow="0" w:firstColumn="0" w:lastColumn="0" w:noHBand="0" w:noVBand="0"/>
    </w:tblPr>
    <w:tblGrid>
      <w:gridCol w:w="7230"/>
      <w:gridCol w:w="1559"/>
    </w:tblGrid>
    <w:tr w:rsidR="00757BB9" w:rsidTr="00540704">
      <w:tc>
        <w:tcPr>
          <w:tcW w:w="7230" w:type="dxa"/>
          <w:tcBorders>
            <w:top w:val="single" w:sz="6" w:space="0" w:color="auto"/>
          </w:tcBorders>
        </w:tcPr>
        <w:p w:rsidR="00757BB9" w:rsidRPr="00B90CB0" w:rsidRDefault="00757BB9" w:rsidP="00293D59">
          <w:pPr>
            <w:pStyle w:val="HeaderOdd"/>
            <w:rPr>
              <w:sz w:val="28"/>
              <w:szCs w:val="28"/>
            </w:rPr>
          </w:pPr>
        </w:p>
      </w:tc>
      <w:tc>
        <w:tcPr>
          <w:tcW w:w="1559" w:type="dxa"/>
          <w:tcBorders>
            <w:top w:val="single" w:sz="24" w:space="0" w:color="auto"/>
          </w:tcBorders>
        </w:tcPr>
        <w:p w:rsidR="00757BB9" w:rsidRDefault="00757BB9" w:rsidP="00E669E2">
          <w:pPr>
            <w:pStyle w:val="HeaderOdd"/>
          </w:pPr>
        </w:p>
      </w:tc>
    </w:tr>
  </w:tbl>
  <w:p w:rsidR="00757BB9" w:rsidRDefault="00757BB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2892BF7"/>
    <w:multiLevelType w:val="multilevel"/>
    <w:tmpl w:val="EF6CA6E6"/>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5CA547C"/>
    <w:multiLevelType w:val="multilevel"/>
    <w:tmpl w:val="55D08D12"/>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2"/>
  </w:num>
  <w:num w:numId="4">
    <w:abstractNumId w:val="3"/>
  </w:num>
  <w:num w:numId="5">
    <w:abstractNumId w:val="15"/>
  </w:num>
  <w:num w:numId="6">
    <w:abstractNumId w:val="4"/>
  </w:num>
  <w:num w:numId="7">
    <w:abstractNumId w:val="20"/>
  </w:num>
  <w:num w:numId="8">
    <w:abstractNumId w:val="17"/>
  </w:num>
  <w:num w:numId="9">
    <w:abstractNumId w:val="23"/>
  </w:num>
  <w:num w:numId="10">
    <w:abstractNumId w:val="11"/>
  </w:num>
  <w:num w:numId="11">
    <w:abstractNumId w:val="8"/>
  </w:num>
  <w:num w:numId="12">
    <w:abstractNumId w:val="16"/>
  </w:num>
  <w:num w:numId="13">
    <w:abstractNumId w:val="7"/>
  </w:num>
  <w:num w:numId="14">
    <w:abstractNumId w:val="6"/>
  </w:num>
  <w:num w:numId="15">
    <w:abstractNumId w:val="12"/>
  </w:num>
  <w:num w:numId="16">
    <w:abstractNumId w:val="14"/>
  </w:num>
  <w:num w:numId="17">
    <w:abstractNumId w:val="18"/>
  </w:num>
  <w:num w:numId="18">
    <w:abstractNumId w:val="15"/>
  </w:num>
  <w:num w:numId="19">
    <w:abstractNumId w:val="4"/>
  </w:num>
  <w:num w:numId="20">
    <w:abstractNumId w:val="13"/>
  </w:num>
  <w:num w:numId="21">
    <w:abstractNumId w:val="19"/>
  </w:num>
  <w:num w:numId="22">
    <w:abstractNumId w:val="9"/>
  </w:num>
  <w:num w:numId="23">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4">
    <w:abstractNumId w:val="0"/>
  </w:num>
  <w:num w:numId="25">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21"/>
  </w:num>
  <w:num w:numId="27">
    <w:abstractNumId w:val="10"/>
  </w:num>
  <w:num w:numId="28">
    <w:abstractNumId w:val="1"/>
  </w:num>
  <w:num w:numId="2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07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Emergency management sector summary"/>
    <w:docVar w:name="ShortReportTitle" w:val="REPORT ON GOVERNMENT SERVICES 2012"/>
  </w:docVars>
  <w:rsids>
    <w:rsidRoot w:val="00DE2D11"/>
    <w:rsid w:val="00000EE2"/>
    <w:rsid w:val="00002FC4"/>
    <w:rsid w:val="0000492E"/>
    <w:rsid w:val="00004E41"/>
    <w:rsid w:val="000073FD"/>
    <w:rsid w:val="00010EEB"/>
    <w:rsid w:val="000117C0"/>
    <w:rsid w:val="00011AB8"/>
    <w:rsid w:val="00011B5F"/>
    <w:rsid w:val="0001584D"/>
    <w:rsid w:val="00015B8F"/>
    <w:rsid w:val="00017905"/>
    <w:rsid w:val="00020722"/>
    <w:rsid w:val="000209EE"/>
    <w:rsid w:val="00022ADA"/>
    <w:rsid w:val="0002502F"/>
    <w:rsid w:val="0002620A"/>
    <w:rsid w:val="000264BF"/>
    <w:rsid w:val="00026908"/>
    <w:rsid w:val="000302ED"/>
    <w:rsid w:val="00030D33"/>
    <w:rsid w:val="0003254A"/>
    <w:rsid w:val="000327E0"/>
    <w:rsid w:val="00032B2F"/>
    <w:rsid w:val="000338C7"/>
    <w:rsid w:val="0003642C"/>
    <w:rsid w:val="0003664B"/>
    <w:rsid w:val="00037841"/>
    <w:rsid w:val="000402AF"/>
    <w:rsid w:val="000409F7"/>
    <w:rsid w:val="0004111F"/>
    <w:rsid w:val="00041389"/>
    <w:rsid w:val="00042C9A"/>
    <w:rsid w:val="00043A63"/>
    <w:rsid w:val="00046165"/>
    <w:rsid w:val="00051512"/>
    <w:rsid w:val="00051DD5"/>
    <w:rsid w:val="00052338"/>
    <w:rsid w:val="000534B4"/>
    <w:rsid w:val="00054EF0"/>
    <w:rsid w:val="000613B4"/>
    <w:rsid w:val="00061B2E"/>
    <w:rsid w:val="000625AD"/>
    <w:rsid w:val="00062AD0"/>
    <w:rsid w:val="00064CF8"/>
    <w:rsid w:val="00066295"/>
    <w:rsid w:val="0007080E"/>
    <w:rsid w:val="000708BD"/>
    <w:rsid w:val="00070CBF"/>
    <w:rsid w:val="00071178"/>
    <w:rsid w:val="000711C7"/>
    <w:rsid w:val="0007150B"/>
    <w:rsid w:val="00074205"/>
    <w:rsid w:val="0007511A"/>
    <w:rsid w:val="000763E4"/>
    <w:rsid w:val="00080845"/>
    <w:rsid w:val="00080BFE"/>
    <w:rsid w:val="00081B42"/>
    <w:rsid w:val="000827F1"/>
    <w:rsid w:val="000836B9"/>
    <w:rsid w:val="00083988"/>
    <w:rsid w:val="00084883"/>
    <w:rsid w:val="00084894"/>
    <w:rsid w:val="00086F06"/>
    <w:rsid w:val="00087A90"/>
    <w:rsid w:val="0009008B"/>
    <w:rsid w:val="000902BD"/>
    <w:rsid w:val="000938F5"/>
    <w:rsid w:val="000956DC"/>
    <w:rsid w:val="00096B2C"/>
    <w:rsid w:val="00097910"/>
    <w:rsid w:val="000A05E5"/>
    <w:rsid w:val="000A0EA9"/>
    <w:rsid w:val="000A1ECB"/>
    <w:rsid w:val="000A2580"/>
    <w:rsid w:val="000A2F44"/>
    <w:rsid w:val="000A3C2D"/>
    <w:rsid w:val="000A40C4"/>
    <w:rsid w:val="000A4448"/>
    <w:rsid w:val="000A44E8"/>
    <w:rsid w:val="000A5458"/>
    <w:rsid w:val="000A7660"/>
    <w:rsid w:val="000B0283"/>
    <w:rsid w:val="000B1F90"/>
    <w:rsid w:val="000B27AB"/>
    <w:rsid w:val="000B2B53"/>
    <w:rsid w:val="000B2B8E"/>
    <w:rsid w:val="000B4F77"/>
    <w:rsid w:val="000B601B"/>
    <w:rsid w:val="000B7FDE"/>
    <w:rsid w:val="000C0B11"/>
    <w:rsid w:val="000C17BA"/>
    <w:rsid w:val="000C1EAD"/>
    <w:rsid w:val="000C207E"/>
    <w:rsid w:val="000C2B1C"/>
    <w:rsid w:val="000C31AA"/>
    <w:rsid w:val="000C3EBC"/>
    <w:rsid w:val="000C4CCF"/>
    <w:rsid w:val="000C4D0D"/>
    <w:rsid w:val="000C4DAA"/>
    <w:rsid w:val="000C659B"/>
    <w:rsid w:val="000D0E22"/>
    <w:rsid w:val="000D104C"/>
    <w:rsid w:val="000D163C"/>
    <w:rsid w:val="000D21E4"/>
    <w:rsid w:val="000D33B4"/>
    <w:rsid w:val="000D3918"/>
    <w:rsid w:val="000D5109"/>
    <w:rsid w:val="000D710F"/>
    <w:rsid w:val="000E0306"/>
    <w:rsid w:val="000E0980"/>
    <w:rsid w:val="000E1445"/>
    <w:rsid w:val="000E1F88"/>
    <w:rsid w:val="000E291E"/>
    <w:rsid w:val="000E3231"/>
    <w:rsid w:val="000E3364"/>
    <w:rsid w:val="000E44F9"/>
    <w:rsid w:val="000E527B"/>
    <w:rsid w:val="000E56F9"/>
    <w:rsid w:val="000E6D44"/>
    <w:rsid w:val="000E7C1E"/>
    <w:rsid w:val="000F0104"/>
    <w:rsid w:val="000F06DA"/>
    <w:rsid w:val="000F0AFA"/>
    <w:rsid w:val="000F0DE0"/>
    <w:rsid w:val="000F1A75"/>
    <w:rsid w:val="000F4688"/>
    <w:rsid w:val="000F4C90"/>
    <w:rsid w:val="000F6920"/>
    <w:rsid w:val="000F799A"/>
    <w:rsid w:val="001014A4"/>
    <w:rsid w:val="001023E1"/>
    <w:rsid w:val="0010283E"/>
    <w:rsid w:val="001030E3"/>
    <w:rsid w:val="001037DA"/>
    <w:rsid w:val="00103C23"/>
    <w:rsid w:val="001057FF"/>
    <w:rsid w:val="0010717E"/>
    <w:rsid w:val="00110116"/>
    <w:rsid w:val="00110CB6"/>
    <w:rsid w:val="0011192E"/>
    <w:rsid w:val="001128EC"/>
    <w:rsid w:val="00112D33"/>
    <w:rsid w:val="00113BCA"/>
    <w:rsid w:val="001146FB"/>
    <w:rsid w:val="00114794"/>
    <w:rsid w:val="001151FA"/>
    <w:rsid w:val="0011699B"/>
    <w:rsid w:val="00116CBA"/>
    <w:rsid w:val="0011715E"/>
    <w:rsid w:val="001179A0"/>
    <w:rsid w:val="001218F3"/>
    <w:rsid w:val="00122234"/>
    <w:rsid w:val="001233A9"/>
    <w:rsid w:val="001249FB"/>
    <w:rsid w:val="0012637F"/>
    <w:rsid w:val="00126584"/>
    <w:rsid w:val="00126EB8"/>
    <w:rsid w:val="00126FF6"/>
    <w:rsid w:val="00127F49"/>
    <w:rsid w:val="00131055"/>
    <w:rsid w:val="0013195D"/>
    <w:rsid w:val="00131A8B"/>
    <w:rsid w:val="00132706"/>
    <w:rsid w:val="001330DE"/>
    <w:rsid w:val="001350BD"/>
    <w:rsid w:val="001352BB"/>
    <w:rsid w:val="0013559F"/>
    <w:rsid w:val="00135729"/>
    <w:rsid w:val="00135882"/>
    <w:rsid w:val="00135A90"/>
    <w:rsid w:val="001360FC"/>
    <w:rsid w:val="00136294"/>
    <w:rsid w:val="001363AA"/>
    <w:rsid w:val="001400E5"/>
    <w:rsid w:val="0014069F"/>
    <w:rsid w:val="00141C1C"/>
    <w:rsid w:val="0014245D"/>
    <w:rsid w:val="001426EC"/>
    <w:rsid w:val="00143636"/>
    <w:rsid w:val="00145286"/>
    <w:rsid w:val="001453E9"/>
    <w:rsid w:val="0014739E"/>
    <w:rsid w:val="00147A98"/>
    <w:rsid w:val="0015000F"/>
    <w:rsid w:val="00150A81"/>
    <w:rsid w:val="001525FA"/>
    <w:rsid w:val="00152F56"/>
    <w:rsid w:val="00153C62"/>
    <w:rsid w:val="001548A5"/>
    <w:rsid w:val="001552A0"/>
    <w:rsid w:val="001600C4"/>
    <w:rsid w:val="0016162B"/>
    <w:rsid w:val="00161848"/>
    <w:rsid w:val="0016235B"/>
    <w:rsid w:val="00162A14"/>
    <w:rsid w:val="00163372"/>
    <w:rsid w:val="0016533C"/>
    <w:rsid w:val="00165709"/>
    <w:rsid w:val="00165715"/>
    <w:rsid w:val="00165C03"/>
    <w:rsid w:val="001663E8"/>
    <w:rsid w:val="0016656F"/>
    <w:rsid w:val="0016717A"/>
    <w:rsid w:val="001706E0"/>
    <w:rsid w:val="00171C11"/>
    <w:rsid w:val="00174FAF"/>
    <w:rsid w:val="001755E9"/>
    <w:rsid w:val="00176AB6"/>
    <w:rsid w:val="001772D5"/>
    <w:rsid w:val="001808D9"/>
    <w:rsid w:val="0018531F"/>
    <w:rsid w:val="00187F3E"/>
    <w:rsid w:val="00190320"/>
    <w:rsid w:val="00191385"/>
    <w:rsid w:val="0019293B"/>
    <w:rsid w:val="00192DBC"/>
    <w:rsid w:val="00192F3E"/>
    <w:rsid w:val="001934F4"/>
    <w:rsid w:val="00197114"/>
    <w:rsid w:val="001971BE"/>
    <w:rsid w:val="00197685"/>
    <w:rsid w:val="001A0912"/>
    <w:rsid w:val="001A29D5"/>
    <w:rsid w:val="001A2F8E"/>
    <w:rsid w:val="001A3DC1"/>
    <w:rsid w:val="001A485B"/>
    <w:rsid w:val="001A511F"/>
    <w:rsid w:val="001A5B30"/>
    <w:rsid w:val="001A615C"/>
    <w:rsid w:val="001A7421"/>
    <w:rsid w:val="001B17DA"/>
    <w:rsid w:val="001B1C14"/>
    <w:rsid w:val="001B1C82"/>
    <w:rsid w:val="001B270F"/>
    <w:rsid w:val="001B3887"/>
    <w:rsid w:val="001B4788"/>
    <w:rsid w:val="001B4B5B"/>
    <w:rsid w:val="001B6308"/>
    <w:rsid w:val="001C0865"/>
    <w:rsid w:val="001C1245"/>
    <w:rsid w:val="001C289E"/>
    <w:rsid w:val="001C2B48"/>
    <w:rsid w:val="001C3ABA"/>
    <w:rsid w:val="001C4003"/>
    <w:rsid w:val="001C4CC4"/>
    <w:rsid w:val="001C7832"/>
    <w:rsid w:val="001D1E1C"/>
    <w:rsid w:val="001D210A"/>
    <w:rsid w:val="001D2BC1"/>
    <w:rsid w:val="001D35B6"/>
    <w:rsid w:val="001D435B"/>
    <w:rsid w:val="001D4554"/>
    <w:rsid w:val="001D458F"/>
    <w:rsid w:val="001D4EE3"/>
    <w:rsid w:val="001D52B3"/>
    <w:rsid w:val="001D58BD"/>
    <w:rsid w:val="001E072C"/>
    <w:rsid w:val="001E37DF"/>
    <w:rsid w:val="001E49F8"/>
    <w:rsid w:val="001E6000"/>
    <w:rsid w:val="001E6116"/>
    <w:rsid w:val="001E6300"/>
    <w:rsid w:val="001E669E"/>
    <w:rsid w:val="001E748D"/>
    <w:rsid w:val="001E74F2"/>
    <w:rsid w:val="001E7BE8"/>
    <w:rsid w:val="001F0248"/>
    <w:rsid w:val="001F0842"/>
    <w:rsid w:val="001F116C"/>
    <w:rsid w:val="001F2614"/>
    <w:rsid w:val="001F3D89"/>
    <w:rsid w:val="001F4645"/>
    <w:rsid w:val="001F516B"/>
    <w:rsid w:val="001F6FA3"/>
    <w:rsid w:val="001F7EB6"/>
    <w:rsid w:val="00201B3D"/>
    <w:rsid w:val="00202A3A"/>
    <w:rsid w:val="00202A64"/>
    <w:rsid w:val="00202C2C"/>
    <w:rsid w:val="002035D4"/>
    <w:rsid w:val="00203844"/>
    <w:rsid w:val="00203F91"/>
    <w:rsid w:val="00204737"/>
    <w:rsid w:val="00206333"/>
    <w:rsid w:val="00206408"/>
    <w:rsid w:val="002066BA"/>
    <w:rsid w:val="00206751"/>
    <w:rsid w:val="00206FD1"/>
    <w:rsid w:val="0021099A"/>
    <w:rsid w:val="00210CB7"/>
    <w:rsid w:val="00210EA0"/>
    <w:rsid w:val="00210F77"/>
    <w:rsid w:val="002114E2"/>
    <w:rsid w:val="00211F08"/>
    <w:rsid w:val="002120FC"/>
    <w:rsid w:val="002131FE"/>
    <w:rsid w:val="00213CA9"/>
    <w:rsid w:val="00220CE0"/>
    <w:rsid w:val="0022266E"/>
    <w:rsid w:val="00222D4A"/>
    <w:rsid w:val="00223E03"/>
    <w:rsid w:val="00226A44"/>
    <w:rsid w:val="00230522"/>
    <w:rsid w:val="00231FE4"/>
    <w:rsid w:val="002322A2"/>
    <w:rsid w:val="002324D4"/>
    <w:rsid w:val="00233F2C"/>
    <w:rsid w:val="00234248"/>
    <w:rsid w:val="0023469A"/>
    <w:rsid w:val="0023528A"/>
    <w:rsid w:val="00235EBB"/>
    <w:rsid w:val="00236B85"/>
    <w:rsid w:val="00237847"/>
    <w:rsid w:val="00237F50"/>
    <w:rsid w:val="00240034"/>
    <w:rsid w:val="00240982"/>
    <w:rsid w:val="00241765"/>
    <w:rsid w:val="00242279"/>
    <w:rsid w:val="0024297A"/>
    <w:rsid w:val="002453D3"/>
    <w:rsid w:val="0024608D"/>
    <w:rsid w:val="00246A5A"/>
    <w:rsid w:val="00246AF7"/>
    <w:rsid w:val="00247176"/>
    <w:rsid w:val="002472A0"/>
    <w:rsid w:val="0025004F"/>
    <w:rsid w:val="00250884"/>
    <w:rsid w:val="0025191F"/>
    <w:rsid w:val="0025367C"/>
    <w:rsid w:val="0025458A"/>
    <w:rsid w:val="0025579C"/>
    <w:rsid w:val="00255BD3"/>
    <w:rsid w:val="00257160"/>
    <w:rsid w:val="00257EE1"/>
    <w:rsid w:val="002604D1"/>
    <w:rsid w:val="002607CE"/>
    <w:rsid w:val="0026151B"/>
    <w:rsid w:val="0026157E"/>
    <w:rsid w:val="00262184"/>
    <w:rsid w:val="00263225"/>
    <w:rsid w:val="002632D8"/>
    <w:rsid w:val="002636C7"/>
    <w:rsid w:val="00263A1D"/>
    <w:rsid w:val="00263C67"/>
    <w:rsid w:val="002644B7"/>
    <w:rsid w:val="00264596"/>
    <w:rsid w:val="00264F81"/>
    <w:rsid w:val="0026548B"/>
    <w:rsid w:val="002668E7"/>
    <w:rsid w:val="00267F33"/>
    <w:rsid w:val="0027035B"/>
    <w:rsid w:val="002718A6"/>
    <w:rsid w:val="0027195A"/>
    <w:rsid w:val="00272E86"/>
    <w:rsid w:val="00281B71"/>
    <w:rsid w:val="002827F3"/>
    <w:rsid w:val="00282BA0"/>
    <w:rsid w:val="00283BD1"/>
    <w:rsid w:val="002857C0"/>
    <w:rsid w:val="00286313"/>
    <w:rsid w:val="002911FF"/>
    <w:rsid w:val="00291A12"/>
    <w:rsid w:val="00291B40"/>
    <w:rsid w:val="00293D59"/>
    <w:rsid w:val="00294892"/>
    <w:rsid w:val="0029613B"/>
    <w:rsid w:val="00296783"/>
    <w:rsid w:val="0029775B"/>
    <w:rsid w:val="002A010B"/>
    <w:rsid w:val="002A281D"/>
    <w:rsid w:val="002A370B"/>
    <w:rsid w:val="002A3ECC"/>
    <w:rsid w:val="002A4C77"/>
    <w:rsid w:val="002A5064"/>
    <w:rsid w:val="002A5F31"/>
    <w:rsid w:val="002A6DE6"/>
    <w:rsid w:val="002B11D2"/>
    <w:rsid w:val="002B23D4"/>
    <w:rsid w:val="002B289C"/>
    <w:rsid w:val="002B3335"/>
    <w:rsid w:val="002B34A8"/>
    <w:rsid w:val="002B4008"/>
    <w:rsid w:val="002B5DA0"/>
    <w:rsid w:val="002B6485"/>
    <w:rsid w:val="002B7991"/>
    <w:rsid w:val="002C1C96"/>
    <w:rsid w:val="002C3CF1"/>
    <w:rsid w:val="002C46AB"/>
    <w:rsid w:val="002C646F"/>
    <w:rsid w:val="002C6549"/>
    <w:rsid w:val="002C6E38"/>
    <w:rsid w:val="002D0E8E"/>
    <w:rsid w:val="002D1D7E"/>
    <w:rsid w:val="002D2BF2"/>
    <w:rsid w:val="002D3531"/>
    <w:rsid w:val="002D5083"/>
    <w:rsid w:val="002D5431"/>
    <w:rsid w:val="002D572C"/>
    <w:rsid w:val="002D5E6E"/>
    <w:rsid w:val="002E2A59"/>
    <w:rsid w:val="002E4B68"/>
    <w:rsid w:val="002E5DCD"/>
    <w:rsid w:val="002E6F7B"/>
    <w:rsid w:val="002E70E1"/>
    <w:rsid w:val="002F023D"/>
    <w:rsid w:val="002F2CA3"/>
    <w:rsid w:val="002F4D90"/>
    <w:rsid w:val="002F4E7A"/>
    <w:rsid w:val="002F4FE9"/>
    <w:rsid w:val="002F5631"/>
    <w:rsid w:val="002F6E12"/>
    <w:rsid w:val="00300420"/>
    <w:rsid w:val="00301189"/>
    <w:rsid w:val="00305A8E"/>
    <w:rsid w:val="00305D72"/>
    <w:rsid w:val="00307FB8"/>
    <w:rsid w:val="003104C7"/>
    <w:rsid w:val="003108C3"/>
    <w:rsid w:val="00311346"/>
    <w:rsid w:val="003113C5"/>
    <w:rsid w:val="00311DDF"/>
    <w:rsid w:val="003132D7"/>
    <w:rsid w:val="00317C39"/>
    <w:rsid w:val="003203FF"/>
    <w:rsid w:val="00321353"/>
    <w:rsid w:val="00322A9C"/>
    <w:rsid w:val="00322E1F"/>
    <w:rsid w:val="00323E09"/>
    <w:rsid w:val="0032522A"/>
    <w:rsid w:val="00325402"/>
    <w:rsid w:val="00326105"/>
    <w:rsid w:val="003264CB"/>
    <w:rsid w:val="00327F5C"/>
    <w:rsid w:val="0033042F"/>
    <w:rsid w:val="00331283"/>
    <w:rsid w:val="003319C7"/>
    <w:rsid w:val="00333932"/>
    <w:rsid w:val="00333E2C"/>
    <w:rsid w:val="003342F4"/>
    <w:rsid w:val="00334814"/>
    <w:rsid w:val="00336F3A"/>
    <w:rsid w:val="00337A16"/>
    <w:rsid w:val="00337FD8"/>
    <w:rsid w:val="00341FDA"/>
    <w:rsid w:val="00343BD9"/>
    <w:rsid w:val="00343C0F"/>
    <w:rsid w:val="00346F3C"/>
    <w:rsid w:val="00346F5E"/>
    <w:rsid w:val="0035060C"/>
    <w:rsid w:val="003511D1"/>
    <w:rsid w:val="003518AA"/>
    <w:rsid w:val="0035256A"/>
    <w:rsid w:val="00353182"/>
    <w:rsid w:val="003531B4"/>
    <w:rsid w:val="00353746"/>
    <w:rsid w:val="00353B4B"/>
    <w:rsid w:val="00357608"/>
    <w:rsid w:val="003602E1"/>
    <w:rsid w:val="00361FB7"/>
    <w:rsid w:val="00363940"/>
    <w:rsid w:val="00363A3A"/>
    <w:rsid w:val="003649A3"/>
    <w:rsid w:val="00364E6F"/>
    <w:rsid w:val="00365575"/>
    <w:rsid w:val="003666E2"/>
    <w:rsid w:val="00366E42"/>
    <w:rsid w:val="0037024B"/>
    <w:rsid w:val="00371240"/>
    <w:rsid w:val="00372147"/>
    <w:rsid w:val="00373326"/>
    <w:rsid w:val="003738E3"/>
    <w:rsid w:val="003742CD"/>
    <w:rsid w:val="00374731"/>
    <w:rsid w:val="00377E8A"/>
    <w:rsid w:val="00380CA4"/>
    <w:rsid w:val="00382061"/>
    <w:rsid w:val="0038327F"/>
    <w:rsid w:val="0038372B"/>
    <w:rsid w:val="00383EF1"/>
    <w:rsid w:val="00384065"/>
    <w:rsid w:val="00385B38"/>
    <w:rsid w:val="00385E5E"/>
    <w:rsid w:val="00386CF4"/>
    <w:rsid w:val="00386D7E"/>
    <w:rsid w:val="003871E8"/>
    <w:rsid w:val="003903AF"/>
    <w:rsid w:val="00390A59"/>
    <w:rsid w:val="0039132D"/>
    <w:rsid w:val="00391A2B"/>
    <w:rsid w:val="00391DDC"/>
    <w:rsid w:val="003932F5"/>
    <w:rsid w:val="00395209"/>
    <w:rsid w:val="003976A4"/>
    <w:rsid w:val="00397E4D"/>
    <w:rsid w:val="003A18F0"/>
    <w:rsid w:val="003A24AD"/>
    <w:rsid w:val="003A52CA"/>
    <w:rsid w:val="003A6D92"/>
    <w:rsid w:val="003A7810"/>
    <w:rsid w:val="003A798E"/>
    <w:rsid w:val="003B5138"/>
    <w:rsid w:val="003B7523"/>
    <w:rsid w:val="003B79AD"/>
    <w:rsid w:val="003B7A0E"/>
    <w:rsid w:val="003B7BC8"/>
    <w:rsid w:val="003C069B"/>
    <w:rsid w:val="003C0700"/>
    <w:rsid w:val="003C22C7"/>
    <w:rsid w:val="003C38B5"/>
    <w:rsid w:val="003C3B2C"/>
    <w:rsid w:val="003C4747"/>
    <w:rsid w:val="003C4EBB"/>
    <w:rsid w:val="003C4FC7"/>
    <w:rsid w:val="003C5C21"/>
    <w:rsid w:val="003C5D99"/>
    <w:rsid w:val="003C65C8"/>
    <w:rsid w:val="003C770B"/>
    <w:rsid w:val="003C77D9"/>
    <w:rsid w:val="003D00C5"/>
    <w:rsid w:val="003D2F18"/>
    <w:rsid w:val="003D5493"/>
    <w:rsid w:val="003D6641"/>
    <w:rsid w:val="003D6BFE"/>
    <w:rsid w:val="003D79FD"/>
    <w:rsid w:val="003E03DA"/>
    <w:rsid w:val="003E0ED2"/>
    <w:rsid w:val="003E119C"/>
    <w:rsid w:val="003E12E5"/>
    <w:rsid w:val="003E2216"/>
    <w:rsid w:val="003E2E6D"/>
    <w:rsid w:val="003E3090"/>
    <w:rsid w:val="003E3A1F"/>
    <w:rsid w:val="003E4588"/>
    <w:rsid w:val="003E58FB"/>
    <w:rsid w:val="003E5E27"/>
    <w:rsid w:val="003E6BFA"/>
    <w:rsid w:val="003E7D1B"/>
    <w:rsid w:val="003F01B9"/>
    <w:rsid w:val="003F0789"/>
    <w:rsid w:val="003F0B39"/>
    <w:rsid w:val="003F1BD6"/>
    <w:rsid w:val="003F2093"/>
    <w:rsid w:val="003F2900"/>
    <w:rsid w:val="003F35CA"/>
    <w:rsid w:val="003F3D2C"/>
    <w:rsid w:val="003F705D"/>
    <w:rsid w:val="00401645"/>
    <w:rsid w:val="00401882"/>
    <w:rsid w:val="0040438A"/>
    <w:rsid w:val="0040642A"/>
    <w:rsid w:val="00406CF0"/>
    <w:rsid w:val="00407452"/>
    <w:rsid w:val="004078D1"/>
    <w:rsid w:val="004100C8"/>
    <w:rsid w:val="00411ECE"/>
    <w:rsid w:val="004126C2"/>
    <w:rsid w:val="00412ACE"/>
    <w:rsid w:val="004137C5"/>
    <w:rsid w:val="0041449A"/>
    <w:rsid w:val="0042072C"/>
    <w:rsid w:val="0042163F"/>
    <w:rsid w:val="004230F5"/>
    <w:rsid w:val="00425B97"/>
    <w:rsid w:val="00425D8D"/>
    <w:rsid w:val="0042744B"/>
    <w:rsid w:val="004275EF"/>
    <w:rsid w:val="00431249"/>
    <w:rsid w:val="00433EE9"/>
    <w:rsid w:val="00434C19"/>
    <w:rsid w:val="004368C2"/>
    <w:rsid w:val="004415F2"/>
    <w:rsid w:val="0044196A"/>
    <w:rsid w:val="00442260"/>
    <w:rsid w:val="00443375"/>
    <w:rsid w:val="00444FEC"/>
    <w:rsid w:val="004463D3"/>
    <w:rsid w:val="0045044D"/>
    <w:rsid w:val="00450810"/>
    <w:rsid w:val="00453455"/>
    <w:rsid w:val="00455B1C"/>
    <w:rsid w:val="00456005"/>
    <w:rsid w:val="00460983"/>
    <w:rsid w:val="004618A5"/>
    <w:rsid w:val="00466772"/>
    <w:rsid w:val="00467CE4"/>
    <w:rsid w:val="004712FE"/>
    <w:rsid w:val="004715B0"/>
    <w:rsid w:val="00474B07"/>
    <w:rsid w:val="004766EF"/>
    <w:rsid w:val="00477144"/>
    <w:rsid w:val="00480593"/>
    <w:rsid w:val="00481483"/>
    <w:rsid w:val="00483714"/>
    <w:rsid w:val="00483E80"/>
    <w:rsid w:val="00483EDD"/>
    <w:rsid w:val="004847BE"/>
    <w:rsid w:val="00484C06"/>
    <w:rsid w:val="00490920"/>
    <w:rsid w:val="00492BAD"/>
    <w:rsid w:val="0049436C"/>
    <w:rsid w:val="0049459F"/>
    <w:rsid w:val="004955C5"/>
    <w:rsid w:val="00495745"/>
    <w:rsid w:val="004977FF"/>
    <w:rsid w:val="00497F92"/>
    <w:rsid w:val="004A1791"/>
    <w:rsid w:val="004A264D"/>
    <w:rsid w:val="004A2C51"/>
    <w:rsid w:val="004A43B5"/>
    <w:rsid w:val="004A4D12"/>
    <w:rsid w:val="004A58FB"/>
    <w:rsid w:val="004A5E99"/>
    <w:rsid w:val="004A5FB9"/>
    <w:rsid w:val="004B0A96"/>
    <w:rsid w:val="004B0E91"/>
    <w:rsid w:val="004B17BB"/>
    <w:rsid w:val="004B2164"/>
    <w:rsid w:val="004B31B8"/>
    <w:rsid w:val="004B3368"/>
    <w:rsid w:val="004B43AE"/>
    <w:rsid w:val="004B57E9"/>
    <w:rsid w:val="004B661B"/>
    <w:rsid w:val="004B7E48"/>
    <w:rsid w:val="004C2A34"/>
    <w:rsid w:val="004C2F75"/>
    <w:rsid w:val="004C30ED"/>
    <w:rsid w:val="004C3B3C"/>
    <w:rsid w:val="004C3DB3"/>
    <w:rsid w:val="004C684D"/>
    <w:rsid w:val="004C6F87"/>
    <w:rsid w:val="004D37CB"/>
    <w:rsid w:val="004D3A30"/>
    <w:rsid w:val="004D4B60"/>
    <w:rsid w:val="004D52F8"/>
    <w:rsid w:val="004D6E7C"/>
    <w:rsid w:val="004D71AE"/>
    <w:rsid w:val="004E1B4B"/>
    <w:rsid w:val="004E2327"/>
    <w:rsid w:val="004E2FDF"/>
    <w:rsid w:val="004E396E"/>
    <w:rsid w:val="004E5AA4"/>
    <w:rsid w:val="004F44BF"/>
    <w:rsid w:val="004F5962"/>
    <w:rsid w:val="004F6386"/>
    <w:rsid w:val="00500078"/>
    <w:rsid w:val="00502261"/>
    <w:rsid w:val="00502C84"/>
    <w:rsid w:val="005031F5"/>
    <w:rsid w:val="0050376B"/>
    <w:rsid w:val="0050509C"/>
    <w:rsid w:val="0050635D"/>
    <w:rsid w:val="0050687F"/>
    <w:rsid w:val="00506DFA"/>
    <w:rsid w:val="0051000C"/>
    <w:rsid w:val="005112A9"/>
    <w:rsid w:val="00511686"/>
    <w:rsid w:val="00513554"/>
    <w:rsid w:val="0051501A"/>
    <w:rsid w:val="00516916"/>
    <w:rsid w:val="00516E1B"/>
    <w:rsid w:val="00517F56"/>
    <w:rsid w:val="00520014"/>
    <w:rsid w:val="005202CD"/>
    <w:rsid w:val="005230A0"/>
    <w:rsid w:val="00523125"/>
    <w:rsid w:val="00524CF3"/>
    <w:rsid w:val="005263C6"/>
    <w:rsid w:val="00531770"/>
    <w:rsid w:val="00531A24"/>
    <w:rsid w:val="00535F01"/>
    <w:rsid w:val="00536D21"/>
    <w:rsid w:val="005379E8"/>
    <w:rsid w:val="00540704"/>
    <w:rsid w:val="00541A74"/>
    <w:rsid w:val="00542E99"/>
    <w:rsid w:val="005454F7"/>
    <w:rsid w:val="0054554B"/>
    <w:rsid w:val="0054595C"/>
    <w:rsid w:val="005460BC"/>
    <w:rsid w:val="00547C76"/>
    <w:rsid w:val="00547D71"/>
    <w:rsid w:val="005507C0"/>
    <w:rsid w:val="00550829"/>
    <w:rsid w:val="0055156E"/>
    <w:rsid w:val="00551772"/>
    <w:rsid w:val="0055190A"/>
    <w:rsid w:val="00551BD1"/>
    <w:rsid w:val="005527CA"/>
    <w:rsid w:val="00554C04"/>
    <w:rsid w:val="00555317"/>
    <w:rsid w:val="005566F8"/>
    <w:rsid w:val="00560DFB"/>
    <w:rsid w:val="0056433D"/>
    <w:rsid w:val="00564AA0"/>
    <w:rsid w:val="005657CA"/>
    <w:rsid w:val="00567504"/>
    <w:rsid w:val="00567904"/>
    <w:rsid w:val="00567DD2"/>
    <w:rsid w:val="00570144"/>
    <w:rsid w:val="00570B11"/>
    <w:rsid w:val="00572D4D"/>
    <w:rsid w:val="0057460D"/>
    <w:rsid w:val="00581977"/>
    <w:rsid w:val="00583C39"/>
    <w:rsid w:val="00584276"/>
    <w:rsid w:val="00585AE8"/>
    <w:rsid w:val="00585C9E"/>
    <w:rsid w:val="00585E6B"/>
    <w:rsid w:val="005871B8"/>
    <w:rsid w:val="005877F7"/>
    <w:rsid w:val="00587F36"/>
    <w:rsid w:val="005909CF"/>
    <w:rsid w:val="00591E71"/>
    <w:rsid w:val="00593978"/>
    <w:rsid w:val="00593BDD"/>
    <w:rsid w:val="00595C10"/>
    <w:rsid w:val="00597463"/>
    <w:rsid w:val="005A147B"/>
    <w:rsid w:val="005A2DE6"/>
    <w:rsid w:val="005A33F8"/>
    <w:rsid w:val="005A4694"/>
    <w:rsid w:val="005A5067"/>
    <w:rsid w:val="005A50FE"/>
    <w:rsid w:val="005A58CE"/>
    <w:rsid w:val="005A60D2"/>
    <w:rsid w:val="005A64EC"/>
    <w:rsid w:val="005A64EF"/>
    <w:rsid w:val="005A787B"/>
    <w:rsid w:val="005B3E0F"/>
    <w:rsid w:val="005B3E84"/>
    <w:rsid w:val="005B57AD"/>
    <w:rsid w:val="005B7C0B"/>
    <w:rsid w:val="005C0F71"/>
    <w:rsid w:val="005C1A32"/>
    <w:rsid w:val="005C2309"/>
    <w:rsid w:val="005C26FA"/>
    <w:rsid w:val="005C2964"/>
    <w:rsid w:val="005C5797"/>
    <w:rsid w:val="005C609C"/>
    <w:rsid w:val="005C6BAC"/>
    <w:rsid w:val="005D0770"/>
    <w:rsid w:val="005D0A82"/>
    <w:rsid w:val="005D2453"/>
    <w:rsid w:val="005D3A48"/>
    <w:rsid w:val="005D4279"/>
    <w:rsid w:val="005D5621"/>
    <w:rsid w:val="005D7164"/>
    <w:rsid w:val="005E0EE9"/>
    <w:rsid w:val="005E3442"/>
    <w:rsid w:val="005E36F8"/>
    <w:rsid w:val="005E56D6"/>
    <w:rsid w:val="005E71F1"/>
    <w:rsid w:val="005F40B5"/>
    <w:rsid w:val="005F50D5"/>
    <w:rsid w:val="006002C2"/>
    <w:rsid w:val="00600C8C"/>
    <w:rsid w:val="0060151A"/>
    <w:rsid w:val="00601A7A"/>
    <w:rsid w:val="00602B44"/>
    <w:rsid w:val="0060392C"/>
    <w:rsid w:val="00605E0E"/>
    <w:rsid w:val="0060641B"/>
    <w:rsid w:val="00606810"/>
    <w:rsid w:val="00607BF1"/>
    <w:rsid w:val="006101B5"/>
    <w:rsid w:val="00610C35"/>
    <w:rsid w:val="00610C48"/>
    <w:rsid w:val="00612044"/>
    <w:rsid w:val="0061277D"/>
    <w:rsid w:val="00613947"/>
    <w:rsid w:val="00613970"/>
    <w:rsid w:val="00613EC6"/>
    <w:rsid w:val="00614606"/>
    <w:rsid w:val="006146DB"/>
    <w:rsid w:val="00614EDE"/>
    <w:rsid w:val="00615D50"/>
    <w:rsid w:val="006167AE"/>
    <w:rsid w:val="00616EA8"/>
    <w:rsid w:val="006179CF"/>
    <w:rsid w:val="006227A1"/>
    <w:rsid w:val="00622D04"/>
    <w:rsid w:val="00622DA8"/>
    <w:rsid w:val="00622E34"/>
    <w:rsid w:val="0062611C"/>
    <w:rsid w:val="00630D4D"/>
    <w:rsid w:val="006310F4"/>
    <w:rsid w:val="006316A5"/>
    <w:rsid w:val="00631CD5"/>
    <w:rsid w:val="00632327"/>
    <w:rsid w:val="00632A74"/>
    <w:rsid w:val="006331FB"/>
    <w:rsid w:val="006339A2"/>
    <w:rsid w:val="00636611"/>
    <w:rsid w:val="0064102A"/>
    <w:rsid w:val="0064176B"/>
    <w:rsid w:val="00641FF6"/>
    <w:rsid w:val="00642BBB"/>
    <w:rsid w:val="00643751"/>
    <w:rsid w:val="00644823"/>
    <w:rsid w:val="00644922"/>
    <w:rsid w:val="00645611"/>
    <w:rsid w:val="00646C61"/>
    <w:rsid w:val="0065015F"/>
    <w:rsid w:val="0065050E"/>
    <w:rsid w:val="0065228D"/>
    <w:rsid w:val="006534C3"/>
    <w:rsid w:val="00653C9B"/>
    <w:rsid w:val="006570E8"/>
    <w:rsid w:val="00660669"/>
    <w:rsid w:val="0066210E"/>
    <w:rsid w:val="00664139"/>
    <w:rsid w:val="00664329"/>
    <w:rsid w:val="00666F6E"/>
    <w:rsid w:val="00670C6F"/>
    <w:rsid w:val="00671DD0"/>
    <w:rsid w:val="00676955"/>
    <w:rsid w:val="006779C8"/>
    <w:rsid w:val="00677A13"/>
    <w:rsid w:val="0068153F"/>
    <w:rsid w:val="00681C84"/>
    <w:rsid w:val="00684ED6"/>
    <w:rsid w:val="00686696"/>
    <w:rsid w:val="006876F1"/>
    <w:rsid w:val="00687CFC"/>
    <w:rsid w:val="00693EC9"/>
    <w:rsid w:val="00694D9D"/>
    <w:rsid w:val="00694FEC"/>
    <w:rsid w:val="0069555A"/>
    <w:rsid w:val="00695F96"/>
    <w:rsid w:val="006964B3"/>
    <w:rsid w:val="00696CB9"/>
    <w:rsid w:val="00697D67"/>
    <w:rsid w:val="006A1000"/>
    <w:rsid w:val="006A18DE"/>
    <w:rsid w:val="006A2AEA"/>
    <w:rsid w:val="006A318F"/>
    <w:rsid w:val="006A3A92"/>
    <w:rsid w:val="006A3B23"/>
    <w:rsid w:val="006A4136"/>
    <w:rsid w:val="006A416D"/>
    <w:rsid w:val="006A4655"/>
    <w:rsid w:val="006A495B"/>
    <w:rsid w:val="006A4DE9"/>
    <w:rsid w:val="006A5775"/>
    <w:rsid w:val="006B092E"/>
    <w:rsid w:val="006B464E"/>
    <w:rsid w:val="006B5F7A"/>
    <w:rsid w:val="006B67DC"/>
    <w:rsid w:val="006C2AD5"/>
    <w:rsid w:val="006C2ECC"/>
    <w:rsid w:val="006C4568"/>
    <w:rsid w:val="006C4FFF"/>
    <w:rsid w:val="006C577C"/>
    <w:rsid w:val="006C69EE"/>
    <w:rsid w:val="006C7038"/>
    <w:rsid w:val="006C717A"/>
    <w:rsid w:val="006D035B"/>
    <w:rsid w:val="006D248A"/>
    <w:rsid w:val="006D3700"/>
    <w:rsid w:val="006D55D8"/>
    <w:rsid w:val="006D577D"/>
    <w:rsid w:val="006D72B6"/>
    <w:rsid w:val="006D7B39"/>
    <w:rsid w:val="006D7F82"/>
    <w:rsid w:val="006E0083"/>
    <w:rsid w:val="006E1C3F"/>
    <w:rsid w:val="006E3454"/>
    <w:rsid w:val="006E3601"/>
    <w:rsid w:val="006E73EF"/>
    <w:rsid w:val="006E7654"/>
    <w:rsid w:val="006F0A22"/>
    <w:rsid w:val="006F1D4F"/>
    <w:rsid w:val="006F24F8"/>
    <w:rsid w:val="006F2DA7"/>
    <w:rsid w:val="006F3338"/>
    <w:rsid w:val="006F3AB3"/>
    <w:rsid w:val="006F69BE"/>
    <w:rsid w:val="006F6A78"/>
    <w:rsid w:val="006F77D2"/>
    <w:rsid w:val="0070268D"/>
    <w:rsid w:val="0070350D"/>
    <w:rsid w:val="00703807"/>
    <w:rsid w:val="0070392B"/>
    <w:rsid w:val="00704A1C"/>
    <w:rsid w:val="007078F7"/>
    <w:rsid w:val="00711E61"/>
    <w:rsid w:val="0071431D"/>
    <w:rsid w:val="007177A7"/>
    <w:rsid w:val="00717F41"/>
    <w:rsid w:val="00720A8C"/>
    <w:rsid w:val="00724955"/>
    <w:rsid w:val="00725349"/>
    <w:rsid w:val="0072625C"/>
    <w:rsid w:val="007264D2"/>
    <w:rsid w:val="00726975"/>
    <w:rsid w:val="007302D4"/>
    <w:rsid w:val="007321F1"/>
    <w:rsid w:val="007335A1"/>
    <w:rsid w:val="00733772"/>
    <w:rsid w:val="00734998"/>
    <w:rsid w:val="00735AA2"/>
    <w:rsid w:val="00735D2B"/>
    <w:rsid w:val="00736328"/>
    <w:rsid w:val="007364B8"/>
    <w:rsid w:val="0073792D"/>
    <w:rsid w:val="007402E6"/>
    <w:rsid w:val="00740515"/>
    <w:rsid w:val="00742A6A"/>
    <w:rsid w:val="00744F94"/>
    <w:rsid w:val="007457FC"/>
    <w:rsid w:val="00745896"/>
    <w:rsid w:val="00745D98"/>
    <w:rsid w:val="00750021"/>
    <w:rsid w:val="0075104E"/>
    <w:rsid w:val="007510FE"/>
    <w:rsid w:val="00752089"/>
    <w:rsid w:val="0075268A"/>
    <w:rsid w:val="007566D7"/>
    <w:rsid w:val="00757B09"/>
    <w:rsid w:val="00757BB9"/>
    <w:rsid w:val="007604BB"/>
    <w:rsid w:val="00762144"/>
    <w:rsid w:val="007630AF"/>
    <w:rsid w:val="00764370"/>
    <w:rsid w:val="007648BC"/>
    <w:rsid w:val="007649DB"/>
    <w:rsid w:val="00764B48"/>
    <w:rsid w:val="007660DD"/>
    <w:rsid w:val="0076715E"/>
    <w:rsid w:val="00767609"/>
    <w:rsid w:val="007678AB"/>
    <w:rsid w:val="007710FF"/>
    <w:rsid w:val="00774525"/>
    <w:rsid w:val="007749B4"/>
    <w:rsid w:val="00775B25"/>
    <w:rsid w:val="00777CCB"/>
    <w:rsid w:val="007807DA"/>
    <w:rsid w:val="007812DC"/>
    <w:rsid w:val="00782610"/>
    <w:rsid w:val="00783342"/>
    <w:rsid w:val="00783794"/>
    <w:rsid w:val="00784D07"/>
    <w:rsid w:val="0078522D"/>
    <w:rsid w:val="007852DC"/>
    <w:rsid w:val="00785402"/>
    <w:rsid w:val="00785A01"/>
    <w:rsid w:val="007860CE"/>
    <w:rsid w:val="007864C1"/>
    <w:rsid w:val="00786794"/>
    <w:rsid w:val="00786F68"/>
    <w:rsid w:val="00787978"/>
    <w:rsid w:val="007922EE"/>
    <w:rsid w:val="00792720"/>
    <w:rsid w:val="00796B10"/>
    <w:rsid w:val="007A1C9C"/>
    <w:rsid w:val="007A1EFC"/>
    <w:rsid w:val="007A21EB"/>
    <w:rsid w:val="007A23BC"/>
    <w:rsid w:val="007A26B7"/>
    <w:rsid w:val="007A290E"/>
    <w:rsid w:val="007A4474"/>
    <w:rsid w:val="007A4E59"/>
    <w:rsid w:val="007A6A7E"/>
    <w:rsid w:val="007A6B08"/>
    <w:rsid w:val="007A6E08"/>
    <w:rsid w:val="007A6F7E"/>
    <w:rsid w:val="007B099D"/>
    <w:rsid w:val="007B1A38"/>
    <w:rsid w:val="007B1E10"/>
    <w:rsid w:val="007B2AAD"/>
    <w:rsid w:val="007B3906"/>
    <w:rsid w:val="007B5BB7"/>
    <w:rsid w:val="007B6741"/>
    <w:rsid w:val="007B6A82"/>
    <w:rsid w:val="007C04A0"/>
    <w:rsid w:val="007C24D1"/>
    <w:rsid w:val="007C36C9"/>
    <w:rsid w:val="007C53E9"/>
    <w:rsid w:val="007C6D31"/>
    <w:rsid w:val="007C7AFE"/>
    <w:rsid w:val="007D421C"/>
    <w:rsid w:val="007D55B8"/>
    <w:rsid w:val="007D5A52"/>
    <w:rsid w:val="007D6F87"/>
    <w:rsid w:val="007E01E4"/>
    <w:rsid w:val="007E1D13"/>
    <w:rsid w:val="007E2ACC"/>
    <w:rsid w:val="007E38E8"/>
    <w:rsid w:val="007E50A2"/>
    <w:rsid w:val="007E51C6"/>
    <w:rsid w:val="007E571D"/>
    <w:rsid w:val="007F025B"/>
    <w:rsid w:val="007F03AC"/>
    <w:rsid w:val="007F0629"/>
    <w:rsid w:val="007F0F42"/>
    <w:rsid w:val="007F1100"/>
    <w:rsid w:val="007F3BEE"/>
    <w:rsid w:val="007F4E01"/>
    <w:rsid w:val="007F63CE"/>
    <w:rsid w:val="007F7107"/>
    <w:rsid w:val="007F7E1C"/>
    <w:rsid w:val="008002B6"/>
    <w:rsid w:val="00800311"/>
    <w:rsid w:val="00801024"/>
    <w:rsid w:val="0080142B"/>
    <w:rsid w:val="00801FB2"/>
    <w:rsid w:val="00802223"/>
    <w:rsid w:val="00804084"/>
    <w:rsid w:val="00806582"/>
    <w:rsid w:val="0081019F"/>
    <w:rsid w:val="0081030F"/>
    <w:rsid w:val="00812542"/>
    <w:rsid w:val="00815A9F"/>
    <w:rsid w:val="00816583"/>
    <w:rsid w:val="008165DB"/>
    <w:rsid w:val="008171D0"/>
    <w:rsid w:val="0081794A"/>
    <w:rsid w:val="00820590"/>
    <w:rsid w:val="0082087D"/>
    <w:rsid w:val="0082131F"/>
    <w:rsid w:val="00821714"/>
    <w:rsid w:val="0082310F"/>
    <w:rsid w:val="00823A2D"/>
    <w:rsid w:val="00825C74"/>
    <w:rsid w:val="00826699"/>
    <w:rsid w:val="00826BBA"/>
    <w:rsid w:val="0083013A"/>
    <w:rsid w:val="008309D6"/>
    <w:rsid w:val="0083162D"/>
    <w:rsid w:val="0083205B"/>
    <w:rsid w:val="0083257E"/>
    <w:rsid w:val="00833CF7"/>
    <w:rsid w:val="0083419D"/>
    <w:rsid w:val="00840939"/>
    <w:rsid w:val="00840B90"/>
    <w:rsid w:val="00840D2D"/>
    <w:rsid w:val="00841F9D"/>
    <w:rsid w:val="00842157"/>
    <w:rsid w:val="00842C63"/>
    <w:rsid w:val="00842F52"/>
    <w:rsid w:val="00845E9A"/>
    <w:rsid w:val="008465F7"/>
    <w:rsid w:val="00847D41"/>
    <w:rsid w:val="00851592"/>
    <w:rsid w:val="008516A3"/>
    <w:rsid w:val="00851716"/>
    <w:rsid w:val="008520F8"/>
    <w:rsid w:val="00854445"/>
    <w:rsid w:val="00856595"/>
    <w:rsid w:val="0086082C"/>
    <w:rsid w:val="008641D2"/>
    <w:rsid w:val="008644A9"/>
    <w:rsid w:val="00864ADC"/>
    <w:rsid w:val="008655B3"/>
    <w:rsid w:val="00866F12"/>
    <w:rsid w:val="00867919"/>
    <w:rsid w:val="008679CE"/>
    <w:rsid w:val="00870FA8"/>
    <w:rsid w:val="00871527"/>
    <w:rsid w:val="0087232E"/>
    <w:rsid w:val="0087392E"/>
    <w:rsid w:val="0087580E"/>
    <w:rsid w:val="00876403"/>
    <w:rsid w:val="008764D9"/>
    <w:rsid w:val="00880153"/>
    <w:rsid w:val="00880520"/>
    <w:rsid w:val="008808D6"/>
    <w:rsid w:val="0088095A"/>
    <w:rsid w:val="008809BA"/>
    <w:rsid w:val="00880F97"/>
    <w:rsid w:val="0088133A"/>
    <w:rsid w:val="00881937"/>
    <w:rsid w:val="008820DB"/>
    <w:rsid w:val="00883302"/>
    <w:rsid w:val="008836EF"/>
    <w:rsid w:val="008839DE"/>
    <w:rsid w:val="0088551D"/>
    <w:rsid w:val="00886191"/>
    <w:rsid w:val="00887266"/>
    <w:rsid w:val="008876E2"/>
    <w:rsid w:val="008877AE"/>
    <w:rsid w:val="00887A1C"/>
    <w:rsid w:val="008909A3"/>
    <w:rsid w:val="00890A95"/>
    <w:rsid w:val="00891D63"/>
    <w:rsid w:val="0089285E"/>
    <w:rsid w:val="0089378F"/>
    <w:rsid w:val="00893ADF"/>
    <w:rsid w:val="008941A5"/>
    <w:rsid w:val="0089436C"/>
    <w:rsid w:val="00896E03"/>
    <w:rsid w:val="008977F8"/>
    <w:rsid w:val="008A1C56"/>
    <w:rsid w:val="008A2B12"/>
    <w:rsid w:val="008A3716"/>
    <w:rsid w:val="008A3A67"/>
    <w:rsid w:val="008A40EB"/>
    <w:rsid w:val="008A4254"/>
    <w:rsid w:val="008B00C2"/>
    <w:rsid w:val="008B0183"/>
    <w:rsid w:val="008B03EA"/>
    <w:rsid w:val="008B0E4F"/>
    <w:rsid w:val="008B2B66"/>
    <w:rsid w:val="008B3D1A"/>
    <w:rsid w:val="008B4563"/>
    <w:rsid w:val="008B563E"/>
    <w:rsid w:val="008B62CC"/>
    <w:rsid w:val="008B6A5C"/>
    <w:rsid w:val="008B6D78"/>
    <w:rsid w:val="008B6E30"/>
    <w:rsid w:val="008C1141"/>
    <w:rsid w:val="008C20D1"/>
    <w:rsid w:val="008C2720"/>
    <w:rsid w:val="008C5283"/>
    <w:rsid w:val="008C56CE"/>
    <w:rsid w:val="008C57ED"/>
    <w:rsid w:val="008C5B35"/>
    <w:rsid w:val="008C62E4"/>
    <w:rsid w:val="008C6BA3"/>
    <w:rsid w:val="008C7138"/>
    <w:rsid w:val="008C7B2E"/>
    <w:rsid w:val="008D0A35"/>
    <w:rsid w:val="008D1F63"/>
    <w:rsid w:val="008D2405"/>
    <w:rsid w:val="008D244F"/>
    <w:rsid w:val="008D38B3"/>
    <w:rsid w:val="008D5703"/>
    <w:rsid w:val="008D5714"/>
    <w:rsid w:val="008D66BB"/>
    <w:rsid w:val="008D6AC2"/>
    <w:rsid w:val="008D71F5"/>
    <w:rsid w:val="008D7B1E"/>
    <w:rsid w:val="008E06E0"/>
    <w:rsid w:val="008E092E"/>
    <w:rsid w:val="008E280D"/>
    <w:rsid w:val="008E28C7"/>
    <w:rsid w:val="008E49FB"/>
    <w:rsid w:val="008F03DA"/>
    <w:rsid w:val="008F18E1"/>
    <w:rsid w:val="008F2E19"/>
    <w:rsid w:val="008F3DBC"/>
    <w:rsid w:val="008F4047"/>
    <w:rsid w:val="008F5F11"/>
    <w:rsid w:val="008F6049"/>
    <w:rsid w:val="008F6FA3"/>
    <w:rsid w:val="00900242"/>
    <w:rsid w:val="009009F7"/>
    <w:rsid w:val="00901496"/>
    <w:rsid w:val="009030BF"/>
    <w:rsid w:val="00903149"/>
    <w:rsid w:val="00903AFB"/>
    <w:rsid w:val="00903B8A"/>
    <w:rsid w:val="00904A52"/>
    <w:rsid w:val="00904FC4"/>
    <w:rsid w:val="009073C6"/>
    <w:rsid w:val="00907DAB"/>
    <w:rsid w:val="0091056E"/>
    <w:rsid w:val="009106C4"/>
    <w:rsid w:val="0091119B"/>
    <w:rsid w:val="00912749"/>
    <w:rsid w:val="00912EF9"/>
    <w:rsid w:val="00914368"/>
    <w:rsid w:val="0091731A"/>
    <w:rsid w:val="0091763D"/>
    <w:rsid w:val="00917E6B"/>
    <w:rsid w:val="0092007E"/>
    <w:rsid w:val="00920935"/>
    <w:rsid w:val="00924194"/>
    <w:rsid w:val="00924B38"/>
    <w:rsid w:val="009273ED"/>
    <w:rsid w:val="00930086"/>
    <w:rsid w:val="009309B6"/>
    <w:rsid w:val="00930A54"/>
    <w:rsid w:val="00931076"/>
    <w:rsid w:val="00931AB9"/>
    <w:rsid w:val="00933B0E"/>
    <w:rsid w:val="009345D9"/>
    <w:rsid w:val="00934B15"/>
    <w:rsid w:val="00934C22"/>
    <w:rsid w:val="009351F5"/>
    <w:rsid w:val="00935B54"/>
    <w:rsid w:val="00936A83"/>
    <w:rsid w:val="00941130"/>
    <w:rsid w:val="00941BC0"/>
    <w:rsid w:val="00941C00"/>
    <w:rsid w:val="00942A44"/>
    <w:rsid w:val="00942B1D"/>
    <w:rsid w:val="00942B62"/>
    <w:rsid w:val="009451A0"/>
    <w:rsid w:val="009475CE"/>
    <w:rsid w:val="00947876"/>
    <w:rsid w:val="00947C90"/>
    <w:rsid w:val="00950794"/>
    <w:rsid w:val="00952030"/>
    <w:rsid w:val="0095261E"/>
    <w:rsid w:val="009530E9"/>
    <w:rsid w:val="00953DFC"/>
    <w:rsid w:val="00954DF7"/>
    <w:rsid w:val="009553BB"/>
    <w:rsid w:val="00956A0C"/>
    <w:rsid w:val="00956BD9"/>
    <w:rsid w:val="0095767D"/>
    <w:rsid w:val="0096130E"/>
    <w:rsid w:val="00962489"/>
    <w:rsid w:val="00965D5B"/>
    <w:rsid w:val="00966C8E"/>
    <w:rsid w:val="0097158B"/>
    <w:rsid w:val="00971600"/>
    <w:rsid w:val="00972B55"/>
    <w:rsid w:val="00975203"/>
    <w:rsid w:val="009758D7"/>
    <w:rsid w:val="00975D1A"/>
    <w:rsid w:val="00977E6C"/>
    <w:rsid w:val="00982BC2"/>
    <w:rsid w:val="00982BD0"/>
    <w:rsid w:val="00982F34"/>
    <w:rsid w:val="00983719"/>
    <w:rsid w:val="00983BEB"/>
    <w:rsid w:val="00984110"/>
    <w:rsid w:val="009863D8"/>
    <w:rsid w:val="009865FC"/>
    <w:rsid w:val="00986E38"/>
    <w:rsid w:val="00986F3B"/>
    <w:rsid w:val="00987983"/>
    <w:rsid w:val="00990FC0"/>
    <w:rsid w:val="0099259D"/>
    <w:rsid w:val="009942FB"/>
    <w:rsid w:val="00995C4E"/>
    <w:rsid w:val="00997B3D"/>
    <w:rsid w:val="00997F02"/>
    <w:rsid w:val="009A03BA"/>
    <w:rsid w:val="009A0DA0"/>
    <w:rsid w:val="009A1B11"/>
    <w:rsid w:val="009A22FD"/>
    <w:rsid w:val="009A2547"/>
    <w:rsid w:val="009A2CD4"/>
    <w:rsid w:val="009A4538"/>
    <w:rsid w:val="009A568B"/>
    <w:rsid w:val="009A5AEB"/>
    <w:rsid w:val="009A6332"/>
    <w:rsid w:val="009A63C8"/>
    <w:rsid w:val="009A6682"/>
    <w:rsid w:val="009A6BAB"/>
    <w:rsid w:val="009A79B4"/>
    <w:rsid w:val="009B14FE"/>
    <w:rsid w:val="009B347A"/>
    <w:rsid w:val="009B3C56"/>
    <w:rsid w:val="009C0C97"/>
    <w:rsid w:val="009C194D"/>
    <w:rsid w:val="009C2E38"/>
    <w:rsid w:val="009C372B"/>
    <w:rsid w:val="009C3CEC"/>
    <w:rsid w:val="009C40E0"/>
    <w:rsid w:val="009C4F40"/>
    <w:rsid w:val="009C5EA3"/>
    <w:rsid w:val="009D2193"/>
    <w:rsid w:val="009D3E5E"/>
    <w:rsid w:val="009D686A"/>
    <w:rsid w:val="009D78D7"/>
    <w:rsid w:val="009D7A72"/>
    <w:rsid w:val="009D7E76"/>
    <w:rsid w:val="009E03E6"/>
    <w:rsid w:val="009E23EF"/>
    <w:rsid w:val="009E23F8"/>
    <w:rsid w:val="009E26F4"/>
    <w:rsid w:val="009E334A"/>
    <w:rsid w:val="009E3400"/>
    <w:rsid w:val="009E399C"/>
    <w:rsid w:val="009E4A00"/>
    <w:rsid w:val="009E56E8"/>
    <w:rsid w:val="009E5744"/>
    <w:rsid w:val="009E5BCA"/>
    <w:rsid w:val="009E75E1"/>
    <w:rsid w:val="009F008C"/>
    <w:rsid w:val="009F0486"/>
    <w:rsid w:val="009F1C62"/>
    <w:rsid w:val="009F26F0"/>
    <w:rsid w:val="009F2CED"/>
    <w:rsid w:val="009F374C"/>
    <w:rsid w:val="009F4FBB"/>
    <w:rsid w:val="009F696D"/>
    <w:rsid w:val="009F6BC6"/>
    <w:rsid w:val="009F710C"/>
    <w:rsid w:val="009F7F94"/>
    <w:rsid w:val="00A016B8"/>
    <w:rsid w:val="00A04713"/>
    <w:rsid w:val="00A04CFC"/>
    <w:rsid w:val="00A0769E"/>
    <w:rsid w:val="00A10D36"/>
    <w:rsid w:val="00A10DC9"/>
    <w:rsid w:val="00A132DB"/>
    <w:rsid w:val="00A13FE1"/>
    <w:rsid w:val="00A15163"/>
    <w:rsid w:val="00A155EE"/>
    <w:rsid w:val="00A17328"/>
    <w:rsid w:val="00A200E1"/>
    <w:rsid w:val="00A241B2"/>
    <w:rsid w:val="00A24C46"/>
    <w:rsid w:val="00A24D54"/>
    <w:rsid w:val="00A26F4E"/>
    <w:rsid w:val="00A2703A"/>
    <w:rsid w:val="00A272B1"/>
    <w:rsid w:val="00A273B7"/>
    <w:rsid w:val="00A32CB5"/>
    <w:rsid w:val="00A33DFF"/>
    <w:rsid w:val="00A344EC"/>
    <w:rsid w:val="00A34C72"/>
    <w:rsid w:val="00A35115"/>
    <w:rsid w:val="00A35C9D"/>
    <w:rsid w:val="00A368FB"/>
    <w:rsid w:val="00A36A4F"/>
    <w:rsid w:val="00A37E16"/>
    <w:rsid w:val="00A4086B"/>
    <w:rsid w:val="00A413BB"/>
    <w:rsid w:val="00A419F3"/>
    <w:rsid w:val="00A42D2D"/>
    <w:rsid w:val="00A4456E"/>
    <w:rsid w:val="00A45662"/>
    <w:rsid w:val="00A45D46"/>
    <w:rsid w:val="00A46887"/>
    <w:rsid w:val="00A46A05"/>
    <w:rsid w:val="00A46B08"/>
    <w:rsid w:val="00A51D8F"/>
    <w:rsid w:val="00A52779"/>
    <w:rsid w:val="00A5336B"/>
    <w:rsid w:val="00A54974"/>
    <w:rsid w:val="00A554AB"/>
    <w:rsid w:val="00A572EC"/>
    <w:rsid w:val="00A5731C"/>
    <w:rsid w:val="00A60CB4"/>
    <w:rsid w:val="00A640D4"/>
    <w:rsid w:val="00A654A9"/>
    <w:rsid w:val="00A655A0"/>
    <w:rsid w:val="00A65FC6"/>
    <w:rsid w:val="00A67AB9"/>
    <w:rsid w:val="00A702D7"/>
    <w:rsid w:val="00A70673"/>
    <w:rsid w:val="00A70B05"/>
    <w:rsid w:val="00A74071"/>
    <w:rsid w:val="00A7583A"/>
    <w:rsid w:val="00A77486"/>
    <w:rsid w:val="00A82135"/>
    <w:rsid w:val="00A8295C"/>
    <w:rsid w:val="00A82A49"/>
    <w:rsid w:val="00A83975"/>
    <w:rsid w:val="00A839FC"/>
    <w:rsid w:val="00A83FE2"/>
    <w:rsid w:val="00A84208"/>
    <w:rsid w:val="00A84A87"/>
    <w:rsid w:val="00A84FEA"/>
    <w:rsid w:val="00A856C4"/>
    <w:rsid w:val="00A86DBA"/>
    <w:rsid w:val="00A87137"/>
    <w:rsid w:val="00A9032D"/>
    <w:rsid w:val="00A92397"/>
    <w:rsid w:val="00A93A57"/>
    <w:rsid w:val="00A93E4B"/>
    <w:rsid w:val="00A940EC"/>
    <w:rsid w:val="00A9457B"/>
    <w:rsid w:val="00A94FA6"/>
    <w:rsid w:val="00A965A3"/>
    <w:rsid w:val="00A971F9"/>
    <w:rsid w:val="00AA052A"/>
    <w:rsid w:val="00AA18A5"/>
    <w:rsid w:val="00AA3AF7"/>
    <w:rsid w:val="00AA3F9A"/>
    <w:rsid w:val="00AA48EE"/>
    <w:rsid w:val="00AA5080"/>
    <w:rsid w:val="00AA544E"/>
    <w:rsid w:val="00AA59CE"/>
    <w:rsid w:val="00AA59E3"/>
    <w:rsid w:val="00AA6710"/>
    <w:rsid w:val="00AA6D1A"/>
    <w:rsid w:val="00AA7684"/>
    <w:rsid w:val="00AB0681"/>
    <w:rsid w:val="00AB25D9"/>
    <w:rsid w:val="00AB2D95"/>
    <w:rsid w:val="00AB323A"/>
    <w:rsid w:val="00AB4206"/>
    <w:rsid w:val="00AB61F2"/>
    <w:rsid w:val="00AB62E8"/>
    <w:rsid w:val="00AB67AE"/>
    <w:rsid w:val="00AB69B3"/>
    <w:rsid w:val="00AB6A9F"/>
    <w:rsid w:val="00AC07D8"/>
    <w:rsid w:val="00AC2073"/>
    <w:rsid w:val="00AC56AC"/>
    <w:rsid w:val="00AC5CDB"/>
    <w:rsid w:val="00AC7CEA"/>
    <w:rsid w:val="00AD2B37"/>
    <w:rsid w:val="00AD3011"/>
    <w:rsid w:val="00AD5401"/>
    <w:rsid w:val="00AD77F9"/>
    <w:rsid w:val="00AE0BA2"/>
    <w:rsid w:val="00AE2CED"/>
    <w:rsid w:val="00AE3061"/>
    <w:rsid w:val="00AE3F60"/>
    <w:rsid w:val="00AE445A"/>
    <w:rsid w:val="00AE70FC"/>
    <w:rsid w:val="00AF1290"/>
    <w:rsid w:val="00AF4161"/>
    <w:rsid w:val="00AF419A"/>
    <w:rsid w:val="00AF7098"/>
    <w:rsid w:val="00B04400"/>
    <w:rsid w:val="00B05231"/>
    <w:rsid w:val="00B06C92"/>
    <w:rsid w:val="00B11469"/>
    <w:rsid w:val="00B11CB4"/>
    <w:rsid w:val="00B155CE"/>
    <w:rsid w:val="00B15A24"/>
    <w:rsid w:val="00B176B0"/>
    <w:rsid w:val="00B17D29"/>
    <w:rsid w:val="00B20638"/>
    <w:rsid w:val="00B20CDA"/>
    <w:rsid w:val="00B21B41"/>
    <w:rsid w:val="00B22FF7"/>
    <w:rsid w:val="00B2497F"/>
    <w:rsid w:val="00B24ACD"/>
    <w:rsid w:val="00B25A1B"/>
    <w:rsid w:val="00B27D27"/>
    <w:rsid w:val="00B30F60"/>
    <w:rsid w:val="00B32114"/>
    <w:rsid w:val="00B32549"/>
    <w:rsid w:val="00B3471C"/>
    <w:rsid w:val="00B34B8F"/>
    <w:rsid w:val="00B35463"/>
    <w:rsid w:val="00B35620"/>
    <w:rsid w:val="00B35E0E"/>
    <w:rsid w:val="00B360AD"/>
    <w:rsid w:val="00B403ED"/>
    <w:rsid w:val="00B4155E"/>
    <w:rsid w:val="00B41AF9"/>
    <w:rsid w:val="00B448D5"/>
    <w:rsid w:val="00B45A83"/>
    <w:rsid w:val="00B47BA6"/>
    <w:rsid w:val="00B5016A"/>
    <w:rsid w:val="00B533AA"/>
    <w:rsid w:val="00B53E7E"/>
    <w:rsid w:val="00B53F57"/>
    <w:rsid w:val="00B553A4"/>
    <w:rsid w:val="00B558A6"/>
    <w:rsid w:val="00B55DEE"/>
    <w:rsid w:val="00B56654"/>
    <w:rsid w:val="00B57038"/>
    <w:rsid w:val="00B57E2C"/>
    <w:rsid w:val="00B600D9"/>
    <w:rsid w:val="00B607AC"/>
    <w:rsid w:val="00B62F25"/>
    <w:rsid w:val="00B6312B"/>
    <w:rsid w:val="00B631F9"/>
    <w:rsid w:val="00B6342E"/>
    <w:rsid w:val="00B643C9"/>
    <w:rsid w:val="00B660FE"/>
    <w:rsid w:val="00B66800"/>
    <w:rsid w:val="00B66BE9"/>
    <w:rsid w:val="00B673BA"/>
    <w:rsid w:val="00B67A40"/>
    <w:rsid w:val="00B67C22"/>
    <w:rsid w:val="00B7113F"/>
    <w:rsid w:val="00B71AD7"/>
    <w:rsid w:val="00B73A74"/>
    <w:rsid w:val="00B743DB"/>
    <w:rsid w:val="00B745C3"/>
    <w:rsid w:val="00B748DE"/>
    <w:rsid w:val="00B7506E"/>
    <w:rsid w:val="00B75FBE"/>
    <w:rsid w:val="00B76675"/>
    <w:rsid w:val="00B76CC4"/>
    <w:rsid w:val="00B845C2"/>
    <w:rsid w:val="00B84613"/>
    <w:rsid w:val="00B847E9"/>
    <w:rsid w:val="00B90CB0"/>
    <w:rsid w:val="00B90F78"/>
    <w:rsid w:val="00B925C6"/>
    <w:rsid w:val="00B92A08"/>
    <w:rsid w:val="00B95C94"/>
    <w:rsid w:val="00B97C51"/>
    <w:rsid w:val="00BA04EE"/>
    <w:rsid w:val="00BA0E24"/>
    <w:rsid w:val="00BA3329"/>
    <w:rsid w:val="00BA4496"/>
    <w:rsid w:val="00BA5BB4"/>
    <w:rsid w:val="00BA738A"/>
    <w:rsid w:val="00BA73B6"/>
    <w:rsid w:val="00BA78AC"/>
    <w:rsid w:val="00BB018D"/>
    <w:rsid w:val="00BB1C49"/>
    <w:rsid w:val="00BB22C8"/>
    <w:rsid w:val="00BB24FC"/>
    <w:rsid w:val="00BB25E0"/>
    <w:rsid w:val="00BB2E62"/>
    <w:rsid w:val="00BB3B69"/>
    <w:rsid w:val="00BB4956"/>
    <w:rsid w:val="00BB4FCD"/>
    <w:rsid w:val="00BB52CD"/>
    <w:rsid w:val="00BB5802"/>
    <w:rsid w:val="00BB597C"/>
    <w:rsid w:val="00BB7544"/>
    <w:rsid w:val="00BB7865"/>
    <w:rsid w:val="00BB7B7D"/>
    <w:rsid w:val="00BC0E05"/>
    <w:rsid w:val="00BC3280"/>
    <w:rsid w:val="00BC4210"/>
    <w:rsid w:val="00BC477A"/>
    <w:rsid w:val="00BC5656"/>
    <w:rsid w:val="00BC6AB6"/>
    <w:rsid w:val="00BC74C7"/>
    <w:rsid w:val="00BD0ED5"/>
    <w:rsid w:val="00BD1064"/>
    <w:rsid w:val="00BD13EA"/>
    <w:rsid w:val="00BD5E1A"/>
    <w:rsid w:val="00BD61FF"/>
    <w:rsid w:val="00BD69CE"/>
    <w:rsid w:val="00BE30E8"/>
    <w:rsid w:val="00BE3808"/>
    <w:rsid w:val="00BE3E26"/>
    <w:rsid w:val="00BE7665"/>
    <w:rsid w:val="00BE7D12"/>
    <w:rsid w:val="00BF1EF3"/>
    <w:rsid w:val="00BF2840"/>
    <w:rsid w:val="00BF2958"/>
    <w:rsid w:val="00BF4901"/>
    <w:rsid w:val="00BF4C5A"/>
    <w:rsid w:val="00BF6348"/>
    <w:rsid w:val="00BF7142"/>
    <w:rsid w:val="00BF75CC"/>
    <w:rsid w:val="00C01C40"/>
    <w:rsid w:val="00C01E47"/>
    <w:rsid w:val="00C03461"/>
    <w:rsid w:val="00C04746"/>
    <w:rsid w:val="00C060FF"/>
    <w:rsid w:val="00C062E9"/>
    <w:rsid w:val="00C108D4"/>
    <w:rsid w:val="00C11B29"/>
    <w:rsid w:val="00C13721"/>
    <w:rsid w:val="00C13BF8"/>
    <w:rsid w:val="00C13DF6"/>
    <w:rsid w:val="00C14677"/>
    <w:rsid w:val="00C15203"/>
    <w:rsid w:val="00C16183"/>
    <w:rsid w:val="00C179D6"/>
    <w:rsid w:val="00C21D5B"/>
    <w:rsid w:val="00C22AF4"/>
    <w:rsid w:val="00C22B9E"/>
    <w:rsid w:val="00C2384C"/>
    <w:rsid w:val="00C23D04"/>
    <w:rsid w:val="00C247C8"/>
    <w:rsid w:val="00C24AF3"/>
    <w:rsid w:val="00C2532A"/>
    <w:rsid w:val="00C25CBB"/>
    <w:rsid w:val="00C26DA7"/>
    <w:rsid w:val="00C27A15"/>
    <w:rsid w:val="00C33EFA"/>
    <w:rsid w:val="00C3519D"/>
    <w:rsid w:val="00C35F6C"/>
    <w:rsid w:val="00C369A8"/>
    <w:rsid w:val="00C36B9C"/>
    <w:rsid w:val="00C40D90"/>
    <w:rsid w:val="00C41D36"/>
    <w:rsid w:val="00C42BEC"/>
    <w:rsid w:val="00C447E3"/>
    <w:rsid w:val="00C45E38"/>
    <w:rsid w:val="00C46DE1"/>
    <w:rsid w:val="00C47431"/>
    <w:rsid w:val="00C53C23"/>
    <w:rsid w:val="00C543F4"/>
    <w:rsid w:val="00C56C0E"/>
    <w:rsid w:val="00C5795D"/>
    <w:rsid w:val="00C57A4C"/>
    <w:rsid w:val="00C61247"/>
    <w:rsid w:val="00C6261B"/>
    <w:rsid w:val="00C6291C"/>
    <w:rsid w:val="00C62C98"/>
    <w:rsid w:val="00C633CB"/>
    <w:rsid w:val="00C70442"/>
    <w:rsid w:val="00C707DA"/>
    <w:rsid w:val="00C708C1"/>
    <w:rsid w:val="00C7148B"/>
    <w:rsid w:val="00C71CBD"/>
    <w:rsid w:val="00C723F4"/>
    <w:rsid w:val="00C75DC3"/>
    <w:rsid w:val="00C77A33"/>
    <w:rsid w:val="00C804DD"/>
    <w:rsid w:val="00C807D9"/>
    <w:rsid w:val="00C83D8D"/>
    <w:rsid w:val="00C84118"/>
    <w:rsid w:val="00C84941"/>
    <w:rsid w:val="00C85851"/>
    <w:rsid w:val="00C86035"/>
    <w:rsid w:val="00C86A42"/>
    <w:rsid w:val="00C8762C"/>
    <w:rsid w:val="00C87BA6"/>
    <w:rsid w:val="00C90DF6"/>
    <w:rsid w:val="00C920BF"/>
    <w:rsid w:val="00C92BD2"/>
    <w:rsid w:val="00C948ED"/>
    <w:rsid w:val="00C94D4F"/>
    <w:rsid w:val="00C9558F"/>
    <w:rsid w:val="00C9612E"/>
    <w:rsid w:val="00C9644A"/>
    <w:rsid w:val="00C968FB"/>
    <w:rsid w:val="00CA00F9"/>
    <w:rsid w:val="00CA09FA"/>
    <w:rsid w:val="00CA237E"/>
    <w:rsid w:val="00CA2961"/>
    <w:rsid w:val="00CA3289"/>
    <w:rsid w:val="00CA390E"/>
    <w:rsid w:val="00CA43C9"/>
    <w:rsid w:val="00CA51CF"/>
    <w:rsid w:val="00CA5370"/>
    <w:rsid w:val="00CA6DFE"/>
    <w:rsid w:val="00CB1130"/>
    <w:rsid w:val="00CB256A"/>
    <w:rsid w:val="00CB50D7"/>
    <w:rsid w:val="00CB5D8F"/>
    <w:rsid w:val="00CB7177"/>
    <w:rsid w:val="00CB7300"/>
    <w:rsid w:val="00CB7F19"/>
    <w:rsid w:val="00CC0532"/>
    <w:rsid w:val="00CC1998"/>
    <w:rsid w:val="00CC4946"/>
    <w:rsid w:val="00CC503F"/>
    <w:rsid w:val="00CD0209"/>
    <w:rsid w:val="00CD04AA"/>
    <w:rsid w:val="00CD217A"/>
    <w:rsid w:val="00CD3BFD"/>
    <w:rsid w:val="00CD496D"/>
    <w:rsid w:val="00CD4E55"/>
    <w:rsid w:val="00CD67F8"/>
    <w:rsid w:val="00CD6ED7"/>
    <w:rsid w:val="00CE12DA"/>
    <w:rsid w:val="00CE14E9"/>
    <w:rsid w:val="00CE4AF4"/>
    <w:rsid w:val="00CE5BFC"/>
    <w:rsid w:val="00CE7072"/>
    <w:rsid w:val="00CF0B34"/>
    <w:rsid w:val="00CF43F2"/>
    <w:rsid w:val="00CF5432"/>
    <w:rsid w:val="00CF5C69"/>
    <w:rsid w:val="00CF6155"/>
    <w:rsid w:val="00D00E5B"/>
    <w:rsid w:val="00D01F85"/>
    <w:rsid w:val="00D03E1E"/>
    <w:rsid w:val="00D04E20"/>
    <w:rsid w:val="00D055FD"/>
    <w:rsid w:val="00D05813"/>
    <w:rsid w:val="00D05D6A"/>
    <w:rsid w:val="00D062B1"/>
    <w:rsid w:val="00D07304"/>
    <w:rsid w:val="00D11900"/>
    <w:rsid w:val="00D124AE"/>
    <w:rsid w:val="00D1356D"/>
    <w:rsid w:val="00D135C1"/>
    <w:rsid w:val="00D1457D"/>
    <w:rsid w:val="00D16D2B"/>
    <w:rsid w:val="00D20051"/>
    <w:rsid w:val="00D221EA"/>
    <w:rsid w:val="00D22891"/>
    <w:rsid w:val="00D22AE4"/>
    <w:rsid w:val="00D266F1"/>
    <w:rsid w:val="00D2678F"/>
    <w:rsid w:val="00D26800"/>
    <w:rsid w:val="00D270A4"/>
    <w:rsid w:val="00D317F9"/>
    <w:rsid w:val="00D32A70"/>
    <w:rsid w:val="00D3350D"/>
    <w:rsid w:val="00D3411B"/>
    <w:rsid w:val="00D34E1B"/>
    <w:rsid w:val="00D36981"/>
    <w:rsid w:val="00D3750C"/>
    <w:rsid w:val="00D425EE"/>
    <w:rsid w:val="00D46E91"/>
    <w:rsid w:val="00D46EDD"/>
    <w:rsid w:val="00D47327"/>
    <w:rsid w:val="00D47A2B"/>
    <w:rsid w:val="00D50027"/>
    <w:rsid w:val="00D50496"/>
    <w:rsid w:val="00D518FE"/>
    <w:rsid w:val="00D557AE"/>
    <w:rsid w:val="00D60BB6"/>
    <w:rsid w:val="00D61284"/>
    <w:rsid w:val="00D62E27"/>
    <w:rsid w:val="00D63281"/>
    <w:rsid w:val="00D63D73"/>
    <w:rsid w:val="00D64770"/>
    <w:rsid w:val="00D66E1E"/>
    <w:rsid w:val="00D711AD"/>
    <w:rsid w:val="00D72965"/>
    <w:rsid w:val="00D73C52"/>
    <w:rsid w:val="00D74028"/>
    <w:rsid w:val="00D740A8"/>
    <w:rsid w:val="00D75722"/>
    <w:rsid w:val="00D75F6B"/>
    <w:rsid w:val="00D761A7"/>
    <w:rsid w:val="00D80966"/>
    <w:rsid w:val="00D81D3F"/>
    <w:rsid w:val="00D83535"/>
    <w:rsid w:val="00D84E98"/>
    <w:rsid w:val="00D86B1C"/>
    <w:rsid w:val="00D86FC1"/>
    <w:rsid w:val="00D90FDA"/>
    <w:rsid w:val="00D9267F"/>
    <w:rsid w:val="00D93CD6"/>
    <w:rsid w:val="00D949FA"/>
    <w:rsid w:val="00D96123"/>
    <w:rsid w:val="00DA0571"/>
    <w:rsid w:val="00DA590F"/>
    <w:rsid w:val="00DB027D"/>
    <w:rsid w:val="00DB0EE3"/>
    <w:rsid w:val="00DB3343"/>
    <w:rsid w:val="00DB43A2"/>
    <w:rsid w:val="00DB4C48"/>
    <w:rsid w:val="00DB5302"/>
    <w:rsid w:val="00DB53EB"/>
    <w:rsid w:val="00DB5749"/>
    <w:rsid w:val="00DB5975"/>
    <w:rsid w:val="00DB6777"/>
    <w:rsid w:val="00DB67C9"/>
    <w:rsid w:val="00DC0156"/>
    <w:rsid w:val="00DC07A8"/>
    <w:rsid w:val="00DC0C95"/>
    <w:rsid w:val="00DC10EE"/>
    <w:rsid w:val="00DC1138"/>
    <w:rsid w:val="00DC11AF"/>
    <w:rsid w:val="00DC2960"/>
    <w:rsid w:val="00DC2A3E"/>
    <w:rsid w:val="00DC3E68"/>
    <w:rsid w:val="00DC4309"/>
    <w:rsid w:val="00DC4BFB"/>
    <w:rsid w:val="00DC5013"/>
    <w:rsid w:val="00DC5200"/>
    <w:rsid w:val="00DC5D34"/>
    <w:rsid w:val="00DC6239"/>
    <w:rsid w:val="00DC66FC"/>
    <w:rsid w:val="00DC7940"/>
    <w:rsid w:val="00DC7B9F"/>
    <w:rsid w:val="00DD0613"/>
    <w:rsid w:val="00DD2056"/>
    <w:rsid w:val="00DD2CE9"/>
    <w:rsid w:val="00DD2FE6"/>
    <w:rsid w:val="00DD3BDA"/>
    <w:rsid w:val="00DD5668"/>
    <w:rsid w:val="00DD5C2D"/>
    <w:rsid w:val="00DD642B"/>
    <w:rsid w:val="00DD6580"/>
    <w:rsid w:val="00DE1F02"/>
    <w:rsid w:val="00DE2D11"/>
    <w:rsid w:val="00DE2D98"/>
    <w:rsid w:val="00DE31BD"/>
    <w:rsid w:val="00DE41EC"/>
    <w:rsid w:val="00DE4D14"/>
    <w:rsid w:val="00DE680C"/>
    <w:rsid w:val="00DF037A"/>
    <w:rsid w:val="00DF2EE1"/>
    <w:rsid w:val="00DF33AE"/>
    <w:rsid w:val="00DF43D7"/>
    <w:rsid w:val="00DF4E12"/>
    <w:rsid w:val="00DF5140"/>
    <w:rsid w:val="00DF61C9"/>
    <w:rsid w:val="00DF6DEB"/>
    <w:rsid w:val="00E0055F"/>
    <w:rsid w:val="00E00797"/>
    <w:rsid w:val="00E02042"/>
    <w:rsid w:val="00E0267D"/>
    <w:rsid w:val="00E03C50"/>
    <w:rsid w:val="00E03CB4"/>
    <w:rsid w:val="00E0436A"/>
    <w:rsid w:val="00E11579"/>
    <w:rsid w:val="00E11FB6"/>
    <w:rsid w:val="00E1253F"/>
    <w:rsid w:val="00E147FB"/>
    <w:rsid w:val="00E14F3E"/>
    <w:rsid w:val="00E15705"/>
    <w:rsid w:val="00E16FA5"/>
    <w:rsid w:val="00E17653"/>
    <w:rsid w:val="00E17C72"/>
    <w:rsid w:val="00E17FA5"/>
    <w:rsid w:val="00E224CA"/>
    <w:rsid w:val="00E24702"/>
    <w:rsid w:val="00E25825"/>
    <w:rsid w:val="00E26AC5"/>
    <w:rsid w:val="00E26B82"/>
    <w:rsid w:val="00E26B87"/>
    <w:rsid w:val="00E2713D"/>
    <w:rsid w:val="00E27305"/>
    <w:rsid w:val="00E27430"/>
    <w:rsid w:val="00E27E3B"/>
    <w:rsid w:val="00E32B82"/>
    <w:rsid w:val="00E33E05"/>
    <w:rsid w:val="00E34B75"/>
    <w:rsid w:val="00E34B7A"/>
    <w:rsid w:val="00E353DC"/>
    <w:rsid w:val="00E36C77"/>
    <w:rsid w:val="00E40CD8"/>
    <w:rsid w:val="00E41BC2"/>
    <w:rsid w:val="00E41C4F"/>
    <w:rsid w:val="00E42F28"/>
    <w:rsid w:val="00E447A2"/>
    <w:rsid w:val="00E44CA8"/>
    <w:rsid w:val="00E46AB5"/>
    <w:rsid w:val="00E478DD"/>
    <w:rsid w:val="00E50D31"/>
    <w:rsid w:val="00E51574"/>
    <w:rsid w:val="00E51C44"/>
    <w:rsid w:val="00E54790"/>
    <w:rsid w:val="00E6078E"/>
    <w:rsid w:val="00E613B2"/>
    <w:rsid w:val="00E618E0"/>
    <w:rsid w:val="00E652F3"/>
    <w:rsid w:val="00E669E2"/>
    <w:rsid w:val="00E66C37"/>
    <w:rsid w:val="00E71065"/>
    <w:rsid w:val="00E72620"/>
    <w:rsid w:val="00E738EC"/>
    <w:rsid w:val="00E7479A"/>
    <w:rsid w:val="00E7550D"/>
    <w:rsid w:val="00E75D56"/>
    <w:rsid w:val="00E76135"/>
    <w:rsid w:val="00E7722F"/>
    <w:rsid w:val="00E81FDF"/>
    <w:rsid w:val="00E8283D"/>
    <w:rsid w:val="00E82E89"/>
    <w:rsid w:val="00E83549"/>
    <w:rsid w:val="00E837B0"/>
    <w:rsid w:val="00E870E1"/>
    <w:rsid w:val="00E90EA5"/>
    <w:rsid w:val="00E91220"/>
    <w:rsid w:val="00E92A31"/>
    <w:rsid w:val="00E94C28"/>
    <w:rsid w:val="00E96333"/>
    <w:rsid w:val="00E964FC"/>
    <w:rsid w:val="00E96C22"/>
    <w:rsid w:val="00E96CF3"/>
    <w:rsid w:val="00E96EFA"/>
    <w:rsid w:val="00EA0EE9"/>
    <w:rsid w:val="00EA132E"/>
    <w:rsid w:val="00EA4263"/>
    <w:rsid w:val="00EA4EF0"/>
    <w:rsid w:val="00EA630C"/>
    <w:rsid w:val="00EA6613"/>
    <w:rsid w:val="00EA6869"/>
    <w:rsid w:val="00EA764F"/>
    <w:rsid w:val="00EB0156"/>
    <w:rsid w:val="00EB4015"/>
    <w:rsid w:val="00EB5AA8"/>
    <w:rsid w:val="00EB5FC6"/>
    <w:rsid w:val="00EB62B1"/>
    <w:rsid w:val="00EB6869"/>
    <w:rsid w:val="00EB761F"/>
    <w:rsid w:val="00EC210D"/>
    <w:rsid w:val="00EC296A"/>
    <w:rsid w:val="00EC37B8"/>
    <w:rsid w:val="00EC3BC2"/>
    <w:rsid w:val="00EC3DB0"/>
    <w:rsid w:val="00EC4096"/>
    <w:rsid w:val="00EC632B"/>
    <w:rsid w:val="00EC6974"/>
    <w:rsid w:val="00ED0DEF"/>
    <w:rsid w:val="00ED0E70"/>
    <w:rsid w:val="00ED247B"/>
    <w:rsid w:val="00ED359B"/>
    <w:rsid w:val="00ED4A48"/>
    <w:rsid w:val="00ED66CD"/>
    <w:rsid w:val="00EE220C"/>
    <w:rsid w:val="00EF0558"/>
    <w:rsid w:val="00EF0F32"/>
    <w:rsid w:val="00EF1B0F"/>
    <w:rsid w:val="00EF252C"/>
    <w:rsid w:val="00EF2ED0"/>
    <w:rsid w:val="00EF2FA9"/>
    <w:rsid w:val="00EF32D3"/>
    <w:rsid w:val="00EF3528"/>
    <w:rsid w:val="00EF35CC"/>
    <w:rsid w:val="00EF4122"/>
    <w:rsid w:val="00EF584B"/>
    <w:rsid w:val="00EF6BF5"/>
    <w:rsid w:val="00EF7A43"/>
    <w:rsid w:val="00F00EFC"/>
    <w:rsid w:val="00F01492"/>
    <w:rsid w:val="00F0161F"/>
    <w:rsid w:val="00F01DBE"/>
    <w:rsid w:val="00F0416C"/>
    <w:rsid w:val="00F0416D"/>
    <w:rsid w:val="00F043E6"/>
    <w:rsid w:val="00F0488B"/>
    <w:rsid w:val="00F055C5"/>
    <w:rsid w:val="00F056FC"/>
    <w:rsid w:val="00F1001A"/>
    <w:rsid w:val="00F1188B"/>
    <w:rsid w:val="00F128BF"/>
    <w:rsid w:val="00F128E9"/>
    <w:rsid w:val="00F1298C"/>
    <w:rsid w:val="00F12FB0"/>
    <w:rsid w:val="00F135D8"/>
    <w:rsid w:val="00F13F9C"/>
    <w:rsid w:val="00F14299"/>
    <w:rsid w:val="00F1717E"/>
    <w:rsid w:val="00F21B52"/>
    <w:rsid w:val="00F22EC8"/>
    <w:rsid w:val="00F24255"/>
    <w:rsid w:val="00F24356"/>
    <w:rsid w:val="00F260BD"/>
    <w:rsid w:val="00F30B72"/>
    <w:rsid w:val="00F31299"/>
    <w:rsid w:val="00F31EBE"/>
    <w:rsid w:val="00F3441C"/>
    <w:rsid w:val="00F3534A"/>
    <w:rsid w:val="00F3576F"/>
    <w:rsid w:val="00F372D6"/>
    <w:rsid w:val="00F43B65"/>
    <w:rsid w:val="00F46498"/>
    <w:rsid w:val="00F47E8F"/>
    <w:rsid w:val="00F511DE"/>
    <w:rsid w:val="00F536EC"/>
    <w:rsid w:val="00F54666"/>
    <w:rsid w:val="00F55D63"/>
    <w:rsid w:val="00F56C46"/>
    <w:rsid w:val="00F57A12"/>
    <w:rsid w:val="00F609DB"/>
    <w:rsid w:val="00F60CC3"/>
    <w:rsid w:val="00F61424"/>
    <w:rsid w:val="00F61D8D"/>
    <w:rsid w:val="00F63F0E"/>
    <w:rsid w:val="00F648FD"/>
    <w:rsid w:val="00F733F2"/>
    <w:rsid w:val="00F74C16"/>
    <w:rsid w:val="00F7640D"/>
    <w:rsid w:val="00F76880"/>
    <w:rsid w:val="00F810BB"/>
    <w:rsid w:val="00F81D1F"/>
    <w:rsid w:val="00F81DB1"/>
    <w:rsid w:val="00F82326"/>
    <w:rsid w:val="00F8369E"/>
    <w:rsid w:val="00F85325"/>
    <w:rsid w:val="00F8719B"/>
    <w:rsid w:val="00F907BD"/>
    <w:rsid w:val="00F92544"/>
    <w:rsid w:val="00F932E0"/>
    <w:rsid w:val="00FA0F09"/>
    <w:rsid w:val="00FA3097"/>
    <w:rsid w:val="00FA3347"/>
    <w:rsid w:val="00FA4696"/>
    <w:rsid w:val="00FA5076"/>
    <w:rsid w:val="00FA680D"/>
    <w:rsid w:val="00FB0A41"/>
    <w:rsid w:val="00FB0B1F"/>
    <w:rsid w:val="00FB1155"/>
    <w:rsid w:val="00FB1575"/>
    <w:rsid w:val="00FB3B7B"/>
    <w:rsid w:val="00FB4532"/>
    <w:rsid w:val="00FB6C41"/>
    <w:rsid w:val="00FB7327"/>
    <w:rsid w:val="00FC0F33"/>
    <w:rsid w:val="00FC1197"/>
    <w:rsid w:val="00FC4B1E"/>
    <w:rsid w:val="00FC4D72"/>
    <w:rsid w:val="00FC52E8"/>
    <w:rsid w:val="00FC5306"/>
    <w:rsid w:val="00FC5ECC"/>
    <w:rsid w:val="00FD0FD1"/>
    <w:rsid w:val="00FD1115"/>
    <w:rsid w:val="00FD1419"/>
    <w:rsid w:val="00FD22B1"/>
    <w:rsid w:val="00FD23A3"/>
    <w:rsid w:val="00FD4D08"/>
    <w:rsid w:val="00FD5200"/>
    <w:rsid w:val="00FD5CC3"/>
    <w:rsid w:val="00FD6EC6"/>
    <w:rsid w:val="00FD76AE"/>
    <w:rsid w:val="00FD77D8"/>
    <w:rsid w:val="00FD7F5B"/>
    <w:rsid w:val="00FE0C07"/>
    <w:rsid w:val="00FE12DB"/>
    <w:rsid w:val="00FE3884"/>
    <w:rsid w:val="00FE440A"/>
    <w:rsid w:val="00FE464E"/>
    <w:rsid w:val="00FE4B9D"/>
    <w:rsid w:val="00FE727D"/>
    <w:rsid w:val="00FE7E11"/>
    <w:rsid w:val="00FF0D84"/>
    <w:rsid w:val="00FF15C5"/>
    <w:rsid w:val="00FF27EE"/>
    <w:rsid w:val="00FF38FB"/>
    <w:rsid w:val="00FF4E25"/>
    <w:rsid w:val="00FF5468"/>
    <w:rsid w:val="00FF7B70"/>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7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92A31"/>
    <w:rPr>
      <w:sz w:val="24"/>
      <w:szCs w:val="24"/>
    </w:rPr>
  </w:style>
  <w:style w:type="paragraph" w:styleId="Heading1">
    <w:name w:val="heading 1"/>
    <w:basedOn w:val="BodyText"/>
    <w:next w:val="BodyText"/>
    <w:rsid w:val="00E92A3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92A3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92A31"/>
    <w:pPr>
      <w:spacing w:before="560" w:line="320" w:lineRule="exact"/>
      <w:ind w:left="0" w:firstLine="0"/>
      <w:outlineLvl w:val="2"/>
    </w:pPr>
    <w:rPr>
      <w:sz w:val="26"/>
    </w:rPr>
  </w:style>
  <w:style w:type="paragraph" w:styleId="Heading4">
    <w:name w:val="heading 4"/>
    <w:basedOn w:val="Heading3"/>
    <w:next w:val="BodyText"/>
    <w:link w:val="Heading4Char"/>
    <w:qFormat/>
    <w:rsid w:val="00E92A31"/>
    <w:pPr>
      <w:spacing w:before="480"/>
      <w:outlineLvl w:val="3"/>
    </w:pPr>
    <w:rPr>
      <w:b w:val="0"/>
      <w:sz w:val="24"/>
    </w:rPr>
  </w:style>
  <w:style w:type="paragraph" w:styleId="Heading5">
    <w:name w:val="heading 5"/>
    <w:basedOn w:val="Heading4"/>
    <w:next w:val="BodyText"/>
    <w:link w:val="Heading5Char"/>
    <w:qFormat/>
    <w:rsid w:val="00E92A31"/>
    <w:pPr>
      <w:outlineLvl w:val="4"/>
    </w:pPr>
    <w:rPr>
      <w:i/>
      <w:sz w:val="22"/>
    </w:rPr>
  </w:style>
  <w:style w:type="paragraph" w:styleId="Heading6">
    <w:name w:val="heading 6"/>
    <w:basedOn w:val="BodyText"/>
    <w:next w:val="BodyText"/>
    <w:rsid w:val="00E92A31"/>
    <w:pPr>
      <w:spacing w:after="60"/>
      <w:jc w:val="left"/>
      <w:outlineLvl w:val="5"/>
    </w:pPr>
    <w:rPr>
      <w:i/>
      <w:sz w:val="22"/>
    </w:rPr>
  </w:style>
  <w:style w:type="paragraph" w:styleId="Heading7">
    <w:name w:val="heading 7"/>
    <w:basedOn w:val="BodyText"/>
    <w:next w:val="BodyText"/>
    <w:rsid w:val="00E92A31"/>
    <w:pPr>
      <w:spacing w:after="60" w:line="240" w:lineRule="auto"/>
      <w:jc w:val="left"/>
      <w:outlineLvl w:val="6"/>
    </w:pPr>
    <w:rPr>
      <w:rFonts w:ascii="Arial" w:hAnsi="Arial"/>
      <w:sz w:val="20"/>
    </w:rPr>
  </w:style>
  <w:style w:type="paragraph" w:styleId="Heading8">
    <w:name w:val="heading 8"/>
    <w:basedOn w:val="BodyText"/>
    <w:next w:val="BodyText"/>
    <w:rsid w:val="00E92A31"/>
    <w:pPr>
      <w:spacing w:after="60" w:line="240" w:lineRule="auto"/>
      <w:jc w:val="left"/>
      <w:outlineLvl w:val="7"/>
    </w:pPr>
    <w:rPr>
      <w:rFonts w:ascii="Arial" w:hAnsi="Arial"/>
      <w:i/>
      <w:sz w:val="20"/>
    </w:rPr>
  </w:style>
  <w:style w:type="paragraph" w:styleId="Heading9">
    <w:name w:val="heading 9"/>
    <w:basedOn w:val="BodyText"/>
    <w:next w:val="BodyText"/>
    <w:rsid w:val="00E92A3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92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A31"/>
  </w:style>
  <w:style w:type="paragraph" w:styleId="BodyText">
    <w:name w:val="Body Text"/>
    <w:link w:val="BodyTextChar"/>
    <w:qFormat/>
    <w:rsid w:val="00E92A31"/>
    <w:pPr>
      <w:spacing w:before="240" w:line="300" w:lineRule="atLeast"/>
      <w:jc w:val="both"/>
    </w:pPr>
    <w:rPr>
      <w:sz w:val="24"/>
    </w:rPr>
  </w:style>
  <w:style w:type="paragraph" w:styleId="Footer">
    <w:name w:val="footer"/>
    <w:basedOn w:val="BodyText"/>
    <w:link w:val="FooterChar"/>
    <w:rsid w:val="00E92A31"/>
    <w:pPr>
      <w:spacing w:before="80" w:line="200" w:lineRule="exact"/>
      <w:ind w:right="6"/>
      <w:jc w:val="left"/>
    </w:pPr>
    <w:rPr>
      <w:rFonts w:ascii="Arial" w:hAnsi="Arial"/>
      <w:caps/>
      <w:spacing w:val="-4"/>
      <w:sz w:val="16"/>
    </w:rPr>
  </w:style>
  <w:style w:type="paragraph" w:customStyle="1" w:styleId="FooterEnd">
    <w:name w:val="Footer End"/>
    <w:basedOn w:val="Footer"/>
    <w:rsid w:val="00E92A31"/>
    <w:pPr>
      <w:spacing w:before="0" w:line="20" w:lineRule="exact"/>
    </w:pPr>
  </w:style>
  <w:style w:type="paragraph" w:styleId="Header">
    <w:name w:val="header"/>
    <w:basedOn w:val="BodyText"/>
    <w:rsid w:val="00E92A3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92A31"/>
    <w:pPr>
      <w:spacing w:line="20" w:lineRule="exact"/>
    </w:pPr>
    <w:rPr>
      <w:sz w:val="16"/>
    </w:rPr>
  </w:style>
  <w:style w:type="paragraph" w:customStyle="1" w:styleId="HeaderEven">
    <w:name w:val="Header Even"/>
    <w:basedOn w:val="Header"/>
    <w:semiHidden/>
    <w:rsid w:val="00E92A31"/>
  </w:style>
  <w:style w:type="paragraph" w:customStyle="1" w:styleId="HeaderOdd">
    <w:name w:val="Header Odd"/>
    <w:basedOn w:val="Header"/>
    <w:semiHidden/>
    <w:rsid w:val="00E92A31"/>
  </w:style>
  <w:style w:type="character" w:styleId="PageNumber">
    <w:name w:val="page number"/>
    <w:basedOn w:val="DefaultParagraphFont"/>
    <w:rsid w:val="00E92A31"/>
    <w:rPr>
      <w:rFonts w:ascii="Arial" w:hAnsi="Arial"/>
      <w:b/>
      <w:sz w:val="16"/>
    </w:rPr>
  </w:style>
  <w:style w:type="paragraph" w:customStyle="1" w:styleId="Abbreviation">
    <w:name w:val="Abbreviation"/>
    <w:basedOn w:val="BodyText"/>
    <w:rsid w:val="00E92A31"/>
    <w:pPr>
      <w:spacing w:before="120"/>
      <w:ind w:left="2381" w:hanging="2381"/>
      <w:jc w:val="left"/>
    </w:pPr>
  </w:style>
  <w:style w:type="paragraph" w:customStyle="1" w:styleId="Box">
    <w:name w:val="Box"/>
    <w:basedOn w:val="BodyText"/>
    <w:link w:val="BoxChar"/>
    <w:qFormat/>
    <w:rsid w:val="00E92A31"/>
    <w:pPr>
      <w:keepNext/>
      <w:spacing w:before="120" w:line="260" w:lineRule="atLeast"/>
    </w:pPr>
    <w:rPr>
      <w:rFonts w:ascii="Arial" w:hAnsi="Arial"/>
      <w:sz w:val="20"/>
    </w:rPr>
  </w:style>
  <w:style w:type="paragraph" w:customStyle="1" w:styleId="BoxContinued">
    <w:name w:val="Box Continued"/>
    <w:basedOn w:val="BodyText"/>
    <w:next w:val="BodyText"/>
    <w:semiHidden/>
    <w:rsid w:val="00E92A31"/>
    <w:pPr>
      <w:spacing w:before="180" w:line="220" w:lineRule="exact"/>
      <w:jc w:val="right"/>
    </w:pPr>
    <w:rPr>
      <w:rFonts w:ascii="Arial" w:hAnsi="Arial"/>
      <w:sz w:val="18"/>
    </w:rPr>
  </w:style>
  <w:style w:type="paragraph" w:customStyle="1" w:styleId="BoxHeading1">
    <w:name w:val="Box Heading 1"/>
    <w:basedOn w:val="BodyText"/>
    <w:next w:val="Box"/>
    <w:rsid w:val="00E92A31"/>
    <w:pPr>
      <w:keepNext/>
      <w:spacing w:before="200" w:line="280" w:lineRule="atLeast"/>
    </w:pPr>
    <w:rPr>
      <w:rFonts w:ascii="Arial" w:hAnsi="Arial"/>
      <w:b/>
      <w:sz w:val="22"/>
    </w:rPr>
  </w:style>
  <w:style w:type="paragraph" w:customStyle="1" w:styleId="BoxHeading2">
    <w:name w:val="Box Heading 2"/>
    <w:basedOn w:val="BoxHeading1"/>
    <w:next w:val="Normal"/>
    <w:rsid w:val="00E92A31"/>
    <w:rPr>
      <w:b w:val="0"/>
      <w:i/>
    </w:rPr>
  </w:style>
  <w:style w:type="paragraph" w:customStyle="1" w:styleId="BoxListBullet">
    <w:name w:val="Box List Bullet"/>
    <w:basedOn w:val="BodyText"/>
    <w:link w:val="BoxListBulletChar"/>
    <w:rsid w:val="00E92A3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92A31"/>
    <w:pPr>
      <w:numPr>
        <w:numId w:val="2"/>
      </w:numPr>
      <w:ind w:left="568" w:hanging="284"/>
    </w:pPr>
  </w:style>
  <w:style w:type="paragraph" w:customStyle="1" w:styleId="BoxListNumber">
    <w:name w:val="Box List Number"/>
    <w:basedOn w:val="BodyText"/>
    <w:rsid w:val="00E92A3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92A31"/>
    <w:pPr>
      <w:numPr>
        <w:ilvl w:val="1"/>
      </w:numPr>
      <w:ind w:left="681" w:hanging="397"/>
    </w:pPr>
  </w:style>
  <w:style w:type="paragraph" w:customStyle="1" w:styleId="BoxQuote">
    <w:name w:val="Box Quote"/>
    <w:basedOn w:val="BodyText"/>
    <w:next w:val="Box"/>
    <w:qFormat/>
    <w:rsid w:val="00E92A31"/>
    <w:pPr>
      <w:keepNext/>
      <w:spacing w:before="60" w:line="240" w:lineRule="exact"/>
      <w:ind w:left="284"/>
    </w:pPr>
    <w:rPr>
      <w:rFonts w:ascii="Arial" w:hAnsi="Arial"/>
      <w:sz w:val="18"/>
    </w:rPr>
  </w:style>
  <w:style w:type="paragraph" w:customStyle="1" w:styleId="Note">
    <w:name w:val="Note"/>
    <w:basedOn w:val="BodyText"/>
    <w:next w:val="BodyText"/>
    <w:rsid w:val="00E92A31"/>
    <w:pPr>
      <w:keepLines/>
      <w:spacing w:before="80" w:line="220" w:lineRule="exact"/>
    </w:pPr>
    <w:rPr>
      <w:rFonts w:ascii="Arial" w:hAnsi="Arial"/>
      <w:sz w:val="18"/>
    </w:rPr>
  </w:style>
  <w:style w:type="paragraph" w:customStyle="1" w:styleId="Source">
    <w:name w:val="Source"/>
    <w:basedOn w:val="Normal"/>
    <w:next w:val="BodyText"/>
    <w:link w:val="SourceChar"/>
    <w:rsid w:val="00E92A31"/>
    <w:pPr>
      <w:keepLines/>
      <w:spacing w:before="80" w:line="220" w:lineRule="exact"/>
      <w:jc w:val="both"/>
    </w:pPr>
    <w:rPr>
      <w:rFonts w:ascii="Arial" w:hAnsi="Arial"/>
      <w:sz w:val="18"/>
      <w:szCs w:val="20"/>
    </w:rPr>
  </w:style>
  <w:style w:type="paragraph" w:customStyle="1" w:styleId="BoxSource">
    <w:name w:val="Box Source"/>
    <w:basedOn w:val="Source"/>
    <w:next w:val="BodyText"/>
    <w:rsid w:val="00E92A31"/>
    <w:pPr>
      <w:spacing w:before="12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E92A3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92A31"/>
    <w:pPr>
      <w:spacing w:before="120" w:after="0"/>
    </w:pPr>
  </w:style>
  <w:style w:type="paragraph" w:customStyle="1" w:styleId="BoxSubtitle">
    <w:name w:val="Box Subtitle"/>
    <w:basedOn w:val="BoxTitle"/>
    <w:next w:val="Normal"/>
    <w:rsid w:val="00E92A31"/>
    <w:pPr>
      <w:spacing w:after="80" w:line="200" w:lineRule="exact"/>
      <w:ind w:firstLine="0"/>
    </w:pPr>
    <w:rPr>
      <w:b w:val="0"/>
      <w:sz w:val="20"/>
    </w:rPr>
  </w:style>
  <w:style w:type="paragraph" w:customStyle="1" w:styleId="Chapter">
    <w:name w:val="Chapter"/>
    <w:basedOn w:val="Heading1"/>
    <w:next w:val="BodyText"/>
    <w:semiHidden/>
    <w:rsid w:val="00E92A31"/>
    <w:pPr>
      <w:ind w:left="0" w:firstLine="0"/>
      <w:outlineLvl w:val="9"/>
    </w:pPr>
  </w:style>
  <w:style w:type="paragraph" w:customStyle="1" w:styleId="ChapterSummary">
    <w:name w:val="Chapter Summary"/>
    <w:basedOn w:val="BodyText"/>
    <w:rsid w:val="00E92A31"/>
    <w:pPr>
      <w:spacing w:line="280" w:lineRule="atLeast"/>
      <w:ind w:left="907"/>
    </w:pPr>
    <w:rPr>
      <w:rFonts w:ascii="Arial" w:hAnsi="Arial"/>
      <w:b/>
      <w:sz w:val="20"/>
    </w:rPr>
  </w:style>
  <w:style w:type="character" w:styleId="CommentReference">
    <w:name w:val="annotation reference"/>
    <w:basedOn w:val="DefaultParagraphFont"/>
    <w:semiHidden/>
    <w:rsid w:val="00E92A31"/>
    <w:rPr>
      <w:b/>
      <w:vanish/>
      <w:color w:val="FF00FF"/>
      <w:sz w:val="20"/>
    </w:rPr>
  </w:style>
  <w:style w:type="paragraph" w:styleId="CommentText">
    <w:name w:val="annotation text"/>
    <w:basedOn w:val="Normal"/>
    <w:link w:val="CommentTextChar"/>
    <w:semiHidden/>
    <w:rsid w:val="00E92A31"/>
    <w:pPr>
      <w:spacing w:before="120" w:line="240" w:lineRule="atLeast"/>
      <w:ind w:left="567" w:hanging="567"/>
    </w:pPr>
    <w:rPr>
      <w:sz w:val="20"/>
    </w:rPr>
  </w:style>
  <w:style w:type="paragraph" w:customStyle="1" w:styleId="Continued">
    <w:name w:val="Continued"/>
    <w:basedOn w:val="BoxContinued"/>
    <w:next w:val="BodyText"/>
    <w:rsid w:val="00E92A31"/>
  </w:style>
  <w:style w:type="character" w:customStyle="1" w:styleId="DocumentInfo">
    <w:name w:val="Document Info"/>
    <w:basedOn w:val="DefaultParagraphFont"/>
    <w:semiHidden/>
    <w:rsid w:val="00E92A31"/>
    <w:rPr>
      <w:rFonts w:ascii="Arial" w:hAnsi="Arial"/>
      <w:sz w:val="14"/>
    </w:rPr>
  </w:style>
  <w:style w:type="character" w:customStyle="1" w:styleId="DraftingNote">
    <w:name w:val="Drafting Note"/>
    <w:basedOn w:val="DefaultParagraphFont"/>
    <w:rsid w:val="00E92A31"/>
    <w:rPr>
      <w:b/>
      <w:color w:val="FF0000"/>
      <w:sz w:val="24"/>
      <w:u w:val="dotted"/>
    </w:rPr>
  </w:style>
  <w:style w:type="paragraph" w:customStyle="1" w:styleId="Figure">
    <w:name w:val="Figure"/>
    <w:basedOn w:val="BodyText"/>
    <w:rsid w:val="00E92A31"/>
    <w:pPr>
      <w:keepNext/>
      <w:spacing w:before="120" w:after="120" w:line="240" w:lineRule="atLeast"/>
      <w:jc w:val="center"/>
    </w:pPr>
  </w:style>
  <w:style w:type="paragraph" w:customStyle="1" w:styleId="FigureTitle">
    <w:name w:val="Figure Title"/>
    <w:basedOn w:val="Caption"/>
    <w:next w:val="Subtitle"/>
    <w:rsid w:val="00E92A31"/>
    <w:pPr>
      <w:spacing w:before="120"/>
    </w:pPr>
  </w:style>
  <w:style w:type="paragraph" w:styleId="Subtitle">
    <w:name w:val="Subtitle"/>
    <w:basedOn w:val="Caption"/>
    <w:link w:val="SubtitleChar"/>
    <w:qFormat/>
    <w:rsid w:val="00E92A31"/>
    <w:pPr>
      <w:spacing w:before="0" w:line="200" w:lineRule="exact"/>
      <w:ind w:firstLine="0"/>
    </w:pPr>
    <w:rPr>
      <w:b w:val="0"/>
      <w:sz w:val="20"/>
    </w:rPr>
  </w:style>
  <w:style w:type="paragraph" w:customStyle="1" w:styleId="Finding">
    <w:name w:val="Finding"/>
    <w:basedOn w:val="BodyText"/>
    <w:rsid w:val="00E92A31"/>
    <w:pPr>
      <w:keepLines/>
      <w:spacing w:before="120" w:line="280" w:lineRule="atLeast"/>
    </w:pPr>
    <w:rPr>
      <w:rFonts w:ascii="Arial" w:hAnsi="Arial"/>
      <w:sz w:val="22"/>
    </w:rPr>
  </w:style>
  <w:style w:type="paragraph" w:customStyle="1" w:styleId="FindingBullet">
    <w:name w:val="Finding Bullet"/>
    <w:basedOn w:val="Finding"/>
    <w:rsid w:val="00E92A31"/>
    <w:pPr>
      <w:numPr>
        <w:numId w:val="3"/>
      </w:numPr>
      <w:spacing w:before="80"/>
    </w:pPr>
  </w:style>
  <w:style w:type="paragraph" w:customStyle="1" w:styleId="FindingNoTitle">
    <w:name w:val="Finding NoTitle"/>
    <w:basedOn w:val="Finding"/>
    <w:rsid w:val="00E92A31"/>
    <w:pPr>
      <w:spacing w:before="240"/>
    </w:pPr>
  </w:style>
  <w:style w:type="paragraph" w:customStyle="1" w:styleId="RecTitle">
    <w:name w:val="Rec Title"/>
    <w:basedOn w:val="BodyText"/>
    <w:next w:val="Rec"/>
    <w:qFormat/>
    <w:rsid w:val="00E92A31"/>
    <w:pPr>
      <w:keepNext/>
      <w:keepLines/>
      <w:spacing w:line="280" w:lineRule="atLeast"/>
    </w:pPr>
    <w:rPr>
      <w:rFonts w:ascii="Arial" w:hAnsi="Arial"/>
      <w:caps/>
      <w:sz w:val="18"/>
    </w:rPr>
  </w:style>
  <w:style w:type="paragraph" w:customStyle="1" w:styleId="FindingTitle">
    <w:name w:val="Finding Title"/>
    <w:basedOn w:val="RecTitle"/>
    <w:next w:val="Finding"/>
    <w:rsid w:val="00E92A31"/>
  </w:style>
  <w:style w:type="character" w:styleId="FootnoteReference">
    <w:name w:val="footnote reference"/>
    <w:basedOn w:val="DefaultParagraphFont"/>
    <w:semiHidden/>
    <w:rsid w:val="00E92A31"/>
    <w:rPr>
      <w:rFonts w:ascii="Times New Roman" w:hAnsi="Times New Roman"/>
      <w:position w:val="6"/>
      <w:sz w:val="20"/>
      <w:vertAlign w:val="baseline"/>
    </w:rPr>
  </w:style>
  <w:style w:type="paragraph" w:styleId="FootnoteText">
    <w:name w:val="footnote text"/>
    <w:basedOn w:val="BodyText"/>
    <w:rsid w:val="00E92A3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92A31"/>
    <w:rPr>
      <w:i/>
    </w:rPr>
  </w:style>
  <w:style w:type="paragraph" w:customStyle="1" w:styleId="Jurisdictioncommentsbodytext">
    <w:name w:val="Jurisdiction comments body text"/>
    <w:rsid w:val="00E92A31"/>
    <w:pPr>
      <w:spacing w:after="140"/>
      <w:jc w:val="both"/>
    </w:pPr>
    <w:rPr>
      <w:rFonts w:ascii="Arial" w:hAnsi="Arial"/>
      <w:sz w:val="24"/>
      <w:lang w:eastAsia="en-US"/>
    </w:rPr>
  </w:style>
  <w:style w:type="paragraph" w:customStyle="1" w:styleId="Jurisdictioncommentsheading">
    <w:name w:val="Jurisdiction comments heading"/>
    <w:rsid w:val="00E92A3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92A31"/>
    <w:pPr>
      <w:numPr>
        <w:numId w:val="4"/>
      </w:numPr>
      <w:spacing w:after="140"/>
      <w:jc w:val="both"/>
    </w:pPr>
    <w:rPr>
      <w:rFonts w:ascii="Arial" w:hAnsi="Arial"/>
      <w:sz w:val="24"/>
      <w:lang w:eastAsia="en-US"/>
    </w:rPr>
  </w:style>
  <w:style w:type="paragraph" w:styleId="ListBullet">
    <w:name w:val="List Bullet"/>
    <w:basedOn w:val="BodyText"/>
    <w:link w:val="ListBulletChar"/>
    <w:rsid w:val="00E92A31"/>
    <w:pPr>
      <w:numPr>
        <w:numId w:val="5"/>
      </w:numPr>
      <w:spacing w:before="120"/>
    </w:pPr>
  </w:style>
  <w:style w:type="paragraph" w:styleId="ListBullet2">
    <w:name w:val="List Bullet 2"/>
    <w:basedOn w:val="BodyText"/>
    <w:rsid w:val="00E92A31"/>
    <w:pPr>
      <w:numPr>
        <w:numId w:val="6"/>
      </w:numPr>
      <w:spacing w:before="120"/>
    </w:pPr>
  </w:style>
  <w:style w:type="paragraph" w:styleId="ListBullet3">
    <w:name w:val="List Bullet 3"/>
    <w:basedOn w:val="BodyText"/>
    <w:rsid w:val="00E92A31"/>
    <w:pPr>
      <w:numPr>
        <w:numId w:val="7"/>
      </w:numPr>
      <w:spacing w:before="120"/>
      <w:ind w:left="1020" w:hanging="340"/>
    </w:pPr>
  </w:style>
  <w:style w:type="paragraph" w:styleId="ListNumber">
    <w:name w:val="List Number"/>
    <w:basedOn w:val="BodyText"/>
    <w:rsid w:val="00E92A31"/>
    <w:pPr>
      <w:numPr>
        <w:numId w:val="13"/>
      </w:numPr>
      <w:spacing w:before="120"/>
    </w:pPr>
  </w:style>
  <w:style w:type="paragraph" w:styleId="ListNumber2">
    <w:name w:val="List Number 2"/>
    <w:basedOn w:val="ListNumber"/>
    <w:rsid w:val="00E92A31"/>
    <w:pPr>
      <w:numPr>
        <w:ilvl w:val="1"/>
      </w:numPr>
    </w:pPr>
  </w:style>
  <w:style w:type="paragraph" w:styleId="ListNumber3">
    <w:name w:val="List Number 3"/>
    <w:basedOn w:val="ListNumber2"/>
    <w:rsid w:val="00E92A31"/>
    <w:pPr>
      <w:numPr>
        <w:ilvl w:val="2"/>
      </w:numPr>
    </w:pPr>
  </w:style>
  <w:style w:type="character" w:customStyle="1" w:styleId="NoteLabel">
    <w:name w:val="Note Label"/>
    <w:basedOn w:val="DefaultParagraphFont"/>
    <w:rsid w:val="00E92A31"/>
    <w:rPr>
      <w:rFonts w:ascii="Arial" w:hAnsi="Arial"/>
      <w:b/>
      <w:position w:val="6"/>
      <w:sz w:val="18"/>
    </w:rPr>
  </w:style>
  <w:style w:type="paragraph" w:customStyle="1" w:styleId="PartDivider">
    <w:name w:val="Part Divider"/>
    <w:basedOn w:val="BodyText"/>
    <w:next w:val="BodyText"/>
    <w:semiHidden/>
    <w:rsid w:val="00E92A31"/>
    <w:pPr>
      <w:spacing w:before="0" w:line="40" w:lineRule="exact"/>
      <w:jc w:val="right"/>
    </w:pPr>
    <w:rPr>
      <w:smallCaps/>
      <w:sz w:val="16"/>
    </w:rPr>
  </w:style>
  <w:style w:type="paragraph" w:customStyle="1" w:styleId="PartNumber">
    <w:name w:val="Part Number"/>
    <w:basedOn w:val="BodyText"/>
    <w:next w:val="BodyText"/>
    <w:semiHidden/>
    <w:rsid w:val="00E92A31"/>
    <w:pPr>
      <w:spacing w:before="4000" w:line="320" w:lineRule="exact"/>
      <w:ind w:left="6634"/>
      <w:jc w:val="right"/>
    </w:pPr>
    <w:rPr>
      <w:smallCaps/>
      <w:spacing w:val="60"/>
      <w:sz w:val="32"/>
    </w:rPr>
  </w:style>
  <w:style w:type="paragraph" w:customStyle="1" w:styleId="PartTitle">
    <w:name w:val="Part Title"/>
    <w:basedOn w:val="BodyText"/>
    <w:semiHidden/>
    <w:rsid w:val="00E92A31"/>
    <w:pPr>
      <w:spacing w:before="160" w:after="1360" w:line="520" w:lineRule="exact"/>
      <w:ind w:right="2381"/>
      <w:jc w:val="right"/>
    </w:pPr>
    <w:rPr>
      <w:smallCaps/>
      <w:sz w:val="52"/>
    </w:rPr>
  </w:style>
  <w:style w:type="paragraph" w:styleId="Quote">
    <w:name w:val="Quote"/>
    <w:basedOn w:val="BodyText"/>
    <w:next w:val="BodyText"/>
    <w:qFormat/>
    <w:rsid w:val="00E92A31"/>
    <w:pPr>
      <w:spacing w:before="120" w:line="280" w:lineRule="exact"/>
      <w:ind w:left="340"/>
    </w:pPr>
    <w:rPr>
      <w:sz w:val="22"/>
    </w:rPr>
  </w:style>
  <w:style w:type="paragraph" w:customStyle="1" w:styleId="QuoteBullet">
    <w:name w:val="Quote Bullet"/>
    <w:basedOn w:val="Quote"/>
    <w:rsid w:val="00E92A31"/>
    <w:pPr>
      <w:numPr>
        <w:numId w:val="8"/>
      </w:numPr>
    </w:pPr>
  </w:style>
  <w:style w:type="paragraph" w:customStyle="1" w:styleId="Rec">
    <w:name w:val="Rec"/>
    <w:basedOn w:val="BodyText"/>
    <w:qFormat/>
    <w:rsid w:val="00E92A31"/>
    <w:pPr>
      <w:keepLines/>
      <w:spacing w:before="120" w:line="280" w:lineRule="atLeast"/>
    </w:pPr>
    <w:rPr>
      <w:rFonts w:ascii="Arial" w:hAnsi="Arial"/>
      <w:sz w:val="22"/>
    </w:rPr>
  </w:style>
  <w:style w:type="paragraph" w:customStyle="1" w:styleId="RecBullet">
    <w:name w:val="Rec Bullet"/>
    <w:basedOn w:val="Rec"/>
    <w:rsid w:val="00E92A31"/>
    <w:pPr>
      <w:numPr>
        <w:numId w:val="9"/>
      </w:numPr>
      <w:spacing w:before="80"/>
    </w:pPr>
  </w:style>
  <w:style w:type="paragraph" w:customStyle="1" w:styleId="RecB">
    <w:name w:val="RecB"/>
    <w:basedOn w:val="Normal"/>
    <w:rsid w:val="00E92A3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92A31"/>
    <w:pPr>
      <w:numPr>
        <w:numId w:val="10"/>
      </w:numPr>
      <w:spacing w:before="80"/>
    </w:pPr>
  </w:style>
  <w:style w:type="paragraph" w:customStyle="1" w:styleId="RecBNoTitle">
    <w:name w:val="RecB NoTitle"/>
    <w:basedOn w:val="RecB"/>
    <w:rsid w:val="00E92A31"/>
    <w:pPr>
      <w:spacing w:before="240"/>
    </w:pPr>
  </w:style>
  <w:style w:type="paragraph" w:customStyle="1" w:styleId="Reference">
    <w:name w:val="Reference"/>
    <w:basedOn w:val="BodyText"/>
    <w:rsid w:val="00E92A31"/>
    <w:pPr>
      <w:spacing w:before="120"/>
      <w:ind w:left="340" w:hanging="340"/>
    </w:pPr>
  </w:style>
  <w:style w:type="paragraph" w:customStyle="1" w:styleId="SequenceInfo">
    <w:name w:val="Sequence Info"/>
    <w:basedOn w:val="BodyText"/>
    <w:semiHidden/>
    <w:rsid w:val="00E92A31"/>
    <w:rPr>
      <w:vanish/>
      <w:sz w:val="16"/>
    </w:rPr>
  </w:style>
  <w:style w:type="paragraph" w:customStyle="1" w:styleId="SideNote">
    <w:name w:val="Side Note"/>
    <w:basedOn w:val="BodyText"/>
    <w:next w:val="BodyText"/>
    <w:semiHidden/>
    <w:rsid w:val="00E92A3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92A31"/>
    <w:pPr>
      <w:framePr w:wrap="around"/>
      <w:numPr>
        <w:numId w:val="11"/>
      </w:numPr>
      <w:tabs>
        <w:tab w:val="left" w:pos="227"/>
      </w:tabs>
    </w:pPr>
  </w:style>
  <w:style w:type="paragraph" w:customStyle="1" w:styleId="SideNoteGraphic">
    <w:name w:val="Side Note Graphic"/>
    <w:basedOn w:val="SideNote"/>
    <w:next w:val="BodyText"/>
    <w:semiHidden/>
    <w:rsid w:val="00E92A31"/>
    <w:pPr>
      <w:framePr w:wrap="around"/>
    </w:pPr>
  </w:style>
  <w:style w:type="paragraph" w:customStyle="1" w:styleId="TableBodyText">
    <w:name w:val="Table Body Text"/>
    <w:basedOn w:val="BodyText"/>
    <w:rsid w:val="00E92A3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92A31"/>
    <w:pPr>
      <w:numPr>
        <w:numId w:val="12"/>
      </w:numPr>
      <w:jc w:val="left"/>
    </w:pPr>
  </w:style>
  <w:style w:type="paragraph" w:customStyle="1" w:styleId="TableColumnHeading">
    <w:name w:val="Table Column Heading"/>
    <w:basedOn w:val="TableBodyText"/>
    <w:rsid w:val="00E92A31"/>
    <w:pPr>
      <w:spacing w:before="80" w:after="80"/>
    </w:pPr>
    <w:rPr>
      <w:i/>
    </w:rPr>
  </w:style>
  <w:style w:type="paragraph" w:styleId="TOC2">
    <w:name w:val="toc 2"/>
    <w:basedOn w:val="TOC1"/>
    <w:rsid w:val="00E92A31"/>
    <w:pPr>
      <w:ind w:left="1134" w:hanging="624"/>
    </w:pPr>
    <w:rPr>
      <w:b w:val="0"/>
    </w:rPr>
  </w:style>
  <w:style w:type="paragraph" w:styleId="TOC3">
    <w:name w:val="toc 3"/>
    <w:basedOn w:val="TOC2"/>
    <w:rsid w:val="00E92A31"/>
    <w:pPr>
      <w:spacing w:before="60"/>
      <w:ind w:left="1190" w:hanging="680"/>
    </w:pPr>
  </w:style>
  <w:style w:type="paragraph" w:styleId="TableofFigures">
    <w:name w:val="table of figures"/>
    <w:basedOn w:val="TOC3"/>
    <w:next w:val="BodyText"/>
    <w:rsid w:val="00E92A31"/>
    <w:pPr>
      <w:ind w:left="737" w:hanging="737"/>
    </w:pPr>
  </w:style>
  <w:style w:type="paragraph" w:customStyle="1" w:styleId="TableTitle">
    <w:name w:val="Table Title"/>
    <w:basedOn w:val="Caption"/>
    <w:next w:val="Subtitle"/>
    <w:qFormat/>
    <w:rsid w:val="00E92A31"/>
    <w:pPr>
      <w:spacing w:before="120"/>
    </w:pPr>
  </w:style>
  <w:style w:type="paragraph" w:customStyle="1" w:styleId="TableUnitsRow">
    <w:name w:val="Table Units Row"/>
    <w:basedOn w:val="TableBodyText"/>
    <w:rsid w:val="00E92A31"/>
    <w:pPr>
      <w:spacing w:before="40"/>
    </w:pPr>
  </w:style>
  <w:style w:type="paragraph" w:styleId="TOC1">
    <w:name w:val="toc 1"/>
    <w:basedOn w:val="Normal"/>
    <w:next w:val="TOC2"/>
    <w:link w:val="TOC1Char"/>
    <w:rsid w:val="00E92A3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92A31"/>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E92A31"/>
    <w:rPr>
      <w:rFonts w:ascii="Tahoma" w:hAnsi="Tahoma" w:cs="Tahoma"/>
      <w:sz w:val="16"/>
      <w:szCs w:val="16"/>
    </w:rPr>
  </w:style>
  <w:style w:type="table" w:styleId="TableGrid">
    <w:name w:val="Table Grid"/>
    <w:basedOn w:val="TableNormal"/>
    <w:rsid w:val="00E92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paragraph" w:customStyle="1" w:styleId="RecBBullet2">
    <w:name w:val="RecB Bullet 2"/>
    <w:basedOn w:val="ListBullet2"/>
    <w:semiHidden/>
    <w:rsid w:val="00E92A31"/>
    <w:pPr>
      <w:pBdr>
        <w:left w:val="single" w:sz="24" w:space="29" w:color="C0C0C0"/>
      </w:pBdr>
    </w:pPr>
    <w:rPr>
      <w:b/>
      <w:i/>
    </w:rPr>
  </w:style>
  <w:style w:type="character" w:customStyle="1" w:styleId="BalloonTextChar">
    <w:name w:val="Balloon Text Char"/>
    <w:basedOn w:val="DefaultParagraphFont"/>
    <w:link w:val="BalloonText"/>
    <w:rsid w:val="00E92A31"/>
    <w:rPr>
      <w:rFonts w:ascii="Tahoma" w:hAnsi="Tahoma" w:cs="Tahoma"/>
      <w:sz w:val="16"/>
      <w:szCs w:val="16"/>
    </w:rPr>
  </w:style>
  <w:style w:type="character" w:customStyle="1" w:styleId="SubtitleChar">
    <w:name w:val="Subtitle Char"/>
    <w:basedOn w:val="DefaultParagraphFont"/>
    <w:link w:val="Subtitle"/>
    <w:rsid w:val="00E92A31"/>
    <w:rPr>
      <w:rFonts w:ascii="Arial" w:hAnsi="Arial"/>
      <w:szCs w:val="24"/>
    </w:rPr>
  </w:style>
  <w:style w:type="paragraph" w:customStyle="1" w:styleId="BoxListBullet3">
    <w:name w:val="Box List Bullet 3"/>
    <w:basedOn w:val="ListBullet3"/>
    <w:rsid w:val="00E92A3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92A31"/>
    <w:rPr>
      <w:i/>
      <w:iCs/>
    </w:rPr>
  </w:style>
  <w:style w:type="paragraph" w:customStyle="1" w:styleId="BoxQuoteBullet">
    <w:name w:val="Box Quote Bullet"/>
    <w:basedOn w:val="BoxQuote"/>
    <w:next w:val="Box"/>
    <w:rsid w:val="00E92A31"/>
    <w:pPr>
      <w:numPr>
        <w:numId w:val="15"/>
      </w:numPr>
      <w:ind w:left="568" w:hanging="284"/>
    </w:pPr>
  </w:style>
  <w:style w:type="paragraph" w:customStyle="1" w:styleId="InformationRequestBullet">
    <w:name w:val="Information Request Bullet"/>
    <w:basedOn w:val="ListBullet"/>
    <w:next w:val="BodyText"/>
    <w:rsid w:val="00E92A31"/>
    <w:pPr>
      <w:numPr>
        <w:numId w:val="16"/>
      </w:numPr>
      <w:spacing w:before="80" w:line="280" w:lineRule="atLeast"/>
      <w:ind w:left="357" w:hanging="357"/>
    </w:pPr>
    <w:rPr>
      <w:rFonts w:ascii="Arial" w:hAnsi="Arial"/>
      <w:i/>
      <w:sz w:val="22"/>
    </w:rPr>
  </w:style>
  <w:style w:type="character" w:customStyle="1" w:styleId="BodyTextChar">
    <w:name w:val="Body Text Char"/>
    <w:basedOn w:val="DefaultParagraphFont"/>
    <w:link w:val="BodyText"/>
    <w:rsid w:val="00E92A31"/>
    <w:rPr>
      <w:sz w:val="24"/>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sz w:val="24"/>
    </w:rPr>
  </w:style>
  <w:style w:type="paragraph" w:customStyle="1" w:styleId="BoxSpaceAbove">
    <w:name w:val="Box Space Above"/>
    <w:basedOn w:val="BodyText"/>
    <w:rsid w:val="00E92A31"/>
    <w:pPr>
      <w:keepNext/>
      <w:spacing w:before="360" w:line="80" w:lineRule="exact"/>
      <w:jc w:val="left"/>
    </w:pPr>
  </w:style>
  <w:style w:type="paragraph" w:customStyle="1" w:styleId="BoxSpaceBelow">
    <w:name w:val="Box Space Below"/>
    <w:basedOn w:val="Box"/>
    <w:rsid w:val="00E92A31"/>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rPr>
  </w:style>
  <w:style w:type="paragraph" w:customStyle="1" w:styleId="KeyPointsListBullet">
    <w:name w:val="Key Points List Bullet"/>
    <w:basedOn w:val="Normal"/>
    <w:qFormat/>
    <w:rsid w:val="00E92A31"/>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92A31"/>
    <w:pPr>
      <w:numPr>
        <w:numId w:val="22"/>
      </w:numPr>
      <w:ind w:left="568" w:hanging="284"/>
    </w:pPr>
  </w:style>
  <w:style w:type="paragraph" w:customStyle="1" w:styleId="InformationRequestTitle">
    <w:name w:val="Information Request Title"/>
    <w:basedOn w:val="FindingTitle"/>
    <w:next w:val="InformationRequest"/>
    <w:rsid w:val="00E92A31"/>
    <w:rPr>
      <w:i/>
    </w:rPr>
  </w:style>
  <w:style w:type="paragraph" w:customStyle="1" w:styleId="Space">
    <w:name w:val="Space"/>
    <w:basedOn w:val="Normal"/>
    <w:rsid w:val="00E92A31"/>
    <w:pPr>
      <w:keepNext/>
      <w:spacing w:line="120" w:lineRule="exact"/>
      <w:jc w:val="both"/>
    </w:pPr>
    <w:rPr>
      <w:rFonts w:ascii="Arial" w:hAnsi="Arial"/>
      <w:sz w:val="20"/>
      <w:szCs w:val="20"/>
    </w:rPr>
  </w:style>
  <w:style w:type="paragraph" w:customStyle="1" w:styleId="Heading1nochapterno">
    <w:name w:val="Heading 1 (no chapter no.)"/>
    <w:basedOn w:val="Heading1"/>
    <w:rsid w:val="00E92A31"/>
    <w:pPr>
      <w:spacing w:before="0"/>
      <w:ind w:left="0" w:firstLine="0"/>
    </w:pPr>
  </w:style>
  <w:style w:type="paragraph" w:customStyle="1" w:styleId="Heading2nosectionno">
    <w:name w:val="Heading 2 (no section no.)"/>
    <w:basedOn w:val="Heading2"/>
    <w:rsid w:val="00E92A31"/>
    <w:pPr>
      <w:ind w:left="0" w:firstLine="0"/>
    </w:pPr>
  </w:style>
  <w:style w:type="character" w:customStyle="1" w:styleId="Heading5Char">
    <w:name w:val="Heading 5 Char"/>
    <w:basedOn w:val="DefaultParagraphFont"/>
    <w:link w:val="Heading5"/>
    <w:rsid w:val="00E92A31"/>
    <w:rPr>
      <w:rFonts w:ascii="Arial" w:hAnsi="Arial"/>
      <w:i/>
      <w:sz w:val="22"/>
    </w:rPr>
  </w:style>
  <w:style w:type="paragraph" w:customStyle="1" w:styleId="Figurespace">
    <w:name w:val="Figure space"/>
    <w:basedOn w:val="Box"/>
    <w:rsid w:val="00E92A31"/>
    <w:pPr>
      <w:spacing w:before="0" w:line="120" w:lineRule="exact"/>
    </w:pPr>
  </w:style>
  <w:style w:type="paragraph" w:customStyle="1" w:styleId="FooterDraftReport">
    <w:name w:val="FooterDraftReport"/>
    <w:basedOn w:val="Footer"/>
    <w:link w:val="FooterDraftReportChar"/>
    <w:rsid w:val="00E92A3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92A31"/>
    <w:rPr>
      <w:rFonts w:ascii="Arial" w:hAnsi="Arial"/>
      <w:caps/>
      <w:spacing w:val="-4"/>
      <w:sz w:val="16"/>
    </w:rPr>
  </w:style>
  <w:style w:type="character" w:customStyle="1" w:styleId="FooterDraftReportChar">
    <w:name w:val="FooterDraftReport Char"/>
    <w:basedOn w:val="FooterChar"/>
    <w:link w:val="FooterDraftReport"/>
    <w:rsid w:val="00E92A3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92A31"/>
    <w:rPr>
      <w:rFonts w:ascii="Arial" w:hAnsi="Arial"/>
      <w:b/>
      <w:sz w:val="26"/>
      <w:szCs w:val="26"/>
      <w:lang w:eastAsia="en-US"/>
    </w:rPr>
  </w:style>
  <w:style w:type="paragraph" w:customStyle="1" w:styleId="Copyrightbodytext">
    <w:name w:val="Copyright bodytext"/>
    <w:basedOn w:val="BodyText"/>
    <w:link w:val="CopyrightbodytextChar"/>
    <w:qFormat/>
    <w:rsid w:val="0092007E"/>
    <w:pPr>
      <w:spacing w:before="60"/>
    </w:pPr>
    <w:rPr>
      <w:sz w:val="22"/>
    </w:rPr>
  </w:style>
  <w:style w:type="character" w:customStyle="1" w:styleId="CopyrightbodytextChar">
    <w:name w:val="Copyright bodytext Char"/>
    <w:basedOn w:val="BodyTextChar"/>
    <w:link w:val="Copyrightbodytext"/>
    <w:rsid w:val="0092007E"/>
    <w:rPr>
      <w:sz w:val="22"/>
    </w:rPr>
  </w:style>
  <w:style w:type="paragraph" w:customStyle="1" w:styleId="Heading1NotTOC">
    <w:name w:val="Heading 1 Not TOC"/>
    <w:basedOn w:val="Heading1"/>
    <w:next w:val="BodyText"/>
    <w:rsid w:val="0092007E"/>
    <w:rPr>
      <w:kern w:val="28"/>
      <w:szCs w:val="26"/>
      <w:lang w:eastAsia="en-US"/>
    </w:rPr>
  </w:style>
  <w:style w:type="character" w:styleId="PlaceholderText">
    <w:name w:val="Placeholder Text"/>
    <w:basedOn w:val="DefaultParagraphFont"/>
    <w:uiPriority w:val="99"/>
    <w:semiHidden/>
    <w:rsid w:val="00A10D36"/>
    <w:rPr>
      <w:color w:val="808080"/>
    </w:rPr>
  </w:style>
  <w:style w:type="character" w:customStyle="1" w:styleId="ListBulletChar">
    <w:name w:val="List Bullet Char"/>
    <w:link w:val="ListBullet"/>
    <w:rsid w:val="00681C84"/>
    <w:rPr>
      <w:sz w:val="24"/>
    </w:rPr>
  </w:style>
  <w:style w:type="paragraph" w:styleId="Revision">
    <w:name w:val="Revision"/>
    <w:hidden/>
    <w:uiPriority w:val="99"/>
    <w:semiHidden/>
    <w:rsid w:val="00EF3528"/>
    <w:rPr>
      <w:sz w:val="24"/>
      <w:szCs w:val="24"/>
    </w:rPr>
  </w:style>
  <w:style w:type="character" w:customStyle="1" w:styleId="BoxChar">
    <w:name w:val="Box Char"/>
    <w:link w:val="Box"/>
    <w:rsid w:val="00E51574"/>
    <w:rPr>
      <w:rFonts w:ascii="Arial" w:hAnsi="Arial"/>
    </w:rPr>
  </w:style>
  <w:style w:type="character" w:customStyle="1" w:styleId="SourceChar">
    <w:name w:val="Source Char"/>
    <w:basedOn w:val="DefaultParagraphFont"/>
    <w:link w:val="Source"/>
    <w:rsid w:val="00E51574"/>
    <w:rPr>
      <w:rFonts w:ascii="Arial" w:hAnsi="Arial"/>
      <w:sz w:val="18"/>
    </w:rPr>
  </w:style>
  <w:style w:type="paragraph" w:customStyle="1" w:styleId="DQIRowHeadings">
    <w:name w:val="DQI Row Headings"/>
    <w:basedOn w:val="Normal"/>
    <w:rsid w:val="00E51574"/>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E51574"/>
    <w:pPr>
      <w:keepNext/>
      <w:keepLines/>
      <w:spacing w:before="120" w:line="200" w:lineRule="atLeast"/>
      <w:ind w:left="6" w:right="113"/>
    </w:pPr>
    <w:rPr>
      <w:rFonts w:ascii="Arial" w:hAnsi="Arial"/>
      <w:b/>
      <w:sz w:val="18"/>
      <w:szCs w:val="20"/>
      <w:u w:val="single"/>
    </w:rPr>
  </w:style>
  <w:style w:type="character" w:customStyle="1" w:styleId="Continuedintitle">
    <w:name w:val="Continued (in title)"/>
    <w:basedOn w:val="DefaultParagraphFont"/>
    <w:rsid w:val="00642BBB"/>
    <w:rPr>
      <w:rFonts w:ascii="Arial" w:hAnsi="Arial"/>
      <w:b/>
      <w:sz w:val="18"/>
    </w:rPr>
  </w:style>
  <w:style w:type="character" w:customStyle="1" w:styleId="CommentTextChar">
    <w:name w:val="Comment Text Char"/>
    <w:basedOn w:val="DefaultParagraphFont"/>
    <w:link w:val="CommentText"/>
    <w:semiHidden/>
    <w:rsid w:val="005D7164"/>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92A31"/>
    <w:rPr>
      <w:sz w:val="24"/>
      <w:szCs w:val="24"/>
    </w:rPr>
  </w:style>
  <w:style w:type="paragraph" w:styleId="Heading1">
    <w:name w:val="heading 1"/>
    <w:basedOn w:val="BodyText"/>
    <w:next w:val="BodyText"/>
    <w:rsid w:val="00E92A3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92A3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92A31"/>
    <w:pPr>
      <w:spacing w:before="560" w:line="320" w:lineRule="exact"/>
      <w:ind w:left="0" w:firstLine="0"/>
      <w:outlineLvl w:val="2"/>
    </w:pPr>
    <w:rPr>
      <w:sz w:val="26"/>
    </w:rPr>
  </w:style>
  <w:style w:type="paragraph" w:styleId="Heading4">
    <w:name w:val="heading 4"/>
    <w:basedOn w:val="Heading3"/>
    <w:next w:val="BodyText"/>
    <w:link w:val="Heading4Char"/>
    <w:qFormat/>
    <w:rsid w:val="00E92A31"/>
    <w:pPr>
      <w:spacing w:before="480"/>
      <w:outlineLvl w:val="3"/>
    </w:pPr>
    <w:rPr>
      <w:b w:val="0"/>
      <w:sz w:val="24"/>
    </w:rPr>
  </w:style>
  <w:style w:type="paragraph" w:styleId="Heading5">
    <w:name w:val="heading 5"/>
    <w:basedOn w:val="Heading4"/>
    <w:next w:val="BodyText"/>
    <w:link w:val="Heading5Char"/>
    <w:qFormat/>
    <w:rsid w:val="00E92A31"/>
    <w:pPr>
      <w:outlineLvl w:val="4"/>
    </w:pPr>
    <w:rPr>
      <w:i/>
      <w:sz w:val="22"/>
    </w:rPr>
  </w:style>
  <w:style w:type="paragraph" w:styleId="Heading6">
    <w:name w:val="heading 6"/>
    <w:basedOn w:val="BodyText"/>
    <w:next w:val="BodyText"/>
    <w:rsid w:val="00E92A31"/>
    <w:pPr>
      <w:spacing w:after="60"/>
      <w:jc w:val="left"/>
      <w:outlineLvl w:val="5"/>
    </w:pPr>
    <w:rPr>
      <w:i/>
      <w:sz w:val="22"/>
    </w:rPr>
  </w:style>
  <w:style w:type="paragraph" w:styleId="Heading7">
    <w:name w:val="heading 7"/>
    <w:basedOn w:val="BodyText"/>
    <w:next w:val="BodyText"/>
    <w:rsid w:val="00E92A31"/>
    <w:pPr>
      <w:spacing w:after="60" w:line="240" w:lineRule="auto"/>
      <w:jc w:val="left"/>
      <w:outlineLvl w:val="6"/>
    </w:pPr>
    <w:rPr>
      <w:rFonts w:ascii="Arial" w:hAnsi="Arial"/>
      <w:sz w:val="20"/>
    </w:rPr>
  </w:style>
  <w:style w:type="paragraph" w:styleId="Heading8">
    <w:name w:val="heading 8"/>
    <w:basedOn w:val="BodyText"/>
    <w:next w:val="BodyText"/>
    <w:rsid w:val="00E92A31"/>
    <w:pPr>
      <w:spacing w:after="60" w:line="240" w:lineRule="auto"/>
      <w:jc w:val="left"/>
      <w:outlineLvl w:val="7"/>
    </w:pPr>
    <w:rPr>
      <w:rFonts w:ascii="Arial" w:hAnsi="Arial"/>
      <w:i/>
      <w:sz w:val="20"/>
    </w:rPr>
  </w:style>
  <w:style w:type="paragraph" w:styleId="Heading9">
    <w:name w:val="heading 9"/>
    <w:basedOn w:val="BodyText"/>
    <w:next w:val="BodyText"/>
    <w:rsid w:val="00E92A3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92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A31"/>
  </w:style>
  <w:style w:type="paragraph" w:styleId="BodyText">
    <w:name w:val="Body Text"/>
    <w:link w:val="BodyTextChar"/>
    <w:qFormat/>
    <w:rsid w:val="00E92A31"/>
    <w:pPr>
      <w:spacing w:before="240" w:line="300" w:lineRule="atLeast"/>
      <w:jc w:val="both"/>
    </w:pPr>
    <w:rPr>
      <w:sz w:val="24"/>
    </w:rPr>
  </w:style>
  <w:style w:type="paragraph" w:styleId="Footer">
    <w:name w:val="footer"/>
    <w:basedOn w:val="BodyText"/>
    <w:link w:val="FooterChar"/>
    <w:rsid w:val="00E92A31"/>
    <w:pPr>
      <w:spacing w:before="80" w:line="200" w:lineRule="exact"/>
      <w:ind w:right="6"/>
      <w:jc w:val="left"/>
    </w:pPr>
    <w:rPr>
      <w:rFonts w:ascii="Arial" w:hAnsi="Arial"/>
      <w:caps/>
      <w:spacing w:val="-4"/>
      <w:sz w:val="16"/>
    </w:rPr>
  </w:style>
  <w:style w:type="paragraph" w:customStyle="1" w:styleId="FooterEnd">
    <w:name w:val="Footer End"/>
    <w:basedOn w:val="Footer"/>
    <w:rsid w:val="00E92A31"/>
    <w:pPr>
      <w:spacing w:before="0" w:line="20" w:lineRule="exact"/>
    </w:pPr>
  </w:style>
  <w:style w:type="paragraph" w:styleId="Header">
    <w:name w:val="header"/>
    <w:basedOn w:val="BodyText"/>
    <w:rsid w:val="00E92A3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92A31"/>
    <w:pPr>
      <w:spacing w:line="20" w:lineRule="exact"/>
    </w:pPr>
    <w:rPr>
      <w:sz w:val="16"/>
    </w:rPr>
  </w:style>
  <w:style w:type="paragraph" w:customStyle="1" w:styleId="HeaderEven">
    <w:name w:val="Header Even"/>
    <w:basedOn w:val="Header"/>
    <w:semiHidden/>
    <w:rsid w:val="00E92A31"/>
  </w:style>
  <w:style w:type="paragraph" w:customStyle="1" w:styleId="HeaderOdd">
    <w:name w:val="Header Odd"/>
    <w:basedOn w:val="Header"/>
    <w:semiHidden/>
    <w:rsid w:val="00E92A31"/>
  </w:style>
  <w:style w:type="character" w:styleId="PageNumber">
    <w:name w:val="page number"/>
    <w:basedOn w:val="DefaultParagraphFont"/>
    <w:rsid w:val="00E92A31"/>
    <w:rPr>
      <w:rFonts w:ascii="Arial" w:hAnsi="Arial"/>
      <w:b/>
      <w:sz w:val="16"/>
    </w:rPr>
  </w:style>
  <w:style w:type="paragraph" w:customStyle="1" w:styleId="Abbreviation">
    <w:name w:val="Abbreviation"/>
    <w:basedOn w:val="BodyText"/>
    <w:rsid w:val="00E92A31"/>
    <w:pPr>
      <w:spacing w:before="120"/>
      <w:ind w:left="2381" w:hanging="2381"/>
      <w:jc w:val="left"/>
    </w:pPr>
  </w:style>
  <w:style w:type="paragraph" w:customStyle="1" w:styleId="Box">
    <w:name w:val="Box"/>
    <w:basedOn w:val="BodyText"/>
    <w:link w:val="BoxChar"/>
    <w:qFormat/>
    <w:rsid w:val="00E92A31"/>
    <w:pPr>
      <w:keepNext/>
      <w:spacing w:before="120" w:line="260" w:lineRule="atLeast"/>
    </w:pPr>
    <w:rPr>
      <w:rFonts w:ascii="Arial" w:hAnsi="Arial"/>
      <w:sz w:val="20"/>
    </w:rPr>
  </w:style>
  <w:style w:type="paragraph" w:customStyle="1" w:styleId="BoxContinued">
    <w:name w:val="Box Continued"/>
    <w:basedOn w:val="BodyText"/>
    <w:next w:val="BodyText"/>
    <w:semiHidden/>
    <w:rsid w:val="00E92A31"/>
    <w:pPr>
      <w:spacing w:before="180" w:line="220" w:lineRule="exact"/>
      <w:jc w:val="right"/>
    </w:pPr>
    <w:rPr>
      <w:rFonts w:ascii="Arial" w:hAnsi="Arial"/>
      <w:sz w:val="18"/>
    </w:rPr>
  </w:style>
  <w:style w:type="paragraph" w:customStyle="1" w:styleId="BoxHeading1">
    <w:name w:val="Box Heading 1"/>
    <w:basedOn w:val="BodyText"/>
    <w:next w:val="Box"/>
    <w:rsid w:val="00E92A31"/>
    <w:pPr>
      <w:keepNext/>
      <w:spacing w:before="200" w:line="280" w:lineRule="atLeast"/>
    </w:pPr>
    <w:rPr>
      <w:rFonts w:ascii="Arial" w:hAnsi="Arial"/>
      <w:b/>
      <w:sz w:val="22"/>
    </w:rPr>
  </w:style>
  <w:style w:type="paragraph" w:customStyle="1" w:styleId="BoxHeading2">
    <w:name w:val="Box Heading 2"/>
    <w:basedOn w:val="BoxHeading1"/>
    <w:next w:val="Normal"/>
    <w:rsid w:val="00E92A31"/>
    <w:rPr>
      <w:b w:val="0"/>
      <w:i/>
    </w:rPr>
  </w:style>
  <w:style w:type="paragraph" w:customStyle="1" w:styleId="BoxListBullet">
    <w:name w:val="Box List Bullet"/>
    <w:basedOn w:val="BodyText"/>
    <w:link w:val="BoxListBulletChar"/>
    <w:rsid w:val="00E92A3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92A31"/>
    <w:pPr>
      <w:numPr>
        <w:numId w:val="2"/>
      </w:numPr>
      <w:ind w:left="568" w:hanging="284"/>
    </w:pPr>
  </w:style>
  <w:style w:type="paragraph" w:customStyle="1" w:styleId="BoxListNumber">
    <w:name w:val="Box List Number"/>
    <w:basedOn w:val="BodyText"/>
    <w:rsid w:val="00E92A31"/>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92A31"/>
    <w:pPr>
      <w:numPr>
        <w:ilvl w:val="1"/>
      </w:numPr>
      <w:ind w:left="681" w:hanging="397"/>
    </w:pPr>
  </w:style>
  <w:style w:type="paragraph" w:customStyle="1" w:styleId="BoxQuote">
    <w:name w:val="Box Quote"/>
    <w:basedOn w:val="BodyText"/>
    <w:next w:val="Box"/>
    <w:qFormat/>
    <w:rsid w:val="00E92A31"/>
    <w:pPr>
      <w:keepNext/>
      <w:spacing w:before="60" w:line="240" w:lineRule="exact"/>
      <w:ind w:left="284"/>
    </w:pPr>
    <w:rPr>
      <w:rFonts w:ascii="Arial" w:hAnsi="Arial"/>
      <w:sz w:val="18"/>
    </w:rPr>
  </w:style>
  <w:style w:type="paragraph" w:customStyle="1" w:styleId="Note">
    <w:name w:val="Note"/>
    <w:basedOn w:val="BodyText"/>
    <w:next w:val="BodyText"/>
    <w:rsid w:val="00E92A31"/>
    <w:pPr>
      <w:keepLines/>
      <w:spacing w:before="80" w:line="220" w:lineRule="exact"/>
    </w:pPr>
    <w:rPr>
      <w:rFonts w:ascii="Arial" w:hAnsi="Arial"/>
      <w:sz w:val="18"/>
    </w:rPr>
  </w:style>
  <w:style w:type="paragraph" w:customStyle="1" w:styleId="Source">
    <w:name w:val="Source"/>
    <w:basedOn w:val="Normal"/>
    <w:next w:val="BodyText"/>
    <w:link w:val="SourceChar"/>
    <w:rsid w:val="00E92A31"/>
    <w:pPr>
      <w:keepLines/>
      <w:spacing w:before="80" w:line="220" w:lineRule="exact"/>
      <w:jc w:val="both"/>
    </w:pPr>
    <w:rPr>
      <w:rFonts w:ascii="Arial" w:hAnsi="Arial"/>
      <w:sz w:val="18"/>
      <w:szCs w:val="20"/>
    </w:rPr>
  </w:style>
  <w:style w:type="paragraph" w:customStyle="1" w:styleId="BoxSource">
    <w:name w:val="Box Source"/>
    <w:basedOn w:val="Source"/>
    <w:next w:val="BodyText"/>
    <w:rsid w:val="00E92A31"/>
    <w:pPr>
      <w:spacing w:before="12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E92A3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92A31"/>
    <w:pPr>
      <w:spacing w:before="120" w:after="0"/>
    </w:pPr>
  </w:style>
  <w:style w:type="paragraph" w:customStyle="1" w:styleId="BoxSubtitle">
    <w:name w:val="Box Subtitle"/>
    <w:basedOn w:val="BoxTitle"/>
    <w:next w:val="Normal"/>
    <w:rsid w:val="00E92A31"/>
    <w:pPr>
      <w:spacing w:after="80" w:line="200" w:lineRule="exact"/>
      <w:ind w:firstLine="0"/>
    </w:pPr>
    <w:rPr>
      <w:b w:val="0"/>
      <w:sz w:val="20"/>
    </w:rPr>
  </w:style>
  <w:style w:type="paragraph" w:customStyle="1" w:styleId="Chapter">
    <w:name w:val="Chapter"/>
    <w:basedOn w:val="Heading1"/>
    <w:next w:val="BodyText"/>
    <w:semiHidden/>
    <w:rsid w:val="00E92A31"/>
    <w:pPr>
      <w:ind w:left="0" w:firstLine="0"/>
      <w:outlineLvl w:val="9"/>
    </w:pPr>
  </w:style>
  <w:style w:type="paragraph" w:customStyle="1" w:styleId="ChapterSummary">
    <w:name w:val="Chapter Summary"/>
    <w:basedOn w:val="BodyText"/>
    <w:rsid w:val="00E92A31"/>
    <w:pPr>
      <w:spacing w:line="280" w:lineRule="atLeast"/>
      <w:ind w:left="907"/>
    </w:pPr>
    <w:rPr>
      <w:rFonts w:ascii="Arial" w:hAnsi="Arial"/>
      <w:b/>
      <w:sz w:val="20"/>
    </w:rPr>
  </w:style>
  <w:style w:type="character" w:styleId="CommentReference">
    <w:name w:val="annotation reference"/>
    <w:basedOn w:val="DefaultParagraphFont"/>
    <w:semiHidden/>
    <w:rsid w:val="00E92A31"/>
    <w:rPr>
      <w:b/>
      <w:vanish/>
      <w:color w:val="FF00FF"/>
      <w:sz w:val="20"/>
    </w:rPr>
  </w:style>
  <w:style w:type="paragraph" w:styleId="CommentText">
    <w:name w:val="annotation text"/>
    <w:basedOn w:val="Normal"/>
    <w:link w:val="CommentTextChar"/>
    <w:semiHidden/>
    <w:rsid w:val="00E92A31"/>
    <w:pPr>
      <w:spacing w:before="120" w:line="240" w:lineRule="atLeast"/>
      <w:ind w:left="567" w:hanging="567"/>
    </w:pPr>
    <w:rPr>
      <w:sz w:val="20"/>
    </w:rPr>
  </w:style>
  <w:style w:type="paragraph" w:customStyle="1" w:styleId="Continued">
    <w:name w:val="Continued"/>
    <w:basedOn w:val="BoxContinued"/>
    <w:next w:val="BodyText"/>
    <w:rsid w:val="00E92A31"/>
  </w:style>
  <w:style w:type="character" w:customStyle="1" w:styleId="DocumentInfo">
    <w:name w:val="Document Info"/>
    <w:basedOn w:val="DefaultParagraphFont"/>
    <w:semiHidden/>
    <w:rsid w:val="00E92A31"/>
    <w:rPr>
      <w:rFonts w:ascii="Arial" w:hAnsi="Arial"/>
      <w:sz w:val="14"/>
    </w:rPr>
  </w:style>
  <w:style w:type="character" w:customStyle="1" w:styleId="DraftingNote">
    <w:name w:val="Drafting Note"/>
    <w:basedOn w:val="DefaultParagraphFont"/>
    <w:rsid w:val="00E92A31"/>
    <w:rPr>
      <w:b/>
      <w:color w:val="FF0000"/>
      <w:sz w:val="24"/>
      <w:u w:val="dotted"/>
    </w:rPr>
  </w:style>
  <w:style w:type="paragraph" w:customStyle="1" w:styleId="Figure">
    <w:name w:val="Figure"/>
    <w:basedOn w:val="BodyText"/>
    <w:rsid w:val="00E92A31"/>
    <w:pPr>
      <w:keepNext/>
      <w:spacing w:before="120" w:after="120" w:line="240" w:lineRule="atLeast"/>
      <w:jc w:val="center"/>
    </w:pPr>
  </w:style>
  <w:style w:type="paragraph" w:customStyle="1" w:styleId="FigureTitle">
    <w:name w:val="Figure Title"/>
    <w:basedOn w:val="Caption"/>
    <w:next w:val="Subtitle"/>
    <w:rsid w:val="00E92A31"/>
    <w:pPr>
      <w:spacing w:before="120"/>
    </w:pPr>
  </w:style>
  <w:style w:type="paragraph" w:styleId="Subtitle">
    <w:name w:val="Subtitle"/>
    <w:basedOn w:val="Caption"/>
    <w:link w:val="SubtitleChar"/>
    <w:qFormat/>
    <w:rsid w:val="00E92A31"/>
    <w:pPr>
      <w:spacing w:before="0" w:line="200" w:lineRule="exact"/>
      <w:ind w:firstLine="0"/>
    </w:pPr>
    <w:rPr>
      <w:b w:val="0"/>
      <w:sz w:val="20"/>
    </w:rPr>
  </w:style>
  <w:style w:type="paragraph" w:customStyle="1" w:styleId="Finding">
    <w:name w:val="Finding"/>
    <w:basedOn w:val="BodyText"/>
    <w:rsid w:val="00E92A31"/>
    <w:pPr>
      <w:keepLines/>
      <w:spacing w:before="120" w:line="280" w:lineRule="atLeast"/>
    </w:pPr>
    <w:rPr>
      <w:rFonts w:ascii="Arial" w:hAnsi="Arial"/>
      <w:sz w:val="22"/>
    </w:rPr>
  </w:style>
  <w:style w:type="paragraph" w:customStyle="1" w:styleId="FindingBullet">
    <w:name w:val="Finding Bullet"/>
    <w:basedOn w:val="Finding"/>
    <w:rsid w:val="00E92A31"/>
    <w:pPr>
      <w:numPr>
        <w:numId w:val="3"/>
      </w:numPr>
      <w:spacing w:before="80"/>
    </w:pPr>
  </w:style>
  <w:style w:type="paragraph" w:customStyle="1" w:styleId="FindingNoTitle">
    <w:name w:val="Finding NoTitle"/>
    <w:basedOn w:val="Finding"/>
    <w:rsid w:val="00E92A31"/>
    <w:pPr>
      <w:spacing w:before="240"/>
    </w:pPr>
  </w:style>
  <w:style w:type="paragraph" w:customStyle="1" w:styleId="RecTitle">
    <w:name w:val="Rec Title"/>
    <w:basedOn w:val="BodyText"/>
    <w:next w:val="Rec"/>
    <w:qFormat/>
    <w:rsid w:val="00E92A31"/>
    <w:pPr>
      <w:keepNext/>
      <w:keepLines/>
      <w:spacing w:line="280" w:lineRule="atLeast"/>
    </w:pPr>
    <w:rPr>
      <w:rFonts w:ascii="Arial" w:hAnsi="Arial"/>
      <w:caps/>
      <w:sz w:val="18"/>
    </w:rPr>
  </w:style>
  <w:style w:type="paragraph" w:customStyle="1" w:styleId="FindingTitle">
    <w:name w:val="Finding Title"/>
    <w:basedOn w:val="RecTitle"/>
    <w:next w:val="Finding"/>
    <w:rsid w:val="00E92A31"/>
  </w:style>
  <w:style w:type="character" w:styleId="FootnoteReference">
    <w:name w:val="footnote reference"/>
    <w:basedOn w:val="DefaultParagraphFont"/>
    <w:semiHidden/>
    <w:rsid w:val="00E92A31"/>
    <w:rPr>
      <w:rFonts w:ascii="Times New Roman" w:hAnsi="Times New Roman"/>
      <w:position w:val="6"/>
      <w:sz w:val="20"/>
      <w:vertAlign w:val="baseline"/>
    </w:rPr>
  </w:style>
  <w:style w:type="paragraph" w:styleId="FootnoteText">
    <w:name w:val="footnote text"/>
    <w:basedOn w:val="BodyText"/>
    <w:rsid w:val="00E92A3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92A31"/>
    <w:rPr>
      <w:i/>
    </w:rPr>
  </w:style>
  <w:style w:type="paragraph" w:customStyle="1" w:styleId="Jurisdictioncommentsbodytext">
    <w:name w:val="Jurisdiction comments body text"/>
    <w:rsid w:val="00E92A31"/>
    <w:pPr>
      <w:spacing w:after="140"/>
      <w:jc w:val="both"/>
    </w:pPr>
    <w:rPr>
      <w:rFonts w:ascii="Arial" w:hAnsi="Arial"/>
      <w:sz w:val="24"/>
      <w:lang w:eastAsia="en-US"/>
    </w:rPr>
  </w:style>
  <w:style w:type="paragraph" w:customStyle="1" w:styleId="Jurisdictioncommentsheading">
    <w:name w:val="Jurisdiction comments heading"/>
    <w:rsid w:val="00E92A3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92A31"/>
    <w:pPr>
      <w:numPr>
        <w:numId w:val="4"/>
      </w:numPr>
      <w:spacing w:after="140"/>
      <w:jc w:val="both"/>
    </w:pPr>
    <w:rPr>
      <w:rFonts w:ascii="Arial" w:hAnsi="Arial"/>
      <w:sz w:val="24"/>
      <w:lang w:eastAsia="en-US"/>
    </w:rPr>
  </w:style>
  <w:style w:type="paragraph" w:styleId="ListBullet">
    <w:name w:val="List Bullet"/>
    <w:basedOn w:val="BodyText"/>
    <w:link w:val="ListBulletChar"/>
    <w:rsid w:val="00E92A31"/>
    <w:pPr>
      <w:numPr>
        <w:numId w:val="5"/>
      </w:numPr>
      <w:spacing w:before="120"/>
    </w:pPr>
  </w:style>
  <w:style w:type="paragraph" w:styleId="ListBullet2">
    <w:name w:val="List Bullet 2"/>
    <w:basedOn w:val="BodyText"/>
    <w:rsid w:val="00E92A31"/>
    <w:pPr>
      <w:numPr>
        <w:numId w:val="6"/>
      </w:numPr>
      <w:spacing w:before="120"/>
    </w:pPr>
  </w:style>
  <w:style w:type="paragraph" w:styleId="ListBullet3">
    <w:name w:val="List Bullet 3"/>
    <w:basedOn w:val="BodyText"/>
    <w:rsid w:val="00E92A31"/>
    <w:pPr>
      <w:numPr>
        <w:numId w:val="7"/>
      </w:numPr>
      <w:spacing w:before="120"/>
      <w:ind w:left="1020" w:hanging="340"/>
    </w:pPr>
  </w:style>
  <w:style w:type="paragraph" w:styleId="ListNumber">
    <w:name w:val="List Number"/>
    <w:basedOn w:val="BodyText"/>
    <w:rsid w:val="00E92A31"/>
    <w:pPr>
      <w:numPr>
        <w:numId w:val="13"/>
      </w:numPr>
      <w:spacing w:before="120"/>
    </w:pPr>
  </w:style>
  <w:style w:type="paragraph" w:styleId="ListNumber2">
    <w:name w:val="List Number 2"/>
    <w:basedOn w:val="ListNumber"/>
    <w:rsid w:val="00E92A31"/>
    <w:pPr>
      <w:numPr>
        <w:ilvl w:val="1"/>
      </w:numPr>
    </w:pPr>
  </w:style>
  <w:style w:type="paragraph" w:styleId="ListNumber3">
    <w:name w:val="List Number 3"/>
    <w:basedOn w:val="ListNumber2"/>
    <w:rsid w:val="00E92A31"/>
    <w:pPr>
      <w:numPr>
        <w:ilvl w:val="2"/>
      </w:numPr>
    </w:pPr>
  </w:style>
  <w:style w:type="character" w:customStyle="1" w:styleId="NoteLabel">
    <w:name w:val="Note Label"/>
    <w:basedOn w:val="DefaultParagraphFont"/>
    <w:rsid w:val="00E92A31"/>
    <w:rPr>
      <w:rFonts w:ascii="Arial" w:hAnsi="Arial"/>
      <w:b/>
      <w:position w:val="6"/>
      <w:sz w:val="18"/>
    </w:rPr>
  </w:style>
  <w:style w:type="paragraph" w:customStyle="1" w:styleId="PartDivider">
    <w:name w:val="Part Divider"/>
    <w:basedOn w:val="BodyText"/>
    <w:next w:val="BodyText"/>
    <w:semiHidden/>
    <w:rsid w:val="00E92A31"/>
    <w:pPr>
      <w:spacing w:before="0" w:line="40" w:lineRule="exact"/>
      <w:jc w:val="right"/>
    </w:pPr>
    <w:rPr>
      <w:smallCaps/>
      <w:sz w:val="16"/>
    </w:rPr>
  </w:style>
  <w:style w:type="paragraph" w:customStyle="1" w:styleId="PartNumber">
    <w:name w:val="Part Number"/>
    <w:basedOn w:val="BodyText"/>
    <w:next w:val="BodyText"/>
    <w:semiHidden/>
    <w:rsid w:val="00E92A31"/>
    <w:pPr>
      <w:spacing w:before="4000" w:line="320" w:lineRule="exact"/>
      <w:ind w:left="6634"/>
      <w:jc w:val="right"/>
    </w:pPr>
    <w:rPr>
      <w:smallCaps/>
      <w:spacing w:val="60"/>
      <w:sz w:val="32"/>
    </w:rPr>
  </w:style>
  <w:style w:type="paragraph" w:customStyle="1" w:styleId="PartTitle">
    <w:name w:val="Part Title"/>
    <w:basedOn w:val="BodyText"/>
    <w:semiHidden/>
    <w:rsid w:val="00E92A31"/>
    <w:pPr>
      <w:spacing w:before="160" w:after="1360" w:line="520" w:lineRule="exact"/>
      <w:ind w:right="2381"/>
      <w:jc w:val="right"/>
    </w:pPr>
    <w:rPr>
      <w:smallCaps/>
      <w:sz w:val="52"/>
    </w:rPr>
  </w:style>
  <w:style w:type="paragraph" w:styleId="Quote">
    <w:name w:val="Quote"/>
    <w:basedOn w:val="BodyText"/>
    <w:next w:val="BodyText"/>
    <w:qFormat/>
    <w:rsid w:val="00E92A31"/>
    <w:pPr>
      <w:spacing w:before="120" w:line="280" w:lineRule="exact"/>
      <w:ind w:left="340"/>
    </w:pPr>
    <w:rPr>
      <w:sz w:val="22"/>
    </w:rPr>
  </w:style>
  <w:style w:type="paragraph" w:customStyle="1" w:styleId="QuoteBullet">
    <w:name w:val="Quote Bullet"/>
    <w:basedOn w:val="Quote"/>
    <w:rsid w:val="00E92A31"/>
    <w:pPr>
      <w:numPr>
        <w:numId w:val="8"/>
      </w:numPr>
    </w:pPr>
  </w:style>
  <w:style w:type="paragraph" w:customStyle="1" w:styleId="Rec">
    <w:name w:val="Rec"/>
    <w:basedOn w:val="BodyText"/>
    <w:qFormat/>
    <w:rsid w:val="00E92A31"/>
    <w:pPr>
      <w:keepLines/>
      <w:spacing w:before="120" w:line="280" w:lineRule="atLeast"/>
    </w:pPr>
    <w:rPr>
      <w:rFonts w:ascii="Arial" w:hAnsi="Arial"/>
      <w:sz w:val="22"/>
    </w:rPr>
  </w:style>
  <w:style w:type="paragraph" w:customStyle="1" w:styleId="RecBullet">
    <w:name w:val="Rec Bullet"/>
    <w:basedOn w:val="Rec"/>
    <w:rsid w:val="00E92A31"/>
    <w:pPr>
      <w:numPr>
        <w:numId w:val="9"/>
      </w:numPr>
      <w:spacing w:before="80"/>
    </w:pPr>
  </w:style>
  <w:style w:type="paragraph" w:customStyle="1" w:styleId="RecB">
    <w:name w:val="RecB"/>
    <w:basedOn w:val="Normal"/>
    <w:rsid w:val="00E92A3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92A31"/>
    <w:pPr>
      <w:numPr>
        <w:numId w:val="10"/>
      </w:numPr>
      <w:spacing w:before="80"/>
    </w:pPr>
  </w:style>
  <w:style w:type="paragraph" w:customStyle="1" w:styleId="RecBNoTitle">
    <w:name w:val="RecB NoTitle"/>
    <w:basedOn w:val="RecB"/>
    <w:rsid w:val="00E92A31"/>
    <w:pPr>
      <w:spacing w:before="240"/>
    </w:pPr>
  </w:style>
  <w:style w:type="paragraph" w:customStyle="1" w:styleId="Reference">
    <w:name w:val="Reference"/>
    <w:basedOn w:val="BodyText"/>
    <w:rsid w:val="00E92A31"/>
    <w:pPr>
      <w:spacing w:before="120"/>
      <w:ind w:left="340" w:hanging="340"/>
    </w:pPr>
  </w:style>
  <w:style w:type="paragraph" w:customStyle="1" w:styleId="SequenceInfo">
    <w:name w:val="Sequence Info"/>
    <w:basedOn w:val="BodyText"/>
    <w:semiHidden/>
    <w:rsid w:val="00E92A31"/>
    <w:rPr>
      <w:vanish/>
      <w:sz w:val="16"/>
    </w:rPr>
  </w:style>
  <w:style w:type="paragraph" w:customStyle="1" w:styleId="SideNote">
    <w:name w:val="Side Note"/>
    <w:basedOn w:val="BodyText"/>
    <w:next w:val="BodyText"/>
    <w:semiHidden/>
    <w:rsid w:val="00E92A3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92A31"/>
    <w:pPr>
      <w:framePr w:wrap="around"/>
      <w:numPr>
        <w:numId w:val="11"/>
      </w:numPr>
      <w:tabs>
        <w:tab w:val="left" w:pos="227"/>
      </w:tabs>
    </w:pPr>
  </w:style>
  <w:style w:type="paragraph" w:customStyle="1" w:styleId="SideNoteGraphic">
    <w:name w:val="Side Note Graphic"/>
    <w:basedOn w:val="SideNote"/>
    <w:next w:val="BodyText"/>
    <w:semiHidden/>
    <w:rsid w:val="00E92A31"/>
    <w:pPr>
      <w:framePr w:wrap="around"/>
    </w:pPr>
  </w:style>
  <w:style w:type="paragraph" w:customStyle="1" w:styleId="TableBodyText">
    <w:name w:val="Table Body Text"/>
    <w:basedOn w:val="BodyText"/>
    <w:rsid w:val="00E92A3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92A31"/>
    <w:pPr>
      <w:numPr>
        <w:numId w:val="12"/>
      </w:numPr>
      <w:jc w:val="left"/>
    </w:pPr>
  </w:style>
  <w:style w:type="paragraph" w:customStyle="1" w:styleId="TableColumnHeading">
    <w:name w:val="Table Column Heading"/>
    <w:basedOn w:val="TableBodyText"/>
    <w:rsid w:val="00E92A31"/>
    <w:pPr>
      <w:spacing w:before="80" w:after="80"/>
    </w:pPr>
    <w:rPr>
      <w:i/>
    </w:rPr>
  </w:style>
  <w:style w:type="paragraph" w:styleId="TOC2">
    <w:name w:val="toc 2"/>
    <w:basedOn w:val="TOC1"/>
    <w:rsid w:val="00E92A31"/>
    <w:pPr>
      <w:ind w:left="1134" w:hanging="624"/>
    </w:pPr>
    <w:rPr>
      <w:b w:val="0"/>
    </w:rPr>
  </w:style>
  <w:style w:type="paragraph" w:styleId="TOC3">
    <w:name w:val="toc 3"/>
    <w:basedOn w:val="TOC2"/>
    <w:rsid w:val="00E92A31"/>
    <w:pPr>
      <w:spacing w:before="60"/>
      <w:ind w:left="1190" w:hanging="680"/>
    </w:pPr>
  </w:style>
  <w:style w:type="paragraph" w:styleId="TableofFigures">
    <w:name w:val="table of figures"/>
    <w:basedOn w:val="TOC3"/>
    <w:next w:val="BodyText"/>
    <w:rsid w:val="00E92A31"/>
    <w:pPr>
      <w:ind w:left="737" w:hanging="737"/>
    </w:pPr>
  </w:style>
  <w:style w:type="paragraph" w:customStyle="1" w:styleId="TableTitle">
    <w:name w:val="Table Title"/>
    <w:basedOn w:val="Caption"/>
    <w:next w:val="Subtitle"/>
    <w:qFormat/>
    <w:rsid w:val="00E92A31"/>
    <w:pPr>
      <w:spacing w:before="120"/>
    </w:pPr>
  </w:style>
  <w:style w:type="paragraph" w:customStyle="1" w:styleId="TableUnitsRow">
    <w:name w:val="Table Units Row"/>
    <w:basedOn w:val="TableBodyText"/>
    <w:rsid w:val="00E92A31"/>
    <w:pPr>
      <w:spacing w:before="40"/>
    </w:pPr>
  </w:style>
  <w:style w:type="paragraph" w:styleId="TOC1">
    <w:name w:val="toc 1"/>
    <w:basedOn w:val="Normal"/>
    <w:next w:val="TOC2"/>
    <w:link w:val="TOC1Char"/>
    <w:rsid w:val="00E92A3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92A31"/>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E92A31"/>
    <w:rPr>
      <w:rFonts w:ascii="Tahoma" w:hAnsi="Tahoma" w:cs="Tahoma"/>
      <w:sz w:val="16"/>
      <w:szCs w:val="16"/>
    </w:rPr>
  </w:style>
  <w:style w:type="table" w:styleId="TableGrid">
    <w:name w:val="Table Grid"/>
    <w:basedOn w:val="TableNormal"/>
    <w:rsid w:val="00E92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paragraph" w:customStyle="1" w:styleId="RecBBullet2">
    <w:name w:val="RecB Bullet 2"/>
    <w:basedOn w:val="ListBullet2"/>
    <w:semiHidden/>
    <w:rsid w:val="00E92A31"/>
    <w:pPr>
      <w:pBdr>
        <w:left w:val="single" w:sz="24" w:space="29" w:color="C0C0C0"/>
      </w:pBdr>
    </w:pPr>
    <w:rPr>
      <w:b/>
      <w:i/>
    </w:rPr>
  </w:style>
  <w:style w:type="character" w:customStyle="1" w:styleId="BalloonTextChar">
    <w:name w:val="Balloon Text Char"/>
    <w:basedOn w:val="DefaultParagraphFont"/>
    <w:link w:val="BalloonText"/>
    <w:rsid w:val="00E92A31"/>
    <w:rPr>
      <w:rFonts w:ascii="Tahoma" w:hAnsi="Tahoma" w:cs="Tahoma"/>
      <w:sz w:val="16"/>
      <w:szCs w:val="16"/>
    </w:rPr>
  </w:style>
  <w:style w:type="character" w:customStyle="1" w:styleId="SubtitleChar">
    <w:name w:val="Subtitle Char"/>
    <w:basedOn w:val="DefaultParagraphFont"/>
    <w:link w:val="Subtitle"/>
    <w:rsid w:val="00E92A31"/>
    <w:rPr>
      <w:rFonts w:ascii="Arial" w:hAnsi="Arial"/>
      <w:szCs w:val="24"/>
    </w:rPr>
  </w:style>
  <w:style w:type="paragraph" w:customStyle="1" w:styleId="BoxListBullet3">
    <w:name w:val="Box List Bullet 3"/>
    <w:basedOn w:val="ListBullet3"/>
    <w:rsid w:val="00E92A31"/>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92A31"/>
    <w:rPr>
      <w:i/>
      <w:iCs/>
    </w:rPr>
  </w:style>
  <w:style w:type="paragraph" w:customStyle="1" w:styleId="BoxQuoteBullet">
    <w:name w:val="Box Quote Bullet"/>
    <w:basedOn w:val="BoxQuote"/>
    <w:next w:val="Box"/>
    <w:rsid w:val="00E92A31"/>
    <w:pPr>
      <w:numPr>
        <w:numId w:val="15"/>
      </w:numPr>
      <w:ind w:left="568" w:hanging="284"/>
    </w:pPr>
  </w:style>
  <w:style w:type="paragraph" w:customStyle="1" w:styleId="InformationRequestBullet">
    <w:name w:val="Information Request Bullet"/>
    <w:basedOn w:val="ListBullet"/>
    <w:next w:val="BodyText"/>
    <w:rsid w:val="00E92A31"/>
    <w:pPr>
      <w:numPr>
        <w:numId w:val="16"/>
      </w:numPr>
      <w:spacing w:before="80" w:line="280" w:lineRule="atLeast"/>
      <w:ind w:left="357" w:hanging="357"/>
    </w:pPr>
    <w:rPr>
      <w:rFonts w:ascii="Arial" w:hAnsi="Arial"/>
      <w:i/>
      <w:sz w:val="22"/>
    </w:rPr>
  </w:style>
  <w:style w:type="character" w:customStyle="1" w:styleId="BodyTextChar">
    <w:name w:val="Body Text Char"/>
    <w:basedOn w:val="DefaultParagraphFont"/>
    <w:link w:val="BodyText"/>
    <w:rsid w:val="00E92A31"/>
    <w:rPr>
      <w:sz w:val="24"/>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sz w:val="24"/>
    </w:rPr>
  </w:style>
  <w:style w:type="paragraph" w:customStyle="1" w:styleId="BoxSpaceAbove">
    <w:name w:val="Box Space Above"/>
    <w:basedOn w:val="BodyText"/>
    <w:rsid w:val="00E92A31"/>
    <w:pPr>
      <w:keepNext/>
      <w:spacing w:before="360" w:line="80" w:lineRule="exact"/>
      <w:jc w:val="left"/>
    </w:pPr>
  </w:style>
  <w:style w:type="paragraph" w:customStyle="1" w:styleId="BoxSpaceBelow">
    <w:name w:val="Box Space Below"/>
    <w:basedOn w:val="Box"/>
    <w:rsid w:val="00E92A31"/>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rPr>
  </w:style>
  <w:style w:type="paragraph" w:customStyle="1" w:styleId="KeyPointsListBullet">
    <w:name w:val="Key Points List Bullet"/>
    <w:basedOn w:val="Normal"/>
    <w:qFormat/>
    <w:rsid w:val="00E92A31"/>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92A31"/>
    <w:pPr>
      <w:numPr>
        <w:numId w:val="22"/>
      </w:numPr>
      <w:ind w:left="568" w:hanging="284"/>
    </w:pPr>
  </w:style>
  <w:style w:type="paragraph" w:customStyle="1" w:styleId="InformationRequestTitle">
    <w:name w:val="Information Request Title"/>
    <w:basedOn w:val="FindingTitle"/>
    <w:next w:val="InformationRequest"/>
    <w:rsid w:val="00E92A31"/>
    <w:rPr>
      <w:i/>
    </w:rPr>
  </w:style>
  <w:style w:type="paragraph" w:customStyle="1" w:styleId="Space">
    <w:name w:val="Space"/>
    <w:basedOn w:val="Normal"/>
    <w:rsid w:val="00E92A31"/>
    <w:pPr>
      <w:keepNext/>
      <w:spacing w:line="120" w:lineRule="exact"/>
      <w:jc w:val="both"/>
    </w:pPr>
    <w:rPr>
      <w:rFonts w:ascii="Arial" w:hAnsi="Arial"/>
      <w:sz w:val="20"/>
      <w:szCs w:val="20"/>
    </w:rPr>
  </w:style>
  <w:style w:type="paragraph" w:customStyle="1" w:styleId="Heading1nochapterno">
    <w:name w:val="Heading 1 (no chapter no.)"/>
    <w:basedOn w:val="Heading1"/>
    <w:rsid w:val="00E92A31"/>
    <w:pPr>
      <w:spacing w:before="0"/>
      <w:ind w:left="0" w:firstLine="0"/>
    </w:pPr>
  </w:style>
  <w:style w:type="paragraph" w:customStyle="1" w:styleId="Heading2nosectionno">
    <w:name w:val="Heading 2 (no section no.)"/>
    <w:basedOn w:val="Heading2"/>
    <w:rsid w:val="00E92A31"/>
    <w:pPr>
      <w:ind w:left="0" w:firstLine="0"/>
    </w:pPr>
  </w:style>
  <w:style w:type="character" w:customStyle="1" w:styleId="Heading5Char">
    <w:name w:val="Heading 5 Char"/>
    <w:basedOn w:val="DefaultParagraphFont"/>
    <w:link w:val="Heading5"/>
    <w:rsid w:val="00E92A31"/>
    <w:rPr>
      <w:rFonts w:ascii="Arial" w:hAnsi="Arial"/>
      <w:i/>
      <w:sz w:val="22"/>
    </w:rPr>
  </w:style>
  <w:style w:type="paragraph" w:customStyle="1" w:styleId="Figurespace">
    <w:name w:val="Figure space"/>
    <w:basedOn w:val="Box"/>
    <w:rsid w:val="00E92A31"/>
    <w:pPr>
      <w:spacing w:before="0" w:line="120" w:lineRule="exact"/>
    </w:pPr>
  </w:style>
  <w:style w:type="paragraph" w:customStyle="1" w:styleId="FooterDraftReport">
    <w:name w:val="FooterDraftReport"/>
    <w:basedOn w:val="Footer"/>
    <w:link w:val="FooterDraftReportChar"/>
    <w:rsid w:val="00E92A3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92A31"/>
    <w:rPr>
      <w:rFonts w:ascii="Arial" w:hAnsi="Arial"/>
      <w:caps/>
      <w:spacing w:val="-4"/>
      <w:sz w:val="16"/>
    </w:rPr>
  </w:style>
  <w:style w:type="character" w:customStyle="1" w:styleId="FooterDraftReportChar">
    <w:name w:val="FooterDraftReport Char"/>
    <w:basedOn w:val="FooterChar"/>
    <w:link w:val="FooterDraftReport"/>
    <w:rsid w:val="00E92A3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92A31"/>
    <w:rPr>
      <w:rFonts w:ascii="Arial" w:hAnsi="Arial"/>
      <w:b/>
      <w:sz w:val="26"/>
      <w:szCs w:val="26"/>
      <w:lang w:eastAsia="en-US"/>
    </w:rPr>
  </w:style>
  <w:style w:type="paragraph" w:customStyle="1" w:styleId="Copyrightbodytext">
    <w:name w:val="Copyright bodytext"/>
    <w:basedOn w:val="BodyText"/>
    <w:link w:val="CopyrightbodytextChar"/>
    <w:qFormat/>
    <w:rsid w:val="0092007E"/>
    <w:pPr>
      <w:spacing w:before="60"/>
    </w:pPr>
    <w:rPr>
      <w:sz w:val="22"/>
    </w:rPr>
  </w:style>
  <w:style w:type="character" w:customStyle="1" w:styleId="CopyrightbodytextChar">
    <w:name w:val="Copyright bodytext Char"/>
    <w:basedOn w:val="BodyTextChar"/>
    <w:link w:val="Copyrightbodytext"/>
    <w:rsid w:val="0092007E"/>
    <w:rPr>
      <w:sz w:val="22"/>
    </w:rPr>
  </w:style>
  <w:style w:type="paragraph" w:customStyle="1" w:styleId="Heading1NotTOC">
    <w:name w:val="Heading 1 Not TOC"/>
    <w:basedOn w:val="Heading1"/>
    <w:next w:val="BodyText"/>
    <w:rsid w:val="0092007E"/>
    <w:rPr>
      <w:kern w:val="28"/>
      <w:szCs w:val="26"/>
      <w:lang w:eastAsia="en-US"/>
    </w:rPr>
  </w:style>
  <w:style w:type="character" w:styleId="PlaceholderText">
    <w:name w:val="Placeholder Text"/>
    <w:basedOn w:val="DefaultParagraphFont"/>
    <w:uiPriority w:val="99"/>
    <w:semiHidden/>
    <w:rsid w:val="00A10D36"/>
    <w:rPr>
      <w:color w:val="808080"/>
    </w:rPr>
  </w:style>
  <w:style w:type="character" w:customStyle="1" w:styleId="ListBulletChar">
    <w:name w:val="List Bullet Char"/>
    <w:link w:val="ListBullet"/>
    <w:rsid w:val="00681C84"/>
    <w:rPr>
      <w:sz w:val="24"/>
    </w:rPr>
  </w:style>
  <w:style w:type="paragraph" w:styleId="Revision">
    <w:name w:val="Revision"/>
    <w:hidden/>
    <w:uiPriority w:val="99"/>
    <w:semiHidden/>
    <w:rsid w:val="00EF3528"/>
    <w:rPr>
      <w:sz w:val="24"/>
      <w:szCs w:val="24"/>
    </w:rPr>
  </w:style>
  <w:style w:type="character" w:customStyle="1" w:styleId="BoxChar">
    <w:name w:val="Box Char"/>
    <w:link w:val="Box"/>
    <w:rsid w:val="00E51574"/>
    <w:rPr>
      <w:rFonts w:ascii="Arial" w:hAnsi="Arial"/>
    </w:rPr>
  </w:style>
  <w:style w:type="character" w:customStyle="1" w:styleId="SourceChar">
    <w:name w:val="Source Char"/>
    <w:basedOn w:val="DefaultParagraphFont"/>
    <w:link w:val="Source"/>
    <w:rsid w:val="00E51574"/>
    <w:rPr>
      <w:rFonts w:ascii="Arial" w:hAnsi="Arial"/>
      <w:sz w:val="18"/>
    </w:rPr>
  </w:style>
  <w:style w:type="paragraph" w:customStyle="1" w:styleId="DQIRowHeadings">
    <w:name w:val="DQI Row Headings"/>
    <w:basedOn w:val="Normal"/>
    <w:rsid w:val="00E51574"/>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E51574"/>
    <w:pPr>
      <w:keepNext/>
      <w:keepLines/>
      <w:spacing w:before="120" w:line="200" w:lineRule="atLeast"/>
      <w:ind w:left="6" w:right="113"/>
    </w:pPr>
    <w:rPr>
      <w:rFonts w:ascii="Arial" w:hAnsi="Arial"/>
      <w:b/>
      <w:sz w:val="18"/>
      <w:szCs w:val="20"/>
      <w:u w:val="single"/>
    </w:rPr>
  </w:style>
  <w:style w:type="character" w:customStyle="1" w:styleId="Continuedintitle">
    <w:name w:val="Continued (in title)"/>
    <w:basedOn w:val="DefaultParagraphFont"/>
    <w:rsid w:val="00642BBB"/>
    <w:rPr>
      <w:rFonts w:ascii="Arial" w:hAnsi="Arial"/>
      <w:b/>
      <w:sz w:val="18"/>
    </w:rPr>
  </w:style>
  <w:style w:type="character" w:customStyle="1" w:styleId="CommentTextChar">
    <w:name w:val="Comment Text Char"/>
    <w:basedOn w:val="DefaultParagraphFont"/>
    <w:link w:val="CommentText"/>
    <w:semiHidden/>
    <w:rsid w:val="005D716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4318">
      <w:bodyDiv w:val="1"/>
      <w:marLeft w:val="0"/>
      <w:marRight w:val="0"/>
      <w:marTop w:val="0"/>
      <w:marBottom w:val="0"/>
      <w:divBdr>
        <w:top w:val="none" w:sz="0" w:space="0" w:color="auto"/>
        <w:left w:val="none" w:sz="0" w:space="0" w:color="auto"/>
        <w:bottom w:val="none" w:sz="0" w:space="0" w:color="auto"/>
        <w:right w:val="none" w:sz="0" w:space="0" w:color="auto"/>
      </w:divBdr>
    </w:div>
    <w:div w:id="42486759">
      <w:bodyDiv w:val="1"/>
      <w:marLeft w:val="0"/>
      <w:marRight w:val="0"/>
      <w:marTop w:val="0"/>
      <w:marBottom w:val="0"/>
      <w:divBdr>
        <w:top w:val="none" w:sz="0" w:space="0" w:color="auto"/>
        <w:left w:val="none" w:sz="0" w:space="0" w:color="auto"/>
        <w:bottom w:val="none" w:sz="0" w:space="0" w:color="auto"/>
        <w:right w:val="none" w:sz="0" w:space="0" w:color="auto"/>
      </w:divBdr>
    </w:div>
    <w:div w:id="49773872">
      <w:bodyDiv w:val="1"/>
      <w:marLeft w:val="0"/>
      <w:marRight w:val="0"/>
      <w:marTop w:val="0"/>
      <w:marBottom w:val="0"/>
      <w:divBdr>
        <w:top w:val="none" w:sz="0" w:space="0" w:color="auto"/>
        <w:left w:val="none" w:sz="0" w:space="0" w:color="auto"/>
        <w:bottom w:val="none" w:sz="0" w:space="0" w:color="auto"/>
        <w:right w:val="none" w:sz="0" w:space="0" w:color="auto"/>
      </w:divBdr>
    </w:div>
    <w:div w:id="61878562">
      <w:bodyDiv w:val="1"/>
      <w:marLeft w:val="0"/>
      <w:marRight w:val="0"/>
      <w:marTop w:val="0"/>
      <w:marBottom w:val="0"/>
      <w:divBdr>
        <w:top w:val="none" w:sz="0" w:space="0" w:color="auto"/>
        <w:left w:val="none" w:sz="0" w:space="0" w:color="auto"/>
        <w:bottom w:val="none" w:sz="0" w:space="0" w:color="auto"/>
        <w:right w:val="none" w:sz="0" w:space="0" w:color="auto"/>
      </w:divBdr>
    </w:div>
    <w:div w:id="75790684">
      <w:bodyDiv w:val="1"/>
      <w:marLeft w:val="0"/>
      <w:marRight w:val="0"/>
      <w:marTop w:val="0"/>
      <w:marBottom w:val="0"/>
      <w:divBdr>
        <w:top w:val="none" w:sz="0" w:space="0" w:color="auto"/>
        <w:left w:val="none" w:sz="0" w:space="0" w:color="auto"/>
        <w:bottom w:val="none" w:sz="0" w:space="0" w:color="auto"/>
        <w:right w:val="none" w:sz="0" w:space="0" w:color="auto"/>
      </w:divBdr>
    </w:div>
    <w:div w:id="104275559">
      <w:bodyDiv w:val="1"/>
      <w:marLeft w:val="0"/>
      <w:marRight w:val="0"/>
      <w:marTop w:val="0"/>
      <w:marBottom w:val="0"/>
      <w:divBdr>
        <w:top w:val="none" w:sz="0" w:space="0" w:color="auto"/>
        <w:left w:val="none" w:sz="0" w:space="0" w:color="auto"/>
        <w:bottom w:val="none" w:sz="0" w:space="0" w:color="auto"/>
        <w:right w:val="none" w:sz="0" w:space="0" w:color="auto"/>
      </w:divBdr>
    </w:div>
    <w:div w:id="105663634">
      <w:bodyDiv w:val="1"/>
      <w:marLeft w:val="0"/>
      <w:marRight w:val="0"/>
      <w:marTop w:val="0"/>
      <w:marBottom w:val="0"/>
      <w:divBdr>
        <w:top w:val="none" w:sz="0" w:space="0" w:color="auto"/>
        <w:left w:val="none" w:sz="0" w:space="0" w:color="auto"/>
        <w:bottom w:val="none" w:sz="0" w:space="0" w:color="auto"/>
        <w:right w:val="none" w:sz="0" w:space="0" w:color="auto"/>
      </w:divBdr>
    </w:div>
    <w:div w:id="107554830">
      <w:bodyDiv w:val="1"/>
      <w:marLeft w:val="0"/>
      <w:marRight w:val="0"/>
      <w:marTop w:val="0"/>
      <w:marBottom w:val="0"/>
      <w:divBdr>
        <w:top w:val="none" w:sz="0" w:space="0" w:color="auto"/>
        <w:left w:val="none" w:sz="0" w:space="0" w:color="auto"/>
        <w:bottom w:val="none" w:sz="0" w:space="0" w:color="auto"/>
        <w:right w:val="none" w:sz="0" w:space="0" w:color="auto"/>
      </w:divBdr>
    </w:div>
    <w:div w:id="118846157">
      <w:bodyDiv w:val="1"/>
      <w:marLeft w:val="0"/>
      <w:marRight w:val="0"/>
      <w:marTop w:val="0"/>
      <w:marBottom w:val="0"/>
      <w:divBdr>
        <w:top w:val="none" w:sz="0" w:space="0" w:color="auto"/>
        <w:left w:val="none" w:sz="0" w:space="0" w:color="auto"/>
        <w:bottom w:val="none" w:sz="0" w:space="0" w:color="auto"/>
        <w:right w:val="none" w:sz="0" w:space="0" w:color="auto"/>
      </w:divBdr>
    </w:div>
    <w:div w:id="140510208">
      <w:bodyDiv w:val="1"/>
      <w:marLeft w:val="0"/>
      <w:marRight w:val="0"/>
      <w:marTop w:val="0"/>
      <w:marBottom w:val="0"/>
      <w:divBdr>
        <w:top w:val="none" w:sz="0" w:space="0" w:color="auto"/>
        <w:left w:val="none" w:sz="0" w:space="0" w:color="auto"/>
        <w:bottom w:val="none" w:sz="0" w:space="0" w:color="auto"/>
        <w:right w:val="none" w:sz="0" w:space="0" w:color="auto"/>
      </w:divBdr>
    </w:div>
    <w:div w:id="142478109">
      <w:bodyDiv w:val="1"/>
      <w:marLeft w:val="0"/>
      <w:marRight w:val="0"/>
      <w:marTop w:val="0"/>
      <w:marBottom w:val="0"/>
      <w:divBdr>
        <w:top w:val="none" w:sz="0" w:space="0" w:color="auto"/>
        <w:left w:val="none" w:sz="0" w:space="0" w:color="auto"/>
        <w:bottom w:val="none" w:sz="0" w:space="0" w:color="auto"/>
        <w:right w:val="none" w:sz="0" w:space="0" w:color="auto"/>
      </w:divBdr>
      <w:divsChild>
        <w:div w:id="789788125">
          <w:marLeft w:val="0"/>
          <w:marRight w:val="0"/>
          <w:marTop w:val="0"/>
          <w:marBottom w:val="0"/>
          <w:divBdr>
            <w:top w:val="none" w:sz="0" w:space="0" w:color="auto"/>
            <w:left w:val="none" w:sz="0" w:space="0" w:color="auto"/>
            <w:bottom w:val="none" w:sz="0" w:space="0" w:color="auto"/>
            <w:right w:val="none" w:sz="0" w:space="0" w:color="auto"/>
          </w:divBdr>
          <w:divsChild>
            <w:div w:id="2093156268">
              <w:marLeft w:val="0"/>
              <w:marRight w:val="0"/>
              <w:marTop w:val="0"/>
              <w:marBottom w:val="0"/>
              <w:divBdr>
                <w:top w:val="none" w:sz="0" w:space="0" w:color="auto"/>
                <w:left w:val="none" w:sz="0" w:space="0" w:color="auto"/>
                <w:bottom w:val="none" w:sz="0" w:space="0" w:color="auto"/>
                <w:right w:val="none" w:sz="0" w:space="0" w:color="auto"/>
              </w:divBdr>
              <w:divsChild>
                <w:div w:id="1115632353">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44667158">
      <w:bodyDiv w:val="1"/>
      <w:marLeft w:val="0"/>
      <w:marRight w:val="0"/>
      <w:marTop w:val="0"/>
      <w:marBottom w:val="0"/>
      <w:divBdr>
        <w:top w:val="none" w:sz="0" w:space="0" w:color="auto"/>
        <w:left w:val="none" w:sz="0" w:space="0" w:color="auto"/>
        <w:bottom w:val="none" w:sz="0" w:space="0" w:color="auto"/>
        <w:right w:val="none" w:sz="0" w:space="0" w:color="auto"/>
      </w:divBdr>
    </w:div>
    <w:div w:id="167066853">
      <w:bodyDiv w:val="1"/>
      <w:marLeft w:val="0"/>
      <w:marRight w:val="0"/>
      <w:marTop w:val="0"/>
      <w:marBottom w:val="0"/>
      <w:divBdr>
        <w:top w:val="none" w:sz="0" w:space="0" w:color="auto"/>
        <w:left w:val="none" w:sz="0" w:space="0" w:color="auto"/>
        <w:bottom w:val="none" w:sz="0" w:space="0" w:color="auto"/>
        <w:right w:val="none" w:sz="0" w:space="0" w:color="auto"/>
      </w:divBdr>
    </w:div>
    <w:div w:id="169561243">
      <w:bodyDiv w:val="1"/>
      <w:marLeft w:val="0"/>
      <w:marRight w:val="0"/>
      <w:marTop w:val="0"/>
      <w:marBottom w:val="0"/>
      <w:divBdr>
        <w:top w:val="none" w:sz="0" w:space="0" w:color="auto"/>
        <w:left w:val="none" w:sz="0" w:space="0" w:color="auto"/>
        <w:bottom w:val="none" w:sz="0" w:space="0" w:color="auto"/>
        <w:right w:val="none" w:sz="0" w:space="0" w:color="auto"/>
      </w:divBdr>
    </w:div>
    <w:div w:id="172843673">
      <w:bodyDiv w:val="1"/>
      <w:marLeft w:val="0"/>
      <w:marRight w:val="0"/>
      <w:marTop w:val="0"/>
      <w:marBottom w:val="0"/>
      <w:divBdr>
        <w:top w:val="none" w:sz="0" w:space="0" w:color="auto"/>
        <w:left w:val="none" w:sz="0" w:space="0" w:color="auto"/>
        <w:bottom w:val="none" w:sz="0" w:space="0" w:color="auto"/>
        <w:right w:val="none" w:sz="0" w:space="0" w:color="auto"/>
      </w:divBdr>
    </w:div>
    <w:div w:id="180440658">
      <w:bodyDiv w:val="1"/>
      <w:marLeft w:val="0"/>
      <w:marRight w:val="0"/>
      <w:marTop w:val="0"/>
      <w:marBottom w:val="0"/>
      <w:divBdr>
        <w:top w:val="none" w:sz="0" w:space="0" w:color="auto"/>
        <w:left w:val="none" w:sz="0" w:space="0" w:color="auto"/>
        <w:bottom w:val="none" w:sz="0" w:space="0" w:color="auto"/>
        <w:right w:val="none" w:sz="0" w:space="0" w:color="auto"/>
      </w:divBdr>
    </w:div>
    <w:div w:id="191503040">
      <w:bodyDiv w:val="1"/>
      <w:marLeft w:val="0"/>
      <w:marRight w:val="0"/>
      <w:marTop w:val="0"/>
      <w:marBottom w:val="0"/>
      <w:divBdr>
        <w:top w:val="none" w:sz="0" w:space="0" w:color="auto"/>
        <w:left w:val="none" w:sz="0" w:space="0" w:color="auto"/>
        <w:bottom w:val="none" w:sz="0" w:space="0" w:color="auto"/>
        <w:right w:val="none" w:sz="0" w:space="0" w:color="auto"/>
      </w:divBdr>
    </w:div>
    <w:div w:id="231238211">
      <w:bodyDiv w:val="1"/>
      <w:marLeft w:val="0"/>
      <w:marRight w:val="0"/>
      <w:marTop w:val="0"/>
      <w:marBottom w:val="0"/>
      <w:divBdr>
        <w:top w:val="none" w:sz="0" w:space="0" w:color="auto"/>
        <w:left w:val="none" w:sz="0" w:space="0" w:color="auto"/>
        <w:bottom w:val="none" w:sz="0" w:space="0" w:color="auto"/>
        <w:right w:val="none" w:sz="0" w:space="0" w:color="auto"/>
      </w:divBdr>
    </w:div>
    <w:div w:id="247731391">
      <w:bodyDiv w:val="1"/>
      <w:marLeft w:val="0"/>
      <w:marRight w:val="0"/>
      <w:marTop w:val="0"/>
      <w:marBottom w:val="0"/>
      <w:divBdr>
        <w:top w:val="none" w:sz="0" w:space="0" w:color="auto"/>
        <w:left w:val="none" w:sz="0" w:space="0" w:color="auto"/>
        <w:bottom w:val="none" w:sz="0" w:space="0" w:color="auto"/>
        <w:right w:val="none" w:sz="0" w:space="0" w:color="auto"/>
      </w:divBdr>
    </w:div>
    <w:div w:id="253704628">
      <w:bodyDiv w:val="1"/>
      <w:marLeft w:val="0"/>
      <w:marRight w:val="0"/>
      <w:marTop w:val="0"/>
      <w:marBottom w:val="0"/>
      <w:divBdr>
        <w:top w:val="none" w:sz="0" w:space="0" w:color="auto"/>
        <w:left w:val="none" w:sz="0" w:space="0" w:color="auto"/>
        <w:bottom w:val="none" w:sz="0" w:space="0" w:color="auto"/>
        <w:right w:val="none" w:sz="0" w:space="0" w:color="auto"/>
      </w:divBdr>
    </w:div>
    <w:div w:id="254678879">
      <w:bodyDiv w:val="1"/>
      <w:marLeft w:val="0"/>
      <w:marRight w:val="0"/>
      <w:marTop w:val="0"/>
      <w:marBottom w:val="0"/>
      <w:divBdr>
        <w:top w:val="none" w:sz="0" w:space="0" w:color="auto"/>
        <w:left w:val="none" w:sz="0" w:space="0" w:color="auto"/>
        <w:bottom w:val="none" w:sz="0" w:space="0" w:color="auto"/>
        <w:right w:val="none" w:sz="0" w:space="0" w:color="auto"/>
      </w:divBdr>
    </w:div>
    <w:div w:id="255788368">
      <w:bodyDiv w:val="1"/>
      <w:marLeft w:val="0"/>
      <w:marRight w:val="0"/>
      <w:marTop w:val="0"/>
      <w:marBottom w:val="0"/>
      <w:divBdr>
        <w:top w:val="none" w:sz="0" w:space="0" w:color="auto"/>
        <w:left w:val="none" w:sz="0" w:space="0" w:color="auto"/>
        <w:bottom w:val="none" w:sz="0" w:space="0" w:color="auto"/>
        <w:right w:val="none" w:sz="0" w:space="0" w:color="auto"/>
      </w:divBdr>
    </w:div>
    <w:div w:id="294144607">
      <w:bodyDiv w:val="1"/>
      <w:marLeft w:val="0"/>
      <w:marRight w:val="0"/>
      <w:marTop w:val="0"/>
      <w:marBottom w:val="0"/>
      <w:divBdr>
        <w:top w:val="none" w:sz="0" w:space="0" w:color="auto"/>
        <w:left w:val="none" w:sz="0" w:space="0" w:color="auto"/>
        <w:bottom w:val="none" w:sz="0" w:space="0" w:color="auto"/>
        <w:right w:val="none" w:sz="0" w:space="0" w:color="auto"/>
      </w:divBdr>
    </w:div>
    <w:div w:id="300117835">
      <w:bodyDiv w:val="1"/>
      <w:marLeft w:val="0"/>
      <w:marRight w:val="0"/>
      <w:marTop w:val="0"/>
      <w:marBottom w:val="0"/>
      <w:divBdr>
        <w:top w:val="none" w:sz="0" w:space="0" w:color="auto"/>
        <w:left w:val="none" w:sz="0" w:space="0" w:color="auto"/>
        <w:bottom w:val="none" w:sz="0" w:space="0" w:color="auto"/>
        <w:right w:val="none" w:sz="0" w:space="0" w:color="auto"/>
      </w:divBdr>
    </w:div>
    <w:div w:id="331153505">
      <w:bodyDiv w:val="1"/>
      <w:marLeft w:val="0"/>
      <w:marRight w:val="0"/>
      <w:marTop w:val="0"/>
      <w:marBottom w:val="0"/>
      <w:divBdr>
        <w:top w:val="none" w:sz="0" w:space="0" w:color="auto"/>
        <w:left w:val="none" w:sz="0" w:space="0" w:color="auto"/>
        <w:bottom w:val="none" w:sz="0" w:space="0" w:color="auto"/>
        <w:right w:val="none" w:sz="0" w:space="0" w:color="auto"/>
      </w:divBdr>
    </w:div>
    <w:div w:id="341401088">
      <w:bodyDiv w:val="1"/>
      <w:marLeft w:val="0"/>
      <w:marRight w:val="0"/>
      <w:marTop w:val="0"/>
      <w:marBottom w:val="0"/>
      <w:divBdr>
        <w:top w:val="none" w:sz="0" w:space="0" w:color="auto"/>
        <w:left w:val="none" w:sz="0" w:space="0" w:color="auto"/>
        <w:bottom w:val="none" w:sz="0" w:space="0" w:color="auto"/>
        <w:right w:val="none" w:sz="0" w:space="0" w:color="auto"/>
      </w:divBdr>
    </w:div>
    <w:div w:id="341785535">
      <w:bodyDiv w:val="1"/>
      <w:marLeft w:val="0"/>
      <w:marRight w:val="0"/>
      <w:marTop w:val="0"/>
      <w:marBottom w:val="0"/>
      <w:divBdr>
        <w:top w:val="none" w:sz="0" w:space="0" w:color="auto"/>
        <w:left w:val="none" w:sz="0" w:space="0" w:color="auto"/>
        <w:bottom w:val="none" w:sz="0" w:space="0" w:color="auto"/>
        <w:right w:val="none" w:sz="0" w:space="0" w:color="auto"/>
      </w:divBdr>
      <w:divsChild>
        <w:div w:id="530411822">
          <w:marLeft w:val="0"/>
          <w:marRight w:val="0"/>
          <w:marTop w:val="0"/>
          <w:marBottom w:val="0"/>
          <w:divBdr>
            <w:top w:val="none" w:sz="0" w:space="0" w:color="auto"/>
            <w:left w:val="none" w:sz="0" w:space="0" w:color="auto"/>
            <w:bottom w:val="none" w:sz="0" w:space="0" w:color="auto"/>
            <w:right w:val="none" w:sz="0" w:space="0" w:color="auto"/>
          </w:divBdr>
          <w:divsChild>
            <w:div w:id="355929333">
              <w:marLeft w:val="0"/>
              <w:marRight w:val="0"/>
              <w:marTop w:val="0"/>
              <w:marBottom w:val="0"/>
              <w:divBdr>
                <w:top w:val="none" w:sz="0" w:space="0" w:color="auto"/>
                <w:left w:val="none" w:sz="0" w:space="0" w:color="auto"/>
                <w:bottom w:val="none" w:sz="0" w:space="0" w:color="auto"/>
                <w:right w:val="none" w:sz="0" w:space="0" w:color="auto"/>
              </w:divBdr>
              <w:divsChild>
                <w:div w:id="60176191">
                  <w:marLeft w:val="0"/>
                  <w:marRight w:val="0"/>
                  <w:marTop w:val="0"/>
                  <w:marBottom w:val="0"/>
                  <w:divBdr>
                    <w:top w:val="none" w:sz="0" w:space="0" w:color="auto"/>
                    <w:left w:val="none" w:sz="0" w:space="0" w:color="auto"/>
                    <w:bottom w:val="none" w:sz="0" w:space="0" w:color="auto"/>
                    <w:right w:val="none" w:sz="0" w:space="0" w:color="auto"/>
                  </w:divBdr>
                  <w:divsChild>
                    <w:div w:id="1167162710">
                      <w:marLeft w:val="0"/>
                      <w:marRight w:val="0"/>
                      <w:marTop w:val="0"/>
                      <w:marBottom w:val="0"/>
                      <w:divBdr>
                        <w:top w:val="none" w:sz="0" w:space="0" w:color="auto"/>
                        <w:left w:val="none" w:sz="0" w:space="0" w:color="auto"/>
                        <w:bottom w:val="none" w:sz="0" w:space="0" w:color="auto"/>
                        <w:right w:val="none" w:sz="0" w:space="0" w:color="auto"/>
                      </w:divBdr>
                      <w:divsChild>
                        <w:div w:id="174536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944927">
      <w:bodyDiv w:val="1"/>
      <w:marLeft w:val="0"/>
      <w:marRight w:val="0"/>
      <w:marTop w:val="0"/>
      <w:marBottom w:val="0"/>
      <w:divBdr>
        <w:top w:val="none" w:sz="0" w:space="0" w:color="auto"/>
        <w:left w:val="none" w:sz="0" w:space="0" w:color="auto"/>
        <w:bottom w:val="none" w:sz="0" w:space="0" w:color="auto"/>
        <w:right w:val="none" w:sz="0" w:space="0" w:color="auto"/>
      </w:divBdr>
    </w:div>
    <w:div w:id="354234018">
      <w:bodyDiv w:val="1"/>
      <w:marLeft w:val="0"/>
      <w:marRight w:val="0"/>
      <w:marTop w:val="0"/>
      <w:marBottom w:val="0"/>
      <w:divBdr>
        <w:top w:val="none" w:sz="0" w:space="0" w:color="auto"/>
        <w:left w:val="none" w:sz="0" w:space="0" w:color="auto"/>
        <w:bottom w:val="none" w:sz="0" w:space="0" w:color="auto"/>
        <w:right w:val="none" w:sz="0" w:space="0" w:color="auto"/>
      </w:divBdr>
    </w:div>
    <w:div w:id="382682424">
      <w:bodyDiv w:val="1"/>
      <w:marLeft w:val="0"/>
      <w:marRight w:val="0"/>
      <w:marTop w:val="0"/>
      <w:marBottom w:val="0"/>
      <w:divBdr>
        <w:top w:val="none" w:sz="0" w:space="0" w:color="auto"/>
        <w:left w:val="none" w:sz="0" w:space="0" w:color="auto"/>
        <w:bottom w:val="none" w:sz="0" w:space="0" w:color="auto"/>
        <w:right w:val="none" w:sz="0" w:space="0" w:color="auto"/>
      </w:divBdr>
    </w:div>
    <w:div w:id="382869723">
      <w:bodyDiv w:val="1"/>
      <w:marLeft w:val="0"/>
      <w:marRight w:val="0"/>
      <w:marTop w:val="0"/>
      <w:marBottom w:val="0"/>
      <w:divBdr>
        <w:top w:val="none" w:sz="0" w:space="0" w:color="auto"/>
        <w:left w:val="none" w:sz="0" w:space="0" w:color="auto"/>
        <w:bottom w:val="none" w:sz="0" w:space="0" w:color="auto"/>
        <w:right w:val="none" w:sz="0" w:space="0" w:color="auto"/>
      </w:divBdr>
    </w:div>
    <w:div w:id="402876259">
      <w:bodyDiv w:val="1"/>
      <w:marLeft w:val="0"/>
      <w:marRight w:val="0"/>
      <w:marTop w:val="0"/>
      <w:marBottom w:val="0"/>
      <w:divBdr>
        <w:top w:val="none" w:sz="0" w:space="0" w:color="auto"/>
        <w:left w:val="none" w:sz="0" w:space="0" w:color="auto"/>
        <w:bottom w:val="none" w:sz="0" w:space="0" w:color="auto"/>
        <w:right w:val="none" w:sz="0" w:space="0" w:color="auto"/>
      </w:divBdr>
    </w:div>
    <w:div w:id="404306924">
      <w:bodyDiv w:val="1"/>
      <w:marLeft w:val="0"/>
      <w:marRight w:val="0"/>
      <w:marTop w:val="0"/>
      <w:marBottom w:val="0"/>
      <w:divBdr>
        <w:top w:val="none" w:sz="0" w:space="0" w:color="auto"/>
        <w:left w:val="none" w:sz="0" w:space="0" w:color="auto"/>
        <w:bottom w:val="none" w:sz="0" w:space="0" w:color="auto"/>
        <w:right w:val="none" w:sz="0" w:space="0" w:color="auto"/>
      </w:divBdr>
    </w:div>
    <w:div w:id="409540716">
      <w:bodyDiv w:val="1"/>
      <w:marLeft w:val="0"/>
      <w:marRight w:val="0"/>
      <w:marTop w:val="0"/>
      <w:marBottom w:val="0"/>
      <w:divBdr>
        <w:top w:val="none" w:sz="0" w:space="0" w:color="auto"/>
        <w:left w:val="none" w:sz="0" w:space="0" w:color="auto"/>
        <w:bottom w:val="none" w:sz="0" w:space="0" w:color="auto"/>
        <w:right w:val="none" w:sz="0" w:space="0" w:color="auto"/>
      </w:divBdr>
    </w:div>
    <w:div w:id="413089799">
      <w:bodyDiv w:val="1"/>
      <w:marLeft w:val="0"/>
      <w:marRight w:val="0"/>
      <w:marTop w:val="0"/>
      <w:marBottom w:val="0"/>
      <w:divBdr>
        <w:top w:val="none" w:sz="0" w:space="0" w:color="auto"/>
        <w:left w:val="none" w:sz="0" w:space="0" w:color="auto"/>
        <w:bottom w:val="none" w:sz="0" w:space="0" w:color="auto"/>
        <w:right w:val="none" w:sz="0" w:space="0" w:color="auto"/>
      </w:divBdr>
    </w:div>
    <w:div w:id="421805698">
      <w:bodyDiv w:val="1"/>
      <w:marLeft w:val="0"/>
      <w:marRight w:val="0"/>
      <w:marTop w:val="0"/>
      <w:marBottom w:val="0"/>
      <w:divBdr>
        <w:top w:val="none" w:sz="0" w:space="0" w:color="auto"/>
        <w:left w:val="none" w:sz="0" w:space="0" w:color="auto"/>
        <w:bottom w:val="none" w:sz="0" w:space="0" w:color="auto"/>
        <w:right w:val="none" w:sz="0" w:space="0" w:color="auto"/>
      </w:divBdr>
    </w:div>
    <w:div w:id="436104047">
      <w:bodyDiv w:val="1"/>
      <w:marLeft w:val="0"/>
      <w:marRight w:val="0"/>
      <w:marTop w:val="0"/>
      <w:marBottom w:val="0"/>
      <w:divBdr>
        <w:top w:val="none" w:sz="0" w:space="0" w:color="auto"/>
        <w:left w:val="none" w:sz="0" w:space="0" w:color="auto"/>
        <w:bottom w:val="none" w:sz="0" w:space="0" w:color="auto"/>
        <w:right w:val="none" w:sz="0" w:space="0" w:color="auto"/>
      </w:divBdr>
    </w:div>
    <w:div w:id="442112948">
      <w:bodyDiv w:val="1"/>
      <w:marLeft w:val="0"/>
      <w:marRight w:val="0"/>
      <w:marTop w:val="0"/>
      <w:marBottom w:val="0"/>
      <w:divBdr>
        <w:top w:val="none" w:sz="0" w:space="0" w:color="auto"/>
        <w:left w:val="none" w:sz="0" w:space="0" w:color="auto"/>
        <w:bottom w:val="none" w:sz="0" w:space="0" w:color="auto"/>
        <w:right w:val="none" w:sz="0" w:space="0" w:color="auto"/>
      </w:divBdr>
    </w:div>
    <w:div w:id="445201335">
      <w:bodyDiv w:val="1"/>
      <w:marLeft w:val="0"/>
      <w:marRight w:val="0"/>
      <w:marTop w:val="0"/>
      <w:marBottom w:val="0"/>
      <w:divBdr>
        <w:top w:val="none" w:sz="0" w:space="0" w:color="auto"/>
        <w:left w:val="none" w:sz="0" w:space="0" w:color="auto"/>
        <w:bottom w:val="none" w:sz="0" w:space="0" w:color="auto"/>
        <w:right w:val="none" w:sz="0" w:space="0" w:color="auto"/>
      </w:divBdr>
      <w:divsChild>
        <w:div w:id="1361129379">
          <w:marLeft w:val="0"/>
          <w:marRight w:val="0"/>
          <w:marTop w:val="0"/>
          <w:marBottom w:val="0"/>
          <w:divBdr>
            <w:top w:val="none" w:sz="0" w:space="0" w:color="auto"/>
            <w:left w:val="none" w:sz="0" w:space="0" w:color="auto"/>
            <w:bottom w:val="none" w:sz="0" w:space="0" w:color="auto"/>
            <w:right w:val="none" w:sz="0" w:space="0" w:color="auto"/>
          </w:divBdr>
          <w:divsChild>
            <w:div w:id="1500533758">
              <w:marLeft w:val="0"/>
              <w:marRight w:val="0"/>
              <w:marTop w:val="0"/>
              <w:marBottom w:val="0"/>
              <w:divBdr>
                <w:top w:val="none" w:sz="0" w:space="0" w:color="auto"/>
                <w:left w:val="none" w:sz="0" w:space="0" w:color="auto"/>
                <w:bottom w:val="none" w:sz="0" w:space="0" w:color="auto"/>
                <w:right w:val="none" w:sz="0" w:space="0" w:color="auto"/>
              </w:divBdr>
              <w:divsChild>
                <w:div w:id="836072729">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51554804">
      <w:bodyDiv w:val="1"/>
      <w:marLeft w:val="0"/>
      <w:marRight w:val="0"/>
      <w:marTop w:val="0"/>
      <w:marBottom w:val="0"/>
      <w:divBdr>
        <w:top w:val="none" w:sz="0" w:space="0" w:color="auto"/>
        <w:left w:val="none" w:sz="0" w:space="0" w:color="auto"/>
        <w:bottom w:val="none" w:sz="0" w:space="0" w:color="auto"/>
        <w:right w:val="none" w:sz="0" w:space="0" w:color="auto"/>
      </w:divBdr>
    </w:div>
    <w:div w:id="457139345">
      <w:bodyDiv w:val="1"/>
      <w:marLeft w:val="0"/>
      <w:marRight w:val="0"/>
      <w:marTop w:val="0"/>
      <w:marBottom w:val="0"/>
      <w:divBdr>
        <w:top w:val="none" w:sz="0" w:space="0" w:color="auto"/>
        <w:left w:val="none" w:sz="0" w:space="0" w:color="auto"/>
        <w:bottom w:val="none" w:sz="0" w:space="0" w:color="auto"/>
        <w:right w:val="none" w:sz="0" w:space="0" w:color="auto"/>
      </w:divBdr>
    </w:div>
    <w:div w:id="462429059">
      <w:bodyDiv w:val="1"/>
      <w:marLeft w:val="0"/>
      <w:marRight w:val="0"/>
      <w:marTop w:val="0"/>
      <w:marBottom w:val="0"/>
      <w:divBdr>
        <w:top w:val="none" w:sz="0" w:space="0" w:color="auto"/>
        <w:left w:val="none" w:sz="0" w:space="0" w:color="auto"/>
        <w:bottom w:val="none" w:sz="0" w:space="0" w:color="auto"/>
        <w:right w:val="none" w:sz="0" w:space="0" w:color="auto"/>
      </w:divBdr>
    </w:div>
    <w:div w:id="465516515">
      <w:bodyDiv w:val="1"/>
      <w:marLeft w:val="0"/>
      <w:marRight w:val="0"/>
      <w:marTop w:val="0"/>
      <w:marBottom w:val="0"/>
      <w:divBdr>
        <w:top w:val="none" w:sz="0" w:space="0" w:color="auto"/>
        <w:left w:val="none" w:sz="0" w:space="0" w:color="auto"/>
        <w:bottom w:val="none" w:sz="0" w:space="0" w:color="auto"/>
        <w:right w:val="none" w:sz="0" w:space="0" w:color="auto"/>
      </w:divBdr>
    </w:div>
    <w:div w:id="479342974">
      <w:bodyDiv w:val="1"/>
      <w:marLeft w:val="0"/>
      <w:marRight w:val="0"/>
      <w:marTop w:val="0"/>
      <w:marBottom w:val="0"/>
      <w:divBdr>
        <w:top w:val="none" w:sz="0" w:space="0" w:color="auto"/>
        <w:left w:val="none" w:sz="0" w:space="0" w:color="auto"/>
        <w:bottom w:val="none" w:sz="0" w:space="0" w:color="auto"/>
        <w:right w:val="none" w:sz="0" w:space="0" w:color="auto"/>
      </w:divBdr>
    </w:div>
    <w:div w:id="492455612">
      <w:bodyDiv w:val="1"/>
      <w:marLeft w:val="0"/>
      <w:marRight w:val="0"/>
      <w:marTop w:val="0"/>
      <w:marBottom w:val="0"/>
      <w:divBdr>
        <w:top w:val="none" w:sz="0" w:space="0" w:color="auto"/>
        <w:left w:val="none" w:sz="0" w:space="0" w:color="auto"/>
        <w:bottom w:val="none" w:sz="0" w:space="0" w:color="auto"/>
        <w:right w:val="none" w:sz="0" w:space="0" w:color="auto"/>
      </w:divBdr>
    </w:div>
    <w:div w:id="516382201">
      <w:bodyDiv w:val="1"/>
      <w:marLeft w:val="0"/>
      <w:marRight w:val="0"/>
      <w:marTop w:val="0"/>
      <w:marBottom w:val="0"/>
      <w:divBdr>
        <w:top w:val="none" w:sz="0" w:space="0" w:color="auto"/>
        <w:left w:val="none" w:sz="0" w:space="0" w:color="auto"/>
        <w:bottom w:val="none" w:sz="0" w:space="0" w:color="auto"/>
        <w:right w:val="none" w:sz="0" w:space="0" w:color="auto"/>
      </w:divBdr>
    </w:div>
    <w:div w:id="523516380">
      <w:bodyDiv w:val="1"/>
      <w:marLeft w:val="0"/>
      <w:marRight w:val="0"/>
      <w:marTop w:val="0"/>
      <w:marBottom w:val="0"/>
      <w:divBdr>
        <w:top w:val="none" w:sz="0" w:space="0" w:color="auto"/>
        <w:left w:val="none" w:sz="0" w:space="0" w:color="auto"/>
        <w:bottom w:val="none" w:sz="0" w:space="0" w:color="auto"/>
        <w:right w:val="none" w:sz="0" w:space="0" w:color="auto"/>
      </w:divBdr>
    </w:div>
    <w:div w:id="523829262">
      <w:bodyDiv w:val="1"/>
      <w:marLeft w:val="0"/>
      <w:marRight w:val="0"/>
      <w:marTop w:val="0"/>
      <w:marBottom w:val="0"/>
      <w:divBdr>
        <w:top w:val="none" w:sz="0" w:space="0" w:color="auto"/>
        <w:left w:val="none" w:sz="0" w:space="0" w:color="auto"/>
        <w:bottom w:val="none" w:sz="0" w:space="0" w:color="auto"/>
        <w:right w:val="none" w:sz="0" w:space="0" w:color="auto"/>
      </w:divBdr>
      <w:divsChild>
        <w:div w:id="616446193">
          <w:marLeft w:val="0"/>
          <w:marRight w:val="0"/>
          <w:marTop w:val="0"/>
          <w:marBottom w:val="0"/>
          <w:divBdr>
            <w:top w:val="none" w:sz="0" w:space="0" w:color="auto"/>
            <w:left w:val="none" w:sz="0" w:space="0" w:color="auto"/>
            <w:bottom w:val="none" w:sz="0" w:space="0" w:color="auto"/>
            <w:right w:val="none" w:sz="0" w:space="0" w:color="auto"/>
          </w:divBdr>
          <w:divsChild>
            <w:div w:id="1144159952">
              <w:marLeft w:val="0"/>
              <w:marRight w:val="0"/>
              <w:marTop w:val="0"/>
              <w:marBottom w:val="0"/>
              <w:divBdr>
                <w:top w:val="none" w:sz="0" w:space="0" w:color="auto"/>
                <w:left w:val="none" w:sz="0" w:space="0" w:color="auto"/>
                <w:bottom w:val="none" w:sz="0" w:space="0" w:color="auto"/>
                <w:right w:val="none" w:sz="0" w:space="0" w:color="auto"/>
              </w:divBdr>
              <w:divsChild>
                <w:div w:id="2090346344">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7573777">
      <w:bodyDiv w:val="1"/>
      <w:marLeft w:val="0"/>
      <w:marRight w:val="0"/>
      <w:marTop w:val="0"/>
      <w:marBottom w:val="0"/>
      <w:divBdr>
        <w:top w:val="none" w:sz="0" w:space="0" w:color="auto"/>
        <w:left w:val="none" w:sz="0" w:space="0" w:color="auto"/>
        <w:bottom w:val="none" w:sz="0" w:space="0" w:color="auto"/>
        <w:right w:val="none" w:sz="0" w:space="0" w:color="auto"/>
      </w:divBdr>
    </w:div>
    <w:div w:id="547762404">
      <w:bodyDiv w:val="1"/>
      <w:marLeft w:val="0"/>
      <w:marRight w:val="0"/>
      <w:marTop w:val="0"/>
      <w:marBottom w:val="0"/>
      <w:divBdr>
        <w:top w:val="none" w:sz="0" w:space="0" w:color="auto"/>
        <w:left w:val="none" w:sz="0" w:space="0" w:color="auto"/>
        <w:bottom w:val="none" w:sz="0" w:space="0" w:color="auto"/>
        <w:right w:val="none" w:sz="0" w:space="0" w:color="auto"/>
      </w:divBdr>
    </w:div>
    <w:div w:id="565457907">
      <w:bodyDiv w:val="1"/>
      <w:marLeft w:val="0"/>
      <w:marRight w:val="0"/>
      <w:marTop w:val="0"/>
      <w:marBottom w:val="0"/>
      <w:divBdr>
        <w:top w:val="none" w:sz="0" w:space="0" w:color="auto"/>
        <w:left w:val="none" w:sz="0" w:space="0" w:color="auto"/>
        <w:bottom w:val="none" w:sz="0" w:space="0" w:color="auto"/>
        <w:right w:val="none" w:sz="0" w:space="0" w:color="auto"/>
      </w:divBdr>
    </w:div>
    <w:div w:id="603341306">
      <w:bodyDiv w:val="1"/>
      <w:marLeft w:val="0"/>
      <w:marRight w:val="0"/>
      <w:marTop w:val="0"/>
      <w:marBottom w:val="0"/>
      <w:divBdr>
        <w:top w:val="none" w:sz="0" w:space="0" w:color="auto"/>
        <w:left w:val="none" w:sz="0" w:space="0" w:color="auto"/>
        <w:bottom w:val="none" w:sz="0" w:space="0" w:color="auto"/>
        <w:right w:val="none" w:sz="0" w:space="0" w:color="auto"/>
      </w:divBdr>
    </w:div>
    <w:div w:id="604073858">
      <w:bodyDiv w:val="1"/>
      <w:marLeft w:val="0"/>
      <w:marRight w:val="0"/>
      <w:marTop w:val="0"/>
      <w:marBottom w:val="0"/>
      <w:divBdr>
        <w:top w:val="none" w:sz="0" w:space="0" w:color="auto"/>
        <w:left w:val="none" w:sz="0" w:space="0" w:color="auto"/>
        <w:bottom w:val="none" w:sz="0" w:space="0" w:color="auto"/>
        <w:right w:val="none" w:sz="0" w:space="0" w:color="auto"/>
      </w:divBdr>
    </w:div>
    <w:div w:id="611785864">
      <w:bodyDiv w:val="1"/>
      <w:marLeft w:val="0"/>
      <w:marRight w:val="0"/>
      <w:marTop w:val="0"/>
      <w:marBottom w:val="0"/>
      <w:divBdr>
        <w:top w:val="none" w:sz="0" w:space="0" w:color="auto"/>
        <w:left w:val="none" w:sz="0" w:space="0" w:color="auto"/>
        <w:bottom w:val="none" w:sz="0" w:space="0" w:color="auto"/>
        <w:right w:val="none" w:sz="0" w:space="0" w:color="auto"/>
      </w:divBdr>
    </w:div>
    <w:div w:id="613947537">
      <w:bodyDiv w:val="1"/>
      <w:marLeft w:val="0"/>
      <w:marRight w:val="0"/>
      <w:marTop w:val="0"/>
      <w:marBottom w:val="0"/>
      <w:divBdr>
        <w:top w:val="none" w:sz="0" w:space="0" w:color="auto"/>
        <w:left w:val="none" w:sz="0" w:space="0" w:color="auto"/>
        <w:bottom w:val="none" w:sz="0" w:space="0" w:color="auto"/>
        <w:right w:val="none" w:sz="0" w:space="0" w:color="auto"/>
      </w:divBdr>
    </w:div>
    <w:div w:id="642734245">
      <w:bodyDiv w:val="1"/>
      <w:marLeft w:val="0"/>
      <w:marRight w:val="0"/>
      <w:marTop w:val="0"/>
      <w:marBottom w:val="0"/>
      <w:divBdr>
        <w:top w:val="none" w:sz="0" w:space="0" w:color="auto"/>
        <w:left w:val="none" w:sz="0" w:space="0" w:color="auto"/>
        <w:bottom w:val="none" w:sz="0" w:space="0" w:color="auto"/>
        <w:right w:val="none" w:sz="0" w:space="0" w:color="auto"/>
      </w:divBdr>
      <w:divsChild>
        <w:div w:id="1686713689">
          <w:marLeft w:val="0"/>
          <w:marRight w:val="0"/>
          <w:marTop w:val="0"/>
          <w:marBottom w:val="0"/>
          <w:divBdr>
            <w:top w:val="none" w:sz="0" w:space="0" w:color="auto"/>
            <w:left w:val="none" w:sz="0" w:space="0" w:color="auto"/>
            <w:bottom w:val="none" w:sz="0" w:space="0" w:color="auto"/>
            <w:right w:val="none" w:sz="0" w:space="0" w:color="auto"/>
          </w:divBdr>
          <w:divsChild>
            <w:div w:id="532962483">
              <w:marLeft w:val="0"/>
              <w:marRight w:val="0"/>
              <w:marTop w:val="0"/>
              <w:marBottom w:val="0"/>
              <w:divBdr>
                <w:top w:val="none" w:sz="0" w:space="0" w:color="auto"/>
                <w:left w:val="none" w:sz="0" w:space="0" w:color="auto"/>
                <w:bottom w:val="none" w:sz="0" w:space="0" w:color="auto"/>
                <w:right w:val="none" w:sz="0" w:space="0" w:color="auto"/>
              </w:divBdr>
              <w:divsChild>
                <w:div w:id="1482766080">
                  <w:marLeft w:val="0"/>
                  <w:marRight w:val="0"/>
                  <w:marTop w:val="0"/>
                  <w:marBottom w:val="0"/>
                  <w:divBdr>
                    <w:top w:val="none" w:sz="0" w:space="0" w:color="auto"/>
                    <w:left w:val="none" w:sz="0" w:space="0" w:color="auto"/>
                    <w:bottom w:val="none" w:sz="0" w:space="0" w:color="auto"/>
                    <w:right w:val="none" w:sz="0" w:space="0" w:color="auto"/>
                  </w:divBdr>
                  <w:divsChild>
                    <w:div w:id="120611772">
                      <w:marLeft w:val="0"/>
                      <w:marRight w:val="0"/>
                      <w:marTop w:val="0"/>
                      <w:marBottom w:val="0"/>
                      <w:divBdr>
                        <w:top w:val="none" w:sz="0" w:space="0" w:color="auto"/>
                        <w:left w:val="none" w:sz="0" w:space="0" w:color="auto"/>
                        <w:bottom w:val="none" w:sz="0" w:space="0" w:color="auto"/>
                        <w:right w:val="none" w:sz="0" w:space="0" w:color="auto"/>
                      </w:divBdr>
                      <w:divsChild>
                        <w:div w:id="882056881">
                          <w:marLeft w:val="0"/>
                          <w:marRight w:val="0"/>
                          <w:marTop w:val="0"/>
                          <w:marBottom w:val="0"/>
                          <w:divBdr>
                            <w:top w:val="none" w:sz="0" w:space="0" w:color="auto"/>
                            <w:left w:val="none" w:sz="0" w:space="0" w:color="auto"/>
                            <w:bottom w:val="none" w:sz="0" w:space="0" w:color="auto"/>
                            <w:right w:val="none" w:sz="0" w:space="0" w:color="auto"/>
                          </w:divBdr>
                          <w:divsChild>
                            <w:div w:id="5402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947643">
      <w:bodyDiv w:val="1"/>
      <w:marLeft w:val="0"/>
      <w:marRight w:val="0"/>
      <w:marTop w:val="0"/>
      <w:marBottom w:val="0"/>
      <w:divBdr>
        <w:top w:val="none" w:sz="0" w:space="0" w:color="auto"/>
        <w:left w:val="none" w:sz="0" w:space="0" w:color="auto"/>
        <w:bottom w:val="none" w:sz="0" w:space="0" w:color="auto"/>
        <w:right w:val="none" w:sz="0" w:space="0" w:color="auto"/>
      </w:divBdr>
    </w:div>
    <w:div w:id="656231956">
      <w:bodyDiv w:val="1"/>
      <w:marLeft w:val="0"/>
      <w:marRight w:val="0"/>
      <w:marTop w:val="0"/>
      <w:marBottom w:val="0"/>
      <w:divBdr>
        <w:top w:val="none" w:sz="0" w:space="0" w:color="auto"/>
        <w:left w:val="none" w:sz="0" w:space="0" w:color="auto"/>
        <w:bottom w:val="none" w:sz="0" w:space="0" w:color="auto"/>
        <w:right w:val="none" w:sz="0" w:space="0" w:color="auto"/>
      </w:divBdr>
    </w:div>
    <w:div w:id="659193816">
      <w:bodyDiv w:val="1"/>
      <w:marLeft w:val="0"/>
      <w:marRight w:val="0"/>
      <w:marTop w:val="0"/>
      <w:marBottom w:val="0"/>
      <w:divBdr>
        <w:top w:val="none" w:sz="0" w:space="0" w:color="auto"/>
        <w:left w:val="none" w:sz="0" w:space="0" w:color="auto"/>
        <w:bottom w:val="none" w:sz="0" w:space="0" w:color="auto"/>
        <w:right w:val="none" w:sz="0" w:space="0" w:color="auto"/>
      </w:divBdr>
    </w:div>
    <w:div w:id="664630545">
      <w:bodyDiv w:val="1"/>
      <w:marLeft w:val="0"/>
      <w:marRight w:val="0"/>
      <w:marTop w:val="0"/>
      <w:marBottom w:val="0"/>
      <w:divBdr>
        <w:top w:val="none" w:sz="0" w:space="0" w:color="auto"/>
        <w:left w:val="none" w:sz="0" w:space="0" w:color="auto"/>
        <w:bottom w:val="none" w:sz="0" w:space="0" w:color="auto"/>
        <w:right w:val="none" w:sz="0" w:space="0" w:color="auto"/>
      </w:divBdr>
    </w:div>
    <w:div w:id="669677676">
      <w:bodyDiv w:val="1"/>
      <w:marLeft w:val="0"/>
      <w:marRight w:val="0"/>
      <w:marTop w:val="0"/>
      <w:marBottom w:val="0"/>
      <w:divBdr>
        <w:top w:val="none" w:sz="0" w:space="0" w:color="auto"/>
        <w:left w:val="none" w:sz="0" w:space="0" w:color="auto"/>
        <w:bottom w:val="none" w:sz="0" w:space="0" w:color="auto"/>
        <w:right w:val="none" w:sz="0" w:space="0" w:color="auto"/>
      </w:divBdr>
    </w:div>
    <w:div w:id="670528946">
      <w:bodyDiv w:val="1"/>
      <w:marLeft w:val="0"/>
      <w:marRight w:val="0"/>
      <w:marTop w:val="0"/>
      <w:marBottom w:val="0"/>
      <w:divBdr>
        <w:top w:val="none" w:sz="0" w:space="0" w:color="auto"/>
        <w:left w:val="none" w:sz="0" w:space="0" w:color="auto"/>
        <w:bottom w:val="none" w:sz="0" w:space="0" w:color="auto"/>
        <w:right w:val="none" w:sz="0" w:space="0" w:color="auto"/>
      </w:divBdr>
    </w:div>
    <w:div w:id="670836281">
      <w:bodyDiv w:val="1"/>
      <w:marLeft w:val="0"/>
      <w:marRight w:val="0"/>
      <w:marTop w:val="0"/>
      <w:marBottom w:val="0"/>
      <w:divBdr>
        <w:top w:val="none" w:sz="0" w:space="0" w:color="auto"/>
        <w:left w:val="none" w:sz="0" w:space="0" w:color="auto"/>
        <w:bottom w:val="none" w:sz="0" w:space="0" w:color="auto"/>
        <w:right w:val="none" w:sz="0" w:space="0" w:color="auto"/>
      </w:divBdr>
    </w:div>
    <w:div w:id="701518387">
      <w:bodyDiv w:val="1"/>
      <w:marLeft w:val="0"/>
      <w:marRight w:val="0"/>
      <w:marTop w:val="0"/>
      <w:marBottom w:val="0"/>
      <w:divBdr>
        <w:top w:val="none" w:sz="0" w:space="0" w:color="auto"/>
        <w:left w:val="none" w:sz="0" w:space="0" w:color="auto"/>
        <w:bottom w:val="none" w:sz="0" w:space="0" w:color="auto"/>
        <w:right w:val="none" w:sz="0" w:space="0" w:color="auto"/>
      </w:divBdr>
    </w:div>
    <w:div w:id="754595657">
      <w:bodyDiv w:val="1"/>
      <w:marLeft w:val="0"/>
      <w:marRight w:val="0"/>
      <w:marTop w:val="0"/>
      <w:marBottom w:val="0"/>
      <w:divBdr>
        <w:top w:val="none" w:sz="0" w:space="0" w:color="auto"/>
        <w:left w:val="none" w:sz="0" w:space="0" w:color="auto"/>
        <w:bottom w:val="none" w:sz="0" w:space="0" w:color="auto"/>
        <w:right w:val="none" w:sz="0" w:space="0" w:color="auto"/>
      </w:divBdr>
    </w:div>
    <w:div w:id="779568424">
      <w:bodyDiv w:val="1"/>
      <w:marLeft w:val="0"/>
      <w:marRight w:val="0"/>
      <w:marTop w:val="0"/>
      <w:marBottom w:val="0"/>
      <w:divBdr>
        <w:top w:val="none" w:sz="0" w:space="0" w:color="auto"/>
        <w:left w:val="none" w:sz="0" w:space="0" w:color="auto"/>
        <w:bottom w:val="none" w:sz="0" w:space="0" w:color="auto"/>
        <w:right w:val="none" w:sz="0" w:space="0" w:color="auto"/>
      </w:divBdr>
    </w:div>
    <w:div w:id="783037421">
      <w:bodyDiv w:val="1"/>
      <w:marLeft w:val="0"/>
      <w:marRight w:val="0"/>
      <w:marTop w:val="0"/>
      <w:marBottom w:val="0"/>
      <w:divBdr>
        <w:top w:val="none" w:sz="0" w:space="0" w:color="auto"/>
        <w:left w:val="none" w:sz="0" w:space="0" w:color="auto"/>
        <w:bottom w:val="none" w:sz="0" w:space="0" w:color="auto"/>
        <w:right w:val="none" w:sz="0" w:space="0" w:color="auto"/>
      </w:divBdr>
    </w:div>
    <w:div w:id="793644503">
      <w:bodyDiv w:val="1"/>
      <w:marLeft w:val="0"/>
      <w:marRight w:val="0"/>
      <w:marTop w:val="0"/>
      <w:marBottom w:val="0"/>
      <w:divBdr>
        <w:top w:val="none" w:sz="0" w:space="0" w:color="auto"/>
        <w:left w:val="none" w:sz="0" w:space="0" w:color="auto"/>
        <w:bottom w:val="none" w:sz="0" w:space="0" w:color="auto"/>
        <w:right w:val="none" w:sz="0" w:space="0" w:color="auto"/>
      </w:divBdr>
    </w:div>
    <w:div w:id="802043026">
      <w:bodyDiv w:val="1"/>
      <w:marLeft w:val="0"/>
      <w:marRight w:val="0"/>
      <w:marTop w:val="0"/>
      <w:marBottom w:val="0"/>
      <w:divBdr>
        <w:top w:val="none" w:sz="0" w:space="0" w:color="auto"/>
        <w:left w:val="none" w:sz="0" w:space="0" w:color="auto"/>
        <w:bottom w:val="none" w:sz="0" w:space="0" w:color="auto"/>
        <w:right w:val="none" w:sz="0" w:space="0" w:color="auto"/>
      </w:divBdr>
      <w:divsChild>
        <w:div w:id="1039430622">
          <w:marLeft w:val="0"/>
          <w:marRight w:val="0"/>
          <w:marTop w:val="0"/>
          <w:marBottom w:val="0"/>
          <w:divBdr>
            <w:top w:val="none" w:sz="0" w:space="0" w:color="auto"/>
            <w:left w:val="none" w:sz="0" w:space="0" w:color="auto"/>
            <w:bottom w:val="none" w:sz="0" w:space="0" w:color="auto"/>
            <w:right w:val="none" w:sz="0" w:space="0" w:color="auto"/>
          </w:divBdr>
          <w:divsChild>
            <w:div w:id="572738150">
              <w:marLeft w:val="0"/>
              <w:marRight w:val="0"/>
              <w:marTop w:val="0"/>
              <w:marBottom w:val="0"/>
              <w:divBdr>
                <w:top w:val="none" w:sz="0" w:space="0" w:color="auto"/>
                <w:left w:val="none" w:sz="0" w:space="0" w:color="auto"/>
                <w:bottom w:val="none" w:sz="0" w:space="0" w:color="auto"/>
                <w:right w:val="none" w:sz="0" w:space="0" w:color="auto"/>
              </w:divBdr>
              <w:divsChild>
                <w:div w:id="112940582">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05314742">
      <w:bodyDiv w:val="1"/>
      <w:marLeft w:val="0"/>
      <w:marRight w:val="0"/>
      <w:marTop w:val="0"/>
      <w:marBottom w:val="0"/>
      <w:divBdr>
        <w:top w:val="none" w:sz="0" w:space="0" w:color="auto"/>
        <w:left w:val="none" w:sz="0" w:space="0" w:color="auto"/>
        <w:bottom w:val="none" w:sz="0" w:space="0" w:color="auto"/>
        <w:right w:val="none" w:sz="0" w:space="0" w:color="auto"/>
      </w:divBdr>
    </w:div>
    <w:div w:id="818040742">
      <w:bodyDiv w:val="1"/>
      <w:marLeft w:val="0"/>
      <w:marRight w:val="0"/>
      <w:marTop w:val="0"/>
      <w:marBottom w:val="0"/>
      <w:divBdr>
        <w:top w:val="none" w:sz="0" w:space="0" w:color="auto"/>
        <w:left w:val="none" w:sz="0" w:space="0" w:color="auto"/>
        <w:bottom w:val="none" w:sz="0" w:space="0" w:color="auto"/>
        <w:right w:val="none" w:sz="0" w:space="0" w:color="auto"/>
      </w:divBdr>
    </w:div>
    <w:div w:id="824206146">
      <w:bodyDiv w:val="1"/>
      <w:marLeft w:val="0"/>
      <w:marRight w:val="0"/>
      <w:marTop w:val="0"/>
      <w:marBottom w:val="0"/>
      <w:divBdr>
        <w:top w:val="none" w:sz="0" w:space="0" w:color="auto"/>
        <w:left w:val="none" w:sz="0" w:space="0" w:color="auto"/>
        <w:bottom w:val="none" w:sz="0" w:space="0" w:color="auto"/>
        <w:right w:val="none" w:sz="0" w:space="0" w:color="auto"/>
      </w:divBdr>
    </w:div>
    <w:div w:id="829442798">
      <w:bodyDiv w:val="1"/>
      <w:marLeft w:val="0"/>
      <w:marRight w:val="0"/>
      <w:marTop w:val="0"/>
      <w:marBottom w:val="0"/>
      <w:divBdr>
        <w:top w:val="none" w:sz="0" w:space="0" w:color="auto"/>
        <w:left w:val="none" w:sz="0" w:space="0" w:color="auto"/>
        <w:bottom w:val="none" w:sz="0" w:space="0" w:color="auto"/>
        <w:right w:val="none" w:sz="0" w:space="0" w:color="auto"/>
      </w:divBdr>
    </w:div>
    <w:div w:id="840513748">
      <w:bodyDiv w:val="1"/>
      <w:marLeft w:val="0"/>
      <w:marRight w:val="0"/>
      <w:marTop w:val="0"/>
      <w:marBottom w:val="0"/>
      <w:divBdr>
        <w:top w:val="none" w:sz="0" w:space="0" w:color="auto"/>
        <w:left w:val="none" w:sz="0" w:space="0" w:color="auto"/>
        <w:bottom w:val="none" w:sz="0" w:space="0" w:color="auto"/>
        <w:right w:val="none" w:sz="0" w:space="0" w:color="auto"/>
      </w:divBdr>
    </w:div>
    <w:div w:id="854534031">
      <w:bodyDiv w:val="1"/>
      <w:marLeft w:val="0"/>
      <w:marRight w:val="0"/>
      <w:marTop w:val="0"/>
      <w:marBottom w:val="0"/>
      <w:divBdr>
        <w:top w:val="none" w:sz="0" w:space="0" w:color="auto"/>
        <w:left w:val="none" w:sz="0" w:space="0" w:color="auto"/>
        <w:bottom w:val="none" w:sz="0" w:space="0" w:color="auto"/>
        <w:right w:val="none" w:sz="0" w:space="0" w:color="auto"/>
      </w:divBdr>
    </w:div>
    <w:div w:id="857701560">
      <w:bodyDiv w:val="1"/>
      <w:marLeft w:val="0"/>
      <w:marRight w:val="0"/>
      <w:marTop w:val="0"/>
      <w:marBottom w:val="0"/>
      <w:divBdr>
        <w:top w:val="none" w:sz="0" w:space="0" w:color="auto"/>
        <w:left w:val="none" w:sz="0" w:space="0" w:color="auto"/>
        <w:bottom w:val="none" w:sz="0" w:space="0" w:color="auto"/>
        <w:right w:val="none" w:sz="0" w:space="0" w:color="auto"/>
      </w:divBdr>
    </w:div>
    <w:div w:id="858392789">
      <w:bodyDiv w:val="1"/>
      <w:marLeft w:val="0"/>
      <w:marRight w:val="0"/>
      <w:marTop w:val="0"/>
      <w:marBottom w:val="0"/>
      <w:divBdr>
        <w:top w:val="none" w:sz="0" w:space="0" w:color="auto"/>
        <w:left w:val="none" w:sz="0" w:space="0" w:color="auto"/>
        <w:bottom w:val="none" w:sz="0" w:space="0" w:color="auto"/>
        <w:right w:val="none" w:sz="0" w:space="0" w:color="auto"/>
      </w:divBdr>
    </w:div>
    <w:div w:id="861748162">
      <w:bodyDiv w:val="1"/>
      <w:marLeft w:val="0"/>
      <w:marRight w:val="0"/>
      <w:marTop w:val="0"/>
      <w:marBottom w:val="0"/>
      <w:divBdr>
        <w:top w:val="none" w:sz="0" w:space="0" w:color="auto"/>
        <w:left w:val="none" w:sz="0" w:space="0" w:color="auto"/>
        <w:bottom w:val="none" w:sz="0" w:space="0" w:color="auto"/>
        <w:right w:val="none" w:sz="0" w:space="0" w:color="auto"/>
      </w:divBdr>
    </w:div>
    <w:div w:id="866916589">
      <w:bodyDiv w:val="1"/>
      <w:marLeft w:val="0"/>
      <w:marRight w:val="0"/>
      <w:marTop w:val="0"/>
      <w:marBottom w:val="0"/>
      <w:divBdr>
        <w:top w:val="none" w:sz="0" w:space="0" w:color="auto"/>
        <w:left w:val="none" w:sz="0" w:space="0" w:color="auto"/>
        <w:bottom w:val="none" w:sz="0" w:space="0" w:color="auto"/>
        <w:right w:val="none" w:sz="0" w:space="0" w:color="auto"/>
      </w:divBdr>
    </w:div>
    <w:div w:id="896282674">
      <w:bodyDiv w:val="1"/>
      <w:marLeft w:val="0"/>
      <w:marRight w:val="0"/>
      <w:marTop w:val="0"/>
      <w:marBottom w:val="0"/>
      <w:divBdr>
        <w:top w:val="none" w:sz="0" w:space="0" w:color="auto"/>
        <w:left w:val="none" w:sz="0" w:space="0" w:color="auto"/>
        <w:bottom w:val="none" w:sz="0" w:space="0" w:color="auto"/>
        <w:right w:val="none" w:sz="0" w:space="0" w:color="auto"/>
      </w:divBdr>
    </w:div>
    <w:div w:id="934677441">
      <w:bodyDiv w:val="1"/>
      <w:marLeft w:val="0"/>
      <w:marRight w:val="0"/>
      <w:marTop w:val="0"/>
      <w:marBottom w:val="0"/>
      <w:divBdr>
        <w:top w:val="none" w:sz="0" w:space="0" w:color="auto"/>
        <w:left w:val="none" w:sz="0" w:space="0" w:color="auto"/>
        <w:bottom w:val="none" w:sz="0" w:space="0" w:color="auto"/>
        <w:right w:val="none" w:sz="0" w:space="0" w:color="auto"/>
      </w:divBdr>
    </w:div>
    <w:div w:id="953832508">
      <w:bodyDiv w:val="1"/>
      <w:marLeft w:val="0"/>
      <w:marRight w:val="0"/>
      <w:marTop w:val="0"/>
      <w:marBottom w:val="0"/>
      <w:divBdr>
        <w:top w:val="none" w:sz="0" w:space="0" w:color="auto"/>
        <w:left w:val="none" w:sz="0" w:space="0" w:color="auto"/>
        <w:bottom w:val="none" w:sz="0" w:space="0" w:color="auto"/>
        <w:right w:val="none" w:sz="0" w:space="0" w:color="auto"/>
      </w:divBdr>
    </w:div>
    <w:div w:id="969750567">
      <w:bodyDiv w:val="1"/>
      <w:marLeft w:val="0"/>
      <w:marRight w:val="0"/>
      <w:marTop w:val="0"/>
      <w:marBottom w:val="0"/>
      <w:divBdr>
        <w:top w:val="none" w:sz="0" w:space="0" w:color="auto"/>
        <w:left w:val="none" w:sz="0" w:space="0" w:color="auto"/>
        <w:bottom w:val="none" w:sz="0" w:space="0" w:color="auto"/>
        <w:right w:val="none" w:sz="0" w:space="0" w:color="auto"/>
      </w:divBdr>
    </w:div>
    <w:div w:id="1008992930">
      <w:bodyDiv w:val="1"/>
      <w:marLeft w:val="0"/>
      <w:marRight w:val="0"/>
      <w:marTop w:val="0"/>
      <w:marBottom w:val="0"/>
      <w:divBdr>
        <w:top w:val="none" w:sz="0" w:space="0" w:color="auto"/>
        <w:left w:val="none" w:sz="0" w:space="0" w:color="auto"/>
        <w:bottom w:val="none" w:sz="0" w:space="0" w:color="auto"/>
        <w:right w:val="none" w:sz="0" w:space="0" w:color="auto"/>
      </w:divBdr>
    </w:div>
    <w:div w:id="1024936897">
      <w:bodyDiv w:val="1"/>
      <w:marLeft w:val="0"/>
      <w:marRight w:val="0"/>
      <w:marTop w:val="0"/>
      <w:marBottom w:val="0"/>
      <w:divBdr>
        <w:top w:val="none" w:sz="0" w:space="0" w:color="auto"/>
        <w:left w:val="none" w:sz="0" w:space="0" w:color="auto"/>
        <w:bottom w:val="none" w:sz="0" w:space="0" w:color="auto"/>
        <w:right w:val="none" w:sz="0" w:space="0" w:color="auto"/>
      </w:divBdr>
    </w:div>
    <w:div w:id="1043670810">
      <w:bodyDiv w:val="1"/>
      <w:marLeft w:val="0"/>
      <w:marRight w:val="0"/>
      <w:marTop w:val="0"/>
      <w:marBottom w:val="0"/>
      <w:divBdr>
        <w:top w:val="none" w:sz="0" w:space="0" w:color="auto"/>
        <w:left w:val="none" w:sz="0" w:space="0" w:color="auto"/>
        <w:bottom w:val="none" w:sz="0" w:space="0" w:color="auto"/>
        <w:right w:val="none" w:sz="0" w:space="0" w:color="auto"/>
      </w:divBdr>
    </w:div>
    <w:div w:id="1057581684">
      <w:bodyDiv w:val="1"/>
      <w:marLeft w:val="0"/>
      <w:marRight w:val="0"/>
      <w:marTop w:val="0"/>
      <w:marBottom w:val="0"/>
      <w:divBdr>
        <w:top w:val="none" w:sz="0" w:space="0" w:color="auto"/>
        <w:left w:val="none" w:sz="0" w:space="0" w:color="auto"/>
        <w:bottom w:val="none" w:sz="0" w:space="0" w:color="auto"/>
        <w:right w:val="none" w:sz="0" w:space="0" w:color="auto"/>
      </w:divBdr>
    </w:div>
    <w:div w:id="1097021964">
      <w:bodyDiv w:val="1"/>
      <w:marLeft w:val="0"/>
      <w:marRight w:val="0"/>
      <w:marTop w:val="0"/>
      <w:marBottom w:val="0"/>
      <w:divBdr>
        <w:top w:val="none" w:sz="0" w:space="0" w:color="auto"/>
        <w:left w:val="none" w:sz="0" w:space="0" w:color="auto"/>
        <w:bottom w:val="none" w:sz="0" w:space="0" w:color="auto"/>
        <w:right w:val="none" w:sz="0" w:space="0" w:color="auto"/>
      </w:divBdr>
    </w:div>
    <w:div w:id="1133979593">
      <w:bodyDiv w:val="1"/>
      <w:marLeft w:val="0"/>
      <w:marRight w:val="0"/>
      <w:marTop w:val="0"/>
      <w:marBottom w:val="0"/>
      <w:divBdr>
        <w:top w:val="none" w:sz="0" w:space="0" w:color="auto"/>
        <w:left w:val="none" w:sz="0" w:space="0" w:color="auto"/>
        <w:bottom w:val="none" w:sz="0" w:space="0" w:color="auto"/>
        <w:right w:val="none" w:sz="0" w:space="0" w:color="auto"/>
      </w:divBdr>
    </w:div>
    <w:div w:id="1142775673">
      <w:bodyDiv w:val="1"/>
      <w:marLeft w:val="0"/>
      <w:marRight w:val="0"/>
      <w:marTop w:val="0"/>
      <w:marBottom w:val="0"/>
      <w:divBdr>
        <w:top w:val="none" w:sz="0" w:space="0" w:color="auto"/>
        <w:left w:val="none" w:sz="0" w:space="0" w:color="auto"/>
        <w:bottom w:val="none" w:sz="0" w:space="0" w:color="auto"/>
        <w:right w:val="none" w:sz="0" w:space="0" w:color="auto"/>
      </w:divBdr>
    </w:div>
    <w:div w:id="1191914496">
      <w:bodyDiv w:val="1"/>
      <w:marLeft w:val="0"/>
      <w:marRight w:val="0"/>
      <w:marTop w:val="0"/>
      <w:marBottom w:val="0"/>
      <w:divBdr>
        <w:top w:val="none" w:sz="0" w:space="0" w:color="auto"/>
        <w:left w:val="none" w:sz="0" w:space="0" w:color="auto"/>
        <w:bottom w:val="none" w:sz="0" w:space="0" w:color="auto"/>
        <w:right w:val="none" w:sz="0" w:space="0" w:color="auto"/>
      </w:divBdr>
    </w:div>
    <w:div w:id="1206677909">
      <w:bodyDiv w:val="1"/>
      <w:marLeft w:val="0"/>
      <w:marRight w:val="0"/>
      <w:marTop w:val="0"/>
      <w:marBottom w:val="0"/>
      <w:divBdr>
        <w:top w:val="none" w:sz="0" w:space="0" w:color="auto"/>
        <w:left w:val="none" w:sz="0" w:space="0" w:color="auto"/>
        <w:bottom w:val="none" w:sz="0" w:space="0" w:color="auto"/>
        <w:right w:val="none" w:sz="0" w:space="0" w:color="auto"/>
      </w:divBdr>
    </w:div>
    <w:div w:id="1221331299">
      <w:bodyDiv w:val="1"/>
      <w:marLeft w:val="0"/>
      <w:marRight w:val="0"/>
      <w:marTop w:val="0"/>
      <w:marBottom w:val="0"/>
      <w:divBdr>
        <w:top w:val="none" w:sz="0" w:space="0" w:color="auto"/>
        <w:left w:val="none" w:sz="0" w:space="0" w:color="auto"/>
        <w:bottom w:val="none" w:sz="0" w:space="0" w:color="auto"/>
        <w:right w:val="none" w:sz="0" w:space="0" w:color="auto"/>
      </w:divBdr>
      <w:divsChild>
        <w:div w:id="1663042482">
          <w:marLeft w:val="0"/>
          <w:marRight w:val="0"/>
          <w:marTop w:val="0"/>
          <w:marBottom w:val="0"/>
          <w:divBdr>
            <w:top w:val="none" w:sz="0" w:space="0" w:color="auto"/>
            <w:left w:val="none" w:sz="0" w:space="0" w:color="auto"/>
            <w:bottom w:val="none" w:sz="0" w:space="0" w:color="auto"/>
            <w:right w:val="none" w:sz="0" w:space="0" w:color="auto"/>
          </w:divBdr>
          <w:divsChild>
            <w:div w:id="130757324">
              <w:marLeft w:val="0"/>
              <w:marRight w:val="0"/>
              <w:marTop w:val="0"/>
              <w:marBottom w:val="0"/>
              <w:divBdr>
                <w:top w:val="none" w:sz="0" w:space="0" w:color="auto"/>
                <w:left w:val="none" w:sz="0" w:space="0" w:color="auto"/>
                <w:bottom w:val="none" w:sz="0" w:space="0" w:color="auto"/>
                <w:right w:val="none" w:sz="0" w:space="0" w:color="auto"/>
              </w:divBdr>
              <w:divsChild>
                <w:div w:id="41445140">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7036815">
      <w:bodyDiv w:val="1"/>
      <w:marLeft w:val="0"/>
      <w:marRight w:val="0"/>
      <w:marTop w:val="0"/>
      <w:marBottom w:val="0"/>
      <w:divBdr>
        <w:top w:val="none" w:sz="0" w:space="0" w:color="auto"/>
        <w:left w:val="none" w:sz="0" w:space="0" w:color="auto"/>
        <w:bottom w:val="none" w:sz="0" w:space="0" w:color="auto"/>
        <w:right w:val="none" w:sz="0" w:space="0" w:color="auto"/>
      </w:divBdr>
    </w:div>
    <w:div w:id="1227257474">
      <w:bodyDiv w:val="1"/>
      <w:marLeft w:val="0"/>
      <w:marRight w:val="0"/>
      <w:marTop w:val="0"/>
      <w:marBottom w:val="0"/>
      <w:divBdr>
        <w:top w:val="none" w:sz="0" w:space="0" w:color="auto"/>
        <w:left w:val="none" w:sz="0" w:space="0" w:color="auto"/>
        <w:bottom w:val="none" w:sz="0" w:space="0" w:color="auto"/>
        <w:right w:val="none" w:sz="0" w:space="0" w:color="auto"/>
      </w:divBdr>
    </w:div>
    <w:div w:id="1230966098">
      <w:bodyDiv w:val="1"/>
      <w:marLeft w:val="0"/>
      <w:marRight w:val="0"/>
      <w:marTop w:val="0"/>
      <w:marBottom w:val="0"/>
      <w:divBdr>
        <w:top w:val="none" w:sz="0" w:space="0" w:color="auto"/>
        <w:left w:val="none" w:sz="0" w:space="0" w:color="auto"/>
        <w:bottom w:val="none" w:sz="0" w:space="0" w:color="auto"/>
        <w:right w:val="none" w:sz="0" w:space="0" w:color="auto"/>
      </w:divBdr>
    </w:div>
    <w:div w:id="1251355337">
      <w:bodyDiv w:val="1"/>
      <w:marLeft w:val="0"/>
      <w:marRight w:val="0"/>
      <w:marTop w:val="0"/>
      <w:marBottom w:val="0"/>
      <w:divBdr>
        <w:top w:val="none" w:sz="0" w:space="0" w:color="auto"/>
        <w:left w:val="none" w:sz="0" w:space="0" w:color="auto"/>
        <w:bottom w:val="none" w:sz="0" w:space="0" w:color="auto"/>
        <w:right w:val="none" w:sz="0" w:space="0" w:color="auto"/>
      </w:divBdr>
    </w:div>
    <w:div w:id="1264345168">
      <w:bodyDiv w:val="1"/>
      <w:marLeft w:val="0"/>
      <w:marRight w:val="0"/>
      <w:marTop w:val="0"/>
      <w:marBottom w:val="0"/>
      <w:divBdr>
        <w:top w:val="none" w:sz="0" w:space="0" w:color="auto"/>
        <w:left w:val="none" w:sz="0" w:space="0" w:color="auto"/>
        <w:bottom w:val="none" w:sz="0" w:space="0" w:color="auto"/>
        <w:right w:val="none" w:sz="0" w:space="0" w:color="auto"/>
      </w:divBdr>
    </w:div>
    <w:div w:id="1267424963">
      <w:bodyDiv w:val="1"/>
      <w:marLeft w:val="0"/>
      <w:marRight w:val="0"/>
      <w:marTop w:val="0"/>
      <w:marBottom w:val="0"/>
      <w:divBdr>
        <w:top w:val="none" w:sz="0" w:space="0" w:color="auto"/>
        <w:left w:val="none" w:sz="0" w:space="0" w:color="auto"/>
        <w:bottom w:val="none" w:sz="0" w:space="0" w:color="auto"/>
        <w:right w:val="none" w:sz="0" w:space="0" w:color="auto"/>
      </w:divBdr>
    </w:div>
    <w:div w:id="1306083609">
      <w:bodyDiv w:val="1"/>
      <w:marLeft w:val="0"/>
      <w:marRight w:val="0"/>
      <w:marTop w:val="0"/>
      <w:marBottom w:val="0"/>
      <w:divBdr>
        <w:top w:val="none" w:sz="0" w:space="0" w:color="auto"/>
        <w:left w:val="none" w:sz="0" w:space="0" w:color="auto"/>
        <w:bottom w:val="none" w:sz="0" w:space="0" w:color="auto"/>
        <w:right w:val="none" w:sz="0" w:space="0" w:color="auto"/>
      </w:divBdr>
    </w:div>
    <w:div w:id="1319458965">
      <w:bodyDiv w:val="1"/>
      <w:marLeft w:val="0"/>
      <w:marRight w:val="0"/>
      <w:marTop w:val="0"/>
      <w:marBottom w:val="0"/>
      <w:divBdr>
        <w:top w:val="none" w:sz="0" w:space="0" w:color="auto"/>
        <w:left w:val="none" w:sz="0" w:space="0" w:color="auto"/>
        <w:bottom w:val="none" w:sz="0" w:space="0" w:color="auto"/>
        <w:right w:val="none" w:sz="0" w:space="0" w:color="auto"/>
      </w:divBdr>
    </w:div>
    <w:div w:id="1323041696">
      <w:bodyDiv w:val="1"/>
      <w:marLeft w:val="0"/>
      <w:marRight w:val="0"/>
      <w:marTop w:val="0"/>
      <w:marBottom w:val="0"/>
      <w:divBdr>
        <w:top w:val="none" w:sz="0" w:space="0" w:color="auto"/>
        <w:left w:val="none" w:sz="0" w:space="0" w:color="auto"/>
        <w:bottom w:val="none" w:sz="0" w:space="0" w:color="auto"/>
        <w:right w:val="none" w:sz="0" w:space="0" w:color="auto"/>
      </w:divBdr>
    </w:div>
    <w:div w:id="1378699721">
      <w:bodyDiv w:val="1"/>
      <w:marLeft w:val="0"/>
      <w:marRight w:val="0"/>
      <w:marTop w:val="0"/>
      <w:marBottom w:val="0"/>
      <w:divBdr>
        <w:top w:val="none" w:sz="0" w:space="0" w:color="auto"/>
        <w:left w:val="none" w:sz="0" w:space="0" w:color="auto"/>
        <w:bottom w:val="none" w:sz="0" w:space="0" w:color="auto"/>
        <w:right w:val="none" w:sz="0" w:space="0" w:color="auto"/>
      </w:divBdr>
    </w:div>
    <w:div w:id="1401631273">
      <w:bodyDiv w:val="1"/>
      <w:marLeft w:val="0"/>
      <w:marRight w:val="0"/>
      <w:marTop w:val="0"/>
      <w:marBottom w:val="0"/>
      <w:divBdr>
        <w:top w:val="none" w:sz="0" w:space="0" w:color="auto"/>
        <w:left w:val="none" w:sz="0" w:space="0" w:color="auto"/>
        <w:bottom w:val="none" w:sz="0" w:space="0" w:color="auto"/>
        <w:right w:val="none" w:sz="0" w:space="0" w:color="auto"/>
      </w:divBdr>
    </w:div>
    <w:div w:id="1419985087">
      <w:bodyDiv w:val="1"/>
      <w:marLeft w:val="0"/>
      <w:marRight w:val="0"/>
      <w:marTop w:val="0"/>
      <w:marBottom w:val="0"/>
      <w:divBdr>
        <w:top w:val="none" w:sz="0" w:space="0" w:color="auto"/>
        <w:left w:val="none" w:sz="0" w:space="0" w:color="auto"/>
        <w:bottom w:val="none" w:sz="0" w:space="0" w:color="auto"/>
        <w:right w:val="none" w:sz="0" w:space="0" w:color="auto"/>
      </w:divBdr>
    </w:div>
    <w:div w:id="1424953421">
      <w:bodyDiv w:val="1"/>
      <w:marLeft w:val="0"/>
      <w:marRight w:val="0"/>
      <w:marTop w:val="0"/>
      <w:marBottom w:val="0"/>
      <w:divBdr>
        <w:top w:val="none" w:sz="0" w:space="0" w:color="auto"/>
        <w:left w:val="none" w:sz="0" w:space="0" w:color="auto"/>
        <w:bottom w:val="none" w:sz="0" w:space="0" w:color="auto"/>
        <w:right w:val="none" w:sz="0" w:space="0" w:color="auto"/>
      </w:divBdr>
    </w:div>
    <w:div w:id="1425419914">
      <w:bodyDiv w:val="1"/>
      <w:marLeft w:val="0"/>
      <w:marRight w:val="0"/>
      <w:marTop w:val="0"/>
      <w:marBottom w:val="0"/>
      <w:divBdr>
        <w:top w:val="none" w:sz="0" w:space="0" w:color="auto"/>
        <w:left w:val="none" w:sz="0" w:space="0" w:color="auto"/>
        <w:bottom w:val="none" w:sz="0" w:space="0" w:color="auto"/>
        <w:right w:val="none" w:sz="0" w:space="0" w:color="auto"/>
      </w:divBdr>
    </w:div>
    <w:div w:id="1445610719">
      <w:bodyDiv w:val="1"/>
      <w:marLeft w:val="0"/>
      <w:marRight w:val="0"/>
      <w:marTop w:val="0"/>
      <w:marBottom w:val="0"/>
      <w:divBdr>
        <w:top w:val="none" w:sz="0" w:space="0" w:color="auto"/>
        <w:left w:val="none" w:sz="0" w:space="0" w:color="auto"/>
        <w:bottom w:val="none" w:sz="0" w:space="0" w:color="auto"/>
        <w:right w:val="none" w:sz="0" w:space="0" w:color="auto"/>
      </w:divBdr>
    </w:div>
    <w:div w:id="1449549192">
      <w:bodyDiv w:val="1"/>
      <w:marLeft w:val="0"/>
      <w:marRight w:val="0"/>
      <w:marTop w:val="0"/>
      <w:marBottom w:val="0"/>
      <w:divBdr>
        <w:top w:val="none" w:sz="0" w:space="0" w:color="auto"/>
        <w:left w:val="none" w:sz="0" w:space="0" w:color="auto"/>
        <w:bottom w:val="none" w:sz="0" w:space="0" w:color="auto"/>
        <w:right w:val="none" w:sz="0" w:space="0" w:color="auto"/>
      </w:divBdr>
      <w:divsChild>
        <w:div w:id="1271545629">
          <w:marLeft w:val="0"/>
          <w:marRight w:val="0"/>
          <w:marTop w:val="0"/>
          <w:marBottom w:val="0"/>
          <w:divBdr>
            <w:top w:val="none" w:sz="0" w:space="0" w:color="auto"/>
            <w:left w:val="none" w:sz="0" w:space="0" w:color="auto"/>
            <w:bottom w:val="none" w:sz="0" w:space="0" w:color="auto"/>
            <w:right w:val="none" w:sz="0" w:space="0" w:color="auto"/>
          </w:divBdr>
          <w:divsChild>
            <w:div w:id="618220661">
              <w:marLeft w:val="0"/>
              <w:marRight w:val="0"/>
              <w:marTop w:val="0"/>
              <w:marBottom w:val="0"/>
              <w:divBdr>
                <w:top w:val="none" w:sz="0" w:space="0" w:color="auto"/>
                <w:left w:val="none" w:sz="0" w:space="0" w:color="auto"/>
                <w:bottom w:val="none" w:sz="0" w:space="0" w:color="auto"/>
                <w:right w:val="none" w:sz="0" w:space="0" w:color="auto"/>
              </w:divBdr>
              <w:divsChild>
                <w:div w:id="906459085">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66466231">
      <w:bodyDiv w:val="1"/>
      <w:marLeft w:val="0"/>
      <w:marRight w:val="0"/>
      <w:marTop w:val="0"/>
      <w:marBottom w:val="0"/>
      <w:divBdr>
        <w:top w:val="none" w:sz="0" w:space="0" w:color="auto"/>
        <w:left w:val="none" w:sz="0" w:space="0" w:color="auto"/>
        <w:bottom w:val="none" w:sz="0" w:space="0" w:color="auto"/>
        <w:right w:val="none" w:sz="0" w:space="0" w:color="auto"/>
      </w:divBdr>
    </w:div>
    <w:div w:id="1468543446">
      <w:bodyDiv w:val="1"/>
      <w:marLeft w:val="0"/>
      <w:marRight w:val="0"/>
      <w:marTop w:val="0"/>
      <w:marBottom w:val="0"/>
      <w:divBdr>
        <w:top w:val="none" w:sz="0" w:space="0" w:color="auto"/>
        <w:left w:val="none" w:sz="0" w:space="0" w:color="auto"/>
        <w:bottom w:val="none" w:sz="0" w:space="0" w:color="auto"/>
        <w:right w:val="none" w:sz="0" w:space="0" w:color="auto"/>
      </w:divBdr>
    </w:div>
    <w:div w:id="1471169032">
      <w:bodyDiv w:val="1"/>
      <w:marLeft w:val="0"/>
      <w:marRight w:val="0"/>
      <w:marTop w:val="0"/>
      <w:marBottom w:val="0"/>
      <w:divBdr>
        <w:top w:val="none" w:sz="0" w:space="0" w:color="auto"/>
        <w:left w:val="none" w:sz="0" w:space="0" w:color="auto"/>
        <w:bottom w:val="none" w:sz="0" w:space="0" w:color="auto"/>
        <w:right w:val="none" w:sz="0" w:space="0" w:color="auto"/>
      </w:divBdr>
    </w:div>
    <w:div w:id="1476873018">
      <w:bodyDiv w:val="1"/>
      <w:marLeft w:val="0"/>
      <w:marRight w:val="0"/>
      <w:marTop w:val="0"/>
      <w:marBottom w:val="0"/>
      <w:divBdr>
        <w:top w:val="none" w:sz="0" w:space="0" w:color="auto"/>
        <w:left w:val="none" w:sz="0" w:space="0" w:color="auto"/>
        <w:bottom w:val="none" w:sz="0" w:space="0" w:color="auto"/>
        <w:right w:val="none" w:sz="0" w:space="0" w:color="auto"/>
      </w:divBdr>
    </w:div>
    <w:div w:id="1497115492">
      <w:bodyDiv w:val="1"/>
      <w:marLeft w:val="0"/>
      <w:marRight w:val="0"/>
      <w:marTop w:val="0"/>
      <w:marBottom w:val="0"/>
      <w:divBdr>
        <w:top w:val="none" w:sz="0" w:space="0" w:color="auto"/>
        <w:left w:val="none" w:sz="0" w:space="0" w:color="auto"/>
        <w:bottom w:val="none" w:sz="0" w:space="0" w:color="auto"/>
        <w:right w:val="none" w:sz="0" w:space="0" w:color="auto"/>
      </w:divBdr>
    </w:div>
    <w:div w:id="1497769863">
      <w:bodyDiv w:val="1"/>
      <w:marLeft w:val="0"/>
      <w:marRight w:val="0"/>
      <w:marTop w:val="0"/>
      <w:marBottom w:val="0"/>
      <w:divBdr>
        <w:top w:val="none" w:sz="0" w:space="0" w:color="auto"/>
        <w:left w:val="none" w:sz="0" w:space="0" w:color="auto"/>
        <w:bottom w:val="none" w:sz="0" w:space="0" w:color="auto"/>
        <w:right w:val="none" w:sz="0" w:space="0" w:color="auto"/>
      </w:divBdr>
      <w:divsChild>
        <w:div w:id="1528913258">
          <w:marLeft w:val="0"/>
          <w:marRight w:val="0"/>
          <w:marTop w:val="0"/>
          <w:marBottom w:val="0"/>
          <w:divBdr>
            <w:top w:val="none" w:sz="0" w:space="0" w:color="auto"/>
            <w:left w:val="none" w:sz="0" w:space="0" w:color="auto"/>
            <w:bottom w:val="none" w:sz="0" w:space="0" w:color="auto"/>
            <w:right w:val="none" w:sz="0" w:space="0" w:color="auto"/>
          </w:divBdr>
          <w:divsChild>
            <w:div w:id="1498962839">
              <w:marLeft w:val="300"/>
              <w:marRight w:val="150"/>
              <w:marTop w:val="300"/>
              <w:marBottom w:val="375"/>
              <w:divBdr>
                <w:top w:val="none" w:sz="0" w:space="0" w:color="auto"/>
                <w:left w:val="none" w:sz="0" w:space="0" w:color="auto"/>
                <w:bottom w:val="none" w:sz="0" w:space="0" w:color="auto"/>
                <w:right w:val="none" w:sz="0" w:space="0" w:color="auto"/>
              </w:divBdr>
              <w:divsChild>
                <w:div w:id="446042519">
                  <w:marLeft w:val="0"/>
                  <w:marRight w:val="0"/>
                  <w:marTop w:val="0"/>
                  <w:marBottom w:val="0"/>
                  <w:divBdr>
                    <w:top w:val="none" w:sz="0" w:space="0" w:color="auto"/>
                    <w:left w:val="none" w:sz="0" w:space="0" w:color="auto"/>
                    <w:bottom w:val="none" w:sz="0" w:space="0" w:color="auto"/>
                    <w:right w:val="none" w:sz="0" w:space="0" w:color="auto"/>
                  </w:divBdr>
                  <w:divsChild>
                    <w:div w:id="537470189">
                      <w:marLeft w:val="0"/>
                      <w:marRight w:val="0"/>
                      <w:marTop w:val="60"/>
                      <w:marBottom w:val="0"/>
                      <w:divBdr>
                        <w:top w:val="none" w:sz="0" w:space="0" w:color="auto"/>
                        <w:left w:val="none" w:sz="0" w:space="0" w:color="auto"/>
                        <w:bottom w:val="none" w:sz="0" w:space="0" w:color="auto"/>
                        <w:right w:val="none" w:sz="0" w:space="0" w:color="auto"/>
                      </w:divBdr>
                      <w:divsChild>
                        <w:div w:id="254635707">
                          <w:marLeft w:val="0"/>
                          <w:marRight w:val="0"/>
                          <w:marTop w:val="0"/>
                          <w:marBottom w:val="0"/>
                          <w:divBdr>
                            <w:top w:val="none" w:sz="0" w:space="0" w:color="auto"/>
                            <w:left w:val="none" w:sz="0" w:space="0" w:color="auto"/>
                            <w:bottom w:val="none" w:sz="0" w:space="0" w:color="auto"/>
                            <w:right w:val="none" w:sz="0" w:space="0" w:color="auto"/>
                          </w:divBdr>
                          <w:divsChild>
                            <w:div w:id="3326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685562">
      <w:bodyDiv w:val="1"/>
      <w:marLeft w:val="0"/>
      <w:marRight w:val="0"/>
      <w:marTop w:val="0"/>
      <w:marBottom w:val="0"/>
      <w:divBdr>
        <w:top w:val="none" w:sz="0" w:space="0" w:color="auto"/>
        <w:left w:val="none" w:sz="0" w:space="0" w:color="auto"/>
        <w:bottom w:val="none" w:sz="0" w:space="0" w:color="auto"/>
        <w:right w:val="none" w:sz="0" w:space="0" w:color="auto"/>
      </w:divBdr>
    </w:div>
    <w:div w:id="1535802038">
      <w:bodyDiv w:val="1"/>
      <w:marLeft w:val="0"/>
      <w:marRight w:val="0"/>
      <w:marTop w:val="0"/>
      <w:marBottom w:val="0"/>
      <w:divBdr>
        <w:top w:val="none" w:sz="0" w:space="0" w:color="auto"/>
        <w:left w:val="none" w:sz="0" w:space="0" w:color="auto"/>
        <w:bottom w:val="none" w:sz="0" w:space="0" w:color="auto"/>
        <w:right w:val="none" w:sz="0" w:space="0" w:color="auto"/>
      </w:divBdr>
    </w:div>
    <w:div w:id="1546327340">
      <w:bodyDiv w:val="1"/>
      <w:marLeft w:val="0"/>
      <w:marRight w:val="0"/>
      <w:marTop w:val="0"/>
      <w:marBottom w:val="0"/>
      <w:divBdr>
        <w:top w:val="none" w:sz="0" w:space="0" w:color="auto"/>
        <w:left w:val="none" w:sz="0" w:space="0" w:color="auto"/>
        <w:bottom w:val="none" w:sz="0" w:space="0" w:color="auto"/>
        <w:right w:val="none" w:sz="0" w:space="0" w:color="auto"/>
      </w:divBdr>
    </w:div>
    <w:div w:id="1548180876">
      <w:bodyDiv w:val="1"/>
      <w:marLeft w:val="0"/>
      <w:marRight w:val="0"/>
      <w:marTop w:val="0"/>
      <w:marBottom w:val="0"/>
      <w:divBdr>
        <w:top w:val="none" w:sz="0" w:space="0" w:color="auto"/>
        <w:left w:val="none" w:sz="0" w:space="0" w:color="auto"/>
        <w:bottom w:val="none" w:sz="0" w:space="0" w:color="auto"/>
        <w:right w:val="none" w:sz="0" w:space="0" w:color="auto"/>
      </w:divBdr>
    </w:div>
    <w:div w:id="1559366054">
      <w:bodyDiv w:val="1"/>
      <w:marLeft w:val="0"/>
      <w:marRight w:val="0"/>
      <w:marTop w:val="0"/>
      <w:marBottom w:val="0"/>
      <w:divBdr>
        <w:top w:val="none" w:sz="0" w:space="0" w:color="auto"/>
        <w:left w:val="none" w:sz="0" w:space="0" w:color="auto"/>
        <w:bottom w:val="none" w:sz="0" w:space="0" w:color="auto"/>
        <w:right w:val="none" w:sz="0" w:space="0" w:color="auto"/>
      </w:divBdr>
    </w:div>
    <w:div w:id="1564608305">
      <w:bodyDiv w:val="1"/>
      <w:marLeft w:val="0"/>
      <w:marRight w:val="0"/>
      <w:marTop w:val="0"/>
      <w:marBottom w:val="0"/>
      <w:divBdr>
        <w:top w:val="none" w:sz="0" w:space="0" w:color="auto"/>
        <w:left w:val="none" w:sz="0" w:space="0" w:color="auto"/>
        <w:bottom w:val="none" w:sz="0" w:space="0" w:color="auto"/>
        <w:right w:val="none" w:sz="0" w:space="0" w:color="auto"/>
      </w:divBdr>
    </w:div>
    <w:div w:id="1579440957">
      <w:bodyDiv w:val="1"/>
      <w:marLeft w:val="0"/>
      <w:marRight w:val="0"/>
      <w:marTop w:val="0"/>
      <w:marBottom w:val="0"/>
      <w:divBdr>
        <w:top w:val="none" w:sz="0" w:space="0" w:color="auto"/>
        <w:left w:val="none" w:sz="0" w:space="0" w:color="auto"/>
        <w:bottom w:val="none" w:sz="0" w:space="0" w:color="auto"/>
        <w:right w:val="none" w:sz="0" w:space="0" w:color="auto"/>
      </w:divBdr>
    </w:div>
    <w:div w:id="1583874373">
      <w:bodyDiv w:val="1"/>
      <w:marLeft w:val="0"/>
      <w:marRight w:val="0"/>
      <w:marTop w:val="0"/>
      <w:marBottom w:val="0"/>
      <w:divBdr>
        <w:top w:val="none" w:sz="0" w:space="0" w:color="auto"/>
        <w:left w:val="none" w:sz="0" w:space="0" w:color="auto"/>
        <w:bottom w:val="none" w:sz="0" w:space="0" w:color="auto"/>
        <w:right w:val="none" w:sz="0" w:space="0" w:color="auto"/>
      </w:divBdr>
    </w:div>
    <w:div w:id="1585841310">
      <w:bodyDiv w:val="1"/>
      <w:marLeft w:val="0"/>
      <w:marRight w:val="0"/>
      <w:marTop w:val="0"/>
      <w:marBottom w:val="0"/>
      <w:divBdr>
        <w:top w:val="none" w:sz="0" w:space="0" w:color="auto"/>
        <w:left w:val="none" w:sz="0" w:space="0" w:color="auto"/>
        <w:bottom w:val="none" w:sz="0" w:space="0" w:color="auto"/>
        <w:right w:val="none" w:sz="0" w:space="0" w:color="auto"/>
      </w:divBdr>
    </w:div>
    <w:div w:id="1610744783">
      <w:bodyDiv w:val="1"/>
      <w:marLeft w:val="0"/>
      <w:marRight w:val="0"/>
      <w:marTop w:val="0"/>
      <w:marBottom w:val="0"/>
      <w:divBdr>
        <w:top w:val="none" w:sz="0" w:space="0" w:color="auto"/>
        <w:left w:val="none" w:sz="0" w:space="0" w:color="auto"/>
        <w:bottom w:val="none" w:sz="0" w:space="0" w:color="auto"/>
        <w:right w:val="none" w:sz="0" w:space="0" w:color="auto"/>
      </w:divBdr>
    </w:div>
    <w:div w:id="1616206315">
      <w:bodyDiv w:val="1"/>
      <w:marLeft w:val="0"/>
      <w:marRight w:val="0"/>
      <w:marTop w:val="0"/>
      <w:marBottom w:val="0"/>
      <w:divBdr>
        <w:top w:val="none" w:sz="0" w:space="0" w:color="auto"/>
        <w:left w:val="none" w:sz="0" w:space="0" w:color="auto"/>
        <w:bottom w:val="none" w:sz="0" w:space="0" w:color="auto"/>
        <w:right w:val="none" w:sz="0" w:space="0" w:color="auto"/>
      </w:divBdr>
    </w:div>
    <w:div w:id="1634363334">
      <w:bodyDiv w:val="1"/>
      <w:marLeft w:val="0"/>
      <w:marRight w:val="0"/>
      <w:marTop w:val="0"/>
      <w:marBottom w:val="0"/>
      <w:divBdr>
        <w:top w:val="none" w:sz="0" w:space="0" w:color="auto"/>
        <w:left w:val="none" w:sz="0" w:space="0" w:color="auto"/>
        <w:bottom w:val="none" w:sz="0" w:space="0" w:color="auto"/>
        <w:right w:val="none" w:sz="0" w:space="0" w:color="auto"/>
      </w:divBdr>
    </w:div>
    <w:div w:id="1646856947">
      <w:bodyDiv w:val="1"/>
      <w:marLeft w:val="0"/>
      <w:marRight w:val="0"/>
      <w:marTop w:val="0"/>
      <w:marBottom w:val="0"/>
      <w:divBdr>
        <w:top w:val="none" w:sz="0" w:space="0" w:color="auto"/>
        <w:left w:val="none" w:sz="0" w:space="0" w:color="auto"/>
        <w:bottom w:val="none" w:sz="0" w:space="0" w:color="auto"/>
        <w:right w:val="none" w:sz="0" w:space="0" w:color="auto"/>
      </w:divBdr>
      <w:divsChild>
        <w:div w:id="1843006954">
          <w:marLeft w:val="0"/>
          <w:marRight w:val="0"/>
          <w:marTop w:val="0"/>
          <w:marBottom w:val="0"/>
          <w:divBdr>
            <w:top w:val="none" w:sz="0" w:space="0" w:color="auto"/>
            <w:left w:val="none" w:sz="0" w:space="0" w:color="auto"/>
            <w:bottom w:val="none" w:sz="0" w:space="0" w:color="auto"/>
            <w:right w:val="none" w:sz="0" w:space="0" w:color="auto"/>
          </w:divBdr>
          <w:divsChild>
            <w:div w:id="831066876">
              <w:marLeft w:val="300"/>
              <w:marRight w:val="150"/>
              <w:marTop w:val="300"/>
              <w:marBottom w:val="375"/>
              <w:divBdr>
                <w:top w:val="none" w:sz="0" w:space="0" w:color="auto"/>
                <w:left w:val="none" w:sz="0" w:space="0" w:color="auto"/>
                <w:bottom w:val="none" w:sz="0" w:space="0" w:color="auto"/>
                <w:right w:val="none" w:sz="0" w:space="0" w:color="auto"/>
              </w:divBdr>
              <w:divsChild>
                <w:div w:id="1647276271">
                  <w:marLeft w:val="0"/>
                  <w:marRight w:val="0"/>
                  <w:marTop w:val="0"/>
                  <w:marBottom w:val="0"/>
                  <w:divBdr>
                    <w:top w:val="none" w:sz="0" w:space="0" w:color="auto"/>
                    <w:left w:val="none" w:sz="0" w:space="0" w:color="auto"/>
                    <w:bottom w:val="none" w:sz="0" w:space="0" w:color="auto"/>
                    <w:right w:val="none" w:sz="0" w:space="0" w:color="auto"/>
                  </w:divBdr>
                  <w:divsChild>
                    <w:div w:id="1509294830">
                      <w:marLeft w:val="0"/>
                      <w:marRight w:val="0"/>
                      <w:marTop w:val="60"/>
                      <w:marBottom w:val="0"/>
                      <w:divBdr>
                        <w:top w:val="none" w:sz="0" w:space="0" w:color="auto"/>
                        <w:left w:val="none" w:sz="0" w:space="0" w:color="auto"/>
                        <w:bottom w:val="none" w:sz="0" w:space="0" w:color="auto"/>
                        <w:right w:val="none" w:sz="0" w:space="0" w:color="auto"/>
                      </w:divBdr>
                      <w:divsChild>
                        <w:div w:id="1437482261">
                          <w:marLeft w:val="0"/>
                          <w:marRight w:val="0"/>
                          <w:marTop w:val="0"/>
                          <w:marBottom w:val="0"/>
                          <w:divBdr>
                            <w:top w:val="none" w:sz="0" w:space="0" w:color="auto"/>
                            <w:left w:val="none" w:sz="0" w:space="0" w:color="auto"/>
                            <w:bottom w:val="none" w:sz="0" w:space="0" w:color="auto"/>
                            <w:right w:val="none" w:sz="0" w:space="0" w:color="auto"/>
                          </w:divBdr>
                          <w:divsChild>
                            <w:div w:id="6351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817677">
      <w:bodyDiv w:val="1"/>
      <w:marLeft w:val="0"/>
      <w:marRight w:val="0"/>
      <w:marTop w:val="0"/>
      <w:marBottom w:val="0"/>
      <w:divBdr>
        <w:top w:val="none" w:sz="0" w:space="0" w:color="auto"/>
        <w:left w:val="none" w:sz="0" w:space="0" w:color="auto"/>
        <w:bottom w:val="none" w:sz="0" w:space="0" w:color="auto"/>
        <w:right w:val="none" w:sz="0" w:space="0" w:color="auto"/>
      </w:divBdr>
    </w:div>
    <w:div w:id="1657997551">
      <w:bodyDiv w:val="1"/>
      <w:marLeft w:val="0"/>
      <w:marRight w:val="0"/>
      <w:marTop w:val="0"/>
      <w:marBottom w:val="0"/>
      <w:divBdr>
        <w:top w:val="none" w:sz="0" w:space="0" w:color="auto"/>
        <w:left w:val="none" w:sz="0" w:space="0" w:color="auto"/>
        <w:bottom w:val="none" w:sz="0" w:space="0" w:color="auto"/>
        <w:right w:val="none" w:sz="0" w:space="0" w:color="auto"/>
      </w:divBdr>
    </w:div>
    <w:div w:id="1668824729">
      <w:bodyDiv w:val="1"/>
      <w:marLeft w:val="0"/>
      <w:marRight w:val="0"/>
      <w:marTop w:val="0"/>
      <w:marBottom w:val="0"/>
      <w:divBdr>
        <w:top w:val="none" w:sz="0" w:space="0" w:color="auto"/>
        <w:left w:val="none" w:sz="0" w:space="0" w:color="auto"/>
        <w:bottom w:val="none" w:sz="0" w:space="0" w:color="auto"/>
        <w:right w:val="none" w:sz="0" w:space="0" w:color="auto"/>
      </w:divBdr>
    </w:div>
    <w:div w:id="1674451187">
      <w:bodyDiv w:val="1"/>
      <w:marLeft w:val="0"/>
      <w:marRight w:val="0"/>
      <w:marTop w:val="0"/>
      <w:marBottom w:val="0"/>
      <w:divBdr>
        <w:top w:val="none" w:sz="0" w:space="0" w:color="auto"/>
        <w:left w:val="none" w:sz="0" w:space="0" w:color="auto"/>
        <w:bottom w:val="none" w:sz="0" w:space="0" w:color="auto"/>
        <w:right w:val="none" w:sz="0" w:space="0" w:color="auto"/>
      </w:divBdr>
    </w:div>
    <w:div w:id="1735661093">
      <w:bodyDiv w:val="1"/>
      <w:marLeft w:val="0"/>
      <w:marRight w:val="0"/>
      <w:marTop w:val="0"/>
      <w:marBottom w:val="0"/>
      <w:divBdr>
        <w:top w:val="none" w:sz="0" w:space="0" w:color="auto"/>
        <w:left w:val="none" w:sz="0" w:space="0" w:color="auto"/>
        <w:bottom w:val="none" w:sz="0" w:space="0" w:color="auto"/>
        <w:right w:val="none" w:sz="0" w:space="0" w:color="auto"/>
      </w:divBdr>
    </w:div>
    <w:div w:id="1742799044">
      <w:bodyDiv w:val="1"/>
      <w:marLeft w:val="0"/>
      <w:marRight w:val="0"/>
      <w:marTop w:val="0"/>
      <w:marBottom w:val="0"/>
      <w:divBdr>
        <w:top w:val="none" w:sz="0" w:space="0" w:color="auto"/>
        <w:left w:val="none" w:sz="0" w:space="0" w:color="auto"/>
        <w:bottom w:val="none" w:sz="0" w:space="0" w:color="auto"/>
        <w:right w:val="none" w:sz="0" w:space="0" w:color="auto"/>
      </w:divBdr>
    </w:div>
    <w:div w:id="1747996343">
      <w:bodyDiv w:val="1"/>
      <w:marLeft w:val="0"/>
      <w:marRight w:val="0"/>
      <w:marTop w:val="0"/>
      <w:marBottom w:val="0"/>
      <w:divBdr>
        <w:top w:val="none" w:sz="0" w:space="0" w:color="auto"/>
        <w:left w:val="none" w:sz="0" w:space="0" w:color="auto"/>
        <w:bottom w:val="none" w:sz="0" w:space="0" w:color="auto"/>
        <w:right w:val="none" w:sz="0" w:space="0" w:color="auto"/>
      </w:divBdr>
    </w:div>
    <w:div w:id="1750039675">
      <w:bodyDiv w:val="1"/>
      <w:marLeft w:val="0"/>
      <w:marRight w:val="0"/>
      <w:marTop w:val="0"/>
      <w:marBottom w:val="0"/>
      <w:divBdr>
        <w:top w:val="none" w:sz="0" w:space="0" w:color="auto"/>
        <w:left w:val="none" w:sz="0" w:space="0" w:color="auto"/>
        <w:bottom w:val="none" w:sz="0" w:space="0" w:color="auto"/>
        <w:right w:val="none" w:sz="0" w:space="0" w:color="auto"/>
      </w:divBdr>
    </w:div>
    <w:div w:id="1776948602">
      <w:bodyDiv w:val="1"/>
      <w:marLeft w:val="0"/>
      <w:marRight w:val="0"/>
      <w:marTop w:val="0"/>
      <w:marBottom w:val="0"/>
      <w:divBdr>
        <w:top w:val="none" w:sz="0" w:space="0" w:color="auto"/>
        <w:left w:val="none" w:sz="0" w:space="0" w:color="auto"/>
        <w:bottom w:val="none" w:sz="0" w:space="0" w:color="auto"/>
        <w:right w:val="none" w:sz="0" w:space="0" w:color="auto"/>
      </w:divBdr>
    </w:div>
    <w:div w:id="1779374198">
      <w:bodyDiv w:val="1"/>
      <w:marLeft w:val="0"/>
      <w:marRight w:val="0"/>
      <w:marTop w:val="0"/>
      <w:marBottom w:val="0"/>
      <w:divBdr>
        <w:top w:val="none" w:sz="0" w:space="0" w:color="auto"/>
        <w:left w:val="none" w:sz="0" w:space="0" w:color="auto"/>
        <w:bottom w:val="none" w:sz="0" w:space="0" w:color="auto"/>
        <w:right w:val="none" w:sz="0" w:space="0" w:color="auto"/>
      </w:divBdr>
    </w:div>
    <w:div w:id="1780491290">
      <w:bodyDiv w:val="1"/>
      <w:marLeft w:val="0"/>
      <w:marRight w:val="0"/>
      <w:marTop w:val="0"/>
      <w:marBottom w:val="0"/>
      <w:divBdr>
        <w:top w:val="none" w:sz="0" w:space="0" w:color="auto"/>
        <w:left w:val="none" w:sz="0" w:space="0" w:color="auto"/>
        <w:bottom w:val="none" w:sz="0" w:space="0" w:color="auto"/>
        <w:right w:val="none" w:sz="0" w:space="0" w:color="auto"/>
      </w:divBdr>
    </w:div>
    <w:div w:id="1797406407">
      <w:bodyDiv w:val="1"/>
      <w:marLeft w:val="0"/>
      <w:marRight w:val="0"/>
      <w:marTop w:val="0"/>
      <w:marBottom w:val="0"/>
      <w:divBdr>
        <w:top w:val="none" w:sz="0" w:space="0" w:color="auto"/>
        <w:left w:val="none" w:sz="0" w:space="0" w:color="auto"/>
        <w:bottom w:val="none" w:sz="0" w:space="0" w:color="auto"/>
        <w:right w:val="none" w:sz="0" w:space="0" w:color="auto"/>
      </w:divBdr>
    </w:div>
    <w:div w:id="1798446125">
      <w:bodyDiv w:val="1"/>
      <w:marLeft w:val="0"/>
      <w:marRight w:val="0"/>
      <w:marTop w:val="0"/>
      <w:marBottom w:val="0"/>
      <w:divBdr>
        <w:top w:val="none" w:sz="0" w:space="0" w:color="auto"/>
        <w:left w:val="none" w:sz="0" w:space="0" w:color="auto"/>
        <w:bottom w:val="none" w:sz="0" w:space="0" w:color="auto"/>
        <w:right w:val="none" w:sz="0" w:space="0" w:color="auto"/>
      </w:divBdr>
    </w:div>
    <w:div w:id="1834758971">
      <w:bodyDiv w:val="1"/>
      <w:marLeft w:val="0"/>
      <w:marRight w:val="0"/>
      <w:marTop w:val="0"/>
      <w:marBottom w:val="0"/>
      <w:divBdr>
        <w:top w:val="none" w:sz="0" w:space="0" w:color="auto"/>
        <w:left w:val="none" w:sz="0" w:space="0" w:color="auto"/>
        <w:bottom w:val="none" w:sz="0" w:space="0" w:color="auto"/>
        <w:right w:val="none" w:sz="0" w:space="0" w:color="auto"/>
      </w:divBdr>
    </w:div>
    <w:div w:id="1838035520">
      <w:bodyDiv w:val="1"/>
      <w:marLeft w:val="0"/>
      <w:marRight w:val="0"/>
      <w:marTop w:val="0"/>
      <w:marBottom w:val="0"/>
      <w:divBdr>
        <w:top w:val="none" w:sz="0" w:space="0" w:color="auto"/>
        <w:left w:val="none" w:sz="0" w:space="0" w:color="auto"/>
        <w:bottom w:val="none" w:sz="0" w:space="0" w:color="auto"/>
        <w:right w:val="none" w:sz="0" w:space="0" w:color="auto"/>
      </w:divBdr>
    </w:div>
    <w:div w:id="1839035228">
      <w:bodyDiv w:val="1"/>
      <w:marLeft w:val="0"/>
      <w:marRight w:val="0"/>
      <w:marTop w:val="0"/>
      <w:marBottom w:val="0"/>
      <w:divBdr>
        <w:top w:val="none" w:sz="0" w:space="0" w:color="auto"/>
        <w:left w:val="none" w:sz="0" w:space="0" w:color="auto"/>
        <w:bottom w:val="none" w:sz="0" w:space="0" w:color="auto"/>
        <w:right w:val="none" w:sz="0" w:space="0" w:color="auto"/>
      </w:divBdr>
      <w:divsChild>
        <w:div w:id="1030494519">
          <w:marLeft w:val="0"/>
          <w:marRight w:val="0"/>
          <w:marTop w:val="0"/>
          <w:marBottom w:val="0"/>
          <w:divBdr>
            <w:top w:val="none" w:sz="0" w:space="0" w:color="auto"/>
            <w:left w:val="none" w:sz="0" w:space="0" w:color="auto"/>
            <w:bottom w:val="none" w:sz="0" w:space="0" w:color="auto"/>
            <w:right w:val="none" w:sz="0" w:space="0" w:color="auto"/>
          </w:divBdr>
          <w:divsChild>
            <w:div w:id="1869105066">
              <w:marLeft w:val="0"/>
              <w:marRight w:val="0"/>
              <w:marTop w:val="0"/>
              <w:marBottom w:val="0"/>
              <w:divBdr>
                <w:top w:val="none" w:sz="0" w:space="0" w:color="auto"/>
                <w:left w:val="none" w:sz="0" w:space="0" w:color="auto"/>
                <w:bottom w:val="none" w:sz="0" w:space="0" w:color="auto"/>
                <w:right w:val="none" w:sz="0" w:space="0" w:color="auto"/>
              </w:divBdr>
              <w:divsChild>
                <w:div w:id="1154833721">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840466411">
      <w:bodyDiv w:val="1"/>
      <w:marLeft w:val="0"/>
      <w:marRight w:val="0"/>
      <w:marTop w:val="0"/>
      <w:marBottom w:val="0"/>
      <w:divBdr>
        <w:top w:val="none" w:sz="0" w:space="0" w:color="auto"/>
        <w:left w:val="none" w:sz="0" w:space="0" w:color="auto"/>
        <w:bottom w:val="none" w:sz="0" w:space="0" w:color="auto"/>
        <w:right w:val="none" w:sz="0" w:space="0" w:color="auto"/>
      </w:divBdr>
    </w:div>
    <w:div w:id="1841115166">
      <w:bodyDiv w:val="1"/>
      <w:marLeft w:val="0"/>
      <w:marRight w:val="0"/>
      <w:marTop w:val="0"/>
      <w:marBottom w:val="0"/>
      <w:divBdr>
        <w:top w:val="none" w:sz="0" w:space="0" w:color="auto"/>
        <w:left w:val="none" w:sz="0" w:space="0" w:color="auto"/>
        <w:bottom w:val="none" w:sz="0" w:space="0" w:color="auto"/>
        <w:right w:val="none" w:sz="0" w:space="0" w:color="auto"/>
      </w:divBdr>
    </w:div>
    <w:div w:id="1855996992">
      <w:bodyDiv w:val="1"/>
      <w:marLeft w:val="0"/>
      <w:marRight w:val="0"/>
      <w:marTop w:val="0"/>
      <w:marBottom w:val="0"/>
      <w:divBdr>
        <w:top w:val="none" w:sz="0" w:space="0" w:color="auto"/>
        <w:left w:val="none" w:sz="0" w:space="0" w:color="auto"/>
        <w:bottom w:val="none" w:sz="0" w:space="0" w:color="auto"/>
        <w:right w:val="none" w:sz="0" w:space="0" w:color="auto"/>
      </w:divBdr>
    </w:div>
    <w:div w:id="1868518026">
      <w:bodyDiv w:val="1"/>
      <w:marLeft w:val="0"/>
      <w:marRight w:val="0"/>
      <w:marTop w:val="0"/>
      <w:marBottom w:val="0"/>
      <w:divBdr>
        <w:top w:val="none" w:sz="0" w:space="0" w:color="auto"/>
        <w:left w:val="none" w:sz="0" w:space="0" w:color="auto"/>
        <w:bottom w:val="none" w:sz="0" w:space="0" w:color="auto"/>
        <w:right w:val="none" w:sz="0" w:space="0" w:color="auto"/>
      </w:divBdr>
    </w:div>
    <w:div w:id="1873688313">
      <w:bodyDiv w:val="1"/>
      <w:marLeft w:val="0"/>
      <w:marRight w:val="0"/>
      <w:marTop w:val="0"/>
      <w:marBottom w:val="0"/>
      <w:divBdr>
        <w:top w:val="none" w:sz="0" w:space="0" w:color="auto"/>
        <w:left w:val="none" w:sz="0" w:space="0" w:color="auto"/>
        <w:bottom w:val="none" w:sz="0" w:space="0" w:color="auto"/>
        <w:right w:val="none" w:sz="0" w:space="0" w:color="auto"/>
      </w:divBdr>
    </w:div>
    <w:div w:id="1894920812">
      <w:bodyDiv w:val="1"/>
      <w:marLeft w:val="0"/>
      <w:marRight w:val="0"/>
      <w:marTop w:val="0"/>
      <w:marBottom w:val="0"/>
      <w:divBdr>
        <w:top w:val="none" w:sz="0" w:space="0" w:color="auto"/>
        <w:left w:val="none" w:sz="0" w:space="0" w:color="auto"/>
        <w:bottom w:val="none" w:sz="0" w:space="0" w:color="auto"/>
        <w:right w:val="none" w:sz="0" w:space="0" w:color="auto"/>
      </w:divBdr>
    </w:div>
    <w:div w:id="1902709361">
      <w:bodyDiv w:val="1"/>
      <w:marLeft w:val="0"/>
      <w:marRight w:val="0"/>
      <w:marTop w:val="0"/>
      <w:marBottom w:val="0"/>
      <w:divBdr>
        <w:top w:val="none" w:sz="0" w:space="0" w:color="auto"/>
        <w:left w:val="none" w:sz="0" w:space="0" w:color="auto"/>
        <w:bottom w:val="none" w:sz="0" w:space="0" w:color="auto"/>
        <w:right w:val="none" w:sz="0" w:space="0" w:color="auto"/>
      </w:divBdr>
    </w:div>
    <w:div w:id="1913664325">
      <w:bodyDiv w:val="1"/>
      <w:marLeft w:val="0"/>
      <w:marRight w:val="0"/>
      <w:marTop w:val="0"/>
      <w:marBottom w:val="0"/>
      <w:divBdr>
        <w:top w:val="none" w:sz="0" w:space="0" w:color="auto"/>
        <w:left w:val="none" w:sz="0" w:space="0" w:color="auto"/>
        <w:bottom w:val="none" w:sz="0" w:space="0" w:color="auto"/>
        <w:right w:val="none" w:sz="0" w:space="0" w:color="auto"/>
      </w:divBdr>
    </w:div>
    <w:div w:id="1947344267">
      <w:bodyDiv w:val="1"/>
      <w:marLeft w:val="0"/>
      <w:marRight w:val="0"/>
      <w:marTop w:val="0"/>
      <w:marBottom w:val="0"/>
      <w:divBdr>
        <w:top w:val="none" w:sz="0" w:space="0" w:color="auto"/>
        <w:left w:val="none" w:sz="0" w:space="0" w:color="auto"/>
        <w:bottom w:val="none" w:sz="0" w:space="0" w:color="auto"/>
        <w:right w:val="none" w:sz="0" w:space="0" w:color="auto"/>
      </w:divBdr>
    </w:div>
    <w:div w:id="1957298528">
      <w:bodyDiv w:val="1"/>
      <w:marLeft w:val="0"/>
      <w:marRight w:val="0"/>
      <w:marTop w:val="0"/>
      <w:marBottom w:val="0"/>
      <w:divBdr>
        <w:top w:val="none" w:sz="0" w:space="0" w:color="auto"/>
        <w:left w:val="none" w:sz="0" w:space="0" w:color="auto"/>
        <w:bottom w:val="none" w:sz="0" w:space="0" w:color="auto"/>
        <w:right w:val="none" w:sz="0" w:space="0" w:color="auto"/>
      </w:divBdr>
    </w:div>
    <w:div w:id="1962883479">
      <w:bodyDiv w:val="1"/>
      <w:marLeft w:val="0"/>
      <w:marRight w:val="0"/>
      <w:marTop w:val="0"/>
      <w:marBottom w:val="0"/>
      <w:divBdr>
        <w:top w:val="none" w:sz="0" w:space="0" w:color="auto"/>
        <w:left w:val="none" w:sz="0" w:space="0" w:color="auto"/>
        <w:bottom w:val="none" w:sz="0" w:space="0" w:color="auto"/>
        <w:right w:val="none" w:sz="0" w:space="0" w:color="auto"/>
      </w:divBdr>
    </w:div>
    <w:div w:id="1981495390">
      <w:bodyDiv w:val="1"/>
      <w:marLeft w:val="0"/>
      <w:marRight w:val="0"/>
      <w:marTop w:val="0"/>
      <w:marBottom w:val="0"/>
      <w:divBdr>
        <w:top w:val="none" w:sz="0" w:space="0" w:color="auto"/>
        <w:left w:val="none" w:sz="0" w:space="0" w:color="auto"/>
        <w:bottom w:val="none" w:sz="0" w:space="0" w:color="auto"/>
        <w:right w:val="none" w:sz="0" w:space="0" w:color="auto"/>
      </w:divBdr>
    </w:div>
    <w:div w:id="1989240712">
      <w:bodyDiv w:val="1"/>
      <w:marLeft w:val="0"/>
      <w:marRight w:val="0"/>
      <w:marTop w:val="0"/>
      <w:marBottom w:val="0"/>
      <w:divBdr>
        <w:top w:val="none" w:sz="0" w:space="0" w:color="auto"/>
        <w:left w:val="none" w:sz="0" w:space="0" w:color="auto"/>
        <w:bottom w:val="none" w:sz="0" w:space="0" w:color="auto"/>
        <w:right w:val="none" w:sz="0" w:space="0" w:color="auto"/>
      </w:divBdr>
    </w:div>
    <w:div w:id="1994988118">
      <w:bodyDiv w:val="1"/>
      <w:marLeft w:val="0"/>
      <w:marRight w:val="0"/>
      <w:marTop w:val="0"/>
      <w:marBottom w:val="0"/>
      <w:divBdr>
        <w:top w:val="none" w:sz="0" w:space="0" w:color="auto"/>
        <w:left w:val="none" w:sz="0" w:space="0" w:color="auto"/>
        <w:bottom w:val="none" w:sz="0" w:space="0" w:color="auto"/>
        <w:right w:val="none" w:sz="0" w:space="0" w:color="auto"/>
      </w:divBdr>
    </w:div>
    <w:div w:id="1995639030">
      <w:bodyDiv w:val="1"/>
      <w:marLeft w:val="0"/>
      <w:marRight w:val="0"/>
      <w:marTop w:val="0"/>
      <w:marBottom w:val="0"/>
      <w:divBdr>
        <w:top w:val="none" w:sz="0" w:space="0" w:color="auto"/>
        <w:left w:val="none" w:sz="0" w:space="0" w:color="auto"/>
        <w:bottom w:val="none" w:sz="0" w:space="0" w:color="auto"/>
        <w:right w:val="none" w:sz="0" w:space="0" w:color="auto"/>
      </w:divBdr>
    </w:div>
    <w:div w:id="2002460580">
      <w:bodyDiv w:val="1"/>
      <w:marLeft w:val="0"/>
      <w:marRight w:val="0"/>
      <w:marTop w:val="0"/>
      <w:marBottom w:val="0"/>
      <w:divBdr>
        <w:top w:val="none" w:sz="0" w:space="0" w:color="auto"/>
        <w:left w:val="none" w:sz="0" w:space="0" w:color="auto"/>
        <w:bottom w:val="none" w:sz="0" w:space="0" w:color="auto"/>
        <w:right w:val="none" w:sz="0" w:space="0" w:color="auto"/>
      </w:divBdr>
    </w:div>
    <w:div w:id="2006393013">
      <w:bodyDiv w:val="1"/>
      <w:marLeft w:val="0"/>
      <w:marRight w:val="0"/>
      <w:marTop w:val="0"/>
      <w:marBottom w:val="0"/>
      <w:divBdr>
        <w:top w:val="none" w:sz="0" w:space="0" w:color="auto"/>
        <w:left w:val="none" w:sz="0" w:space="0" w:color="auto"/>
        <w:bottom w:val="none" w:sz="0" w:space="0" w:color="auto"/>
        <w:right w:val="none" w:sz="0" w:space="0" w:color="auto"/>
      </w:divBdr>
    </w:div>
    <w:div w:id="2025471203">
      <w:bodyDiv w:val="1"/>
      <w:marLeft w:val="0"/>
      <w:marRight w:val="0"/>
      <w:marTop w:val="0"/>
      <w:marBottom w:val="0"/>
      <w:divBdr>
        <w:top w:val="none" w:sz="0" w:space="0" w:color="auto"/>
        <w:left w:val="none" w:sz="0" w:space="0" w:color="auto"/>
        <w:bottom w:val="none" w:sz="0" w:space="0" w:color="auto"/>
        <w:right w:val="none" w:sz="0" w:space="0" w:color="auto"/>
      </w:divBdr>
    </w:div>
    <w:div w:id="2030328605">
      <w:bodyDiv w:val="1"/>
      <w:marLeft w:val="0"/>
      <w:marRight w:val="0"/>
      <w:marTop w:val="0"/>
      <w:marBottom w:val="0"/>
      <w:divBdr>
        <w:top w:val="none" w:sz="0" w:space="0" w:color="auto"/>
        <w:left w:val="none" w:sz="0" w:space="0" w:color="auto"/>
        <w:bottom w:val="none" w:sz="0" w:space="0" w:color="auto"/>
        <w:right w:val="none" w:sz="0" w:space="0" w:color="auto"/>
      </w:divBdr>
      <w:divsChild>
        <w:div w:id="272833711">
          <w:marLeft w:val="0"/>
          <w:marRight w:val="0"/>
          <w:marTop w:val="0"/>
          <w:marBottom w:val="0"/>
          <w:divBdr>
            <w:top w:val="none" w:sz="0" w:space="0" w:color="auto"/>
            <w:left w:val="none" w:sz="0" w:space="0" w:color="auto"/>
            <w:bottom w:val="none" w:sz="0" w:space="0" w:color="auto"/>
            <w:right w:val="none" w:sz="0" w:space="0" w:color="auto"/>
          </w:divBdr>
          <w:divsChild>
            <w:div w:id="1358194108">
              <w:marLeft w:val="0"/>
              <w:marRight w:val="0"/>
              <w:marTop w:val="0"/>
              <w:marBottom w:val="0"/>
              <w:divBdr>
                <w:top w:val="none" w:sz="0" w:space="0" w:color="auto"/>
                <w:left w:val="none" w:sz="0" w:space="0" w:color="auto"/>
                <w:bottom w:val="none" w:sz="0" w:space="0" w:color="auto"/>
                <w:right w:val="none" w:sz="0" w:space="0" w:color="auto"/>
              </w:divBdr>
              <w:divsChild>
                <w:div w:id="1705792113">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43968150">
      <w:bodyDiv w:val="1"/>
      <w:marLeft w:val="0"/>
      <w:marRight w:val="0"/>
      <w:marTop w:val="0"/>
      <w:marBottom w:val="0"/>
      <w:divBdr>
        <w:top w:val="none" w:sz="0" w:space="0" w:color="auto"/>
        <w:left w:val="none" w:sz="0" w:space="0" w:color="auto"/>
        <w:bottom w:val="none" w:sz="0" w:space="0" w:color="auto"/>
        <w:right w:val="none" w:sz="0" w:space="0" w:color="auto"/>
      </w:divBdr>
    </w:div>
    <w:div w:id="2052604413">
      <w:bodyDiv w:val="1"/>
      <w:marLeft w:val="0"/>
      <w:marRight w:val="0"/>
      <w:marTop w:val="0"/>
      <w:marBottom w:val="0"/>
      <w:divBdr>
        <w:top w:val="none" w:sz="0" w:space="0" w:color="auto"/>
        <w:left w:val="none" w:sz="0" w:space="0" w:color="auto"/>
        <w:bottom w:val="none" w:sz="0" w:space="0" w:color="auto"/>
        <w:right w:val="none" w:sz="0" w:space="0" w:color="auto"/>
      </w:divBdr>
    </w:div>
    <w:div w:id="2066757899">
      <w:bodyDiv w:val="1"/>
      <w:marLeft w:val="0"/>
      <w:marRight w:val="0"/>
      <w:marTop w:val="0"/>
      <w:marBottom w:val="0"/>
      <w:divBdr>
        <w:top w:val="none" w:sz="0" w:space="0" w:color="auto"/>
        <w:left w:val="none" w:sz="0" w:space="0" w:color="auto"/>
        <w:bottom w:val="none" w:sz="0" w:space="0" w:color="auto"/>
        <w:right w:val="none" w:sz="0" w:space="0" w:color="auto"/>
      </w:divBdr>
    </w:div>
    <w:div w:id="2092659435">
      <w:bodyDiv w:val="1"/>
      <w:marLeft w:val="0"/>
      <w:marRight w:val="0"/>
      <w:marTop w:val="0"/>
      <w:marBottom w:val="0"/>
      <w:divBdr>
        <w:top w:val="none" w:sz="0" w:space="0" w:color="auto"/>
        <w:left w:val="none" w:sz="0" w:space="0" w:color="auto"/>
        <w:bottom w:val="none" w:sz="0" w:space="0" w:color="auto"/>
        <w:right w:val="none" w:sz="0" w:space="0" w:color="auto"/>
      </w:divBdr>
    </w:div>
    <w:div w:id="213243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1EAEF6-E50C-4804-BF72-942C8913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284</TotalTime>
  <Pages>16</Pages>
  <Words>3225</Words>
  <Characters>20022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Sector overview D Emergency Management - Report on Government Services 2017</vt:lpstr>
    </vt:vector>
  </TitlesOfParts>
  <Manager/>
  <Company>Productivity Commission</Company>
  <LinksUpToDate>false</LinksUpToDate>
  <CharactersWithSpaces>23201</CharactersWithSpaces>
  <SharedDoc>false</SharedDoc>
  <HLinks>
    <vt:vector size="36" baseType="variant">
      <vt:variant>
        <vt:i4>1441852</vt:i4>
      </vt:variant>
      <vt:variant>
        <vt:i4>32</vt:i4>
      </vt:variant>
      <vt:variant>
        <vt:i4>0</vt:i4>
      </vt:variant>
      <vt:variant>
        <vt:i4>5</vt:i4>
      </vt:variant>
      <vt:variant>
        <vt:lpwstr/>
      </vt:variant>
      <vt:variant>
        <vt:lpwstr>_Toc312252805</vt:lpwstr>
      </vt:variant>
      <vt:variant>
        <vt:i4>1441852</vt:i4>
      </vt:variant>
      <vt:variant>
        <vt:i4>26</vt:i4>
      </vt:variant>
      <vt:variant>
        <vt:i4>0</vt:i4>
      </vt:variant>
      <vt:variant>
        <vt:i4>5</vt:i4>
      </vt:variant>
      <vt:variant>
        <vt:lpwstr/>
      </vt:variant>
      <vt:variant>
        <vt:lpwstr>_Toc312252804</vt:lpwstr>
      </vt:variant>
      <vt:variant>
        <vt:i4>1441852</vt:i4>
      </vt:variant>
      <vt:variant>
        <vt:i4>20</vt:i4>
      </vt:variant>
      <vt:variant>
        <vt:i4>0</vt:i4>
      </vt:variant>
      <vt:variant>
        <vt:i4>5</vt:i4>
      </vt:variant>
      <vt:variant>
        <vt:lpwstr/>
      </vt:variant>
      <vt:variant>
        <vt:lpwstr>_Toc312252803</vt:lpwstr>
      </vt:variant>
      <vt:variant>
        <vt:i4>1441852</vt:i4>
      </vt:variant>
      <vt:variant>
        <vt:i4>14</vt:i4>
      </vt:variant>
      <vt:variant>
        <vt:i4>0</vt:i4>
      </vt:variant>
      <vt:variant>
        <vt:i4>5</vt:i4>
      </vt:variant>
      <vt:variant>
        <vt:lpwstr/>
      </vt:variant>
      <vt:variant>
        <vt:lpwstr>_Toc312252802</vt:lpwstr>
      </vt:variant>
      <vt:variant>
        <vt:i4>1441852</vt:i4>
      </vt:variant>
      <vt:variant>
        <vt:i4>8</vt:i4>
      </vt:variant>
      <vt:variant>
        <vt:i4>0</vt:i4>
      </vt:variant>
      <vt:variant>
        <vt:i4>5</vt:i4>
      </vt:variant>
      <vt:variant>
        <vt:lpwstr/>
      </vt:variant>
      <vt:variant>
        <vt:lpwstr>_Toc312252801</vt:lpwstr>
      </vt:variant>
      <vt:variant>
        <vt:i4>1441852</vt:i4>
      </vt:variant>
      <vt:variant>
        <vt:i4>2</vt:i4>
      </vt:variant>
      <vt:variant>
        <vt:i4>0</vt:i4>
      </vt:variant>
      <vt:variant>
        <vt:i4>5</vt:i4>
      </vt:variant>
      <vt:variant>
        <vt:lpwstr/>
      </vt:variant>
      <vt:variant>
        <vt:lpwstr>_Toc312252800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D Emergency Management - Report on Government Services 2017</dc:title>
  <dc:subject/>
  <dc:creator>Steering Committee for the Review of Government Service Provision</dc:creator>
  <cp:lastModifiedBy>Frech, Tanya</cp:lastModifiedBy>
  <cp:revision>55</cp:revision>
  <cp:lastPrinted>2016-12-19T05:08:00Z</cp:lastPrinted>
  <dcterms:created xsi:type="dcterms:W3CDTF">2016-10-25T23:52:00Z</dcterms:created>
  <dcterms:modified xsi:type="dcterms:W3CDTF">2017-01-05T23:15:00Z</dcterms:modified>
</cp:coreProperties>
</file>