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Pr="004A10AF" w:rsidRDefault="00EC1787" w:rsidP="00EC1787">
      <w:pPr>
        <w:pStyle w:val="Chapter"/>
        <w:ind w:left="907" w:hanging="907"/>
      </w:pPr>
      <w:bookmarkStart w:id="0" w:name="_AppendixNotByChapter"/>
      <w:bookmarkStart w:id="1" w:name="ChapterNumber"/>
      <w:bookmarkStart w:id="2" w:name="_Toc396386199"/>
      <w:bookmarkStart w:id="3" w:name="_Toc463425930"/>
      <w:bookmarkEnd w:id="0"/>
      <w:r>
        <w:t>F</w:t>
      </w:r>
      <w:bookmarkEnd w:id="1"/>
      <w:r>
        <w:tab/>
      </w:r>
      <w:bookmarkStart w:id="4" w:name="ChapterTitle"/>
      <w:r>
        <w:t>Community services sec</w:t>
      </w:r>
      <w:bookmarkStart w:id="5" w:name="_GoBack"/>
      <w:bookmarkEnd w:id="5"/>
      <w:r>
        <w:t xml:space="preserve">tor </w:t>
      </w:r>
      <w:bookmarkEnd w:id="4"/>
      <w:r w:rsidR="00DC146F" w:rsidRPr="004A10AF">
        <w:t>overview</w:t>
      </w:r>
      <w:bookmarkEnd w:id="2"/>
      <w:bookmarkEnd w:id="3"/>
    </w:p>
    <w:p w:rsidR="00616CA0" w:rsidRPr="004A10AF" w:rsidRDefault="00616CA0" w:rsidP="00654035">
      <w:pPr>
        <w:pStyle w:val="Heading4"/>
      </w:pPr>
      <w:r w:rsidRPr="004A10AF">
        <w:t>CONTENTS</w:t>
      </w:r>
    </w:p>
    <w:sdt>
      <w:sdtPr>
        <w:rPr>
          <w:b w:val="0"/>
        </w:rPr>
        <w:id w:val="-9990401"/>
        <w:docPartObj>
          <w:docPartGallery w:val="Table of Contents"/>
          <w:docPartUnique/>
        </w:docPartObj>
      </w:sdtPr>
      <w:sdtEndPr>
        <w:rPr>
          <w:highlight w:val="yellow"/>
        </w:rPr>
      </w:sdtEndPr>
      <w:sdtContent>
        <w:p w:rsidR="00074E5A" w:rsidRDefault="00074E5A">
          <w:pPr>
            <w:pStyle w:val="TOC1"/>
            <w:rPr>
              <w:rFonts w:asciiTheme="minorHAnsi" w:eastAsiaTheme="minorEastAsia" w:hAnsiTheme="minorHAnsi" w:cstheme="minorBidi"/>
              <w:b w:val="0"/>
              <w:noProof/>
              <w:sz w:val="22"/>
              <w:szCs w:val="22"/>
              <w:lang w:eastAsia="en-AU"/>
            </w:rPr>
          </w:pPr>
        </w:p>
        <w:p w:rsidR="00074E5A" w:rsidRDefault="00074E5A">
          <w:pPr>
            <w:pStyle w:val="TOC2"/>
            <w:tabs>
              <w:tab w:val="left" w:pos="1134"/>
            </w:tabs>
            <w:rPr>
              <w:rFonts w:asciiTheme="minorHAnsi" w:eastAsiaTheme="minorEastAsia" w:hAnsiTheme="minorHAnsi" w:cstheme="minorBidi"/>
              <w:noProof/>
              <w:sz w:val="22"/>
              <w:szCs w:val="22"/>
              <w:lang w:eastAsia="en-AU"/>
            </w:rPr>
          </w:pPr>
          <w:r>
            <w:rPr>
              <w:noProof/>
            </w:rPr>
            <w:t>F.1</w:t>
          </w:r>
          <w:r>
            <w:rPr>
              <w:rFonts w:asciiTheme="minorHAnsi" w:eastAsiaTheme="minorEastAsia" w:hAnsiTheme="minorHAnsi" w:cstheme="minorBidi"/>
              <w:noProof/>
              <w:sz w:val="22"/>
              <w:szCs w:val="22"/>
              <w:lang w:eastAsia="en-AU"/>
            </w:rPr>
            <w:tab/>
          </w:r>
          <w:r>
            <w:rPr>
              <w:noProof/>
            </w:rPr>
            <w:t>Introduction</w:t>
          </w:r>
          <w:r>
            <w:rPr>
              <w:noProof/>
            </w:rPr>
            <w:tab/>
          </w:r>
          <w:r w:rsidR="009801F2">
            <w:rPr>
              <w:noProof/>
            </w:rPr>
            <w:t>F.</w:t>
          </w:r>
          <w:r w:rsidR="00F33AC2">
            <w:rPr>
              <w:noProof/>
            </w:rPr>
            <w:t>1</w:t>
          </w:r>
        </w:p>
        <w:p w:rsidR="00074E5A" w:rsidRDefault="00074E5A">
          <w:pPr>
            <w:pStyle w:val="TOC2"/>
            <w:tabs>
              <w:tab w:val="left" w:pos="1134"/>
            </w:tabs>
            <w:rPr>
              <w:rFonts w:asciiTheme="minorHAnsi" w:eastAsiaTheme="minorEastAsia" w:hAnsiTheme="minorHAnsi" w:cstheme="minorBidi"/>
              <w:noProof/>
              <w:sz w:val="22"/>
              <w:szCs w:val="22"/>
              <w:lang w:eastAsia="en-AU"/>
            </w:rPr>
          </w:pPr>
          <w:r>
            <w:rPr>
              <w:noProof/>
            </w:rPr>
            <w:t>F.2</w:t>
          </w:r>
          <w:r>
            <w:rPr>
              <w:rFonts w:asciiTheme="minorHAnsi" w:eastAsiaTheme="minorEastAsia" w:hAnsiTheme="minorHAnsi" w:cstheme="minorBidi"/>
              <w:noProof/>
              <w:sz w:val="22"/>
              <w:szCs w:val="22"/>
              <w:lang w:eastAsia="en-AU"/>
            </w:rPr>
            <w:tab/>
          </w:r>
          <w:r>
            <w:rPr>
              <w:noProof/>
            </w:rPr>
            <w:t>Sector performance indicator framework</w:t>
          </w:r>
          <w:r>
            <w:rPr>
              <w:noProof/>
            </w:rPr>
            <w:tab/>
          </w:r>
          <w:r w:rsidR="009801F2">
            <w:rPr>
              <w:noProof/>
            </w:rPr>
            <w:t>F.</w:t>
          </w:r>
          <w:r w:rsidR="00F33AC2">
            <w:rPr>
              <w:noProof/>
            </w:rPr>
            <w:t>7</w:t>
          </w:r>
        </w:p>
        <w:p w:rsidR="00074E5A" w:rsidRDefault="00074E5A">
          <w:pPr>
            <w:pStyle w:val="TOC2"/>
            <w:tabs>
              <w:tab w:val="left" w:pos="1134"/>
            </w:tabs>
            <w:rPr>
              <w:rFonts w:asciiTheme="minorHAnsi" w:eastAsiaTheme="minorEastAsia" w:hAnsiTheme="minorHAnsi" w:cstheme="minorBidi"/>
              <w:noProof/>
              <w:sz w:val="22"/>
              <w:szCs w:val="22"/>
              <w:lang w:eastAsia="en-AU"/>
            </w:rPr>
          </w:pPr>
          <w:r>
            <w:rPr>
              <w:noProof/>
            </w:rPr>
            <w:t>F.3</w:t>
          </w:r>
          <w:r>
            <w:rPr>
              <w:rFonts w:asciiTheme="minorHAnsi" w:eastAsiaTheme="minorEastAsia" w:hAnsiTheme="minorHAnsi" w:cstheme="minorBidi"/>
              <w:noProof/>
              <w:sz w:val="22"/>
              <w:szCs w:val="22"/>
              <w:lang w:eastAsia="en-AU"/>
            </w:rPr>
            <w:tab/>
          </w:r>
          <w:r>
            <w:rPr>
              <w:noProof/>
            </w:rPr>
            <w:t>Cross</w:t>
          </w:r>
          <w:r>
            <w:rPr>
              <w:noProof/>
            </w:rPr>
            <w:noBreakHyphen/>
            <w:t>cutting and interface issues</w:t>
          </w:r>
          <w:r>
            <w:rPr>
              <w:noProof/>
            </w:rPr>
            <w:tab/>
          </w:r>
          <w:r w:rsidR="009801F2">
            <w:rPr>
              <w:noProof/>
            </w:rPr>
            <w:t>F.</w:t>
          </w:r>
          <w:r w:rsidR="00F33AC2">
            <w:rPr>
              <w:noProof/>
            </w:rPr>
            <w:t>14</w:t>
          </w:r>
        </w:p>
        <w:p w:rsidR="00074E5A" w:rsidRDefault="00074E5A">
          <w:pPr>
            <w:pStyle w:val="TOC2"/>
            <w:tabs>
              <w:tab w:val="left" w:pos="1134"/>
            </w:tabs>
            <w:rPr>
              <w:rFonts w:asciiTheme="minorHAnsi" w:eastAsiaTheme="minorEastAsia" w:hAnsiTheme="minorHAnsi" w:cstheme="minorBidi"/>
              <w:noProof/>
              <w:sz w:val="22"/>
              <w:szCs w:val="22"/>
              <w:lang w:eastAsia="en-AU"/>
            </w:rPr>
          </w:pPr>
          <w:r>
            <w:rPr>
              <w:noProof/>
            </w:rPr>
            <w:t>F.4</w:t>
          </w:r>
          <w:r>
            <w:rPr>
              <w:rFonts w:asciiTheme="minorHAnsi" w:eastAsiaTheme="minorEastAsia" w:hAnsiTheme="minorHAnsi" w:cstheme="minorBidi"/>
              <w:noProof/>
              <w:sz w:val="22"/>
              <w:szCs w:val="22"/>
              <w:lang w:eastAsia="en-AU"/>
            </w:rPr>
            <w:tab/>
          </w:r>
          <w:r>
            <w:rPr>
              <w:noProof/>
            </w:rPr>
            <w:t>References</w:t>
          </w:r>
          <w:r>
            <w:rPr>
              <w:noProof/>
            </w:rPr>
            <w:tab/>
          </w:r>
          <w:r w:rsidR="009801F2">
            <w:rPr>
              <w:noProof/>
            </w:rPr>
            <w:t>F.</w:t>
          </w:r>
          <w:r w:rsidR="00F33AC2">
            <w:rPr>
              <w:noProof/>
            </w:rPr>
            <w:t>14</w:t>
          </w:r>
        </w:p>
        <w:p w:rsidR="00616CA0" w:rsidRPr="004A10AF" w:rsidRDefault="00F06C4E" w:rsidP="00047CD4">
          <w:pPr>
            <w:pStyle w:val="TOC2"/>
            <w:tabs>
              <w:tab w:val="left" w:pos="1134"/>
            </w:tabs>
          </w:pPr>
        </w:p>
      </w:sdtContent>
    </w:sdt>
    <w:p w:rsidR="00987737" w:rsidRPr="00BC53F9" w:rsidRDefault="00987737">
      <w:pPr>
        <w:pStyle w:val="BoxSpaceAbove"/>
        <w:rPr>
          <w:color w:val="808080" w:themeColor="background1" w:themeShade="8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C53F9" w:rsidRPr="00BC53F9" w:rsidTr="0077762E">
        <w:tc>
          <w:tcPr>
            <w:tcW w:w="8771" w:type="dxa"/>
            <w:tcBorders>
              <w:top w:val="single" w:sz="6" w:space="0" w:color="78A22F"/>
              <w:left w:val="nil"/>
              <w:bottom w:val="nil"/>
              <w:right w:val="nil"/>
            </w:tcBorders>
            <w:shd w:val="clear" w:color="auto" w:fill="F2F2F2"/>
          </w:tcPr>
          <w:p w:rsidR="00987737" w:rsidRPr="00BC53F9" w:rsidRDefault="00987737">
            <w:pPr>
              <w:pStyle w:val="BoxTitle"/>
            </w:pPr>
            <w:r w:rsidRPr="00BC53F9">
              <w:t>Attachment tables</w:t>
            </w:r>
          </w:p>
        </w:tc>
      </w:tr>
      <w:tr w:rsidR="00BC53F9" w:rsidRPr="00BC53F9" w:rsidTr="0077762E">
        <w:trPr>
          <w:cantSplit/>
        </w:trPr>
        <w:tc>
          <w:tcPr>
            <w:tcW w:w="8771" w:type="dxa"/>
            <w:tcBorders>
              <w:top w:val="nil"/>
              <w:left w:val="nil"/>
              <w:bottom w:val="nil"/>
              <w:right w:val="nil"/>
            </w:tcBorders>
            <w:shd w:val="clear" w:color="auto" w:fill="F2F2F2"/>
          </w:tcPr>
          <w:p w:rsidR="00987737" w:rsidRPr="00BC53F9" w:rsidRDefault="00987737" w:rsidP="00D82409">
            <w:pPr>
              <w:pStyle w:val="Box"/>
            </w:pPr>
            <w:r w:rsidRPr="00BC53F9">
              <w:t>Attachment tables are identified in references throughout this sector overview by a ‘FA’ pr</w:t>
            </w:r>
            <w:r w:rsidR="00D82409">
              <w:t xml:space="preserve">efix (for example, table FA.1) and </w:t>
            </w:r>
            <w:r w:rsidRPr="00BC53F9">
              <w:t xml:space="preserve">are available from the website at </w:t>
            </w:r>
            <w:r w:rsidR="00890BE1" w:rsidRPr="00257629">
              <w:t>www.pc.gov.au/rogs/2017</w:t>
            </w:r>
            <w:r w:rsidR="00890BE1">
              <w:rPr>
                <w:rStyle w:val="Hyperlink"/>
                <w:u w:val="none"/>
              </w:rPr>
              <w:t>.</w:t>
            </w:r>
          </w:p>
        </w:tc>
      </w:tr>
      <w:tr w:rsidR="00BC53F9" w:rsidRPr="00BC53F9" w:rsidTr="0077762E">
        <w:trPr>
          <w:cantSplit/>
        </w:trPr>
        <w:tc>
          <w:tcPr>
            <w:tcW w:w="8771" w:type="dxa"/>
            <w:tcBorders>
              <w:top w:val="nil"/>
              <w:left w:val="nil"/>
              <w:bottom w:val="single" w:sz="6" w:space="0" w:color="78A22F"/>
              <w:right w:val="nil"/>
            </w:tcBorders>
            <w:shd w:val="clear" w:color="auto" w:fill="F2F2F2"/>
          </w:tcPr>
          <w:p w:rsidR="00987737" w:rsidRPr="00BC53F9" w:rsidRDefault="00987737">
            <w:pPr>
              <w:pStyle w:val="Box"/>
              <w:spacing w:before="0" w:line="120" w:lineRule="exact"/>
            </w:pPr>
          </w:p>
        </w:tc>
      </w:tr>
      <w:tr w:rsidR="00BC53F9" w:rsidRPr="00BC53F9" w:rsidTr="0077762E">
        <w:tc>
          <w:tcPr>
            <w:tcW w:w="8771" w:type="dxa"/>
            <w:tcBorders>
              <w:top w:val="single" w:sz="6" w:space="0" w:color="78A22F"/>
              <w:left w:val="nil"/>
              <w:bottom w:val="nil"/>
              <w:right w:val="nil"/>
            </w:tcBorders>
          </w:tcPr>
          <w:p w:rsidR="00987737" w:rsidRPr="00BC53F9" w:rsidRDefault="00987737" w:rsidP="0077762E">
            <w:pPr>
              <w:pStyle w:val="BoxSpaceBelow"/>
            </w:pPr>
          </w:p>
        </w:tc>
      </w:tr>
    </w:tbl>
    <w:p w:rsidR="00182C03" w:rsidRPr="00BC53F9" w:rsidRDefault="00EC1787" w:rsidP="00182C03">
      <w:pPr>
        <w:pStyle w:val="Heading2"/>
      </w:pPr>
      <w:bookmarkStart w:id="6" w:name="_Toc338234650"/>
      <w:bookmarkStart w:id="7" w:name="_Toc396386200"/>
      <w:bookmarkStart w:id="8" w:name="_Toc463425931"/>
      <w:proofErr w:type="spellStart"/>
      <w:r>
        <w:t>F.</w:t>
      </w:r>
      <w:r w:rsidR="00F33AC2">
        <w:rPr>
          <w:noProof/>
        </w:rPr>
        <w:t>1</w:t>
      </w:r>
      <w:proofErr w:type="spellEnd"/>
      <w:r w:rsidR="003C2C54" w:rsidRPr="00BC53F9">
        <w:tab/>
      </w:r>
      <w:r w:rsidR="00182C03" w:rsidRPr="00BC53F9">
        <w:t>Introduction</w:t>
      </w:r>
      <w:bookmarkEnd w:id="6"/>
      <w:bookmarkEnd w:id="7"/>
      <w:bookmarkEnd w:id="8"/>
    </w:p>
    <w:p w:rsidR="00F410E9" w:rsidRDefault="0081363C" w:rsidP="00982528">
      <w:pPr>
        <w:pStyle w:val="BodyText"/>
      </w:pPr>
      <w:r w:rsidRPr="00761BCB">
        <w:t>Th</w:t>
      </w:r>
      <w:r w:rsidR="00982528">
        <w:t>e</w:t>
      </w:r>
      <w:r w:rsidRPr="00761BCB">
        <w:t xml:space="preserve"> </w:t>
      </w:r>
      <w:r w:rsidR="00982528">
        <w:t xml:space="preserve">community </w:t>
      </w:r>
      <w:r w:rsidR="00982528" w:rsidRPr="00761BCB">
        <w:t>sector</w:t>
      </w:r>
      <w:r w:rsidR="00982528">
        <w:t xml:space="preserve"> services covered in this report </w:t>
      </w:r>
      <w:r w:rsidR="00D81836" w:rsidRPr="00294F5E">
        <w:t>are</w:t>
      </w:r>
      <w:r w:rsidR="00982528">
        <w:t xml:space="preserve"> </w:t>
      </w:r>
      <w:r w:rsidR="006F0991" w:rsidRPr="00761BCB">
        <w:t>Aged care</w:t>
      </w:r>
      <w:r w:rsidRPr="00761BCB">
        <w:t xml:space="preserve"> </w:t>
      </w:r>
      <w:r w:rsidR="006F0991" w:rsidRPr="00761BCB">
        <w:t>service</w:t>
      </w:r>
      <w:r w:rsidR="0033601E" w:rsidRPr="00761BCB">
        <w:t xml:space="preserve">s </w:t>
      </w:r>
      <w:r w:rsidRPr="00761BCB">
        <w:t>(chapter</w:t>
      </w:r>
      <w:r w:rsidR="007B1909" w:rsidRPr="00761BCB">
        <w:t> </w:t>
      </w:r>
      <w:r w:rsidRPr="00761BCB">
        <w:t>1</w:t>
      </w:r>
      <w:r w:rsidR="00761BCB" w:rsidRPr="00761BCB">
        <w:t>4</w:t>
      </w:r>
      <w:r w:rsidRPr="00761BCB">
        <w:t>)</w:t>
      </w:r>
      <w:r w:rsidR="006F0991" w:rsidRPr="00761BCB">
        <w:t>, Services for people with disability</w:t>
      </w:r>
      <w:r w:rsidRPr="00761BCB">
        <w:t xml:space="preserve"> (chapter</w:t>
      </w:r>
      <w:r w:rsidR="00EA7C93" w:rsidRPr="00761BCB">
        <w:t> </w:t>
      </w:r>
      <w:r w:rsidRPr="00761BCB">
        <w:t>1</w:t>
      </w:r>
      <w:r w:rsidR="00761BCB" w:rsidRPr="00761BCB">
        <w:t>5</w:t>
      </w:r>
      <w:r w:rsidRPr="00761BCB">
        <w:t>)</w:t>
      </w:r>
      <w:r w:rsidR="00F17222" w:rsidRPr="00761BCB">
        <w:t>,</w:t>
      </w:r>
      <w:r w:rsidR="006F0991" w:rsidRPr="00761BCB">
        <w:t xml:space="preserve"> </w:t>
      </w:r>
      <w:r w:rsidR="00FD2A09" w:rsidRPr="00761BCB">
        <w:t xml:space="preserve">Child protection </w:t>
      </w:r>
      <w:r w:rsidR="00F17222" w:rsidRPr="00761BCB">
        <w:t>service</w:t>
      </w:r>
      <w:r w:rsidR="006B1005" w:rsidRPr="00761BCB">
        <w:t>s</w:t>
      </w:r>
      <w:r w:rsidR="00F17222" w:rsidRPr="00761BCB">
        <w:t xml:space="preserve"> (chapter</w:t>
      </w:r>
      <w:r w:rsidR="00EA7C93" w:rsidRPr="00761BCB">
        <w:t> </w:t>
      </w:r>
      <w:r w:rsidR="00F17222" w:rsidRPr="00761BCB">
        <w:t>1</w:t>
      </w:r>
      <w:r w:rsidR="00761BCB" w:rsidRPr="00761BCB">
        <w:t>6</w:t>
      </w:r>
      <w:r w:rsidR="00F17222" w:rsidRPr="00761BCB">
        <w:t xml:space="preserve">) </w:t>
      </w:r>
      <w:r w:rsidR="00FD2A09" w:rsidRPr="00761BCB">
        <w:t xml:space="preserve">and </w:t>
      </w:r>
      <w:r w:rsidR="00F17222" w:rsidRPr="00761BCB">
        <w:t>Y</w:t>
      </w:r>
      <w:r w:rsidR="00FD2A09" w:rsidRPr="00761BCB">
        <w:t xml:space="preserve">outh justice </w:t>
      </w:r>
      <w:r w:rsidR="006F0991" w:rsidRPr="00761BCB">
        <w:t>services (chapter</w:t>
      </w:r>
      <w:r w:rsidR="00EA7C93" w:rsidRPr="00761BCB">
        <w:t> </w:t>
      </w:r>
      <w:r w:rsidR="006F0991" w:rsidRPr="00761BCB">
        <w:t>1</w:t>
      </w:r>
      <w:r w:rsidR="00761BCB" w:rsidRPr="00761BCB">
        <w:t>7</w:t>
      </w:r>
      <w:r w:rsidR="006F0991" w:rsidRPr="00761BCB">
        <w:t>)</w:t>
      </w:r>
      <w:r w:rsidR="00982528">
        <w:t>.</w:t>
      </w:r>
    </w:p>
    <w:p w:rsidR="00982528" w:rsidRDefault="00BA1822" w:rsidP="00982528">
      <w:pPr>
        <w:pStyle w:val="BodyText"/>
      </w:pPr>
      <w:bookmarkStart w:id="9" w:name="_Toc272325756"/>
      <w:r w:rsidRPr="00253469">
        <w:t>Community services provide support to sustain and nurture the functioning of individuals, families and groups, to maximise their potential and to enhance community wellbeing (Australian Council of Social Service 2009). Services are typically provided by government and the not</w:t>
      </w:r>
      <w:r w:rsidRPr="00253469">
        <w:noBreakHyphen/>
        <w:t>for</w:t>
      </w:r>
      <w:r w:rsidRPr="00253469">
        <w:noBreakHyphen/>
        <w:t>profit sector, but the for</w:t>
      </w:r>
      <w:r w:rsidR="007A3B79" w:rsidRPr="00253469">
        <w:noBreakHyphen/>
      </w:r>
      <w:r w:rsidRPr="00253469">
        <w:t>profit sector also has an important role (for example, as owners of aged care facilities). Community services also contribute to the development of community infrastructure to service needs (A</w:t>
      </w:r>
      <w:r w:rsidR="009A2F30" w:rsidRPr="00253469">
        <w:t>ustralian Institute of Health and Welfare (A</w:t>
      </w:r>
      <w:r w:rsidRPr="00253469">
        <w:t>IHW</w:t>
      </w:r>
      <w:r w:rsidR="009A2F30" w:rsidRPr="00253469">
        <w:t>)</w:t>
      </w:r>
      <w:r w:rsidRPr="00253469">
        <w:t xml:space="preserve"> 2005).</w:t>
      </w:r>
    </w:p>
    <w:p w:rsidR="00982528" w:rsidRDefault="00982528" w:rsidP="005D506C">
      <w:pPr>
        <w:pStyle w:val="Heading3"/>
      </w:pPr>
      <w:r>
        <w:lastRenderedPageBreak/>
        <w:t>Profile of the community services sector</w:t>
      </w:r>
    </w:p>
    <w:p w:rsidR="005D506C" w:rsidRPr="004A10AF" w:rsidRDefault="005D506C" w:rsidP="00982528">
      <w:pPr>
        <w:pStyle w:val="Heading4"/>
      </w:pPr>
      <w:r w:rsidRPr="004A10AF">
        <w:t xml:space="preserve">Sector </w:t>
      </w:r>
      <w:r w:rsidR="00982528">
        <w:t>outlin</w:t>
      </w:r>
      <w:r w:rsidRPr="004A10AF">
        <w:t>e</w:t>
      </w:r>
      <w:bookmarkEnd w:id="9"/>
    </w:p>
    <w:p w:rsidR="00BA1822" w:rsidRPr="00C50FE0" w:rsidRDefault="00BA1822" w:rsidP="00BA1822">
      <w:pPr>
        <w:pStyle w:val="BodyText"/>
      </w:pPr>
      <w:r w:rsidRPr="00C50FE0">
        <w:t xml:space="preserve">The </w:t>
      </w:r>
      <w:r w:rsidR="008F4C0E">
        <w:t>scope</w:t>
      </w:r>
      <w:r w:rsidRPr="00C50FE0">
        <w:t xml:space="preserve"> of community services activities </w:t>
      </w:r>
      <w:r w:rsidR="008F4C0E">
        <w:t xml:space="preserve">(box F.1) </w:t>
      </w:r>
      <w:r w:rsidR="00617CC0" w:rsidRPr="00294F5E">
        <w:t>is</w:t>
      </w:r>
      <w:r w:rsidR="00617CC0">
        <w:t xml:space="preserve"> </w:t>
      </w:r>
      <w:r w:rsidRPr="00C50FE0">
        <w:t xml:space="preserve">based on the National Classification of Community </w:t>
      </w:r>
      <w:r w:rsidRPr="00483C15">
        <w:t xml:space="preserve">Services developed by the AIHW </w:t>
      </w:r>
      <w:r w:rsidR="00F410E9">
        <w:t>(</w:t>
      </w:r>
      <w:r w:rsidR="008F4C0E">
        <w:t>2003)</w:t>
      </w:r>
      <w:r w:rsidRPr="00483C15">
        <w:t>. The</w:t>
      </w:r>
      <w:r w:rsidRPr="00C50FE0">
        <w:t xml:space="preserve"> </w:t>
      </w:r>
      <w:r w:rsidR="0033601E" w:rsidRPr="00C50FE0">
        <w:t xml:space="preserve">sector </w:t>
      </w:r>
      <w:r w:rsidR="008F4C0E" w:rsidRPr="003850A5">
        <w:t>is complex, and consistent aggregate reporting across the community services sector is not possible at this time</w:t>
      </w:r>
      <w:r w:rsidR="005631D2">
        <w:t>,</w:t>
      </w:r>
      <w:r w:rsidR="008F4C0E" w:rsidRPr="00C50FE0">
        <w:t xml:space="preserve"> </w:t>
      </w:r>
      <w:r w:rsidR="005631D2">
        <w:t>hence</w:t>
      </w:r>
      <w:r w:rsidRPr="00C50FE0">
        <w:t xml:space="preserve"> the</w:t>
      </w:r>
      <w:r w:rsidR="005631D2">
        <w:t xml:space="preserve"> subset of</w:t>
      </w:r>
      <w:r w:rsidRPr="00C50FE0">
        <w:t xml:space="preserve"> </w:t>
      </w:r>
      <w:r w:rsidR="006B1005" w:rsidRPr="00C50FE0">
        <w:t>four</w:t>
      </w:r>
      <w:r w:rsidRPr="00C50FE0">
        <w:t xml:space="preserve"> service</w:t>
      </w:r>
      <w:r w:rsidR="007A3B79" w:rsidRPr="00C50FE0">
        <w:noBreakHyphen/>
      </w:r>
      <w:r w:rsidRPr="00C50FE0">
        <w:t>specific chapters in this section of the Report</w:t>
      </w:r>
      <w:r w:rsidR="00373B97">
        <w:t>.</w:t>
      </w:r>
    </w:p>
    <w:p w:rsidR="00597873" w:rsidRPr="00BC53F9" w:rsidRDefault="00597873">
      <w:pPr>
        <w:pStyle w:val="BoxSpaceAbove"/>
        <w:rPr>
          <w:color w:val="808080" w:themeColor="background1" w:themeShade="8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C53F9" w:rsidRPr="00C50FE0" w:rsidTr="00F72ECB">
        <w:tc>
          <w:tcPr>
            <w:tcW w:w="8771" w:type="dxa"/>
            <w:tcBorders>
              <w:top w:val="single" w:sz="6" w:space="0" w:color="78A22F"/>
              <w:left w:val="nil"/>
              <w:bottom w:val="nil"/>
              <w:right w:val="nil"/>
            </w:tcBorders>
            <w:shd w:val="clear" w:color="auto" w:fill="F2F2F2" w:themeFill="background1" w:themeFillShade="F2"/>
          </w:tcPr>
          <w:p w:rsidR="00597873" w:rsidRPr="00C50FE0" w:rsidRDefault="00597873" w:rsidP="00EC1787">
            <w:pPr>
              <w:pStyle w:val="BoxTitle"/>
            </w:pPr>
            <w:r w:rsidRPr="00C50FE0">
              <w:rPr>
                <w:b w:val="0"/>
              </w:rPr>
              <w:t xml:space="preserve">Box </w:t>
            </w:r>
            <w:proofErr w:type="spellStart"/>
            <w:r w:rsidR="00EC1787">
              <w:rPr>
                <w:b w:val="0"/>
              </w:rPr>
              <w:t>F.</w:t>
            </w:r>
            <w:r w:rsidR="00F33AC2">
              <w:rPr>
                <w:b w:val="0"/>
                <w:noProof/>
              </w:rPr>
              <w:t>1</w:t>
            </w:r>
            <w:proofErr w:type="spellEnd"/>
            <w:r w:rsidRPr="00C50FE0">
              <w:tab/>
              <w:t>Community service</w:t>
            </w:r>
            <w:r w:rsidR="00616CA0" w:rsidRPr="00C50FE0">
              <w:t>s</w:t>
            </w:r>
            <w:r w:rsidRPr="00C50FE0">
              <w:t xml:space="preserve"> activities</w:t>
            </w:r>
          </w:p>
        </w:tc>
      </w:tr>
      <w:tr w:rsidR="00BC53F9" w:rsidRPr="00C50FE0" w:rsidTr="00F72ECB">
        <w:trPr>
          <w:cantSplit/>
        </w:trPr>
        <w:tc>
          <w:tcPr>
            <w:tcW w:w="8771" w:type="dxa"/>
            <w:tcBorders>
              <w:top w:val="nil"/>
              <w:left w:val="nil"/>
              <w:bottom w:val="nil"/>
              <w:right w:val="nil"/>
            </w:tcBorders>
            <w:shd w:val="clear" w:color="auto" w:fill="F2F2F2" w:themeFill="background1" w:themeFillShade="F2"/>
          </w:tcPr>
          <w:p w:rsidR="00597873" w:rsidRPr="00C50FE0" w:rsidRDefault="00597873" w:rsidP="00597873">
            <w:pPr>
              <w:pStyle w:val="Box"/>
            </w:pPr>
            <w:r w:rsidRPr="00C50FE0">
              <w:t>Community service</w:t>
            </w:r>
            <w:r w:rsidR="00616CA0" w:rsidRPr="00C50FE0">
              <w:t>s</w:t>
            </w:r>
            <w:r w:rsidRPr="00C50FE0">
              <w:t xml:space="preserve"> activities include:</w:t>
            </w:r>
          </w:p>
          <w:p w:rsidR="00597873" w:rsidRPr="00C50FE0" w:rsidRDefault="00597873" w:rsidP="00597873">
            <w:pPr>
              <w:pStyle w:val="Box"/>
            </w:pPr>
            <w:r w:rsidRPr="00C50FE0">
              <w:rPr>
                <w:i/>
              </w:rPr>
              <w:t>Personal and social support</w:t>
            </w:r>
            <w:r w:rsidRPr="00C50FE0">
              <w:t xml:space="preserve"> — </w:t>
            </w:r>
            <w:r w:rsidR="00616CA0" w:rsidRPr="00C50FE0">
              <w:t>providing</w:t>
            </w:r>
            <w:r w:rsidRPr="00C50FE0">
              <w:t xml:space="preserve"> support for personal or social functioning in daily life. Such activities promote the development of personal skills for successful functioning as individuals, family members and members of the wider community</w:t>
            </w:r>
            <w:r w:rsidR="00927843">
              <w:t xml:space="preserve"> and</w:t>
            </w:r>
            <w:r w:rsidRPr="00C50FE0">
              <w:t xml:space="preserve"> include: the provision of information, advice and referral; personal, social and systemic advocacy; counselling; domestic assistance; provision of services that enable people to remain in their homes; disability services and other personal assistance services. </w:t>
            </w:r>
          </w:p>
          <w:p w:rsidR="00597873" w:rsidRPr="00C50FE0" w:rsidRDefault="00597873" w:rsidP="00597873">
            <w:pPr>
              <w:pStyle w:val="Box"/>
            </w:pPr>
            <w:r w:rsidRPr="00C50FE0">
              <w:rPr>
                <w:i/>
              </w:rPr>
              <w:t>Support for children, families and carers</w:t>
            </w:r>
            <w:r w:rsidRPr="00C50FE0">
              <w:t xml:space="preserve"> —</w:t>
            </w:r>
            <w:r w:rsidR="00697B91">
              <w:t xml:space="preserve"> </w:t>
            </w:r>
            <w:r w:rsidRPr="00C50FE0">
              <w:t>supporting families and protecting children from abuse and neglect or harm through statutory intervention.</w:t>
            </w:r>
            <w:r w:rsidR="00927843">
              <w:t xml:space="preserve"> </w:t>
            </w:r>
          </w:p>
          <w:p w:rsidR="00597873" w:rsidRPr="00C50FE0" w:rsidRDefault="00597873" w:rsidP="00597873">
            <w:pPr>
              <w:pStyle w:val="Box"/>
            </w:pPr>
            <w:r w:rsidRPr="00C50FE0">
              <w:rPr>
                <w:i/>
              </w:rPr>
              <w:t>Training, vocational rehabilitation and employment</w:t>
            </w:r>
            <w:r w:rsidRPr="00C50FE0">
              <w:t xml:space="preserve"> — </w:t>
            </w:r>
            <w:r w:rsidR="00616CA0" w:rsidRPr="00C50FE0">
              <w:t>assisting</w:t>
            </w:r>
            <w:r w:rsidRPr="00C50FE0">
              <w:t xml:space="preserve"> people who are disadvantaged in the labour market by providing training, job search skills, help in finding work, placement and support in open employment or, where appropriate, supported employment.</w:t>
            </w:r>
          </w:p>
          <w:p w:rsidR="00597873" w:rsidRPr="00C50FE0" w:rsidRDefault="00597873" w:rsidP="00597873">
            <w:pPr>
              <w:pStyle w:val="Box"/>
            </w:pPr>
            <w:r w:rsidRPr="00C50FE0">
              <w:rPr>
                <w:i/>
              </w:rPr>
              <w:t>Financial and material assistance</w:t>
            </w:r>
            <w:r w:rsidRPr="00C50FE0">
              <w:t xml:space="preserve"> —</w:t>
            </w:r>
            <w:r w:rsidR="00697B91">
              <w:t xml:space="preserve"> </w:t>
            </w:r>
            <w:r w:rsidRPr="00C50FE0">
              <w:t>provi</w:t>
            </w:r>
            <w:r w:rsidR="001E11C8">
              <w:t>ding</w:t>
            </w:r>
            <w:r w:rsidRPr="00C50FE0">
              <w:t xml:space="preserve"> emergency or immediate financial assistance and material goods.</w:t>
            </w:r>
          </w:p>
          <w:p w:rsidR="00597873" w:rsidRPr="00C50FE0" w:rsidRDefault="00597873" w:rsidP="00597873">
            <w:pPr>
              <w:pStyle w:val="Box"/>
            </w:pPr>
            <w:r w:rsidRPr="00C50FE0">
              <w:rPr>
                <w:i/>
              </w:rPr>
              <w:t>Residential care and supported accommodation</w:t>
            </w:r>
            <w:r w:rsidRPr="00C50FE0">
              <w:t xml:space="preserve"> — </w:t>
            </w:r>
            <w:r w:rsidR="00292755" w:rsidRPr="00C50FE0">
              <w:t>providing</w:t>
            </w:r>
            <w:r w:rsidRPr="00C50FE0">
              <w:t xml:space="preserve"> special purpose residential facilities, in conjunction with other types of support, such as assistance with necessary day</w:t>
            </w:r>
            <w:r w:rsidR="007A3B79" w:rsidRPr="00C50FE0">
              <w:noBreakHyphen/>
            </w:r>
            <w:r w:rsidRPr="00C50FE0">
              <w:t>to</w:t>
            </w:r>
            <w:r w:rsidR="007A3B79" w:rsidRPr="00C50FE0">
              <w:noBreakHyphen/>
            </w:r>
            <w:r w:rsidRPr="00C50FE0">
              <w:t xml:space="preserve">day living tasks and intensive forms of care such as nursing care. </w:t>
            </w:r>
          </w:p>
          <w:p w:rsidR="00597873" w:rsidRPr="00C50FE0" w:rsidRDefault="00292755" w:rsidP="00597873">
            <w:pPr>
              <w:pStyle w:val="Box"/>
            </w:pPr>
            <w:r w:rsidRPr="00C50FE0">
              <w:rPr>
                <w:i/>
              </w:rPr>
              <w:t>Youth justice</w:t>
            </w:r>
            <w:r w:rsidR="00597873" w:rsidRPr="00C50FE0">
              <w:rPr>
                <w:i/>
              </w:rPr>
              <w:t xml:space="preserve"> services</w:t>
            </w:r>
            <w:r w:rsidR="00597873" w:rsidRPr="00C50FE0">
              <w:t xml:space="preserve"> —</w:t>
            </w:r>
            <w:r w:rsidR="00AD4E65">
              <w:t xml:space="preserve"> </w:t>
            </w:r>
            <w:r w:rsidR="00AD4E65" w:rsidRPr="00AD4E65">
              <w:t>providing supervision and case management of young people who have committed or allegedly committed an offence</w:t>
            </w:r>
            <w:r w:rsidR="00597873" w:rsidRPr="00C50FE0">
              <w:t>.</w:t>
            </w:r>
            <w:r w:rsidR="00597873" w:rsidRPr="00C50FE0">
              <w:rPr>
                <w:rStyle w:val="NoteLabel"/>
              </w:rPr>
              <w:t>a</w:t>
            </w:r>
          </w:p>
          <w:p w:rsidR="00597873" w:rsidRPr="00C50FE0" w:rsidRDefault="00597873" w:rsidP="00597873">
            <w:pPr>
              <w:pStyle w:val="Box"/>
            </w:pPr>
            <w:r w:rsidRPr="00C50FE0">
              <w:rPr>
                <w:i/>
              </w:rPr>
              <w:t>Service and community development and support</w:t>
            </w:r>
            <w:r w:rsidRPr="00C50FE0">
              <w:t xml:space="preserve"> — </w:t>
            </w:r>
            <w:r w:rsidR="00F94261" w:rsidRPr="00C50FE0">
              <w:t>providing</w:t>
            </w:r>
            <w:r w:rsidRPr="00C50FE0">
              <w:t xml:space="preserve"> support aimed at articulating and promoting improved social policies; promoting greater public awareness of social issues; developing and supporting community based activities, special interest and cultural groups; and developing and facilitating the delivery of quality community services. Activities include the development of public policy submissions, social planning and social action, the provision of expert advice, coordination, training, staff and volunteer development, and management support to service providers.</w:t>
            </w:r>
          </w:p>
          <w:p w:rsidR="00597873" w:rsidRPr="00C50FE0" w:rsidRDefault="00597873" w:rsidP="00654E95">
            <w:pPr>
              <w:pStyle w:val="Box"/>
            </w:pPr>
            <w:r w:rsidRPr="00C50FE0">
              <w:rPr>
                <w:rStyle w:val="NoteLabel"/>
              </w:rPr>
              <w:t>a</w:t>
            </w:r>
            <w:r w:rsidRPr="00C50FE0">
              <w:t xml:space="preserve"> </w:t>
            </w:r>
            <w:r w:rsidRPr="00654E95">
              <w:t xml:space="preserve">This Report uses the term ‘youth justice’ to refer to </w:t>
            </w:r>
            <w:r w:rsidR="00654E95">
              <w:t>y</w:t>
            </w:r>
            <w:r w:rsidR="00654E95" w:rsidRPr="00654E95">
              <w:t xml:space="preserve">outh justice systems </w:t>
            </w:r>
            <w:r w:rsidR="00654E95">
              <w:t xml:space="preserve">that </w:t>
            </w:r>
            <w:r w:rsidR="00654E95" w:rsidRPr="00654E95">
              <w:t>are responsible for administering justice to young people who have committed or allegedly committed an offence while considered by law to be a child or young person (</w:t>
            </w:r>
            <w:r w:rsidR="00654E95">
              <w:t xml:space="preserve">predominantly aged 10–17 years; </w:t>
            </w:r>
            <w:r w:rsidRPr="00654E95">
              <w:t>chapter</w:t>
            </w:r>
            <w:r w:rsidR="00EA7C93" w:rsidRPr="00654E95">
              <w:t> </w:t>
            </w:r>
            <w:r w:rsidRPr="00654E95">
              <w:t>1</w:t>
            </w:r>
            <w:r w:rsidR="002B1D3A" w:rsidRPr="00654E95">
              <w:t>7</w:t>
            </w:r>
            <w:r w:rsidRPr="00654E95">
              <w:t>).</w:t>
            </w:r>
          </w:p>
        </w:tc>
      </w:tr>
      <w:tr w:rsidR="00BC53F9" w:rsidRPr="00C50FE0" w:rsidTr="00F72ECB">
        <w:trPr>
          <w:cantSplit/>
        </w:trPr>
        <w:tc>
          <w:tcPr>
            <w:tcW w:w="8771" w:type="dxa"/>
            <w:tcBorders>
              <w:top w:val="nil"/>
              <w:left w:val="nil"/>
              <w:bottom w:val="nil"/>
              <w:right w:val="nil"/>
            </w:tcBorders>
            <w:shd w:val="clear" w:color="auto" w:fill="F2F2F2" w:themeFill="background1" w:themeFillShade="F2"/>
          </w:tcPr>
          <w:p w:rsidR="00597873" w:rsidRPr="00C50FE0" w:rsidRDefault="00597873" w:rsidP="00597873">
            <w:pPr>
              <w:pStyle w:val="BoxSource"/>
            </w:pPr>
            <w:r w:rsidRPr="00C50FE0">
              <w:rPr>
                <w:i/>
              </w:rPr>
              <w:t>Source</w:t>
            </w:r>
            <w:r w:rsidRPr="00C50FE0">
              <w:t>: AIHW (2003); State and Territory governments (unpublished).</w:t>
            </w:r>
          </w:p>
        </w:tc>
      </w:tr>
      <w:tr w:rsidR="00BC53F9" w:rsidRPr="00C50FE0" w:rsidTr="00F72ECB">
        <w:trPr>
          <w:cantSplit/>
        </w:trPr>
        <w:tc>
          <w:tcPr>
            <w:tcW w:w="8771" w:type="dxa"/>
            <w:tcBorders>
              <w:top w:val="nil"/>
              <w:left w:val="nil"/>
              <w:bottom w:val="single" w:sz="6" w:space="0" w:color="78A22F"/>
              <w:right w:val="nil"/>
            </w:tcBorders>
            <w:shd w:val="clear" w:color="auto" w:fill="F2F2F2" w:themeFill="background1" w:themeFillShade="F2"/>
          </w:tcPr>
          <w:p w:rsidR="00597873" w:rsidRPr="00C50FE0" w:rsidRDefault="00597873">
            <w:pPr>
              <w:pStyle w:val="Box"/>
              <w:spacing w:before="0" w:line="120" w:lineRule="exact"/>
            </w:pPr>
          </w:p>
        </w:tc>
      </w:tr>
      <w:tr w:rsidR="00BC53F9" w:rsidRPr="00C50FE0" w:rsidTr="00F72ECB">
        <w:tc>
          <w:tcPr>
            <w:tcW w:w="8771" w:type="dxa"/>
            <w:tcBorders>
              <w:top w:val="single" w:sz="6" w:space="0" w:color="78A22F"/>
              <w:left w:val="nil"/>
              <w:bottom w:val="nil"/>
              <w:right w:val="nil"/>
            </w:tcBorders>
          </w:tcPr>
          <w:p w:rsidR="00597873" w:rsidRPr="00C50FE0" w:rsidRDefault="00597873" w:rsidP="00F72ECB">
            <w:pPr>
              <w:pStyle w:val="BoxSpaceBelow"/>
            </w:pPr>
          </w:p>
        </w:tc>
      </w:tr>
    </w:tbl>
    <w:p w:rsidR="00CD37EF" w:rsidRPr="00437D60" w:rsidRDefault="00CD37EF" w:rsidP="008655A2">
      <w:pPr>
        <w:pStyle w:val="Heading4"/>
      </w:pPr>
      <w:r w:rsidRPr="00437D60">
        <w:lastRenderedPageBreak/>
        <w:t>Roles and responsibilities</w:t>
      </w:r>
    </w:p>
    <w:p w:rsidR="00177BA6" w:rsidRPr="00F002C6" w:rsidRDefault="00CD37EF" w:rsidP="00CD37EF">
      <w:pPr>
        <w:pStyle w:val="BodyText"/>
      </w:pPr>
      <w:r w:rsidRPr="00F002C6">
        <w:t>The Australian, State and Territory governments have major role</w:t>
      </w:r>
      <w:r w:rsidR="00930FE5" w:rsidRPr="00F002C6">
        <w:t>s</w:t>
      </w:r>
      <w:r w:rsidRPr="00F002C6">
        <w:t xml:space="preserve"> in the provision of community services. Th</w:t>
      </w:r>
      <w:r w:rsidR="00930FE5" w:rsidRPr="00F002C6">
        <w:t>ese</w:t>
      </w:r>
      <w:r w:rsidRPr="00F002C6">
        <w:t xml:space="preserve"> role</w:t>
      </w:r>
      <w:r w:rsidR="00930FE5" w:rsidRPr="00F002C6">
        <w:t>s</w:t>
      </w:r>
      <w:r w:rsidRPr="00F002C6">
        <w:t xml:space="preserve"> </w:t>
      </w:r>
      <w:r w:rsidR="00930FE5" w:rsidRPr="00F002C6">
        <w:t>are</w:t>
      </w:r>
      <w:r w:rsidRPr="00F002C6">
        <w:t xml:space="preserve"> based on mandate</w:t>
      </w:r>
      <w:r w:rsidR="00930FE5" w:rsidRPr="00F002C6">
        <w:t>s</w:t>
      </w:r>
      <w:r w:rsidRPr="00F002C6">
        <w:t xml:space="preserve"> to ensure basic rights and an acceptable standard of living, and a requirement to protect and support vulnerable people in society. </w:t>
      </w:r>
    </w:p>
    <w:p w:rsidR="00CD37EF" w:rsidRPr="009D14DB" w:rsidRDefault="00CD37EF" w:rsidP="00CD37EF">
      <w:pPr>
        <w:pStyle w:val="BodyText"/>
      </w:pPr>
      <w:r w:rsidRPr="00333CE6">
        <w:t>Local governments are also funders and providers of community services. However, community services funded solely by local government are not included in this Report.</w:t>
      </w:r>
    </w:p>
    <w:p w:rsidR="00CD37EF" w:rsidRPr="004B6802" w:rsidRDefault="00CD37EF" w:rsidP="00CD37EF">
      <w:pPr>
        <w:pStyle w:val="BodyText"/>
      </w:pPr>
      <w:r w:rsidRPr="004B6802">
        <w:t>Government involvement in community services includes:</w:t>
      </w:r>
    </w:p>
    <w:p w:rsidR="00CD37EF" w:rsidRPr="004B6802" w:rsidRDefault="00CD37EF" w:rsidP="00CD37EF">
      <w:pPr>
        <w:pStyle w:val="ListBullet"/>
      </w:pPr>
      <w:r w:rsidRPr="004B6802">
        <w:t>providing services directly to clients</w:t>
      </w:r>
    </w:p>
    <w:p w:rsidR="00CD37EF" w:rsidRPr="004B6802" w:rsidRDefault="00CD37EF" w:rsidP="00CD37EF">
      <w:pPr>
        <w:pStyle w:val="ListBullet"/>
      </w:pPr>
      <w:r w:rsidRPr="004B6802">
        <w:t>funding non</w:t>
      </w:r>
      <w:r w:rsidR="007A3B79" w:rsidRPr="004B6802">
        <w:noBreakHyphen/>
      </w:r>
      <w:r w:rsidRPr="004B6802">
        <w:t>government community service providers (</w:t>
      </w:r>
      <w:r w:rsidR="005631D2">
        <w:t>to</w:t>
      </w:r>
      <w:r w:rsidRPr="004B6802">
        <w:t xml:space="preserve"> provide services to clients)</w:t>
      </w:r>
    </w:p>
    <w:p w:rsidR="00CD37EF" w:rsidRPr="004B6802" w:rsidRDefault="00CD37EF" w:rsidP="00CD37EF">
      <w:pPr>
        <w:pStyle w:val="ListBullet"/>
      </w:pPr>
      <w:r w:rsidRPr="004B6802">
        <w:t>legislating for, and regulating, government and non</w:t>
      </w:r>
      <w:r w:rsidR="007A3B79" w:rsidRPr="004B6802">
        <w:noBreakHyphen/>
      </w:r>
      <w:r w:rsidRPr="004B6802">
        <w:t>government providers</w:t>
      </w:r>
    </w:p>
    <w:p w:rsidR="00CD37EF" w:rsidRPr="004B6802" w:rsidRDefault="00CD37EF" w:rsidP="00C51941">
      <w:pPr>
        <w:pStyle w:val="ListBullet"/>
      </w:pPr>
      <w:r w:rsidRPr="004B6802">
        <w:t>undertaking</w:t>
      </w:r>
      <w:r w:rsidR="00950BCA" w:rsidRPr="004B6802">
        <w:t xml:space="preserve"> strategic planning,</w:t>
      </w:r>
      <w:r w:rsidRPr="004B6802">
        <w:t xml:space="preserve"> policy development and administration</w:t>
      </w:r>
    </w:p>
    <w:p w:rsidR="00CD37EF" w:rsidRPr="004B6802" w:rsidRDefault="00CD37EF" w:rsidP="00CD37EF">
      <w:pPr>
        <w:pStyle w:val="ListBullet"/>
      </w:pPr>
      <w:r w:rsidRPr="004B6802">
        <w:t xml:space="preserve">undertaking </w:t>
      </w:r>
      <w:r w:rsidR="000B70A7" w:rsidRPr="004B6802">
        <w:t xml:space="preserve">monitoring and </w:t>
      </w:r>
      <w:r w:rsidRPr="004B6802">
        <w:t>evaluation of community services</w:t>
      </w:r>
      <w:r w:rsidR="007354B5" w:rsidRPr="004B6802">
        <w:t>’</w:t>
      </w:r>
      <w:r w:rsidRPr="004B6802">
        <w:t xml:space="preserve"> programs.</w:t>
      </w:r>
    </w:p>
    <w:p w:rsidR="00CD37EF" w:rsidRPr="00F43679" w:rsidRDefault="00CD37EF" w:rsidP="00CD37EF">
      <w:pPr>
        <w:pStyle w:val="BodyText"/>
      </w:pPr>
      <w:r w:rsidRPr="003C5EDB">
        <w:t xml:space="preserve">The roles and funding arrangements for community services vary across service areas and programs: </w:t>
      </w:r>
    </w:p>
    <w:p w:rsidR="00CD37EF" w:rsidRPr="003C5EDB" w:rsidRDefault="00CD37EF" w:rsidP="00CD37EF">
      <w:pPr>
        <w:pStyle w:val="ListBullet"/>
      </w:pPr>
      <w:r w:rsidRPr="003C5EDB">
        <w:t>statutory child protection, out</w:t>
      </w:r>
      <w:r w:rsidR="007A3B79" w:rsidRPr="003C5EDB">
        <w:noBreakHyphen/>
      </w:r>
      <w:r w:rsidRPr="003C5EDB">
        <w:t>of</w:t>
      </w:r>
      <w:r w:rsidR="007A3B79" w:rsidRPr="003C5EDB">
        <w:noBreakHyphen/>
      </w:r>
      <w:r w:rsidRPr="003C5EDB">
        <w:t xml:space="preserve">home care services, intensive family support services and </w:t>
      </w:r>
      <w:r w:rsidR="004D4DD2" w:rsidRPr="003C5EDB">
        <w:t>youth</w:t>
      </w:r>
      <w:r w:rsidRPr="003C5EDB">
        <w:t xml:space="preserve"> justice services are funded </w:t>
      </w:r>
      <w:r w:rsidR="007A0F8C" w:rsidRPr="003C5EDB">
        <w:t xml:space="preserve">and delivered primarily </w:t>
      </w:r>
      <w:r w:rsidRPr="003C5EDB">
        <w:t xml:space="preserve">by State and Territory governments, with </w:t>
      </w:r>
      <w:r w:rsidR="008B6284" w:rsidRPr="00294F5E">
        <w:t>increasing</w:t>
      </w:r>
      <w:r w:rsidRPr="003C5EDB">
        <w:t xml:space="preserve"> non</w:t>
      </w:r>
      <w:r w:rsidR="007A3B79" w:rsidRPr="003C5EDB">
        <w:noBreakHyphen/>
      </w:r>
      <w:r w:rsidRPr="003C5EDB">
        <w:t>government sector involvement, particularly in the delivery of out</w:t>
      </w:r>
      <w:r w:rsidR="007A3B79" w:rsidRPr="003C5EDB">
        <w:noBreakHyphen/>
      </w:r>
      <w:r w:rsidRPr="003C5EDB">
        <w:t>of</w:t>
      </w:r>
      <w:r w:rsidR="007A3B79" w:rsidRPr="003C5EDB">
        <w:noBreakHyphen/>
      </w:r>
      <w:r w:rsidRPr="003C5EDB">
        <w:t xml:space="preserve">home care services. Family support and early intervention (assessment and referral) services are funded by State and Territory governments </w:t>
      </w:r>
      <w:r w:rsidR="008B6284" w:rsidRPr="00294F5E">
        <w:t>and</w:t>
      </w:r>
      <w:r w:rsidRPr="003C5EDB">
        <w:t xml:space="preserve"> are delivered </w:t>
      </w:r>
      <w:r w:rsidR="007A0F8C" w:rsidRPr="003C5EDB">
        <w:t xml:space="preserve">primarily </w:t>
      </w:r>
      <w:r w:rsidRPr="003C5EDB">
        <w:t>by non</w:t>
      </w:r>
      <w:r w:rsidR="007A3B79" w:rsidRPr="003C5EDB">
        <w:noBreakHyphen/>
      </w:r>
      <w:r w:rsidRPr="003C5EDB">
        <w:t>government organisations</w:t>
      </w:r>
    </w:p>
    <w:p w:rsidR="00373B97" w:rsidRDefault="00CD37EF" w:rsidP="00040120">
      <w:pPr>
        <w:pStyle w:val="ListBullet"/>
      </w:pPr>
      <w:r w:rsidRPr="003C5EDB">
        <w:t>specialist disability services</w:t>
      </w:r>
      <w:r w:rsidR="00A34F52" w:rsidRPr="003C5EDB">
        <w:t>, excluding employment services,</w:t>
      </w:r>
      <w:r w:rsidRPr="003C5EDB">
        <w:t xml:space="preserve"> are funded </w:t>
      </w:r>
      <w:r w:rsidR="007A0F8C" w:rsidRPr="003C5EDB">
        <w:t xml:space="preserve">primarily </w:t>
      </w:r>
      <w:r w:rsidRPr="003C5EDB">
        <w:t xml:space="preserve">by State and Territory governments (with some Australian Government </w:t>
      </w:r>
      <w:r w:rsidRPr="004B6802">
        <w:t xml:space="preserve">contribution) and are delivered </w:t>
      </w:r>
      <w:r w:rsidR="007A0F8C" w:rsidRPr="004B6802">
        <w:t xml:space="preserve">primarily </w:t>
      </w:r>
      <w:r w:rsidRPr="004B6802">
        <w:t>by State and Territory governments and the non</w:t>
      </w:r>
      <w:r w:rsidR="007A3B79" w:rsidRPr="004B6802">
        <w:noBreakHyphen/>
      </w:r>
      <w:r w:rsidRPr="004B6802">
        <w:t>government sector</w:t>
      </w:r>
      <w:r w:rsidR="00930FE5" w:rsidRPr="004B6802">
        <w:t>. Employment services are funded and provided primarily by the Australian Government</w:t>
      </w:r>
      <w:r w:rsidR="001460BC" w:rsidRPr="004B6802">
        <w:t xml:space="preserve">. </w:t>
      </w:r>
      <w:r w:rsidR="0092362F">
        <w:rPr>
          <w:shd w:val="clear" w:color="auto" w:fill="FFFFFF" w:themeFill="background1"/>
        </w:rPr>
        <w:t>All governments</w:t>
      </w:r>
      <w:r w:rsidR="001460BC" w:rsidRPr="004B6802">
        <w:rPr>
          <w:shd w:val="clear" w:color="auto" w:fill="FFFFFF" w:themeFill="background1"/>
        </w:rPr>
        <w:t xml:space="preserve"> are responsible for the cost of the </w:t>
      </w:r>
      <w:r w:rsidR="0092362F">
        <w:rPr>
          <w:shd w:val="clear" w:color="auto" w:fill="FFFFFF" w:themeFill="background1"/>
        </w:rPr>
        <w:t>NDIS</w:t>
      </w:r>
      <w:r w:rsidR="004B6802">
        <w:rPr>
          <w:shd w:val="clear" w:color="auto" w:fill="FFFFFF" w:themeFill="background1"/>
        </w:rPr>
        <w:t>. The NDIS is delivered nationally by the National Di</w:t>
      </w:r>
      <w:r w:rsidR="00B36603">
        <w:rPr>
          <w:shd w:val="clear" w:color="auto" w:fill="FFFFFF" w:themeFill="background1"/>
        </w:rPr>
        <w:t>sability Insurance Agency (NDIA)</w:t>
      </w:r>
      <w:r w:rsidR="003C5EDB">
        <w:rPr>
          <w:shd w:val="clear" w:color="auto" w:fill="FFFFFF" w:themeFill="background1"/>
        </w:rPr>
        <w:t xml:space="preserve"> and funded by all governments</w:t>
      </w:r>
    </w:p>
    <w:p w:rsidR="00CD37EF" w:rsidRPr="00373B97" w:rsidRDefault="00373B97" w:rsidP="00040120">
      <w:pPr>
        <w:pStyle w:val="ListBullet"/>
      </w:pPr>
      <w:r>
        <w:t>t</w:t>
      </w:r>
      <w:r w:rsidR="00B36603" w:rsidRPr="00373B97">
        <w:t>he funding, regulation and policy oversight of aged care services are predominantly the role of the Australian Government and services are largely delivered by non</w:t>
      </w:r>
      <w:r w:rsidR="00641935">
        <w:noBreakHyphen/>
      </w:r>
      <w:r w:rsidR="00B36603" w:rsidRPr="00373B97">
        <w:t>government organisations. State, Territory and local governments do fund and deliver some aged care services.</w:t>
      </w:r>
    </w:p>
    <w:p w:rsidR="00CD37EF" w:rsidRPr="00BC53F9" w:rsidRDefault="00CD37EF" w:rsidP="008655A2">
      <w:pPr>
        <w:pStyle w:val="Heading4"/>
      </w:pPr>
      <w:r w:rsidRPr="00BC53F9">
        <w:t>Expenditure</w:t>
      </w:r>
    </w:p>
    <w:p w:rsidR="00D25779" w:rsidRDefault="00CD37EF" w:rsidP="00CD37EF">
      <w:pPr>
        <w:pStyle w:val="BodyText"/>
      </w:pPr>
      <w:r w:rsidRPr="004D0800">
        <w:t xml:space="preserve">The following </w:t>
      </w:r>
      <w:r w:rsidR="005631D2">
        <w:t>information</w:t>
      </w:r>
      <w:r w:rsidRPr="004D0800">
        <w:t xml:space="preserve"> relates only to expenditure </w:t>
      </w:r>
      <w:r w:rsidR="00965531" w:rsidRPr="004D0800">
        <w:t xml:space="preserve">on programs </w:t>
      </w:r>
      <w:r w:rsidRPr="004D0800">
        <w:t>reported in the community services chapters of this Report</w:t>
      </w:r>
      <w:r w:rsidR="005631D2">
        <w:t>.</w:t>
      </w:r>
      <w:r w:rsidR="005631D2" w:rsidRPr="005631D2">
        <w:t xml:space="preserve"> </w:t>
      </w:r>
      <w:r w:rsidR="005631D2">
        <w:t>Further details on this expenditure can be found in the relevant service</w:t>
      </w:r>
      <w:r w:rsidR="00873EB5">
        <w:noBreakHyphen/>
      </w:r>
      <w:r w:rsidR="005631D2">
        <w:t>specific chapters.</w:t>
      </w:r>
    </w:p>
    <w:p w:rsidR="00CD37EF" w:rsidRPr="00F84E1F" w:rsidRDefault="00CD37EF" w:rsidP="0095492C">
      <w:pPr>
        <w:pStyle w:val="BodyText"/>
      </w:pPr>
      <w:r w:rsidRPr="001117FD">
        <w:lastRenderedPageBreak/>
        <w:t>Total Australia</w:t>
      </w:r>
      <w:r w:rsidR="00965531" w:rsidRPr="001117FD">
        <w:t>n</w:t>
      </w:r>
      <w:r w:rsidRPr="001117FD">
        <w:t xml:space="preserve">, State and Territory government recurrent expenditure on community services covered by this Report was estimated to be </w:t>
      </w:r>
      <w:r w:rsidRPr="00294F5E">
        <w:t>$</w:t>
      </w:r>
      <w:r w:rsidR="001117FD" w:rsidRPr="00294F5E">
        <w:t>30</w:t>
      </w:r>
      <w:r w:rsidR="00BB7E81" w:rsidRPr="00294F5E">
        <w:t>.</w:t>
      </w:r>
      <w:r w:rsidR="005C1168" w:rsidRPr="00294F5E">
        <w:t>7</w:t>
      </w:r>
      <w:r w:rsidRPr="00294F5E">
        <w:t> billion</w:t>
      </w:r>
      <w:r w:rsidRPr="001117FD">
        <w:t xml:space="preserve"> in </w:t>
      </w:r>
      <w:r w:rsidR="005407EC" w:rsidRPr="001117FD">
        <w:t>201</w:t>
      </w:r>
      <w:r w:rsidR="00D069DC" w:rsidRPr="001117FD">
        <w:t>5</w:t>
      </w:r>
      <w:r w:rsidR="007A3B79" w:rsidRPr="001117FD">
        <w:noBreakHyphen/>
      </w:r>
      <w:r w:rsidR="005407EC" w:rsidRPr="001117FD">
        <w:t>1</w:t>
      </w:r>
      <w:r w:rsidR="00D069DC" w:rsidRPr="001117FD">
        <w:t>6</w:t>
      </w:r>
      <w:r w:rsidR="005407EC" w:rsidRPr="001117FD">
        <w:t xml:space="preserve"> </w:t>
      </w:r>
      <w:r w:rsidRPr="001117FD">
        <w:t xml:space="preserve">(table </w:t>
      </w:r>
      <w:r w:rsidR="000B5935" w:rsidRPr="001117FD">
        <w:t>F.1</w:t>
      </w:r>
      <w:r w:rsidRPr="001117FD">
        <w:t xml:space="preserve">). This was equivalent to </w:t>
      </w:r>
      <w:r w:rsidR="001117FD" w:rsidRPr="00294F5E">
        <w:t>1</w:t>
      </w:r>
      <w:r w:rsidR="00CB0097" w:rsidRPr="00294F5E">
        <w:t>.</w:t>
      </w:r>
      <w:r w:rsidR="00F931A9" w:rsidRPr="00294F5E">
        <w:t>9</w:t>
      </w:r>
      <w:r w:rsidR="007E1B14" w:rsidRPr="00294F5E">
        <w:t> </w:t>
      </w:r>
      <w:r w:rsidRPr="00294F5E">
        <w:t xml:space="preserve">per cent of GDP in that year, and </w:t>
      </w:r>
      <w:r w:rsidR="00E5233B" w:rsidRPr="00294F5E">
        <w:t>10</w:t>
      </w:r>
      <w:r w:rsidR="007E1B14" w:rsidRPr="00294F5E">
        <w:t> </w:t>
      </w:r>
      <w:r w:rsidRPr="00294F5E">
        <w:t xml:space="preserve">per cent of total government outlays </w:t>
      </w:r>
      <w:r w:rsidRPr="001117FD">
        <w:t xml:space="preserve">(table F.1 and ABS </w:t>
      </w:r>
      <w:r w:rsidR="005407EC" w:rsidRPr="001117FD">
        <w:t>201</w:t>
      </w:r>
      <w:r w:rsidR="00D069DC" w:rsidRPr="001117FD">
        <w:t>6</w:t>
      </w:r>
      <w:r w:rsidR="00031446">
        <w:t>b</w:t>
      </w:r>
      <w:r w:rsidRPr="001117FD">
        <w:t>).</w:t>
      </w:r>
    </w:p>
    <w:p w:rsidR="0065632E" w:rsidRPr="00BC53F9" w:rsidRDefault="0065632E" w:rsidP="00C73863">
      <w:pPr>
        <w:pStyle w:val="BoxSpaceAbove"/>
        <w:rPr>
          <w:color w:val="808080" w:themeColor="background1" w:themeShade="80"/>
        </w:rPr>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5407EC" w:rsidRPr="005407EC" w:rsidTr="00C73863">
        <w:tc>
          <w:tcPr>
            <w:tcW w:w="8771" w:type="dxa"/>
            <w:tcBorders>
              <w:top w:val="single" w:sz="6" w:space="0" w:color="78A22F" w:themeColor="accent1"/>
              <w:left w:val="nil"/>
              <w:bottom w:val="nil"/>
              <w:right w:val="nil"/>
            </w:tcBorders>
            <w:shd w:val="clear" w:color="auto" w:fill="auto"/>
          </w:tcPr>
          <w:p w:rsidR="0065632E" w:rsidRPr="00FE0361" w:rsidRDefault="0065632E" w:rsidP="002541C2">
            <w:pPr>
              <w:pStyle w:val="TableTitle"/>
              <w:rPr>
                <w:highlight w:val="yellow"/>
              </w:rPr>
            </w:pPr>
            <w:r w:rsidRPr="00D069DC">
              <w:rPr>
                <w:b w:val="0"/>
              </w:rPr>
              <w:t xml:space="preserve">Table </w:t>
            </w:r>
            <w:proofErr w:type="spellStart"/>
            <w:r w:rsidR="00EC1787" w:rsidRPr="00D069DC">
              <w:rPr>
                <w:b w:val="0"/>
              </w:rPr>
              <w:t>F.</w:t>
            </w:r>
            <w:r w:rsidR="00F33AC2">
              <w:rPr>
                <w:b w:val="0"/>
                <w:noProof/>
              </w:rPr>
              <w:t>1</w:t>
            </w:r>
            <w:proofErr w:type="spellEnd"/>
            <w:r w:rsidRPr="00D069DC">
              <w:tab/>
              <w:t>Real government recurrent expenditure on community services (201</w:t>
            </w:r>
            <w:r w:rsidR="00D069DC" w:rsidRPr="00D069DC">
              <w:t>5</w:t>
            </w:r>
            <w:r w:rsidR="002541C2">
              <w:t>-</w:t>
            </w:r>
            <w:r w:rsidRPr="00D069DC">
              <w:t>1</w:t>
            </w:r>
            <w:r w:rsidR="00D069DC" w:rsidRPr="00D069DC">
              <w:t>6</w:t>
            </w:r>
            <w:r w:rsidRPr="00D069DC">
              <w:t xml:space="preserve"> dollars)</w:t>
            </w:r>
            <w:r w:rsidRPr="00D069DC">
              <w:rPr>
                <w:rStyle w:val="NoteLabel"/>
                <w:b/>
              </w:rPr>
              <w:t>a, b</w:t>
            </w:r>
          </w:p>
        </w:tc>
      </w:tr>
      <w:tr w:rsidR="005407EC" w:rsidRPr="005407EC" w:rsidTr="00C73863">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1678"/>
              <w:gridCol w:w="569"/>
              <w:gridCol w:w="1248"/>
              <w:gridCol w:w="1248"/>
              <w:gridCol w:w="1248"/>
              <w:gridCol w:w="1248"/>
              <w:gridCol w:w="1248"/>
            </w:tblGrid>
            <w:tr w:rsidR="005407EC" w:rsidRPr="00FE0361" w:rsidTr="00245999">
              <w:tc>
                <w:tcPr>
                  <w:tcW w:w="989" w:type="pct"/>
                  <w:tcBorders>
                    <w:top w:val="single" w:sz="6" w:space="0" w:color="BFBFBF"/>
                    <w:bottom w:val="single" w:sz="6" w:space="0" w:color="BFBFBF"/>
                  </w:tcBorders>
                </w:tcPr>
                <w:p w:rsidR="0065632E" w:rsidRPr="00FE0361" w:rsidRDefault="0065632E" w:rsidP="003D284D">
                  <w:pPr>
                    <w:pStyle w:val="TableColumnHeading"/>
                    <w:rPr>
                      <w:highlight w:val="yellow"/>
                    </w:rPr>
                  </w:pPr>
                </w:p>
              </w:tc>
              <w:tc>
                <w:tcPr>
                  <w:tcW w:w="335" w:type="pct"/>
                  <w:tcBorders>
                    <w:top w:val="single" w:sz="6" w:space="0" w:color="BFBFBF"/>
                    <w:bottom w:val="single" w:sz="6" w:space="0" w:color="BFBFBF"/>
                  </w:tcBorders>
                  <w:vAlign w:val="bottom"/>
                </w:tcPr>
                <w:p w:rsidR="0065632E" w:rsidRPr="00D069DC" w:rsidRDefault="001274C4" w:rsidP="003D284D">
                  <w:pPr>
                    <w:pStyle w:val="TableColumnHeading"/>
                  </w:pPr>
                  <w:r w:rsidRPr="00D069DC">
                    <w:t>Unit</w:t>
                  </w:r>
                </w:p>
              </w:tc>
              <w:tc>
                <w:tcPr>
                  <w:tcW w:w="735" w:type="pct"/>
                  <w:tcBorders>
                    <w:top w:val="single" w:sz="6" w:space="0" w:color="BFBFBF"/>
                    <w:bottom w:val="single" w:sz="6" w:space="0" w:color="BFBFBF"/>
                  </w:tcBorders>
                  <w:vAlign w:val="bottom"/>
                </w:tcPr>
                <w:p w:rsidR="0065632E" w:rsidRPr="00D069DC" w:rsidRDefault="001274C4" w:rsidP="003D284D">
                  <w:pPr>
                    <w:pStyle w:val="TableColumnHeading"/>
                  </w:pPr>
                  <w:r w:rsidRPr="00D069DC">
                    <w:t>ACS</w:t>
                  </w:r>
                </w:p>
              </w:tc>
              <w:tc>
                <w:tcPr>
                  <w:tcW w:w="735" w:type="pct"/>
                  <w:tcBorders>
                    <w:top w:val="single" w:sz="6" w:space="0" w:color="BFBFBF"/>
                    <w:bottom w:val="single" w:sz="6" w:space="0" w:color="BFBFBF"/>
                  </w:tcBorders>
                  <w:vAlign w:val="bottom"/>
                </w:tcPr>
                <w:p w:rsidR="0065632E" w:rsidRPr="00D069DC" w:rsidRDefault="002F41ED" w:rsidP="003D284D">
                  <w:pPr>
                    <w:pStyle w:val="TableColumnHeading"/>
                  </w:pPr>
                  <w:r w:rsidRPr="00D069DC">
                    <w:t>SPWD</w:t>
                  </w:r>
                </w:p>
              </w:tc>
              <w:tc>
                <w:tcPr>
                  <w:tcW w:w="735" w:type="pct"/>
                  <w:tcBorders>
                    <w:top w:val="single" w:sz="6" w:space="0" w:color="BFBFBF"/>
                    <w:bottom w:val="single" w:sz="6" w:space="0" w:color="BFBFBF"/>
                  </w:tcBorders>
                  <w:vAlign w:val="bottom"/>
                </w:tcPr>
                <w:p w:rsidR="0065632E" w:rsidRPr="00D069DC" w:rsidRDefault="001274C4" w:rsidP="003D284D">
                  <w:pPr>
                    <w:pStyle w:val="TableColumnHeading"/>
                  </w:pPr>
                  <w:r w:rsidRPr="00D069DC">
                    <w:t>CPS</w:t>
                  </w:r>
                </w:p>
              </w:tc>
              <w:tc>
                <w:tcPr>
                  <w:tcW w:w="735" w:type="pct"/>
                  <w:tcBorders>
                    <w:top w:val="single" w:sz="6" w:space="0" w:color="BFBFBF"/>
                    <w:bottom w:val="single" w:sz="6" w:space="0" w:color="BFBFBF"/>
                  </w:tcBorders>
                  <w:shd w:val="clear" w:color="auto" w:fill="FFFFFF" w:themeFill="background1"/>
                  <w:vAlign w:val="bottom"/>
                </w:tcPr>
                <w:p w:rsidR="0065632E" w:rsidRPr="00D069DC" w:rsidRDefault="001274C4" w:rsidP="003D284D">
                  <w:pPr>
                    <w:pStyle w:val="TableColumnHeading"/>
                  </w:pPr>
                  <w:r w:rsidRPr="00D069DC">
                    <w:t>YJS</w:t>
                  </w:r>
                </w:p>
              </w:tc>
              <w:tc>
                <w:tcPr>
                  <w:tcW w:w="735" w:type="pct"/>
                  <w:tcBorders>
                    <w:top w:val="single" w:sz="6" w:space="0" w:color="BFBFBF"/>
                    <w:bottom w:val="single" w:sz="6" w:space="0" w:color="BFBFBF"/>
                  </w:tcBorders>
                  <w:shd w:val="clear" w:color="auto" w:fill="FFFFFF" w:themeFill="background1"/>
                  <w:vAlign w:val="bottom"/>
                </w:tcPr>
                <w:p w:rsidR="0065632E" w:rsidRPr="00D069DC" w:rsidRDefault="001274C4" w:rsidP="003D284D">
                  <w:pPr>
                    <w:pStyle w:val="TableColumnHeading"/>
                  </w:pPr>
                  <w:r w:rsidRPr="00D069DC">
                    <w:t>Total</w:t>
                  </w:r>
                </w:p>
              </w:tc>
            </w:tr>
            <w:tr w:rsidR="006111C3" w:rsidRPr="00FE0361" w:rsidTr="00294F5E">
              <w:tc>
                <w:tcPr>
                  <w:tcW w:w="989" w:type="pct"/>
                  <w:tcBorders>
                    <w:top w:val="single" w:sz="6" w:space="0" w:color="BFBFBF"/>
                  </w:tcBorders>
                  <w:shd w:val="clear" w:color="auto" w:fill="auto"/>
                </w:tcPr>
                <w:p w:rsidR="006111C3" w:rsidRPr="00D069DC" w:rsidRDefault="006111C3" w:rsidP="00D069DC">
                  <w:pPr>
                    <w:pStyle w:val="TableUnitsRow"/>
                    <w:jc w:val="left"/>
                  </w:pPr>
                  <w:r w:rsidRPr="00D069DC">
                    <w:t>2011</w:t>
                  </w:r>
                  <w:r w:rsidRPr="00D069DC">
                    <w:noBreakHyphen/>
                    <w:t>12</w:t>
                  </w:r>
                </w:p>
              </w:tc>
              <w:tc>
                <w:tcPr>
                  <w:tcW w:w="335" w:type="pct"/>
                  <w:tcBorders>
                    <w:top w:val="single" w:sz="6" w:space="0" w:color="BFBFBF"/>
                  </w:tcBorders>
                  <w:shd w:val="clear" w:color="auto" w:fill="auto"/>
                </w:tcPr>
                <w:p w:rsidR="006111C3" w:rsidRPr="00D069DC" w:rsidRDefault="006111C3" w:rsidP="00010C8D">
                  <w:pPr>
                    <w:pStyle w:val="TableUnitsRow"/>
                  </w:pPr>
                  <w:r w:rsidRPr="00D069DC">
                    <w:t>$m</w:t>
                  </w:r>
                </w:p>
              </w:tc>
              <w:tc>
                <w:tcPr>
                  <w:tcW w:w="735" w:type="pct"/>
                  <w:tcBorders>
                    <w:top w:val="single" w:sz="6" w:space="0" w:color="BFBFBF"/>
                  </w:tcBorders>
                  <w:shd w:val="clear" w:color="auto" w:fill="auto"/>
                </w:tcPr>
                <w:p w:rsidR="006111C3" w:rsidRPr="00F931A9" w:rsidRDefault="006111C3" w:rsidP="001117FD">
                  <w:pPr>
                    <w:pStyle w:val="TableUnitsRow"/>
                    <w:rPr>
                      <w:szCs w:val="18"/>
                    </w:rPr>
                  </w:pPr>
                  <w:r w:rsidRPr="00F931A9">
                    <w:rPr>
                      <w:szCs w:val="18"/>
                    </w:rPr>
                    <w:t>14 058.0</w:t>
                  </w:r>
                </w:p>
              </w:tc>
              <w:tc>
                <w:tcPr>
                  <w:tcW w:w="735" w:type="pct"/>
                  <w:tcBorders>
                    <w:top w:val="single" w:sz="6" w:space="0" w:color="BFBFBF"/>
                  </w:tcBorders>
                  <w:shd w:val="clear" w:color="auto" w:fill="auto"/>
                </w:tcPr>
                <w:p w:rsidR="006111C3" w:rsidRPr="00F931A9" w:rsidRDefault="006111C3" w:rsidP="00255FD4">
                  <w:pPr>
                    <w:pStyle w:val="TableUnitsRow"/>
                    <w:rPr>
                      <w:szCs w:val="18"/>
                    </w:rPr>
                  </w:pPr>
                  <w:r w:rsidRPr="00F931A9">
                    <w:rPr>
                      <w:szCs w:val="18"/>
                    </w:rPr>
                    <w:t>7 238.3</w:t>
                  </w:r>
                </w:p>
              </w:tc>
              <w:tc>
                <w:tcPr>
                  <w:tcW w:w="735" w:type="pct"/>
                  <w:tcBorders>
                    <w:top w:val="single" w:sz="6" w:space="0" w:color="BFBFBF"/>
                  </w:tcBorders>
                  <w:shd w:val="clear" w:color="auto" w:fill="auto"/>
                </w:tcPr>
                <w:p w:rsidR="006111C3" w:rsidRPr="00F931A9" w:rsidRDefault="006111C3" w:rsidP="006852CD">
                  <w:pPr>
                    <w:pStyle w:val="TableUnitsRow"/>
                    <w:rPr>
                      <w:szCs w:val="18"/>
                    </w:rPr>
                  </w:pPr>
                  <w:r>
                    <w:rPr>
                      <w:szCs w:val="18"/>
                    </w:rPr>
                    <w:t>3</w:t>
                  </w:r>
                  <w:r w:rsidRPr="00F931A9">
                    <w:rPr>
                      <w:szCs w:val="18"/>
                    </w:rPr>
                    <w:t xml:space="preserve"> </w:t>
                  </w:r>
                  <w:r>
                    <w:rPr>
                      <w:szCs w:val="18"/>
                    </w:rPr>
                    <w:t>942</w:t>
                  </w:r>
                  <w:r w:rsidRPr="00F931A9">
                    <w:rPr>
                      <w:szCs w:val="18"/>
                    </w:rPr>
                    <w:t>.</w:t>
                  </w:r>
                  <w:r>
                    <w:rPr>
                      <w:szCs w:val="18"/>
                    </w:rPr>
                    <w:t>7</w:t>
                  </w:r>
                </w:p>
              </w:tc>
              <w:tc>
                <w:tcPr>
                  <w:tcW w:w="735" w:type="pct"/>
                  <w:tcBorders>
                    <w:top w:val="single" w:sz="6" w:space="0" w:color="BFBFBF"/>
                  </w:tcBorders>
                  <w:shd w:val="clear" w:color="auto" w:fill="auto"/>
                </w:tcPr>
                <w:p w:rsidR="006111C3" w:rsidRPr="00F931A9" w:rsidRDefault="006111C3" w:rsidP="008A4229">
                  <w:pPr>
                    <w:pStyle w:val="TableUnitsRow"/>
                    <w:rPr>
                      <w:szCs w:val="18"/>
                    </w:rPr>
                  </w:pPr>
                  <w:r w:rsidRPr="00F931A9">
                    <w:rPr>
                      <w:szCs w:val="18"/>
                    </w:rPr>
                    <w:t>67</w:t>
                  </w:r>
                  <w:r w:rsidR="008A4229">
                    <w:rPr>
                      <w:szCs w:val="18"/>
                    </w:rPr>
                    <w:t>7</w:t>
                  </w:r>
                  <w:r w:rsidRPr="00F931A9">
                    <w:rPr>
                      <w:szCs w:val="18"/>
                    </w:rPr>
                    <w:t>.</w:t>
                  </w:r>
                  <w:r w:rsidR="008A4229">
                    <w:rPr>
                      <w:szCs w:val="18"/>
                    </w:rPr>
                    <w:t>7</w:t>
                  </w:r>
                </w:p>
              </w:tc>
              <w:tc>
                <w:tcPr>
                  <w:tcW w:w="735" w:type="pct"/>
                  <w:tcBorders>
                    <w:top w:val="single" w:sz="6" w:space="0" w:color="BFBFBF"/>
                  </w:tcBorders>
                  <w:shd w:val="clear" w:color="auto" w:fill="auto"/>
                </w:tcPr>
                <w:p w:rsidR="006111C3" w:rsidRPr="006111C3" w:rsidRDefault="006111C3" w:rsidP="008A4229">
                  <w:pPr>
                    <w:pStyle w:val="TableUnitsRow"/>
                    <w:rPr>
                      <w:b/>
                      <w:szCs w:val="18"/>
                    </w:rPr>
                  </w:pPr>
                  <w:r w:rsidRPr="006111C3">
                    <w:rPr>
                      <w:b/>
                      <w:szCs w:val="18"/>
                    </w:rPr>
                    <w:t>25 9</w:t>
                  </w:r>
                  <w:r w:rsidR="008A4229">
                    <w:rPr>
                      <w:b/>
                      <w:szCs w:val="18"/>
                    </w:rPr>
                    <w:t>16</w:t>
                  </w:r>
                  <w:r w:rsidRPr="006111C3">
                    <w:rPr>
                      <w:b/>
                      <w:szCs w:val="18"/>
                    </w:rPr>
                    <w:t>.</w:t>
                  </w:r>
                  <w:r w:rsidR="008A4229">
                    <w:rPr>
                      <w:b/>
                      <w:szCs w:val="18"/>
                    </w:rPr>
                    <w:t>7</w:t>
                  </w:r>
                </w:p>
              </w:tc>
            </w:tr>
            <w:tr w:rsidR="006111C3" w:rsidRPr="00FE0361" w:rsidTr="00294F5E">
              <w:tc>
                <w:tcPr>
                  <w:tcW w:w="989" w:type="pct"/>
                  <w:shd w:val="clear" w:color="auto" w:fill="auto"/>
                </w:tcPr>
                <w:p w:rsidR="006111C3" w:rsidRPr="00D069DC" w:rsidRDefault="006111C3" w:rsidP="00D069DC">
                  <w:pPr>
                    <w:pStyle w:val="TableBodyText"/>
                    <w:jc w:val="left"/>
                  </w:pPr>
                  <w:r w:rsidRPr="00D069DC">
                    <w:t>2012</w:t>
                  </w:r>
                  <w:r w:rsidRPr="00D069DC">
                    <w:noBreakHyphen/>
                    <w:t>13</w:t>
                  </w:r>
                </w:p>
              </w:tc>
              <w:tc>
                <w:tcPr>
                  <w:tcW w:w="335" w:type="pct"/>
                  <w:shd w:val="clear" w:color="auto" w:fill="auto"/>
                </w:tcPr>
                <w:p w:rsidR="006111C3" w:rsidRPr="00D069DC" w:rsidRDefault="006111C3" w:rsidP="003D284D">
                  <w:pPr>
                    <w:pStyle w:val="TableBodyText"/>
                  </w:pPr>
                  <w:r w:rsidRPr="00D069DC">
                    <w:t>$m</w:t>
                  </w:r>
                </w:p>
              </w:tc>
              <w:tc>
                <w:tcPr>
                  <w:tcW w:w="735" w:type="pct"/>
                  <w:shd w:val="clear" w:color="auto" w:fill="auto"/>
                </w:tcPr>
                <w:p w:rsidR="006111C3" w:rsidRPr="00F931A9" w:rsidRDefault="006111C3" w:rsidP="003D284D">
                  <w:pPr>
                    <w:pStyle w:val="TableBodyText"/>
                    <w:rPr>
                      <w:szCs w:val="18"/>
                    </w:rPr>
                  </w:pPr>
                  <w:r w:rsidRPr="00F931A9">
                    <w:rPr>
                      <w:szCs w:val="18"/>
                    </w:rPr>
                    <w:t>14 712.3</w:t>
                  </w:r>
                </w:p>
              </w:tc>
              <w:tc>
                <w:tcPr>
                  <w:tcW w:w="735" w:type="pct"/>
                  <w:shd w:val="clear" w:color="auto" w:fill="auto"/>
                </w:tcPr>
                <w:p w:rsidR="006111C3" w:rsidRPr="00F931A9" w:rsidRDefault="006111C3" w:rsidP="003D284D">
                  <w:pPr>
                    <w:pStyle w:val="TableBodyText"/>
                    <w:rPr>
                      <w:szCs w:val="18"/>
                    </w:rPr>
                  </w:pPr>
                  <w:r w:rsidRPr="00F931A9">
                    <w:rPr>
                      <w:szCs w:val="18"/>
                    </w:rPr>
                    <w:t>7 497.0</w:t>
                  </w:r>
                </w:p>
              </w:tc>
              <w:tc>
                <w:tcPr>
                  <w:tcW w:w="735" w:type="pct"/>
                  <w:shd w:val="clear" w:color="auto" w:fill="auto"/>
                </w:tcPr>
                <w:p w:rsidR="006111C3" w:rsidRPr="00F931A9" w:rsidRDefault="006111C3" w:rsidP="006852CD">
                  <w:pPr>
                    <w:pStyle w:val="TableBodyText"/>
                    <w:rPr>
                      <w:szCs w:val="18"/>
                    </w:rPr>
                  </w:pPr>
                  <w:r>
                    <w:rPr>
                      <w:szCs w:val="18"/>
                    </w:rPr>
                    <w:t>4</w:t>
                  </w:r>
                  <w:r w:rsidRPr="00F931A9">
                    <w:rPr>
                      <w:szCs w:val="18"/>
                    </w:rPr>
                    <w:t xml:space="preserve"> </w:t>
                  </w:r>
                  <w:r>
                    <w:rPr>
                      <w:szCs w:val="18"/>
                    </w:rPr>
                    <w:t>063</w:t>
                  </w:r>
                  <w:r w:rsidRPr="00F931A9">
                    <w:rPr>
                      <w:szCs w:val="18"/>
                    </w:rPr>
                    <w:t>.</w:t>
                  </w:r>
                  <w:r>
                    <w:rPr>
                      <w:szCs w:val="18"/>
                    </w:rPr>
                    <w:t>8</w:t>
                  </w:r>
                </w:p>
              </w:tc>
              <w:tc>
                <w:tcPr>
                  <w:tcW w:w="735" w:type="pct"/>
                  <w:shd w:val="clear" w:color="auto" w:fill="auto"/>
                </w:tcPr>
                <w:p w:rsidR="006111C3" w:rsidRPr="00F931A9" w:rsidRDefault="006111C3" w:rsidP="003D284D">
                  <w:pPr>
                    <w:pStyle w:val="TableBodyText"/>
                    <w:rPr>
                      <w:szCs w:val="18"/>
                    </w:rPr>
                  </w:pPr>
                  <w:r w:rsidRPr="00F931A9">
                    <w:rPr>
                      <w:szCs w:val="18"/>
                    </w:rPr>
                    <w:t>696.5</w:t>
                  </w:r>
                </w:p>
              </w:tc>
              <w:tc>
                <w:tcPr>
                  <w:tcW w:w="735" w:type="pct"/>
                  <w:shd w:val="clear" w:color="auto" w:fill="auto"/>
                </w:tcPr>
                <w:p w:rsidR="006111C3" w:rsidRPr="006111C3" w:rsidRDefault="006111C3" w:rsidP="006111C3">
                  <w:pPr>
                    <w:pStyle w:val="TableBodyText"/>
                    <w:rPr>
                      <w:b/>
                      <w:szCs w:val="18"/>
                    </w:rPr>
                  </w:pPr>
                  <w:r>
                    <w:rPr>
                      <w:b/>
                      <w:szCs w:val="18"/>
                    </w:rPr>
                    <w:t>26 9</w:t>
                  </w:r>
                  <w:r w:rsidRPr="006111C3">
                    <w:rPr>
                      <w:b/>
                      <w:szCs w:val="18"/>
                    </w:rPr>
                    <w:t>69.</w:t>
                  </w:r>
                  <w:r>
                    <w:rPr>
                      <w:b/>
                      <w:szCs w:val="18"/>
                    </w:rPr>
                    <w:t>7</w:t>
                  </w:r>
                </w:p>
              </w:tc>
            </w:tr>
            <w:tr w:rsidR="006111C3" w:rsidRPr="00FE0361" w:rsidTr="00294F5E">
              <w:tc>
                <w:tcPr>
                  <w:tcW w:w="989" w:type="pct"/>
                  <w:shd w:val="clear" w:color="auto" w:fill="auto"/>
                </w:tcPr>
                <w:p w:rsidR="006111C3" w:rsidRPr="00D069DC" w:rsidRDefault="006111C3" w:rsidP="00D069DC">
                  <w:pPr>
                    <w:pStyle w:val="TableBodyText"/>
                    <w:jc w:val="left"/>
                  </w:pPr>
                  <w:r w:rsidRPr="00D069DC">
                    <w:t>2013</w:t>
                  </w:r>
                  <w:r w:rsidRPr="00D069DC">
                    <w:noBreakHyphen/>
                    <w:t>14</w:t>
                  </w:r>
                </w:p>
              </w:tc>
              <w:tc>
                <w:tcPr>
                  <w:tcW w:w="335" w:type="pct"/>
                  <w:shd w:val="clear" w:color="auto" w:fill="auto"/>
                </w:tcPr>
                <w:p w:rsidR="006111C3" w:rsidRPr="00D069DC" w:rsidRDefault="006111C3" w:rsidP="003D284D">
                  <w:pPr>
                    <w:pStyle w:val="TableBodyText"/>
                  </w:pPr>
                  <w:r w:rsidRPr="00D069DC">
                    <w:t>$m</w:t>
                  </w:r>
                </w:p>
              </w:tc>
              <w:tc>
                <w:tcPr>
                  <w:tcW w:w="735" w:type="pct"/>
                  <w:shd w:val="clear" w:color="auto" w:fill="auto"/>
                </w:tcPr>
                <w:p w:rsidR="006111C3" w:rsidRPr="00F931A9" w:rsidRDefault="006111C3" w:rsidP="003D284D">
                  <w:pPr>
                    <w:pStyle w:val="TableBodyText"/>
                    <w:rPr>
                      <w:szCs w:val="18"/>
                    </w:rPr>
                  </w:pPr>
                  <w:r w:rsidRPr="00F931A9">
                    <w:rPr>
                      <w:szCs w:val="18"/>
                    </w:rPr>
                    <w:t>15 274.2</w:t>
                  </w:r>
                </w:p>
              </w:tc>
              <w:tc>
                <w:tcPr>
                  <w:tcW w:w="735" w:type="pct"/>
                  <w:shd w:val="clear" w:color="auto" w:fill="auto"/>
                </w:tcPr>
                <w:p w:rsidR="006111C3" w:rsidRPr="00F931A9" w:rsidRDefault="006111C3" w:rsidP="003D284D">
                  <w:pPr>
                    <w:pStyle w:val="TableBodyText"/>
                    <w:rPr>
                      <w:szCs w:val="18"/>
                    </w:rPr>
                  </w:pPr>
                  <w:r w:rsidRPr="00F931A9">
                    <w:rPr>
                      <w:szCs w:val="18"/>
                    </w:rPr>
                    <w:t>7 771.9</w:t>
                  </w:r>
                </w:p>
              </w:tc>
              <w:tc>
                <w:tcPr>
                  <w:tcW w:w="735" w:type="pct"/>
                  <w:shd w:val="clear" w:color="auto" w:fill="auto"/>
                </w:tcPr>
                <w:p w:rsidR="006111C3" w:rsidRPr="00F931A9" w:rsidRDefault="006111C3" w:rsidP="006852CD">
                  <w:pPr>
                    <w:pStyle w:val="TableBodyText"/>
                    <w:rPr>
                      <w:szCs w:val="18"/>
                    </w:rPr>
                  </w:pPr>
                  <w:r>
                    <w:rPr>
                      <w:szCs w:val="18"/>
                    </w:rPr>
                    <w:t>4</w:t>
                  </w:r>
                  <w:r w:rsidRPr="00F931A9">
                    <w:rPr>
                      <w:szCs w:val="18"/>
                    </w:rPr>
                    <w:t xml:space="preserve"> 1</w:t>
                  </w:r>
                  <w:r>
                    <w:rPr>
                      <w:szCs w:val="18"/>
                    </w:rPr>
                    <w:t>66</w:t>
                  </w:r>
                  <w:r w:rsidRPr="00F931A9">
                    <w:rPr>
                      <w:szCs w:val="18"/>
                    </w:rPr>
                    <w:t>.</w:t>
                  </w:r>
                  <w:r>
                    <w:rPr>
                      <w:szCs w:val="18"/>
                    </w:rPr>
                    <w:t>4</w:t>
                  </w:r>
                </w:p>
              </w:tc>
              <w:tc>
                <w:tcPr>
                  <w:tcW w:w="735" w:type="pct"/>
                  <w:shd w:val="clear" w:color="auto" w:fill="auto"/>
                </w:tcPr>
                <w:p w:rsidR="006111C3" w:rsidRPr="00F931A9" w:rsidRDefault="006111C3" w:rsidP="003D284D">
                  <w:pPr>
                    <w:pStyle w:val="TableBodyText"/>
                    <w:rPr>
                      <w:szCs w:val="18"/>
                    </w:rPr>
                  </w:pPr>
                  <w:r w:rsidRPr="00F931A9">
                    <w:rPr>
                      <w:szCs w:val="18"/>
                    </w:rPr>
                    <w:t>700.1</w:t>
                  </w:r>
                </w:p>
              </w:tc>
              <w:tc>
                <w:tcPr>
                  <w:tcW w:w="735" w:type="pct"/>
                  <w:shd w:val="clear" w:color="auto" w:fill="auto"/>
                </w:tcPr>
                <w:p w:rsidR="006111C3" w:rsidRPr="006111C3" w:rsidRDefault="006111C3" w:rsidP="006111C3">
                  <w:pPr>
                    <w:pStyle w:val="TableBodyText"/>
                    <w:rPr>
                      <w:b/>
                      <w:szCs w:val="18"/>
                    </w:rPr>
                  </w:pPr>
                  <w:r>
                    <w:rPr>
                      <w:b/>
                      <w:szCs w:val="18"/>
                    </w:rPr>
                    <w:t>2</w:t>
                  </w:r>
                  <w:r w:rsidRPr="006111C3">
                    <w:rPr>
                      <w:b/>
                      <w:szCs w:val="18"/>
                    </w:rPr>
                    <w:t>7</w:t>
                  </w:r>
                  <w:r>
                    <w:rPr>
                      <w:b/>
                      <w:szCs w:val="18"/>
                    </w:rPr>
                    <w:t xml:space="preserve"> 912</w:t>
                  </w:r>
                  <w:r w:rsidRPr="006111C3">
                    <w:rPr>
                      <w:b/>
                      <w:szCs w:val="18"/>
                    </w:rPr>
                    <w:t>.</w:t>
                  </w:r>
                  <w:r>
                    <w:rPr>
                      <w:b/>
                      <w:szCs w:val="18"/>
                    </w:rPr>
                    <w:t>6</w:t>
                  </w:r>
                </w:p>
              </w:tc>
            </w:tr>
            <w:tr w:rsidR="006111C3" w:rsidRPr="00FE0361" w:rsidTr="00294F5E">
              <w:trPr>
                <w:trHeight w:val="65"/>
              </w:trPr>
              <w:tc>
                <w:tcPr>
                  <w:tcW w:w="989" w:type="pct"/>
                  <w:shd w:val="clear" w:color="auto" w:fill="auto"/>
                </w:tcPr>
                <w:p w:rsidR="006111C3" w:rsidRPr="00D069DC" w:rsidRDefault="006111C3" w:rsidP="00D069DC">
                  <w:pPr>
                    <w:pStyle w:val="TableBodyText"/>
                    <w:jc w:val="left"/>
                  </w:pPr>
                  <w:r w:rsidRPr="00D069DC">
                    <w:t>2014</w:t>
                  </w:r>
                  <w:r w:rsidRPr="00D069DC">
                    <w:noBreakHyphen/>
                    <w:t>15</w:t>
                  </w:r>
                </w:p>
              </w:tc>
              <w:tc>
                <w:tcPr>
                  <w:tcW w:w="335" w:type="pct"/>
                  <w:shd w:val="clear" w:color="auto" w:fill="auto"/>
                </w:tcPr>
                <w:p w:rsidR="006111C3" w:rsidRPr="00D069DC" w:rsidRDefault="006111C3" w:rsidP="003D284D">
                  <w:pPr>
                    <w:pStyle w:val="TableBodyText"/>
                  </w:pPr>
                  <w:r w:rsidRPr="00D069DC">
                    <w:t>$m</w:t>
                  </w:r>
                </w:p>
              </w:tc>
              <w:tc>
                <w:tcPr>
                  <w:tcW w:w="735" w:type="pct"/>
                  <w:shd w:val="clear" w:color="auto" w:fill="auto"/>
                </w:tcPr>
                <w:p w:rsidR="006111C3" w:rsidRPr="00F931A9" w:rsidRDefault="006111C3" w:rsidP="003D284D">
                  <w:pPr>
                    <w:pStyle w:val="TableBodyText"/>
                    <w:rPr>
                      <w:szCs w:val="18"/>
                    </w:rPr>
                  </w:pPr>
                  <w:r w:rsidRPr="00F931A9">
                    <w:rPr>
                      <w:szCs w:val="18"/>
                    </w:rPr>
                    <w:t>16 209.8</w:t>
                  </w:r>
                </w:p>
              </w:tc>
              <w:tc>
                <w:tcPr>
                  <w:tcW w:w="735" w:type="pct"/>
                  <w:shd w:val="clear" w:color="auto" w:fill="auto"/>
                </w:tcPr>
                <w:p w:rsidR="006111C3" w:rsidRPr="00F931A9" w:rsidRDefault="006111C3" w:rsidP="003D284D">
                  <w:pPr>
                    <w:pStyle w:val="TableBodyText"/>
                    <w:rPr>
                      <w:szCs w:val="18"/>
                    </w:rPr>
                  </w:pPr>
                  <w:r w:rsidRPr="00F931A9">
                    <w:rPr>
                      <w:szCs w:val="18"/>
                    </w:rPr>
                    <w:t>8 221.4</w:t>
                  </w:r>
                </w:p>
              </w:tc>
              <w:tc>
                <w:tcPr>
                  <w:tcW w:w="735" w:type="pct"/>
                  <w:shd w:val="clear" w:color="auto" w:fill="auto"/>
                </w:tcPr>
                <w:p w:rsidR="006111C3" w:rsidRPr="00F931A9" w:rsidRDefault="006111C3" w:rsidP="006852CD">
                  <w:pPr>
                    <w:pStyle w:val="TableBodyText"/>
                    <w:rPr>
                      <w:szCs w:val="18"/>
                    </w:rPr>
                  </w:pPr>
                  <w:r>
                    <w:rPr>
                      <w:szCs w:val="18"/>
                    </w:rPr>
                    <w:t>4</w:t>
                  </w:r>
                  <w:r w:rsidRPr="00F931A9">
                    <w:rPr>
                      <w:szCs w:val="18"/>
                    </w:rPr>
                    <w:t xml:space="preserve"> </w:t>
                  </w:r>
                  <w:r>
                    <w:rPr>
                      <w:szCs w:val="18"/>
                    </w:rPr>
                    <w:t>4</w:t>
                  </w:r>
                  <w:r w:rsidRPr="00F931A9">
                    <w:rPr>
                      <w:szCs w:val="18"/>
                    </w:rPr>
                    <w:t>1</w:t>
                  </w:r>
                  <w:r>
                    <w:rPr>
                      <w:szCs w:val="18"/>
                    </w:rPr>
                    <w:t>6</w:t>
                  </w:r>
                  <w:r w:rsidRPr="00F931A9">
                    <w:rPr>
                      <w:szCs w:val="18"/>
                    </w:rPr>
                    <w:t>.</w:t>
                  </w:r>
                  <w:r>
                    <w:rPr>
                      <w:szCs w:val="18"/>
                    </w:rPr>
                    <w:t>7</w:t>
                  </w:r>
                </w:p>
              </w:tc>
              <w:tc>
                <w:tcPr>
                  <w:tcW w:w="735" w:type="pct"/>
                  <w:shd w:val="clear" w:color="auto" w:fill="auto"/>
                </w:tcPr>
                <w:p w:rsidR="006111C3" w:rsidRPr="00F931A9" w:rsidRDefault="006111C3" w:rsidP="003D284D">
                  <w:pPr>
                    <w:pStyle w:val="TableBodyText"/>
                    <w:rPr>
                      <w:szCs w:val="18"/>
                    </w:rPr>
                  </w:pPr>
                  <w:r w:rsidRPr="00F931A9">
                    <w:rPr>
                      <w:szCs w:val="18"/>
                    </w:rPr>
                    <w:t>721.4</w:t>
                  </w:r>
                </w:p>
              </w:tc>
              <w:tc>
                <w:tcPr>
                  <w:tcW w:w="735" w:type="pct"/>
                  <w:shd w:val="clear" w:color="auto" w:fill="auto"/>
                </w:tcPr>
                <w:p w:rsidR="006111C3" w:rsidRPr="006111C3" w:rsidRDefault="008A4229" w:rsidP="008A4229">
                  <w:pPr>
                    <w:pStyle w:val="TableBodyText"/>
                    <w:rPr>
                      <w:b/>
                      <w:szCs w:val="18"/>
                    </w:rPr>
                  </w:pPr>
                  <w:r>
                    <w:rPr>
                      <w:b/>
                      <w:szCs w:val="18"/>
                    </w:rPr>
                    <w:t>29 569</w:t>
                  </w:r>
                  <w:r w:rsidR="006111C3" w:rsidRPr="006111C3">
                    <w:rPr>
                      <w:b/>
                      <w:szCs w:val="18"/>
                    </w:rPr>
                    <w:t>.4</w:t>
                  </w:r>
                </w:p>
              </w:tc>
            </w:tr>
            <w:tr w:rsidR="006111C3" w:rsidRPr="00FE0361" w:rsidTr="00294F5E">
              <w:tc>
                <w:tcPr>
                  <w:tcW w:w="989" w:type="pct"/>
                  <w:shd w:val="clear" w:color="auto" w:fill="auto"/>
                </w:tcPr>
                <w:p w:rsidR="006111C3" w:rsidRPr="00D069DC" w:rsidRDefault="006111C3" w:rsidP="00D069DC">
                  <w:pPr>
                    <w:pStyle w:val="TableBodyText"/>
                    <w:jc w:val="left"/>
                  </w:pPr>
                  <w:r w:rsidRPr="00D069DC">
                    <w:t>2015</w:t>
                  </w:r>
                  <w:r w:rsidR="001441CA">
                    <w:noBreakHyphen/>
                  </w:r>
                  <w:r w:rsidRPr="00D069DC">
                    <w:t>16</w:t>
                  </w:r>
                </w:p>
              </w:tc>
              <w:tc>
                <w:tcPr>
                  <w:tcW w:w="335" w:type="pct"/>
                  <w:shd w:val="clear" w:color="auto" w:fill="auto"/>
                </w:tcPr>
                <w:p w:rsidR="006111C3" w:rsidRPr="00D069DC" w:rsidRDefault="006111C3" w:rsidP="003D284D">
                  <w:pPr>
                    <w:pStyle w:val="TableBodyText"/>
                  </w:pPr>
                  <w:r w:rsidRPr="00D069DC">
                    <w:t>$m</w:t>
                  </w:r>
                </w:p>
              </w:tc>
              <w:tc>
                <w:tcPr>
                  <w:tcW w:w="735" w:type="pct"/>
                  <w:shd w:val="clear" w:color="auto" w:fill="auto"/>
                </w:tcPr>
                <w:p w:rsidR="006111C3" w:rsidRPr="00F931A9" w:rsidRDefault="006111C3" w:rsidP="00E5233B">
                  <w:pPr>
                    <w:pStyle w:val="TableBodyText"/>
                    <w:rPr>
                      <w:szCs w:val="18"/>
                    </w:rPr>
                  </w:pPr>
                  <w:r w:rsidRPr="00F931A9">
                    <w:rPr>
                      <w:szCs w:val="18"/>
                    </w:rPr>
                    <w:t xml:space="preserve">16 </w:t>
                  </w:r>
                  <w:r>
                    <w:rPr>
                      <w:szCs w:val="18"/>
                    </w:rPr>
                    <w:t>79</w:t>
                  </w:r>
                  <w:r w:rsidRPr="00F931A9">
                    <w:rPr>
                      <w:szCs w:val="18"/>
                    </w:rPr>
                    <w:t>2.</w:t>
                  </w:r>
                  <w:r>
                    <w:rPr>
                      <w:szCs w:val="18"/>
                    </w:rPr>
                    <w:t>2</w:t>
                  </w:r>
                </w:p>
              </w:tc>
              <w:tc>
                <w:tcPr>
                  <w:tcW w:w="735" w:type="pct"/>
                  <w:shd w:val="clear" w:color="auto" w:fill="auto"/>
                </w:tcPr>
                <w:p w:rsidR="006111C3" w:rsidRPr="00F931A9" w:rsidRDefault="006111C3" w:rsidP="003D284D">
                  <w:pPr>
                    <w:pStyle w:val="TableBodyText"/>
                    <w:rPr>
                      <w:szCs w:val="18"/>
                    </w:rPr>
                  </w:pPr>
                  <w:r w:rsidRPr="00F931A9">
                    <w:rPr>
                      <w:szCs w:val="18"/>
                    </w:rPr>
                    <w:t>8 406.8</w:t>
                  </w:r>
                </w:p>
              </w:tc>
              <w:tc>
                <w:tcPr>
                  <w:tcW w:w="735" w:type="pct"/>
                  <w:shd w:val="clear" w:color="auto" w:fill="auto"/>
                </w:tcPr>
                <w:p w:rsidR="006111C3" w:rsidRPr="00F931A9" w:rsidRDefault="006111C3" w:rsidP="006852CD">
                  <w:pPr>
                    <w:pStyle w:val="TableBodyText"/>
                    <w:rPr>
                      <w:szCs w:val="18"/>
                    </w:rPr>
                  </w:pPr>
                  <w:r>
                    <w:rPr>
                      <w:szCs w:val="18"/>
                    </w:rPr>
                    <w:t>4</w:t>
                  </w:r>
                  <w:r w:rsidRPr="00F931A9">
                    <w:rPr>
                      <w:szCs w:val="18"/>
                    </w:rPr>
                    <w:t xml:space="preserve"> </w:t>
                  </w:r>
                  <w:r>
                    <w:rPr>
                      <w:szCs w:val="18"/>
                    </w:rPr>
                    <w:t>757</w:t>
                  </w:r>
                  <w:r w:rsidRPr="00F931A9">
                    <w:rPr>
                      <w:szCs w:val="18"/>
                    </w:rPr>
                    <w:t>.</w:t>
                  </w:r>
                  <w:r>
                    <w:rPr>
                      <w:szCs w:val="18"/>
                    </w:rPr>
                    <w:t>9</w:t>
                  </w:r>
                </w:p>
              </w:tc>
              <w:tc>
                <w:tcPr>
                  <w:tcW w:w="735" w:type="pct"/>
                  <w:shd w:val="clear" w:color="auto" w:fill="auto"/>
                </w:tcPr>
                <w:p w:rsidR="006111C3" w:rsidRPr="00F931A9" w:rsidRDefault="006111C3" w:rsidP="00654E95">
                  <w:pPr>
                    <w:pStyle w:val="TableBodyText"/>
                    <w:rPr>
                      <w:szCs w:val="18"/>
                    </w:rPr>
                  </w:pPr>
                  <w:r w:rsidRPr="00F931A9">
                    <w:rPr>
                      <w:szCs w:val="18"/>
                    </w:rPr>
                    <w:t>73</w:t>
                  </w:r>
                  <w:r>
                    <w:rPr>
                      <w:szCs w:val="18"/>
                    </w:rPr>
                    <w:t>1</w:t>
                  </w:r>
                  <w:r w:rsidRPr="00F931A9">
                    <w:rPr>
                      <w:szCs w:val="18"/>
                    </w:rPr>
                    <w:t>.</w:t>
                  </w:r>
                  <w:r>
                    <w:rPr>
                      <w:szCs w:val="18"/>
                    </w:rPr>
                    <w:t>9</w:t>
                  </w:r>
                </w:p>
              </w:tc>
              <w:tc>
                <w:tcPr>
                  <w:tcW w:w="735" w:type="pct"/>
                  <w:shd w:val="clear" w:color="auto" w:fill="auto"/>
                </w:tcPr>
                <w:p w:rsidR="006111C3" w:rsidRPr="006111C3" w:rsidRDefault="008A4229" w:rsidP="008A4229">
                  <w:pPr>
                    <w:pStyle w:val="TableBodyText"/>
                    <w:rPr>
                      <w:b/>
                      <w:szCs w:val="18"/>
                    </w:rPr>
                  </w:pPr>
                  <w:r>
                    <w:rPr>
                      <w:b/>
                      <w:szCs w:val="18"/>
                    </w:rPr>
                    <w:t>30 688</w:t>
                  </w:r>
                  <w:r w:rsidR="006111C3" w:rsidRPr="006111C3">
                    <w:rPr>
                      <w:b/>
                      <w:szCs w:val="18"/>
                    </w:rPr>
                    <w:t>.</w:t>
                  </w:r>
                  <w:r>
                    <w:rPr>
                      <w:b/>
                      <w:szCs w:val="18"/>
                    </w:rPr>
                    <w:t>7</w:t>
                  </w:r>
                </w:p>
              </w:tc>
            </w:tr>
            <w:tr w:rsidR="006852CD" w:rsidRPr="00FE0361" w:rsidTr="00294F5E">
              <w:tc>
                <w:tcPr>
                  <w:tcW w:w="989" w:type="pct"/>
                  <w:tcBorders>
                    <w:bottom w:val="single" w:sz="6" w:space="0" w:color="C8C8C8"/>
                  </w:tcBorders>
                  <w:shd w:val="clear" w:color="auto" w:fill="auto"/>
                </w:tcPr>
                <w:p w:rsidR="006852CD" w:rsidRPr="00D069DC" w:rsidRDefault="006852CD" w:rsidP="00D069DC">
                  <w:pPr>
                    <w:pStyle w:val="TableBodyText"/>
                    <w:jc w:val="left"/>
                    <w:rPr>
                      <w:b/>
                      <w:i/>
                    </w:rPr>
                  </w:pPr>
                  <w:r w:rsidRPr="00D069DC">
                    <w:rPr>
                      <w:b/>
                    </w:rPr>
                    <w:t>Increase 2011</w:t>
                  </w:r>
                  <w:r w:rsidRPr="00D069DC">
                    <w:rPr>
                      <w:b/>
                    </w:rPr>
                    <w:noBreakHyphen/>
                    <w:t>12 to 2015</w:t>
                  </w:r>
                  <w:r w:rsidRPr="00D069DC">
                    <w:rPr>
                      <w:b/>
                    </w:rPr>
                    <w:noBreakHyphen/>
                    <w:t>16</w:t>
                  </w:r>
                </w:p>
              </w:tc>
              <w:tc>
                <w:tcPr>
                  <w:tcW w:w="335" w:type="pct"/>
                  <w:tcBorders>
                    <w:bottom w:val="single" w:sz="6" w:space="0" w:color="C8C8C8"/>
                  </w:tcBorders>
                  <w:shd w:val="clear" w:color="auto" w:fill="auto"/>
                  <w:vAlign w:val="bottom"/>
                </w:tcPr>
                <w:p w:rsidR="006852CD" w:rsidRPr="00D069DC" w:rsidRDefault="006852CD" w:rsidP="002B7088">
                  <w:pPr>
                    <w:pStyle w:val="TableBodyText"/>
                    <w:rPr>
                      <w:b/>
                    </w:rPr>
                  </w:pPr>
                  <w:r w:rsidRPr="00D069DC">
                    <w:rPr>
                      <w:b/>
                    </w:rPr>
                    <w:t>%</w:t>
                  </w:r>
                </w:p>
                <w:p w:rsidR="006852CD" w:rsidRPr="00D069DC" w:rsidRDefault="006852CD" w:rsidP="002B7088">
                  <w:pPr>
                    <w:pStyle w:val="TableBodyText"/>
                    <w:rPr>
                      <w:b/>
                    </w:rPr>
                  </w:pPr>
                </w:p>
              </w:tc>
              <w:tc>
                <w:tcPr>
                  <w:tcW w:w="735" w:type="pct"/>
                  <w:tcBorders>
                    <w:bottom w:val="single" w:sz="6" w:space="0" w:color="C8C8C8"/>
                  </w:tcBorders>
                  <w:shd w:val="clear" w:color="auto" w:fill="auto"/>
                </w:tcPr>
                <w:p w:rsidR="006852CD" w:rsidRPr="00F931A9" w:rsidRDefault="006852CD" w:rsidP="00E5233B">
                  <w:pPr>
                    <w:pStyle w:val="TableBodyText"/>
                    <w:framePr w:w="2155" w:hSpace="227" w:vSpace="181" w:wrap="around" w:vAnchor="text" w:hAnchor="page" w:xAlign="outside" w:y="1"/>
                    <w:rPr>
                      <w:b/>
                      <w:szCs w:val="18"/>
                    </w:rPr>
                  </w:pPr>
                  <w:r w:rsidRPr="00F931A9">
                    <w:rPr>
                      <w:b/>
                      <w:szCs w:val="18"/>
                    </w:rPr>
                    <w:t>1</w:t>
                  </w:r>
                  <w:r>
                    <w:rPr>
                      <w:b/>
                      <w:szCs w:val="18"/>
                    </w:rPr>
                    <w:t>9</w:t>
                  </w:r>
                  <w:r w:rsidRPr="00F931A9">
                    <w:rPr>
                      <w:b/>
                      <w:szCs w:val="18"/>
                    </w:rPr>
                    <w:t>.</w:t>
                  </w:r>
                  <w:r>
                    <w:rPr>
                      <w:b/>
                      <w:szCs w:val="18"/>
                    </w:rPr>
                    <w:t>4</w:t>
                  </w:r>
                </w:p>
              </w:tc>
              <w:tc>
                <w:tcPr>
                  <w:tcW w:w="735" w:type="pct"/>
                  <w:tcBorders>
                    <w:bottom w:val="single" w:sz="6" w:space="0" w:color="C8C8C8"/>
                  </w:tcBorders>
                  <w:shd w:val="clear" w:color="auto" w:fill="auto"/>
                </w:tcPr>
                <w:p w:rsidR="006852CD" w:rsidRPr="00F931A9" w:rsidRDefault="006852CD" w:rsidP="00597EDF">
                  <w:pPr>
                    <w:pStyle w:val="TableBodyText"/>
                    <w:rPr>
                      <w:b/>
                      <w:szCs w:val="18"/>
                    </w:rPr>
                  </w:pPr>
                  <w:r w:rsidRPr="00F931A9">
                    <w:rPr>
                      <w:b/>
                      <w:szCs w:val="18"/>
                    </w:rPr>
                    <w:t>16.1</w:t>
                  </w:r>
                </w:p>
              </w:tc>
              <w:tc>
                <w:tcPr>
                  <w:tcW w:w="735" w:type="pct"/>
                  <w:tcBorders>
                    <w:bottom w:val="single" w:sz="6" w:space="0" w:color="C8C8C8"/>
                  </w:tcBorders>
                  <w:shd w:val="clear" w:color="auto" w:fill="auto"/>
                </w:tcPr>
                <w:p w:rsidR="006852CD" w:rsidRPr="00F931A9" w:rsidRDefault="006852CD" w:rsidP="00F931A9">
                  <w:pPr>
                    <w:pStyle w:val="TableBodyText"/>
                    <w:rPr>
                      <w:b/>
                      <w:szCs w:val="18"/>
                    </w:rPr>
                  </w:pPr>
                  <w:r w:rsidRPr="00F931A9">
                    <w:rPr>
                      <w:b/>
                      <w:szCs w:val="18"/>
                    </w:rPr>
                    <w:t>20.7</w:t>
                  </w:r>
                </w:p>
              </w:tc>
              <w:tc>
                <w:tcPr>
                  <w:tcW w:w="735" w:type="pct"/>
                  <w:tcBorders>
                    <w:bottom w:val="single" w:sz="6" w:space="0" w:color="C8C8C8"/>
                  </w:tcBorders>
                  <w:shd w:val="clear" w:color="auto" w:fill="auto"/>
                </w:tcPr>
                <w:p w:rsidR="006852CD" w:rsidRPr="00F931A9" w:rsidRDefault="008A4229" w:rsidP="008A4229">
                  <w:pPr>
                    <w:pStyle w:val="TableBodyText"/>
                    <w:rPr>
                      <w:rStyle w:val="DraftingNote"/>
                      <w:sz w:val="18"/>
                      <w:szCs w:val="18"/>
                    </w:rPr>
                  </w:pPr>
                  <w:r>
                    <w:rPr>
                      <w:b/>
                      <w:szCs w:val="18"/>
                    </w:rPr>
                    <w:t>8</w:t>
                  </w:r>
                  <w:r w:rsidR="006852CD" w:rsidRPr="00F931A9">
                    <w:rPr>
                      <w:b/>
                      <w:szCs w:val="18"/>
                    </w:rPr>
                    <w:t>.</w:t>
                  </w:r>
                  <w:r>
                    <w:rPr>
                      <w:b/>
                      <w:szCs w:val="18"/>
                    </w:rPr>
                    <w:t>0</w:t>
                  </w:r>
                </w:p>
              </w:tc>
              <w:tc>
                <w:tcPr>
                  <w:tcW w:w="735" w:type="pct"/>
                  <w:tcBorders>
                    <w:bottom w:val="single" w:sz="6" w:space="0" w:color="C8C8C8"/>
                  </w:tcBorders>
                  <w:shd w:val="clear" w:color="auto" w:fill="auto"/>
                </w:tcPr>
                <w:p w:rsidR="006852CD" w:rsidRPr="00F931A9" w:rsidRDefault="006852CD" w:rsidP="008A4229">
                  <w:pPr>
                    <w:pStyle w:val="TableBodyText"/>
                    <w:rPr>
                      <w:b/>
                      <w:szCs w:val="18"/>
                    </w:rPr>
                  </w:pPr>
                  <w:r w:rsidRPr="00F931A9">
                    <w:rPr>
                      <w:b/>
                      <w:szCs w:val="18"/>
                    </w:rPr>
                    <w:t>1</w:t>
                  </w:r>
                  <w:r>
                    <w:rPr>
                      <w:b/>
                      <w:szCs w:val="18"/>
                    </w:rPr>
                    <w:t>8</w:t>
                  </w:r>
                  <w:r w:rsidRPr="00F931A9">
                    <w:rPr>
                      <w:b/>
                      <w:szCs w:val="18"/>
                    </w:rPr>
                    <w:t>.</w:t>
                  </w:r>
                  <w:r w:rsidR="008A4229">
                    <w:rPr>
                      <w:b/>
                      <w:szCs w:val="18"/>
                    </w:rPr>
                    <w:t>4</w:t>
                  </w:r>
                </w:p>
              </w:tc>
            </w:tr>
          </w:tbl>
          <w:p w:rsidR="00061116" w:rsidRPr="00FE0361" w:rsidRDefault="00061116" w:rsidP="00982528">
            <w:pPr>
              <w:pStyle w:val="Box"/>
              <w:rPr>
                <w:rStyle w:val="DraftingNote"/>
                <w:highlight w:val="yellow"/>
              </w:rPr>
            </w:pPr>
          </w:p>
        </w:tc>
      </w:tr>
      <w:tr w:rsidR="00BC53F9" w:rsidRPr="005407EC" w:rsidTr="00C73863">
        <w:trPr>
          <w:cantSplit/>
        </w:trPr>
        <w:tc>
          <w:tcPr>
            <w:tcW w:w="8771" w:type="dxa"/>
            <w:tcBorders>
              <w:top w:val="nil"/>
              <w:left w:val="nil"/>
              <w:bottom w:val="nil"/>
              <w:right w:val="nil"/>
            </w:tcBorders>
            <w:shd w:val="clear" w:color="auto" w:fill="auto"/>
          </w:tcPr>
          <w:p w:rsidR="0065632E" w:rsidRPr="005407EC" w:rsidRDefault="002B7088" w:rsidP="00945C0E">
            <w:pPr>
              <w:pStyle w:val="Note"/>
              <w:keepLines w:val="0"/>
              <w:rPr>
                <w:i/>
                <w:szCs w:val="26"/>
              </w:rPr>
            </w:pPr>
            <w:r w:rsidRPr="005407EC">
              <w:rPr>
                <w:szCs w:val="26"/>
              </w:rPr>
              <w:t>ACS = Aged care services. SPWD = Services for people with disability. CPS = Child protection services. YJS = Youth justice services.</w:t>
            </w:r>
            <w:r w:rsidR="00946096" w:rsidRPr="005407EC">
              <w:rPr>
                <w:szCs w:val="26"/>
              </w:rPr>
              <w:t xml:space="preserve"> </w:t>
            </w:r>
            <w:r w:rsidR="0065632E" w:rsidRPr="005407EC">
              <w:rPr>
                <w:rStyle w:val="NoteLabel"/>
              </w:rPr>
              <w:t>a</w:t>
            </w:r>
            <w:r w:rsidR="0065632E" w:rsidRPr="005407EC">
              <w:t xml:space="preserve"> </w:t>
            </w:r>
            <w:r w:rsidRPr="005407EC">
              <w:t xml:space="preserve">Totals may not add as a result of rounding. </w:t>
            </w:r>
            <w:r w:rsidR="00D25779">
              <w:rPr>
                <w:rStyle w:val="NoteLabel"/>
              </w:rPr>
              <w:t>b</w:t>
            </w:r>
            <w:r w:rsidRPr="005407EC">
              <w:t xml:space="preserve"> </w:t>
            </w:r>
            <w:r w:rsidR="00720D15" w:rsidRPr="00D069DC">
              <w:t xml:space="preserve">See </w:t>
            </w:r>
            <w:r w:rsidR="00167146" w:rsidRPr="00D069DC">
              <w:t>tables 1</w:t>
            </w:r>
            <w:r w:rsidR="00271A9A">
              <w:t>4</w:t>
            </w:r>
            <w:r w:rsidR="00167146" w:rsidRPr="00D069DC">
              <w:t>A.</w:t>
            </w:r>
            <w:r w:rsidR="00866FAD">
              <w:t>4</w:t>
            </w:r>
            <w:r w:rsidR="00167146" w:rsidRPr="00D069DC">
              <w:t>, 1</w:t>
            </w:r>
            <w:r w:rsidR="00271A9A">
              <w:t>5</w:t>
            </w:r>
            <w:r w:rsidR="00167146" w:rsidRPr="00D069DC">
              <w:t>A.</w:t>
            </w:r>
            <w:r w:rsidR="00866FAD">
              <w:t>4</w:t>
            </w:r>
            <w:r w:rsidR="00167146" w:rsidRPr="00D069DC">
              <w:t>, 1</w:t>
            </w:r>
            <w:r w:rsidR="00271A9A">
              <w:t>6</w:t>
            </w:r>
            <w:r w:rsidR="00167146" w:rsidRPr="00D069DC">
              <w:t>A.</w:t>
            </w:r>
            <w:r w:rsidR="00945C0E">
              <w:t>1</w:t>
            </w:r>
            <w:r w:rsidR="00167146" w:rsidRPr="00D069DC">
              <w:t>, 1</w:t>
            </w:r>
            <w:r w:rsidR="00271A9A">
              <w:t>7</w:t>
            </w:r>
            <w:r w:rsidR="00167146" w:rsidRPr="00D069DC">
              <w:t>A.</w:t>
            </w:r>
            <w:r w:rsidR="00945C0E">
              <w:t>1</w:t>
            </w:r>
            <w:r w:rsidR="00167146" w:rsidRPr="00720D15">
              <w:t xml:space="preserve"> </w:t>
            </w:r>
            <w:r w:rsidR="00720D15" w:rsidRPr="00B20B3B">
              <w:t xml:space="preserve">for detailed </w:t>
            </w:r>
            <w:r w:rsidR="00720D15">
              <w:t>definitions, footnotes and caveats</w:t>
            </w:r>
            <w:r w:rsidR="00ED7D9C">
              <w:t>.</w:t>
            </w:r>
            <w:r w:rsidR="00720D15" w:rsidRPr="005407EC" w:rsidDel="00720D15">
              <w:t xml:space="preserve"> </w:t>
            </w:r>
          </w:p>
        </w:tc>
      </w:tr>
      <w:tr w:rsidR="00BC53F9" w:rsidRPr="005407EC" w:rsidTr="00C73863">
        <w:trPr>
          <w:cantSplit/>
        </w:trPr>
        <w:tc>
          <w:tcPr>
            <w:tcW w:w="8771" w:type="dxa"/>
            <w:tcBorders>
              <w:top w:val="nil"/>
              <w:left w:val="nil"/>
              <w:bottom w:val="nil"/>
              <w:right w:val="nil"/>
            </w:tcBorders>
            <w:shd w:val="clear" w:color="auto" w:fill="auto"/>
          </w:tcPr>
          <w:p w:rsidR="0065632E" w:rsidRPr="005407EC" w:rsidRDefault="0065632E" w:rsidP="00945C0E">
            <w:pPr>
              <w:pStyle w:val="Source"/>
              <w:keepLines w:val="0"/>
              <w:rPr>
                <w:i/>
              </w:rPr>
            </w:pPr>
            <w:r w:rsidRPr="00720D15">
              <w:rPr>
                <w:i/>
              </w:rPr>
              <w:t>Source</w:t>
            </w:r>
            <w:r w:rsidRPr="00720D15">
              <w:t xml:space="preserve">: </w:t>
            </w:r>
            <w:r w:rsidR="002B7088" w:rsidRPr="00720D15">
              <w:t>Australian, State and Territory governments (unpublished); tables</w:t>
            </w:r>
            <w:r w:rsidR="00EA7C93" w:rsidRPr="00720D15">
              <w:t> </w:t>
            </w:r>
            <w:r w:rsidR="002B7088" w:rsidRPr="0063699B">
              <w:t>1</w:t>
            </w:r>
            <w:r w:rsidR="00271A9A">
              <w:t>4</w:t>
            </w:r>
            <w:r w:rsidR="002B7088" w:rsidRPr="0063699B">
              <w:t>A.</w:t>
            </w:r>
            <w:r w:rsidR="00866FAD">
              <w:t>4</w:t>
            </w:r>
            <w:r w:rsidR="0027681F" w:rsidRPr="0063699B">
              <w:t>, 1</w:t>
            </w:r>
            <w:r w:rsidR="00271A9A">
              <w:t>5</w:t>
            </w:r>
            <w:r w:rsidR="0027681F" w:rsidRPr="0063699B">
              <w:t>A.</w:t>
            </w:r>
            <w:r w:rsidR="00866FAD">
              <w:t>4</w:t>
            </w:r>
            <w:r w:rsidR="002B7088" w:rsidRPr="0063699B">
              <w:t xml:space="preserve">, </w:t>
            </w:r>
            <w:r w:rsidR="00C604DF" w:rsidRPr="0063699B">
              <w:t>1</w:t>
            </w:r>
            <w:r w:rsidR="00271A9A">
              <w:t>6</w:t>
            </w:r>
            <w:r w:rsidR="00C604DF" w:rsidRPr="0063699B">
              <w:t>A.</w:t>
            </w:r>
            <w:r w:rsidR="00945C0E">
              <w:t>1</w:t>
            </w:r>
            <w:r w:rsidR="00C604DF" w:rsidRPr="0063699B">
              <w:t>, 1</w:t>
            </w:r>
            <w:r w:rsidR="00271A9A">
              <w:t>7</w:t>
            </w:r>
            <w:r w:rsidR="00C604DF" w:rsidRPr="0063699B">
              <w:t>A.</w:t>
            </w:r>
            <w:r w:rsidR="00945C0E">
              <w:t>1</w:t>
            </w:r>
            <w:r w:rsidR="00C604DF" w:rsidRPr="0063699B">
              <w:t xml:space="preserve"> and 2A.4</w:t>
            </w:r>
            <w:r w:rsidR="006C6B27" w:rsidRPr="0063699B">
              <w:t>8</w:t>
            </w:r>
            <w:r w:rsidR="00290CEF" w:rsidRPr="0063699B">
              <w:t>.</w:t>
            </w:r>
          </w:p>
        </w:tc>
      </w:tr>
      <w:tr w:rsidR="00BC53F9" w:rsidRPr="005407EC" w:rsidTr="00C73863">
        <w:trPr>
          <w:cantSplit/>
        </w:trPr>
        <w:tc>
          <w:tcPr>
            <w:tcW w:w="8771" w:type="dxa"/>
            <w:tcBorders>
              <w:top w:val="nil"/>
              <w:left w:val="nil"/>
              <w:bottom w:val="single" w:sz="6" w:space="0" w:color="78A22F" w:themeColor="accent1"/>
              <w:right w:val="nil"/>
            </w:tcBorders>
            <w:shd w:val="clear" w:color="auto" w:fill="auto"/>
          </w:tcPr>
          <w:p w:rsidR="0065632E" w:rsidRPr="005407EC" w:rsidRDefault="0065632E" w:rsidP="00C73863">
            <w:pPr>
              <w:pStyle w:val="Box"/>
              <w:spacing w:before="0" w:line="120" w:lineRule="exact"/>
            </w:pPr>
          </w:p>
        </w:tc>
      </w:tr>
      <w:tr w:rsidR="00BC53F9" w:rsidRPr="005407EC" w:rsidTr="00C73863">
        <w:tc>
          <w:tcPr>
            <w:tcW w:w="8771" w:type="dxa"/>
            <w:tcBorders>
              <w:top w:val="single" w:sz="6" w:space="0" w:color="78A22F" w:themeColor="accent1"/>
              <w:left w:val="nil"/>
              <w:bottom w:val="nil"/>
              <w:right w:val="nil"/>
            </w:tcBorders>
          </w:tcPr>
          <w:p w:rsidR="0065632E" w:rsidRPr="005407EC" w:rsidRDefault="0065632E" w:rsidP="00C73863">
            <w:pPr>
              <w:pStyle w:val="BoxSpaceBelow"/>
            </w:pPr>
          </w:p>
        </w:tc>
      </w:tr>
    </w:tbl>
    <w:p w:rsidR="00D25779" w:rsidRPr="008833EB" w:rsidRDefault="00D25779" w:rsidP="00654035">
      <w:pPr>
        <w:pStyle w:val="BodyText"/>
      </w:pPr>
      <w:r w:rsidRPr="00E5233B">
        <w:t>Between 201</w:t>
      </w:r>
      <w:r w:rsidR="0063699B" w:rsidRPr="00E5233B">
        <w:t>1</w:t>
      </w:r>
      <w:r w:rsidR="00897A84">
        <w:t>-</w:t>
      </w:r>
      <w:r w:rsidRPr="00E5233B">
        <w:t>1</w:t>
      </w:r>
      <w:r w:rsidR="000B04A4">
        <w:t>2</w:t>
      </w:r>
      <w:r w:rsidRPr="00E5233B">
        <w:t xml:space="preserve"> and 201</w:t>
      </w:r>
      <w:r w:rsidR="0063699B" w:rsidRPr="00E5233B">
        <w:t>5</w:t>
      </w:r>
      <w:r w:rsidR="00897A84">
        <w:t>-</w:t>
      </w:r>
      <w:r w:rsidRPr="00E5233B">
        <w:t>1</w:t>
      </w:r>
      <w:r w:rsidR="0063699B" w:rsidRPr="00E5233B">
        <w:t>6</w:t>
      </w:r>
      <w:r w:rsidRPr="00E5233B">
        <w:t xml:space="preserve">, real government recurrent expenditure on these services increased by </w:t>
      </w:r>
      <w:r w:rsidR="001117FD" w:rsidRPr="00294F5E">
        <w:t>1</w:t>
      </w:r>
      <w:r w:rsidR="00E5233B" w:rsidRPr="00294F5E">
        <w:t>8</w:t>
      </w:r>
      <w:r w:rsidRPr="00294F5E">
        <w:t>.</w:t>
      </w:r>
      <w:r w:rsidR="008A4229" w:rsidRPr="00294F5E">
        <w:t>4</w:t>
      </w:r>
      <w:r w:rsidRPr="00294F5E">
        <w:t> per cent</w:t>
      </w:r>
      <w:r w:rsidRPr="00E5233B">
        <w:t xml:space="preserve">. The largest proportional increase in real expenditure over this period was on </w:t>
      </w:r>
      <w:r w:rsidR="001117FD" w:rsidRPr="00E5233B">
        <w:t>child protection services</w:t>
      </w:r>
      <w:r w:rsidRPr="00E5233B">
        <w:t xml:space="preserve">, which increased by </w:t>
      </w:r>
      <w:r w:rsidR="001117FD" w:rsidRPr="00294F5E">
        <w:t>2</w:t>
      </w:r>
      <w:r w:rsidR="00F931A9" w:rsidRPr="00294F5E">
        <w:t>0</w:t>
      </w:r>
      <w:r w:rsidRPr="00294F5E">
        <w:t>.</w:t>
      </w:r>
      <w:r w:rsidR="00F931A9" w:rsidRPr="00294F5E">
        <w:t>7</w:t>
      </w:r>
      <w:r w:rsidRPr="00294F5E">
        <w:t> per cent</w:t>
      </w:r>
      <w:r w:rsidRPr="00E5233B">
        <w:t>. Part of this increase is explained by the addition from 2011</w:t>
      </w:r>
      <w:r w:rsidR="00897A84">
        <w:t>-</w:t>
      </w:r>
      <w:r w:rsidRPr="00E5233B">
        <w:t>12 onwards of expenditure data for family support services. The largest absolute dollar increase for a particular service between 201</w:t>
      </w:r>
      <w:r w:rsidR="0063699B" w:rsidRPr="00E5233B">
        <w:t>1</w:t>
      </w:r>
      <w:r w:rsidRPr="00E5233B">
        <w:noBreakHyphen/>
        <w:t>1</w:t>
      </w:r>
      <w:r w:rsidR="0063699B" w:rsidRPr="00E5233B">
        <w:t>2</w:t>
      </w:r>
      <w:r w:rsidRPr="00E5233B">
        <w:t xml:space="preserve"> and 201</w:t>
      </w:r>
      <w:r w:rsidR="0063699B" w:rsidRPr="00E5233B">
        <w:t>5</w:t>
      </w:r>
      <w:r w:rsidR="00897A84">
        <w:t>-</w:t>
      </w:r>
      <w:r w:rsidRPr="00E5233B">
        <w:t>1</w:t>
      </w:r>
      <w:r w:rsidR="0063699B" w:rsidRPr="00E5233B">
        <w:t>6</w:t>
      </w:r>
      <w:r w:rsidRPr="00E5233B">
        <w:t xml:space="preserve"> was </w:t>
      </w:r>
      <w:r w:rsidRPr="00BE2DC4">
        <w:t>$</w:t>
      </w:r>
      <w:r w:rsidR="001117FD" w:rsidRPr="00BE2DC4">
        <w:t>2</w:t>
      </w:r>
      <w:r w:rsidRPr="00BE2DC4">
        <w:t>.</w:t>
      </w:r>
      <w:r w:rsidR="00E5233B" w:rsidRPr="00BE2DC4">
        <w:t>7</w:t>
      </w:r>
      <w:r w:rsidRPr="00BE2DC4">
        <w:t> billion</w:t>
      </w:r>
      <w:r w:rsidRPr="00E5233B">
        <w:t xml:space="preserve"> for aged care services (table F.1).</w:t>
      </w:r>
    </w:p>
    <w:p w:rsidR="00CD37EF" w:rsidRPr="005407EC" w:rsidRDefault="00CD37EF" w:rsidP="00CD37EF">
      <w:pPr>
        <w:pStyle w:val="BodyText"/>
      </w:pPr>
      <w:r w:rsidRPr="00375C20">
        <w:t xml:space="preserve">Table </w:t>
      </w:r>
      <w:r w:rsidR="000B5935" w:rsidRPr="00375C20">
        <w:t>F.</w:t>
      </w:r>
      <w:r w:rsidR="00B810F9" w:rsidRPr="00375C20">
        <w:t>2</w:t>
      </w:r>
      <w:r w:rsidR="00483C15" w:rsidRPr="00375C20">
        <w:rPr>
          <w:b/>
        </w:rPr>
        <w:t xml:space="preserve"> </w:t>
      </w:r>
      <w:r w:rsidRPr="00375C20">
        <w:t>identif</w:t>
      </w:r>
      <w:r w:rsidR="00793430" w:rsidRPr="00375C20">
        <w:t>ies</w:t>
      </w:r>
      <w:r w:rsidRPr="00375C20">
        <w:t xml:space="preserve"> expenditure </w:t>
      </w:r>
      <w:r w:rsidR="00BA3C40" w:rsidRPr="00375C20">
        <w:t xml:space="preserve">on community services included in this Report </w:t>
      </w:r>
      <w:r w:rsidR="00965531" w:rsidRPr="00375C20">
        <w:t>by</w:t>
      </w:r>
      <w:r w:rsidR="005631D2" w:rsidRPr="00375C20">
        <w:t xml:space="preserve"> jurisdiction and per person</w:t>
      </w:r>
      <w:r w:rsidR="00D43402" w:rsidRPr="00375C20">
        <w:t>.</w:t>
      </w:r>
      <w:r w:rsidR="00573293" w:rsidRPr="00375C20">
        <w:t xml:space="preserve"> </w:t>
      </w:r>
      <w:r w:rsidR="005631D2" w:rsidRPr="00375C20">
        <w:t>In 2015</w:t>
      </w:r>
      <w:r w:rsidR="001441CA">
        <w:noBreakHyphen/>
      </w:r>
      <w:r w:rsidR="005631D2" w:rsidRPr="00375C20">
        <w:t xml:space="preserve">16, </w:t>
      </w:r>
      <w:r w:rsidR="00573293" w:rsidRPr="00375C20">
        <w:t xml:space="preserve">Australian, State and Territory governments spent </w:t>
      </w:r>
      <w:r w:rsidR="00573293" w:rsidRPr="00BE2DC4">
        <w:t>$</w:t>
      </w:r>
      <w:r w:rsidR="002D6205" w:rsidRPr="00BE2DC4">
        <w:t>1</w:t>
      </w:r>
      <w:r w:rsidR="00375C20" w:rsidRPr="00BE2DC4">
        <w:t>2</w:t>
      </w:r>
      <w:r w:rsidR="00966E8A" w:rsidRPr="00BE2DC4">
        <w:t>82</w:t>
      </w:r>
      <w:r w:rsidR="00573293" w:rsidRPr="00375C20">
        <w:t xml:space="preserve"> on community services per person in the population</w:t>
      </w:r>
      <w:r w:rsidR="004A36C9" w:rsidRPr="00375C20">
        <w:t xml:space="preserve"> </w:t>
      </w:r>
      <w:r w:rsidR="00573293" w:rsidRPr="00375C20">
        <w:t>(table F.2).</w:t>
      </w:r>
    </w:p>
    <w:p w:rsidR="00A97E34" w:rsidRPr="00BC53F9" w:rsidRDefault="00A97E34" w:rsidP="00C73863">
      <w:pPr>
        <w:pStyle w:val="BoxSpaceAbove"/>
        <w:rPr>
          <w:color w:val="808080" w:themeColor="background1" w:themeShade="80"/>
        </w:rPr>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811"/>
      </w:tblGrid>
      <w:tr w:rsidR="00BC53F9" w:rsidRPr="007A155F" w:rsidTr="00C73863">
        <w:tc>
          <w:tcPr>
            <w:tcW w:w="8771" w:type="dxa"/>
            <w:tcBorders>
              <w:top w:val="single" w:sz="6" w:space="0" w:color="78A22F" w:themeColor="accent1"/>
              <w:left w:val="nil"/>
              <w:bottom w:val="nil"/>
              <w:right w:val="nil"/>
            </w:tcBorders>
            <w:shd w:val="clear" w:color="auto" w:fill="auto"/>
          </w:tcPr>
          <w:p w:rsidR="00061116" w:rsidRPr="00061116" w:rsidRDefault="00A97E34" w:rsidP="002541C2">
            <w:pPr>
              <w:pStyle w:val="TableTitle"/>
            </w:pPr>
            <w:r w:rsidRPr="0063699B">
              <w:rPr>
                <w:b w:val="0"/>
              </w:rPr>
              <w:t xml:space="preserve">Table </w:t>
            </w:r>
            <w:proofErr w:type="spellStart"/>
            <w:r w:rsidR="00EC1787" w:rsidRPr="0063699B">
              <w:rPr>
                <w:b w:val="0"/>
              </w:rPr>
              <w:t>F.</w:t>
            </w:r>
            <w:r w:rsidR="00F33AC2">
              <w:rPr>
                <w:b w:val="0"/>
                <w:noProof/>
              </w:rPr>
              <w:t>2</w:t>
            </w:r>
            <w:proofErr w:type="spellEnd"/>
            <w:r w:rsidRPr="0063699B">
              <w:tab/>
            </w:r>
            <w:r w:rsidR="00187A60" w:rsidRPr="0063699B">
              <w:t>Government recurrent expenditure on community services, 201</w:t>
            </w:r>
            <w:r w:rsidR="0063699B" w:rsidRPr="0063699B">
              <w:t>5</w:t>
            </w:r>
            <w:r w:rsidR="002541C2">
              <w:t>-</w:t>
            </w:r>
            <w:r w:rsidR="00187A60" w:rsidRPr="0063699B">
              <w:t>1</w:t>
            </w:r>
            <w:r w:rsidR="0063699B" w:rsidRPr="0063699B">
              <w:t>6</w:t>
            </w:r>
            <w:r w:rsidR="004671D0" w:rsidRPr="0063699B">
              <w:rPr>
                <w:rStyle w:val="NoteLabel"/>
                <w:b/>
              </w:rPr>
              <w:t>a</w:t>
            </w:r>
            <w:r w:rsidR="007C1630" w:rsidRPr="00D069DC">
              <w:rPr>
                <w:rStyle w:val="NoteLabel"/>
                <w:b/>
              </w:rPr>
              <w:t>, b</w:t>
            </w:r>
            <w:r w:rsidR="000A56D8">
              <w:rPr>
                <w:rStyle w:val="NoteLabel"/>
                <w:b/>
              </w:rPr>
              <w:t>, c</w:t>
            </w:r>
            <w:r w:rsidR="002C3C79">
              <w:rPr>
                <w:rStyle w:val="NoteLabel"/>
                <w:b/>
              </w:rPr>
              <w:t>, d</w:t>
            </w:r>
            <w:r w:rsidR="00985FE1">
              <w:rPr>
                <w:rStyle w:val="NoteLabel"/>
                <w:b/>
              </w:rPr>
              <w:t>,</w:t>
            </w:r>
            <w:r w:rsidR="00E5233B">
              <w:rPr>
                <w:rStyle w:val="NoteLabel"/>
                <w:b/>
              </w:rPr>
              <w:t xml:space="preserve"> </w:t>
            </w:r>
            <w:r w:rsidR="00985FE1">
              <w:rPr>
                <w:rStyle w:val="NoteLabel"/>
                <w:b/>
              </w:rPr>
              <w:t>e</w:t>
            </w:r>
            <w:r w:rsidR="00710A4B">
              <w:rPr>
                <w:rStyle w:val="NoteLabel"/>
                <w:b/>
              </w:rPr>
              <w:t>, f</w:t>
            </w:r>
          </w:p>
        </w:tc>
      </w:tr>
      <w:tr w:rsidR="00BC53F9" w:rsidRPr="007A155F" w:rsidTr="00C73863">
        <w:trPr>
          <w:cantSplit/>
        </w:trPr>
        <w:tc>
          <w:tcPr>
            <w:tcW w:w="8771" w:type="dxa"/>
            <w:tcBorders>
              <w:top w:val="nil"/>
              <w:left w:val="nil"/>
              <w:bottom w:val="nil"/>
              <w:right w:val="nil"/>
            </w:tcBorders>
            <w:shd w:val="clear" w:color="auto" w:fill="auto"/>
          </w:tcPr>
          <w:tbl>
            <w:tblPr>
              <w:tblW w:w="8527" w:type="dxa"/>
              <w:tblCellMar>
                <w:top w:w="28" w:type="dxa"/>
                <w:left w:w="0" w:type="dxa"/>
                <w:right w:w="0" w:type="dxa"/>
              </w:tblCellMar>
              <w:tblLook w:val="0000" w:firstRow="0" w:lastRow="0" w:firstColumn="0" w:lastColumn="0" w:noHBand="0" w:noVBand="0"/>
            </w:tblPr>
            <w:tblGrid>
              <w:gridCol w:w="712"/>
              <w:gridCol w:w="700"/>
              <w:gridCol w:w="785"/>
              <w:gridCol w:w="784"/>
              <w:gridCol w:w="784"/>
              <w:gridCol w:w="784"/>
              <w:gridCol w:w="784"/>
              <w:gridCol w:w="786"/>
              <w:gridCol w:w="786"/>
              <w:gridCol w:w="786"/>
              <w:gridCol w:w="836"/>
            </w:tblGrid>
            <w:tr w:rsidR="007637C8" w:rsidRPr="007A155F" w:rsidTr="001225FE">
              <w:tc>
                <w:tcPr>
                  <w:tcW w:w="417" w:type="pct"/>
                  <w:tcBorders>
                    <w:top w:val="single" w:sz="6" w:space="0" w:color="BFBFBF" w:themeColor="background2"/>
                    <w:bottom w:val="single" w:sz="6" w:space="0" w:color="BFBFBF" w:themeColor="background2"/>
                  </w:tcBorders>
                </w:tcPr>
                <w:p w:rsidR="00062D18" w:rsidRPr="00FE0361" w:rsidRDefault="00062D18" w:rsidP="00062D18">
                  <w:pPr>
                    <w:pStyle w:val="TableColumnHeading"/>
                    <w:rPr>
                      <w:highlight w:val="yellow"/>
                    </w:rPr>
                  </w:pPr>
                </w:p>
              </w:tc>
              <w:tc>
                <w:tcPr>
                  <w:tcW w:w="410" w:type="pct"/>
                  <w:tcBorders>
                    <w:top w:val="single" w:sz="6" w:space="0" w:color="BFBFBF" w:themeColor="background2"/>
                    <w:bottom w:val="single" w:sz="6" w:space="0" w:color="BFBFBF" w:themeColor="background2"/>
                  </w:tcBorders>
                </w:tcPr>
                <w:p w:rsidR="00062D18" w:rsidRPr="0063699B" w:rsidRDefault="00062D18" w:rsidP="00062D18">
                  <w:pPr>
                    <w:pStyle w:val="TableColumnHeading"/>
                  </w:pPr>
                  <w:r w:rsidRPr="0063699B">
                    <w:t>Units</w:t>
                  </w:r>
                </w:p>
              </w:tc>
              <w:tc>
                <w:tcPr>
                  <w:tcW w:w="460" w:type="pct"/>
                  <w:tcBorders>
                    <w:top w:val="single" w:sz="6" w:space="0" w:color="BFBFBF" w:themeColor="background2"/>
                    <w:bottom w:val="single" w:sz="6" w:space="0" w:color="BFBFBF" w:themeColor="background2"/>
                  </w:tcBorders>
                </w:tcPr>
                <w:p w:rsidR="00062D18" w:rsidRPr="0063699B" w:rsidRDefault="00062D18" w:rsidP="00062D18">
                  <w:pPr>
                    <w:pStyle w:val="TableColumnHeading"/>
                  </w:pPr>
                  <w:r w:rsidRPr="0063699B">
                    <w:t>NSW</w:t>
                  </w:r>
                </w:p>
              </w:tc>
              <w:tc>
                <w:tcPr>
                  <w:tcW w:w="460" w:type="pct"/>
                  <w:tcBorders>
                    <w:top w:val="single" w:sz="6" w:space="0" w:color="BFBFBF" w:themeColor="background2"/>
                    <w:bottom w:val="single" w:sz="6" w:space="0" w:color="BFBFBF" w:themeColor="background2"/>
                  </w:tcBorders>
                </w:tcPr>
                <w:p w:rsidR="00062D18" w:rsidRPr="0063699B" w:rsidRDefault="00062D18" w:rsidP="00062D18">
                  <w:pPr>
                    <w:pStyle w:val="TableColumnHeading"/>
                  </w:pPr>
                  <w:r w:rsidRPr="0063699B">
                    <w:t>Vic</w:t>
                  </w:r>
                </w:p>
              </w:tc>
              <w:tc>
                <w:tcPr>
                  <w:tcW w:w="460" w:type="pct"/>
                  <w:tcBorders>
                    <w:top w:val="single" w:sz="6" w:space="0" w:color="BFBFBF" w:themeColor="background2"/>
                    <w:bottom w:val="single" w:sz="6" w:space="0" w:color="BFBFBF" w:themeColor="background2"/>
                  </w:tcBorders>
                </w:tcPr>
                <w:p w:rsidR="00062D18" w:rsidRPr="0063699B" w:rsidRDefault="00062D18" w:rsidP="00062D18">
                  <w:pPr>
                    <w:pStyle w:val="TableColumnHeading"/>
                  </w:pPr>
                  <w:r w:rsidRPr="0063699B">
                    <w:t>Qld</w:t>
                  </w:r>
                </w:p>
              </w:tc>
              <w:tc>
                <w:tcPr>
                  <w:tcW w:w="460" w:type="pct"/>
                  <w:tcBorders>
                    <w:top w:val="single" w:sz="6" w:space="0" w:color="BFBFBF" w:themeColor="background2"/>
                    <w:bottom w:val="single" w:sz="6" w:space="0" w:color="BFBFBF" w:themeColor="background2"/>
                  </w:tcBorders>
                </w:tcPr>
                <w:p w:rsidR="00062D18" w:rsidRPr="0063699B" w:rsidRDefault="00062D18" w:rsidP="00062D18">
                  <w:pPr>
                    <w:pStyle w:val="TableColumnHeading"/>
                  </w:pPr>
                  <w:r w:rsidRPr="0063699B">
                    <w:t>WA</w:t>
                  </w:r>
                </w:p>
              </w:tc>
              <w:tc>
                <w:tcPr>
                  <w:tcW w:w="460" w:type="pct"/>
                  <w:tcBorders>
                    <w:top w:val="single" w:sz="6" w:space="0" w:color="BFBFBF" w:themeColor="background2"/>
                    <w:bottom w:val="single" w:sz="6" w:space="0" w:color="BFBFBF" w:themeColor="background2"/>
                  </w:tcBorders>
                </w:tcPr>
                <w:p w:rsidR="00062D18" w:rsidRPr="0063699B" w:rsidRDefault="00062D18" w:rsidP="00062D18">
                  <w:pPr>
                    <w:pStyle w:val="TableColumnHeading"/>
                  </w:pPr>
                  <w:r w:rsidRPr="0063699B">
                    <w:t>SA</w:t>
                  </w:r>
                </w:p>
              </w:tc>
              <w:tc>
                <w:tcPr>
                  <w:tcW w:w="461" w:type="pct"/>
                  <w:tcBorders>
                    <w:top w:val="single" w:sz="6" w:space="0" w:color="BFBFBF" w:themeColor="background2"/>
                    <w:bottom w:val="single" w:sz="6" w:space="0" w:color="BFBFBF" w:themeColor="background2"/>
                  </w:tcBorders>
                </w:tcPr>
                <w:p w:rsidR="00062D18" w:rsidRPr="0063699B" w:rsidRDefault="00062D18" w:rsidP="00062D18">
                  <w:pPr>
                    <w:pStyle w:val="TableColumnHeading"/>
                  </w:pPr>
                  <w:r w:rsidRPr="0063699B">
                    <w:t>Tas</w:t>
                  </w:r>
                </w:p>
              </w:tc>
              <w:tc>
                <w:tcPr>
                  <w:tcW w:w="461" w:type="pct"/>
                  <w:tcBorders>
                    <w:top w:val="single" w:sz="6" w:space="0" w:color="BFBFBF" w:themeColor="background2"/>
                    <w:bottom w:val="single" w:sz="6" w:space="0" w:color="BFBFBF" w:themeColor="background2"/>
                  </w:tcBorders>
                </w:tcPr>
                <w:p w:rsidR="00062D18" w:rsidRPr="0063699B" w:rsidRDefault="00062D18" w:rsidP="00062D18">
                  <w:pPr>
                    <w:pStyle w:val="TableColumnHeading"/>
                  </w:pPr>
                  <w:r w:rsidRPr="0063699B">
                    <w:t>ACT</w:t>
                  </w:r>
                </w:p>
              </w:tc>
              <w:tc>
                <w:tcPr>
                  <w:tcW w:w="461" w:type="pct"/>
                  <w:tcBorders>
                    <w:top w:val="single" w:sz="6" w:space="0" w:color="BFBFBF" w:themeColor="background2"/>
                    <w:bottom w:val="single" w:sz="6" w:space="0" w:color="BFBFBF" w:themeColor="background2"/>
                  </w:tcBorders>
                </w:tcPr>
                <w:p w:rsidR="00062D18" w:rsidRPr="0063699B" w:rsidRDefault="00062D18" w:rsidP="00062D18">
                  <w:pPr>
                    <w:pStyle w:val="TableColumnHeading"/>
                  </w:pPr>
                  <w:r w:rsidRPr="0063699B">
                    <w:t>NT</w:t>
                  </w:r>
                </w:p>
              </w:tc>
              <w:tc>
                <w:tcPr>
                  <w:tcW w:w="490" w:type="pct"/>
                  <w:tcBorders>
                    <w:top w:val="single" w:sz="6" w:space="0" w:color="BFBFBF" w:themeColor="background2"/>
                    <w:bottom w:val="single" w:sz="6" w:space="0" w:color="BFBFBF" w:themeColor="background2"/>
                  </w:tcBorders>
                </w:tcPr>
                <w:p w:rsidR="00062D18" w:rsidRPr="0063699B" w:rsidRDefault="00062D18" w:rsidP="00062D18">
                  <w:pPr>
                    <w:pStyle w:val="TableColumnHeading"/>
                  </w:pPr>
                  <w:r w:rsidRPr="0063699B">
                    <w:t>Aust</w:t>
                  </w:r>
                </w:p>
              </w:tc>
            </w:tr>
            <w:tr w:rsidR="00BC53F9" w:rsidRPr="007A155F" w:rsidTr="001225FE">
              <w:tc>
                <w:tcPr>
                  <w:tcW w:w="5000" w:type="pct"/>
                  <w:gridSpan w:val="11"/>
                  <w:tcBorders>
                    <w:top w:val="single" w:sz="6" w:space="0" w:color="BFBFBF" w:themeColor="background2"/>
                  </w:tcBorders>
                </w:tcPr>
                <w:p w:rsidR="00062D18" w:rsidRPr="0063699B" w:rsidRDefault="002676BD" w:rsidP="003D284D">
                  <w:pPr>
                    <w:pStyle w:val="TableUnitsRow"/>
                    <w:jc w:val="left"/>
                    <w:rPr>
                      <w:b/>
                    </w:rPr>
                  </w:pPr>
                  <w:r w:rsidRPr="0063699B">
                    <w:rPr>
                      <w:b/>
                    </w:rPr>
                    <w:t>Recurrent expenditure on community services</w:t>
                  </w:r>
                </w:p>
              </w:tc>
            </w:tr>
            <w:tr w:rsidR="007637C8" w:rsidRPr="007A155F" w:rsidTr="00BE2DC4">
              <w:tc>
                <w:tcPr>
                  <w:tcW w:w="417" w:type="pct"/>
                  <w:shd w:val="clear" w:color="auto" w:fill="FFFFFF" w:themeFill="background1"/>
                  <w:vAlign w:val="bottom"/>
                </w:tcPr>
                <w:p w:rsidR="00BD031F" w:rsidRPr="0063699B" w:rsidRDefault="00BD031F" w:rsidP="003C3060">
                  <w:pPr>
                    <w:pStyle w:val="TableBodyText"/>
                    <w:ind w:left="57"/>
                    <w:jc w:val="left"/>
                  </w:pPr>
                  <w:r w:rsidRPr="0063699B">
                    <w:t>ACS</w:t>
                  </w:r>
                </w:p>
              </w:tc>
              <w:tc>
                <w:tcPr>
                  <w:tcW w:w="410" w:type="pct"/>
                  <w:shd w:val="clear" w:color="auto" w:fill="FFFFFF" w:themeFill="background1"/>
                  <w:vAlign w:val="bottom"/>
                </w:tcPr>
                <w:p w:rsidR="00BD031F" w:rsidRPr="0063699B" w:rsidRDefault="00BD031F" w:rsidP="0076090F">
                  <w:pPr>
                    <w:pStyle w:val="TableBodyText"/>
                  </w:pPr>
                  <w:r w:rsidRPr="0063699B">
                    <w:t>$m</w:t>
                  </w:r>
                </w:p>
              </w:tc>
              <w:tc>
                <w:tcPr>
                  <w:tcW w:w="460" w:type="pct"/>
                  <w:shd w:val="clear" w:color="auto" w:fill="auto"/>
                </w:tcPr>
                <w:p w:rsidR="00BD031F" w:rsidRPr="0063699B" w:rsidRDefault="00871CEA" w:rsidP="00871CEA">
                  <w:pPr>
                    <w:pStyle w:val="TableBodyText"/>
                  </w:pPr>
                  <w:r>
                    <w:t>5 301.3</w:t>
                  </w:r>
                </w:p>
              </w:tc>
              <w:tc>
                <w:tcPr>
                  <w:tcW w:w="460" w:type="pct"/>
                  <w:shd w:val="clear" w:color="auto" w:fill="auto"/>
                </w:tcPr>
                <w:p w:rsidR="00BD031F" w:rsidRPr="0063699B" w:rsidRDefault="00871CEA" w:rsidP="00BD031F">
                  <w:pPr>
                    <w:pStyle w:val="TableBodyText"/>
                  </w:pPr>
                  <w:r w:rsidRPr="00871CEA">
                    <w:t>4 438.4</w:t>
                  </w:r>
                </w:p>
              </w:tc>
              <w:tc>
                <w:tcPr>
                  <w:tcW w:w="460" w:type="pct"/>
                  <w:shd w:val="clear" w:color="auto" w:fill="auto"/>
                </w:tcPr>
                <w:p w:rsidR="00BD031F" w:rsidRPr="0063699B" w:rsidRDefault="00871CEA" w:rsidP="00BD031F">
                  <w:pPr>
                    <w:pStyle w:val="TableBodyText"/>
                  </w:pPr>
                  <w:r w:rsidRPr="00871CEA">
                    <w:t>3 084.8</w:t>
                  </w:r>
                </w:p>
              </w:tc>
              <w:tc>
                <w:tcPr>
                  <w:tcW w:w="460" w:type="pct"/>
                  <w:shd w:val="clear" w:color="auto" w:fill="auto"/>
                </w:tcPr>
                <w:p w:rsidR="00BD031F" w:rsidRPr="0063699B" w:rsidRDefault="00871CEA" w:rsidP="00BD031F">
                  <w:pPr>
                    <w:pStyle w:val="TableBodyText"/>
                  </w:pPr>
                  <w:r w:rsidRPr="00871CEA">
                    <w:t>1 603.0</w:t>
                  </w:r>
                </w:p>
              </w:tc>
              <w:tc>
                <w:tcPr>
                  <w:tcW w:w="460" w:type="pct"/>
                  <w:shd w:val="clear" w:color="auto" w:fill="auto"/>
                </w:tcPr>
                <w:p w:rsidR="00BD031F" w:rsidRPr="0063699B" w:rsidRDefault="00871CEA" w:rsidP="00BD031F">
                  <w:pPr>
                    <w:pStyle w:val="TableBodyText"/>
                  </w:pPr>
                  <w:r w:rsidRPr="00871CEA">
                    <w:t>1 494.8</w:t>
                  </w:r>
                </w:p>
              </w:tc>
              <w:tc>
                <w:tcPr>
                  <w:tcW w:w="461" w:type="pct"/>
                  <w:shd w:val="clear" w:color="auto" w:fill="auto"/>
                </w:tcPr>
                <w:p w:rsidR="00BD031F" w:rsidRPr="0063699B" w:rsidRDefault="00871CEA" w:rsidP="00BD031F">
                  <w:pPr>
                    <w:pStyle w:val="TableBodyText"/>
                  </w:pPr>
                  <w:r w:rsidRPr="00871CEA">
                    <w:t>414.5</w:t>
                  </w:r>
                </w:p>
              </w:tc>
              <w:tc>
                <w:tcPr>
                  <w:tcW w:w="461" w:type="pct"/>
                  <w:shd w:val="clear" w:color="auto" w:fill="auto"/>
                </w:tcPr>
                <w:p w:rsidR="00BD031F" w:rsidRPr="0063699B" w:rsidRDefault="00871CEA" w:rsidP="00BD031F">
                  <w:pPr>
                    <w:pStyle w:val="TableBodyText"/>
                  </w:pPr>
                  <w:r w:rsidRPr="00871CEA">
                    <w:t>237.1</w:t>
                  </w:r>
                </w:p>
              </w:tc>
              <w:tc>
                <w:tcPr>
                  <w:tcW w:w="461" w:type="pct"/>
                  <w:shd w:val="clear" w:color="auto" w:fill="auto"/>
                </w:tcPr>
                <w:p w:rsidR="00BD031F" w:rsidRPr="0063699B" w:rsidRDefault="00871CEA" w:rsidP="00BD031F">
                  <w:pPr>
                    <w:pStyle w:val="TableBodyText"/>
                  </w:pPr>
                  <w:r w:rsidRPr="00871CEA">
                    <w:t>98.4</w:t>
                  </w:r>
                </w:p>
              </w:tc>
              <w:tc>
                <w:tcPr>
                  <w:tcW w:w="490" w:type="pct"/>
                  <w:shd w:val="clear" w:color="auto" w:fill="auto"/>
                </w:tcPr>
                <w:p w:rsidR="00BD031F" w:rsidRPr="0063699B" w:rsidRDefault="00871CEA" w:rsidP="005C1168">
                  <w:pPr>
                    <w:pStyle w:val="TableBodyText"/>
                  </w:pPr>
                  <w:r w:rsidRPr="00871CEA">
                    <w:t xml:space="preserve">16 </w:t>
                  </w:r>
                  <w:r w:rsidR="005C1168">
                    <w:t>79</w:t>
                  </w:r>
                  <w:r w:rsidRPr="00871CEA">
                    <w:t>2.</w:t>
                  </w:r>
                  <w:r w:rsidR="005C1168">
                    <w:t>2</w:t>
                  </w:r>
                </w:p>
              </w:tc>
            </w:tr>
            <w:tr w:rsidR="007637C8" w:rsidRPr="007A155F" w:rsidTr="00665E5E">
              <w:tc>
                <w:tcPr>
                  <w:tcW w:w="417" w:type="pct"/>
                  <w:shd w:val="clear" w:color="auto" w:fill="FFFFFF" w:themeFill="background1"/>
                  <w:vAlign w:val="bottom"/>
                </w:tcPr>
                <w:p w:rsidR="00E0413B" w:rsidRPr="0063699B" w:rsidRDefault="00E0413B" w:rsidP="00C73863">
                  <w:pPr>
                    <w:pStyle w:val="TableBodyText"/>
                    <w:ind w:left="57"/>
                    <w:jc w:val="left"/>
                  </w:pPr>
                  <w:r w:rsidRPr="0063699B">
                    <w:t>SPWD</w:t>
                  </w:r>
                </w:p>
              </w:tc>
              <w:tc>
                <w:tcPr>
                  <w:tcW w:w="410" w:type="pct"/>
                  <w:shd w:val="clear" w:color="auto" w:fill="FFFFFF" w:themeFill="background1"/>
                  <w:vAlign w:val="bottom"/>
                </w:tcPr>
                <w:p w:rsidR="00E0413B" w:rsidRPr="0063699B" w:rsidRDefault="00E0413B" w:rsidP="00C73863">
                  <w:pPr>
                    <w:pStyle w:val="TableBodyText"/>
                  </w:pPr>
                  <w:r w:rsidRPr="0063699B">
                    <w:t>$m</w:t>
                  </w:r>
                </w:p>
              </w:tc>
              <w:tc>
                <w:tcPr>
                  <w:tcW w:w="460" w:type="pct"/>
                  <w:shd w:val="clear" w:color="auto" w:fill="auto"/>
                </w:tcPr>
                <w:p w:rsidR="00E0413B" w:rsidRPr="0063699B" w:rsidRDefault="00E16E58" w:rsidP="00E16E58">
                  <w:pPr>
                    <w:pStyle w:val="TableBodyText"/>
                  </w:pPr>
                  <w:r>
                    <w:t>2</w:t>
                  </w:r>
                  <w:r w:rsidR="00871CEA">
                    <w:t xml:space="preserve"> </w:t>
                  </w:r>
                  <w:r>
                    <w:t>481.3</w:t>
                  </w:r>
                </w:p>
              </w:tc>
              <w:tc>
                <w:tcPr>
                  <w:tcW w:w="460" w:type="pct"/>
                  <w:shd w:val="clear" w:color="auto" w:fill="auto"/>
                </w:tcPr>
                <w:p w:rsidR="00E0413B" w:rsidRPr="0063699B" w:rsidRDefault="00E16E58" w:rsidP="00E16E58">
                  <w:pPr>
                    <w:pStyle w:val="TableBodyText"/>
                  </w:pPr>
                  <w:r>
                    <w:t>1</w:t>
                  </w:r>
                  <w:r w:rsidR="00871CEA">
                    <w:t xml:space="preserve"> </w:t>
                  </w:r>
                  <w:r>
                    <w:t>813.8</w:t>
                  </w:r>
                </w:p>
              </w:tc>
              <w:tc>
                <w:tcPr>
                  <w:tcW w:w="460" w:type="pct"/>
                  <w:shd w:val="clear" w:color="auto" w:fill="auto"/>
                </w:tcPr>
                <w:p w:rsidR="00E0413B" w:rsidRPr="0063699B" w:rsidRDefault="00E16E58" w:rsidP="00E16E58">
                  <w:pPr>
                    <w:pStyle w:val="TableBodyText"/>
                  </w:pPr>
                  <w:r>
                    <w:t>1</w:t>
                  </w:r>
                  <w:r w:rsidR="00871CEA">
                    <w:t xml:space="preserve"> </w:t>
                  </w:r>
                  <w:r>
                    <w:t>273.7</w:t>
                  </w:r>
                </w:p>
              </w:tc>
              <w:tc>
                <w:tcPr>
                  <w:tcW w:w="460" w:type="pct"/>
                  <w:shd w:val="clear" w:color="auto" w:fill="auto"/>
                </w:tcPr>
                <w:p w:rsidR="00E0413B" w:rsidRPr="0063699B" w:rsidRDefault="00E16E58" w:rsidP="00E16E58">
                  <w:pPr>
                    <w:pStyle w:val="TableBodyText"/>
                  </w:pPr>
                  <w:r>
                    <w:t>908.6</w:t>
                  </w:r>
                </w:p>
              </w:tc>
              <w:tc>
                <w:tcPr>
                  <w:tcW w:w="460" w:type="pct"/>
                  <w:shd w:val="clear" w:color="auto" w:fill="auto"/>
                </w:tcPr>
                <w:p w:rsidR="00E0413B" w:rsidRPr="0063699B" w:rsidRDefault="00E16E58" w:rsidP="00E16E58">
                  <w:pPr>
                    <w:pStyle w:val="TableBodyText"/>
                  </w:pPr>
                  <w:r>
                    <w:t>649.8</w:t>
                  </w:r>
                </w:p>
              </w:tc>
              <w:tc>
                <w:tcPr>
                  <w:tcW w:w="461" w:type="pct"/>
                  <w:shd w:val="clear" w:color="auto" w:fill="auto"/>
                </w:tcPr>
                <w:p w:rsidR="00E0413B" w:rsidRPr="0063699B" w:rsidRDefault="00E16E58" w:rsidP="00E16E58">
                  <w:pPr>
                    <w:pStyle w:val="TableBodyText"/>
                  </w:pPr>
                  <w:r>
                    <w:t>170.7</w:t>
                  </w:r>
                </w:p>
              </w:tc>
              <w:tc>
                <w:tcPr>
                  <w:tcW w:w="461" w:type="pct"/>
                  <w:shd w:val="clear" w:color="auto" w:fill="auto"/>
                </w:tcPr>
                <w:p w:rsidR="00E0413B" w:rsidRPr="0063699B" w:rsidRDefault="00E16E58" w:rsidP="00E16E58">
                  <w:pPr>
                    <w:pStyle w:val="TableBodyText"/>
                  </w:pPr>
                  <w:r>
                    <w:t>93.3</w:t>
                  </w:r>
                </w:p>
              </w:tc>
              <w:tc>
                <w:tcPr>
                  <w:tcW w:w="461" w:type="pct"/>
                  <w:shd w:val="clear" w:color="auto" w:fill="auto"/>
                </w:tcPr>
                <w:p w:rsidR="00E0413B" w:rsidRPr="0063699B" w:rsidRDefault="00E16E58" w:rsidP="00E16E58">
                  <w:pPr>
                    <w:pStyle w:val="TableBodyText"/>
                  </w:pPr>
                  <w:r>
                    <w:t>87.9</w:t>
                  </w:r>
                </w:p>
              </w:tc>
              <w:tc>
                <w:tcPr>
                  <w:tcW w:w="490" w:type="pct"/>
                  <w:shd w:val="clear" w:color="auto" w:fill="auto"/>
                </w:tcPr>
                <w:p w:rsidR="00E0413B" w:rsidRPr="0063699B" w:rsidRDefault="00E16E58" w:rsidP="00E16E58">
                  <w:pPr>
                    <w:pStyle w:val="TableBodyText"/>
                  </w:pPr>
                  <w:r>
                    <w:t>8 406.8</w:t>
                  </w:r>
                </w:p>
              </w:tc>
            </w:tr>
            <w:tr w:rsidR="007637C8" w:rsidRPr="007A155F" w:rsidTr="00BE2DC4">
              <w:tc>
                <w:tcPr>
                  <w:tcW w:w="417" w:type="pct"/>
                  <w:shd w:val="clear" w:color="auto" w:fill="FFFFFF" w:themeFill="background1"/>
                  <w:vAlign w:val="bottom"/>
                </w:tcPr>
                <w:p w:rsidR="00E0413B" w:rsidRPr="0063699B" w:rsidRDefault="00E0413B" w:rsidP="00C73863">
                  <w:pPr>
                    <w:pStyle w:val="TableBodyText"/>
                    <w:ind w:left="57" w:right="0"/>
                    <w:jc w:val="left"/>
                  </w:pPr>
                  <w:r w:rsidRPr="0063699B">
                    <w:t>CPS</w:t>
                  </w:r>
                </w:p>
              </w:tc>
              <w:tc>
                <w:tcPr>
                  <w:tcW w:w="410" w:type="pct"/>
                  <w:shd w:val="clear" w:color="auto" w:fill="FFFFFF" w:themeFill="background1"/>
                  <w:vAlign w:val="bottom"/>
                </w:tcPr>
                <w:p w:rsidR="00E0413B" w:rsidRPr="0063699B" w:rsidRDefault="00E0413B" w:rsidP="00C73863">
                  <w:pPr>
                    <w:pStyle w:val="TableBodyText"/>
                  </w:pPr>
                  <w:r w:rsidRPr="0063699B">
                    <w:t>$m</w:t>
                  </w:r>
                </w:p>
              </w:tc>
              <w:tc>
                <w:tcPr>
                  <w:tcW w:w="460" w:type="pct"/>
                  <w:shd w:val="clear" w:color="auto" w:fill="auto"/>
                </w:tcPr>
                <w:p w:rsidR="00E0413B" w:rsidRPr="007D789A" w:rsidRDefault="00E16E58" w:rsidP="007D789A">
                  <w:pPr>
                    <w:pStyle w:val="TableBodyText"/>
                  </w:pPr>
                  <w:r w:rsidRPr="007D789A">
                    <w:t>1</w:t>
                  </w:r>
                  <w:r w:rsidR="00871CEA" w:rsidRPr="007D789A">
                    <w:t xml:space="preserve"> </w:t>
                  </w:r>
                  <w:r w:rsidR="007D789A" w:rsidRPr="007D789A">
                    <w:t>739</w:t>
                  </w:r>
                  <w:r w:rsidRPr="007D789A">
                    <w:t>.</w:t>
                  </w:r>
                  <w:r w:rsidR="007D789A" w:rsidRPr="007D789A">
                    <w:t>2</w:t>
                  </w:r>
                </w:p>
              </w:tc>
              <w:tc>
                <w:tcPr>
                  <w:tcW w:w="460" w:type="pct"/>
                  <w:shd w:val="clear" w:color="auto" w:fill="auto"/>
                </w:tcPr>
                <w:p w:rsidR="00E0413B" w:rsidRPr="007D789A" w:rsidRDefault="007D789A" w:rsidP="001225FE">
                  <w:pPr>
                    <w:pStyle w:val="TableBodyText"/>
                  </w:pPr>
                  <w:r w:rsidRPr="007D789A">
                    <w:t>958</w:t>
                  </w:r>
                  <w:r w:rsidR="00E16E58" w:rsidRPr="007D789A">
                    <w:t>.4</w:t>
                  </w:r>
                </w:p>
              </w:tc>
              <w:tc>
                <w:tcPr>
                  <w:tcW w:w="460" w:type="pct"/>
                  <w:shd w:val="clear" w:color="auto" w:fill="auto"/>
                </w:tcPr>
                <w:p w:rsidR="00E0413B" w:rsidRPr="003924B3" w:rsidRDefault="007D789A" w:rsidP="007D789A">
                  <w:pPr>
                    <w:pStyle w:val="TableBodyText"/>
                    <w:rPr>
                      <w:highlight w:val="yellow"/>
                    </w:rPr>
                  </w:pPr>
                  <w:r w:rsidRPr="007D789A">
                    <w:t>940.</w:t>
                  </w:r>
                  <w:r>
                    <w:t>8</w:t>
                  </w:r>
                </w:p>
              </w:tc>
              <w:tc>
                <w:tcPr>
                  <w:tcW w:w="460" w:type="pct"/>
                  <w:shd w:val="clear" w:color="auto" w:fill="auto"/>
                </w:tcPr>
                <w:p w:rsidR="00E0413B" w:rsidRPr="003924B3" w:rsidRDefault="007D789A" w:rsidP="007D789A">
                  <w:pPr>
                    <w:pStyle w:val="TableBodyText"/>
                    <w:rPr>
                      <w:highlight w:val="yellow"/>
                    </w:rPr>
                  </w:pPr>
                  <w:r w:rsidRPr="007D789A">
                    <w:t>460.</w:t>
                  </w:r>
                  <w:r>
                    <w:t>3</w:t>
                  </w:r>
                </w:p>
              </w:tc>
              <w:tc>
                <w:tcPr>
                  <w:tcW w:w="460" w:type="pct"/>
                  <w:shd w:val="clear" w:color="auto" w:fill="auto"/>
                </w:tcPr>
                <w:p w:rsidR="00E0413B" w:rsidRPr="003924B3" w:rsidRDefault="00E16E58" w:rsidP="007D789A">
                  <w:pPr>
                    <w:pStyle w:val="TableBodyText"/>
                    <w:rPr>
                      <w:highlight w:val="yellow"/>
                    </w:rPr>
                  </w:pPr>
                  <w:r w:rsidRPr="007D789A">
                    <w:t>3</w:t>
                  </w:r>
                  <w:r w:rsidR="007D789A" w:rsidRPr="007D789A">
                    <w:t>36</w:t>
                  </w:r>
                  <w:r w:rsidRPr="007D789A">
                    <w:t>.</w:t>
                  </w:r>
                  <w:r w:rsidR="007D789A" w:rsidRPr="007D789A">
                    <w:t>4</w:t>
                  </w:r>
                </w:p>
              </w:tc>
              <w:tc>
                <w:tcPr>
                  <w:tcW w:w="461" w:type="pct"/>
                  <w:shd w:val="clear" w:color="auto" w:fill="auto"/>
                </w:tcPr>
                <w:p w:rsidR="00E0413B" w:rsidRPr="007D789A" w:rsidRDefault="007D789A" w:rsidP="001225FE">
                  <w:pPr>
                    <w:pStyle w:val="TableBodyText"/>
                  </w:pPr>
                  <w:r w:rsidRPr="007D789A">
                    <w:t>81</w:t>
                  </w:r>
                  <w:r w:rsidR="00E16E58" w:rsidRPr="007D789A">
                    <w:t>.4</w:t>
                  </w:r>
                </w:p>
              </w:tc>
              <w:tc>
                <w:tcPr>
                  <w:tcW w:w="461" w:type="pct"/>
                  <w:shd w:val="clear" w:color="auto" w:fill="auto"/>
                </w:tcPr>
                <w:p w:rsidR="00E0413B" w:rsidRPr="007D789A" w:rsidRDefault="00E16E58" w:rsidP="007D789A">
                  <w:pPr>
                    <w:pStyle w:val="TableBodyText"/>
                  </w:pPr>
                  <w:r w:rsidRPr="007D789A">
                    <w:t>5</w:t>
                  </w:r>
                  <w:r w:rsidR="007D789A" w:rsidRPr="007D789A">
                    <w:t>6</w:t>
                  </w:r>
                  <w:r w:rsidRPr="007D789A">
                    <w:t>.</w:t>
                  </w:r>
                  <w:r w:rsidR="007D789A" w:rsidRPr="007D789A">
                    <w:t>9</w:t>
                  </w:r>
                </w:p>
              </w:tc>
              <w:tc>
                <w:tcPr>
                  <w:tcW w:w="461" w:type="pct"/>
                  <w:shd w:val="clear" w:color="auto" w:fill="auto"/>
                </w:tcPr>
                <w:p w:rsidR="00E0413B" w:rsidRPr="007D789A" w:rsidRDefault="00E16E58" w:rsidP="007D789A">
                  <w:pPr>
                    <w:pStyle w:val="TableBodyText"/>
                  </w:pPr>
                  <w:r w:rsidRPr="007D789A">
                    <w:t>1</w:t>
                  </w:r>
                  <w:r w:rsidR="007D789A" w:rsidRPr="007D789A">
                    <w:t>84</w:t>
                  </w:r>
                  <w:r w:rsidRPr="007D789A">
                    <w:t>.</w:t>
                  </w:r>
                  <w:r w:rsidR="007D789A" w:rsidRPr="007D789A">
                    <w:t>6</w:t>
                  </w:r>
                </w:p>
              </w:tc>
              <w:tc>
                <w:tcPr>
                  <w:tcW w:w="490" w:type="pct"/>
                  <w:shd w:val="clear" w:color="auto" w:fill="auto"/>
                </w:tcPr>
                <w:p w:rsidR="00E0413B" w:rsidRPr="007D789A" w:rsidRDefault="00E16E58" w:rsidP="007D789A">
                  <w:pPr>
                    <w:pStyle w:val="TableBodyText"/>
                  </w:pPr>
                  <w:r w:rsidRPr="007D789A">
                    <w:t xml:space="preserve">4 </w:t>
                  </w:r>
                  <w:r w:rsidR="007D789A" w:rsidRPr="007D789A">
                    <w:t>757</w:t>
                  </w:r>
                  <w:r w:rsidRPr="007D789A">
                    <w:t>.9</w:t>
                  </w:r>
                </w:p>
              </w:tc>
            </w:tr>
            <w:tr w:rsidR="007637C8" w:rsidRPr="007A155F" w:rsidTr="00BE2DC4">
              <w:tc>
                <w:tcPr>
                  <w:tcW w:w="417" w:type="pct"/>
                  <w:shd w:val="clear" w:color="auto" w:fill="FFFFFF" w:themeFill="background1"/>
                  <w:vAlign w:val="bottom"/>
                </w:tcPr>
                <w:p w:rsidR="00E0413B" w:rsidRPr="0063699B" w:rsidRDefault="00E0413B" w:rsidP="00C73863">
                  <w:pPr>
                    <w:pStyle w:val="TableBodyText"/>
                    <w:ind w:left="57" w:right="0"/>
                    <w:jc w:val="left"/>
                  </w:pPr>
                  <w:r w:rsidRPr="0063699B">
                    <w:t>YJS</w:t>
                  </w:r>
                </w:p>
              </w:tc>
              <w:tc>
                <w:tcPr>
                  <w:tcW w:w="410" w:type="pct"/>
                  <w:shd w:val="clear" w:color="auto" w:fill="FFFFFF" w:themeFill="background1"/>
                  <w:vAlign w:val="bottom"/>
                </w:tcPr>
                <w:p w:rsidR="00E0413B" w:rsidRPr="0063699B" w:rsidRDefault="00E0413B" w:rsidP="00C73863">
                  <w:pPr>
                    <w:pStyle w:val="TableBodyText"/>
                  </w:pPr>
                  <w:r w:rsidRPr="0063699B">
                    <w:t>$m</w:t>
                  </w:r>
                </w:p>
              </w:tc>
              <w:tc>
                <w:tcPr>
                  <w:tcW w:w="460" w:type="pct"/>
                  <w:shd w:val="clear" w:color="auto" w:fill="auto"/>
                </w:tcPr>
                <w:p w:rsidR="00E0413B" w:rsidRPr="0063699B" w:rsidRDefault="00E16E58" w:rsidP="001225FE">
                  <w:pPr>
                    <w:pStyle w:val="TableBodyText"/>
                  </w:pPr>
                  <w:r>
                    <w:t>198.6</w:t>
                  </w:r>
                </w:p>
              </w:tc>
              <w:tc>
                <w:tcPr>
                  <w:tcW w:w="460" w:type="pct"/>
                  <w:shd w:val="clear" w:color="auto" w:fill="auto"/>
                </w:tcPr>
                <w:p w:rsidR="00E0413B" w:rsidRPr="0063699B" w:rsidRDefault="00E16E58" w:rsidP="001225FE">
                  <w:pPr>
                    <w:pStyle w:val="TableBodyText"/>
                  </w:pPr>
                  <w:r>
                    <w:t>142.8</w:t>
                  </w:r>
                </w:p>
              </w:tc>
              <w:tc>
                <w:tcPr>
                  <w:tcW w:w="460" w:type="pct"/>
                  <w:shd w:val="clear" w:color="auto" w:fill="auto"/>
                </w:tcPr>
                <w:p w:rsidR="00E0413B" w:rsidRPr="0063699B" w:rsidRDefault="00E16E58" w:rsidP="001225FE">
                  <w:pPr>
                    <w:pStyle w:val="TableBodyText"/>
                  </w:pPr>
                  <w:r>
                    <w:t>169.9</w:t>
                  </w:r>
                </w:p>
              </w:tc>
              <w:tc>
                <w:tcPr>
                  <w:tcW w:w="460" w:type="pct"/>
                  <w:shd w:val="clear" w:color="auto" w:fill="auto"/>
                </w:tcPr>
                <w:p w:rsidR="00E0413B" w:rsidRPr="0063699B" w:rsidRDefault="00E16E58" w:rsidP="001225FE">
                  <w:pPr>
                    <w:pStyle w:val="TableBodyText"/>
                  </w:pPr>
                  <w:r>
                    <w:t>104.8</w:t>
                  </w:r>
                </w:p>
              </w:tc>
              <w:tc>
                <w:tcPr>
                  <w:tcW w:w="460" w:type="pct"/>
                  <w:shd w:val="clear" w:color="auto" w:fill="auto"/>
                </w:tcPr>
                <w:p w:rsidR="00E0413B" w:rsidRPr="0063699B" w:rsidRDefault="00E16E58" w:rsidP="001225FE">
                  <w:pPr>
                    <w:pStyle w:val="TableBodyText"/>
                  </w:pPr>
                  <w:r>
                    <w:t>42.1</w:t>
                  </w:r>
                </w:p>
              </w:tc>
              <w:tc>
                <w:tcPr>
                  <w:tcW w:w="461" w:type="pct"/>
                  <w:shd w:val="clear" w:color="auto" w:fill="auto"/>
                </w:tcPr>
                <w:p w:rsidR="00E0413B" w:rsidRPr="0063699B" w:rsidRDefault="00E16E58" w:rsidP="001225FE">
                  <w:pPr>
                    <w:pStyle w:val="TableBodyText"/>
                  </w:pPr>
                  <w:r>
                    <w:t>15.8</w:t>
                  </w:r>
                </w:p>
              </w:tc>
              <w:tc>
                <w:tcPr>
                  <w:tcW w:w="461" w:type="pct"/>
                  <w:shd w:val="clear" w:color="auto" w:fill="auto"/>
                </w:tcPr>
                <w:p w:rsidR="00E0413B" w:rsidRPr="0063699B" w:rsidRDefault="00E16E58" w:rsidP="00855090">
                  <w:pPr>
                    <w:pStyle w:val="TableBodyText"/>
                  </w:pPr>
                  <w:r>
                    <w:t>21.</w:t>
                  </w:r>
                  <w:r w:rsidR="00855090">
                    <w:t>3</w:t>
                  </w:r>
                </w:p>
              </w:tc>
              <w:tc>
                <w:tcPr>
                  <w:tcW w:w="461" w:type="pct"/>
                  <w:shd w:val="clear" w:color="auto" w:fill="auto"/>
                </w:tcPr>
                <w:p w:rsidR="00E0413B" w:rsidRPr="0063699B" w:rsidRDefault="00E16E58" w:rsidP="001225FE">
                  <w:pPr>
                    <w:pStyle w:val="TableBodyText"/>
                  </w:pPr>
                  <w:r>
                    <w:t>36.6</w:t>
                  </w:r>
                </w:p>
              </w:tc>
              <w:tc>
                <w:tcPr>
                  <w:tcW w:w="490" w:type="pct"/>
                  <w:shd w:val="clear" w:color="auto" w:fill="auto"/>
                </w:tcPr>
                <w:p w:rsidR="00E0413B" w:rsidRPr="0063699B" w:rsidRDefault="00E16E58" w:rsidP="00855090">
                  <w:pPr>
                    <w:pStyle w:val="TableBodyText"/>
                  </w:pPr>
                  <w:r>
                    <w:t>73</w:t>
                  </w:r>
                  <w:r w:rsidR="00855090">
                    <w:t>1</w:t>
                  </w:r>
                  <w:r>
                    <w:t>.</w:t>
                  </w:r>
                  <w:r w:rsidR="00855090">
                    <w:t>9</w:t>
                  </w:r>
                </w:p>
              </w:tc>
            </w:tr>
            <w:tr w:rsidR="007637C8" w:rsidRPr="0092362F" w:rsidTr="00BE2DC4">
              <w:tc>
                <w:tcPr>
                  <w:tcW w:w="417" w:type="pct"/>
                  <w:shd w:val="clear" w:color="auto" w:fill="FFFFFF" w:themeFill="background1"/>
                  <w:vAlign w:val="bottom"/>
                </w:tcPr>
                <w:p w:rsidR="00BD031F" w:rsidRPr="0063699B" w:rsidRDefault="00BD031F" w:rsidP="00C73863">
                  <w:pPr>
                    <w:pStyle w:val="TableBodyText"/>
                    <w:ind w:left="57" w:right="0"/>
                    <w:jc w:val="left"/>
                    <w:rPr>
                      <w:b/>
                    </w:rPr>
                  </w:pPr>
                  <w:r w:rsidRPr="0063699B">
                    <w:rPr>
                      <w:b/>
                    </w:rPr>
                    <w:t>Total</w:t>
                  </w:r>
                </w:p>
              </w:tc>
              <w:tc>
                <w:tcPr>
                  <w:tcW w:w="410" w:type="pct"/>
                  <w:shd w:val="clear" w:color="auto" w:fill="FFFFFF" w:themeFill="background1"/>
                  <w:vAlign w:val="bottom"/>
                </w:tcPr>
                <w:p w:rsidR="00BD031F" w:rsidRPr="0063699B" w:rsidRDefault="00BD031F" w:rsidP="00C73863">
                  <w:pPr>
                    <w:pStyle w:val="TableBodyText"/>
                    <w:rPr>
                      <w:b/>
                    </w:rPr>
                  </w:pPr>
                  <w:r w:rsidRPr="0063699B">
                    <w:rPr>
                      <w:b/>
                    </w:rPr>
                    <w:t>$m</w:t>
                  </w:r>
                </w:p>
              </w:tc>
              <w:tc>
                <w:tcPr>
                  <w:tcW w:w="460" w:type="pct"/>
                  <w:shd w:val="clear" w:color="auto" w:fill="auto"/>
                </w:tcPr>
                <w:p w:rsidR="00BD031F" w:rsidRPr="0063699B" w:rsidRDefault="00871CEA" w:rsidP="007D789A">
                  <w:pPr>
                    <w:pStyle w:val="TableBodyText"/>
                    <w:rPr>
                      <w:b/>
                    </w:rPr>
                  </w:pPr>
                  <w:r>
                    <w:rPr>
                      <w:b/>
                    </w:rPr>
                    <w:t xml:space="preserve">9 </w:t>
                  </w:r>
                  <w:r w:rsidR="007D789A">
                    <w:rPr>
                      <w:b/>
                    </w:rPr>
                    <w:t>720</w:t>
                  </w:r>
                  <w:r>
                    <w:rPr>
                      <w:b/>
                    </w:rPr>
                    <w:t>.</w:t>
                  </w:r>
                  <w:r w:rsidR="007D789A">
                    <w:rPr>
                      <w:b/>
                    </w:rPr>
                    <w:t>4</w:t>
                  </w:r>
                </w:p>
              </w:tc>
              <w:tc>
                <w:tcPr>
                  <w:tcW w:w="460" w:type="pct"/>
                  <w:shd w:val="clear" w:color="auto" w:fill="auto"/>
                </w:tcPr>
                <w:p w:rsidR="00BD031F" w:rsidRPr="0063699B" w:rsidRDefault="00871CEA" w:rsidP="007D789A">
                  <w:pPr>
                    <w:pStyle w:val="TableBodyText"/>
                    <w:rPr>
                      <w:b/>
                    </w:rPr>
                  </w:pPr>
                  <w:r w:rsidRPr="00871CEA">
                    <w:rPr>
                      <w:b/>
                    </w:rPr>
                    <w:t>7</w:t>
                  </w:r>
                  <w:r>
                    <w:rPr>
                      <w:b/>
                    </w:rPr>
                    <w:t xml:space="preserve"> </w:t>
                  </w:r>
                  <w:r w:rsidR="007D789A">
                    <w:rPr>
                      <w:b/>
                    </w:rPr>
                    <w:t>353</w:t>
                  </w:r>
                  <w:r w:rsidRPr="00871CEA">
                    <w:rPr>
                      <w:b/>
                    </w:rPr>
                    <w:t>.</w:t>
                  </w:r>
                  <w:r w:rsidR="007D789A">
                    <w:rPr>
                      <w:b/>
                    </w:rPr>
                    <w:t>3</w:t>
                  </w:r>
                </w:p>
              </w:tc>
              <w:tc>
                <w:tcPr>
                  <w:tcW w:w="460" w:type="pct"/>
                  <w:shd w:val="clear" w:color="auto" w:fill="auto"/>
                </w:tcPr>
                <w:p w:rsidR="00BD031F" w:rsidRPr="0063699B" w:rsidRDefault="00871CEA" w:rsidP="007D789A">
                  <w:pPr>
                    <w:pStyle w:val="TableBodyText"/>
                    <w:rPr>
                      <w:b/>
                    </w:rPr>
                  </w:pPr>
                  <w:r w:rsidRPr="00871CEA">
                    <w:rPr>
                      <w:b/>
                    </w:rPr>
                    <w:t>5</w:t>
                  </w:r>
                  <w:r>
                    <w:rPr>
                      <w:b/>
                    </w:rPr>
                    <w:t xml:space="preserve"> </w:t>
                  </w:r>
                  <w:r w:rsidRPr="00871CEA">
                    <w:rPr>
                      <w:b/>
                    </w:rPr>
                    <w:t>4</w:t>
                  </w:r>
                  <w:r w:rsidR="007D789A">
                    <w:rPr>
                      <w:b/>
                    </w:rPr>
                    <w:t>69</w:t>
                  </w:r>
                  <w:r w:rsidRPr="00871CEA">
                    <w:rPr>
                      <w:b/>
                    </w:rPr>
                    <w:t>.</w:t>
                  </w:r>
                  <w:r w:rsidR="007D789A">
                    <w:rPr>
                      <w:b/>
                    </w:rPr>
                    <w:t>1</w:t>
                  </w:r>
                </w:p>
              </w:tc>
              <w:tc>
                <w:tcPr>
                  <w:tcW w:w="460" w:type="pct"/>
                  <w:shd w:val="clear" w:color="auto" w:fill="auto"/>
                </w:tcPr>
                <w:p w:rsidR="00BD031F" w:rsidRPr="0063699B" w:rsidRDefault="00871CEA" w:rsidP="007D789A">
                  <w:pPr>
                    <w:pStyle w:val="TableBodyText"/>
                    <w:rPr>
                      <w:b/>
                    </w:rPr>
                  </w:pPr>
                  <w:r w:rsidRPr="00871CEA">
                    <w:rPr>
                      <w:b/>
                    </w:rPr>
                    <w:t>3</w:t>
                  </w:r>
                  <w:r>
                    <w:rPr>
                      <w:b/>
                    </w:rPr>
                    <w:t xml:space="preserve"> </w:t>
                  </w:r>
                  <w:r w:rsidRPr="00871CEA">
                    <w:rPr>
                      <w:b/>
                    </w:rPr>
                    <w:t>0</w:t>
                  </w:r>
                  <w:r w:rsidR="007D789A">
                    <w:rPr>
                      <w:b/>
                    </w:rPr>
                    <w:t>76</w:t>
                  </w:r>
                  <w:r w:rsidRPr="00871CEA">
                    <w:rPr>
                      <w:b/>
                    </w:rPr>
                    <w:t>.</w:t>
                  </w:r>
                  <w:r w:rsidR="007D789A">
                    <w:rPr>
                      <w:b/>
                    </w:rPr>
                    <w:t>7</w:t>
                  </w:r>
                </w:p>
              </w:tc>
              <w:tc>
                <w:tcPr>
                  <w:tcW w:w="460" w:type="pct"/>
                  <w:shd w:val="clear" w:color="auto" w:fill="auto"/>
                </w:tcPr>
                <w:p w:rsidR="00BD031F" w:rsidRPr="0063699B" w:rsidRDefault="00871CEA" w:rsidP="00634B39">
                  <w:pPr>
                    <w:pStyle w:val="TableBodyText"/>
                    <w:rPr>
                      <w:b/>
                    </w:rPr>
                  </w:pPr>
                  <w:r w:rsidRPr="00871CEA">
                    <w:rPr>
                      <w:b/>
                    </w:rPr>
                    <w:t>2</w:t>
                  </w:r>
                  <w:r>
                    <w:rPr>
                      <w:b/>
                    </w:rPr>
                    <w:t xml:space="preserve"> </w:t>
                  </w:r>
                  <w:r w:rsidRPr="00871CEA">
                    <w:rPr>
                      <w:b/>
                    </w:rPr>
                    <w:t>5</w:t>
                  </w:r>
                  <w:r w:rsidR="007D789A">
                    <w:rPr>
                      <w:b/>
                    </w:rPr>
                    <w:t>23</w:t>
                  </w:r>
                  <w:r w:rsidR="00634B39">
                    <w:rPr>
                      <w:b/>
                    </w:rPr>
                    <w:t>.1</w:t>
                  </w:r>
                </w:p>
              </w:tc>
              <w:tc>
                <w:tcPr>
                  <w:tcW w:w="461" w:type="pct"/>
                  <w:shd w:val="clear" w:color="auto" w:fill="auto"/>
                </w:tcPr>
                <w:p w:rsidR="00BD031F" w:rsidRPr="0063699B" w:rsidRDefault="00871CEA" w:rsidP="007D789A">
                  <w:pPr>
                    <w:pStyle w:val="TableBodyText"/>
                    <w:rPr>
                      <w:b/>
                    </w:rPr>
                  </w:pPr>
                  <w:r w:rsidRPr="00871CEA">
                    <w:rPr>
                      <w:b/>
                    </w:rPr>
                    <w:t>6</w:t>
                  </w:r>
                  <w:r w:rsidR="007D789A">
                    <w:rPr>
                      <w:b/>
                    </w:rPr>
                    <w:t>82</w:t>
                  </w:r>
                  <w:r w:rsidRPr="00871CEA">
                    <w:rPr>
                      <w:b/>
                    </w:rPr>
                    <w:t>.</w:t>
                  </w:r>
                  <w:r w:rsidR="007D789A">
                    <w:rPr>
                      <w:b/>
                    </w:rPr>
                    <w:t>4</w:t>
                  </w:r>
                </w:p>
              </w:tc>
              <w:tc>
                <w:tcPr>
                  <w:tcW w:w="461" w:type="pct"/>
                  <w:shd w:val="clear" w:color="auto" w:fill="auto"/>
                </w:tcPr>
                <w:p w:rsidR="00BD031F" w:rsidRPr="0063699B" w:rsidRDefault="00871CEA" w:rsidP="00855090">
                  <w:pPr>
                    <w:pStyle w:val="TableBodyText"/>
                    <w:rPr>
                      <w:b/>
                    </w:rPr>
                  </w:pPr>
                  <w:r w:rsidRPr="00871CEA">
                    <w:rPr>
                      <w:b/>
                    </w:rPr>
                    <w:t>40</w:t>
                  </w:r>
                  <w:r w:rsidR="00855090">
                    <w:rPr>
                      <w:b/>
                    </w:rPr>
                    <w:t>8</w:t>
                  </w:r>
                  <w:r w:rsidRPr="00871CEA">
                    <w:rPr>
                      <w:b/>
                    </w:rPr>
                    <w:t>.</w:t>
                  </w:r>
                  <w:r w:rsidR="00855090">
                    <w:rPr>
                      <w:b/>
                    </w:rPr>
                    <w:t>6</w:t>
                  </w:r>
                </w:p>
              </w:tc>
              <w:tc>
                <w:tcPr>
                  <w:tcW w:w="461" w:type="pct"/>
                  <w:shd w:val="clear" w:color="auto" w:fill="auto"/>
                </w:tcPr>
                <w:p w:rsidR="00BD031F" w:rsidRPr="0063699B" w:rsidRDefault="007D789A" w:rsidP="007D789A">
                  <w:pPr>
                    <w:pStyle w:val="TableBodyText"/>
                    <w:rPr>
                      <w:b/>
                    </w:rPr>
                  </w:pPr>
                  <w:r>
                    <w:rPr>
                      <w:b/>
                    </w:rPr>
                    <w:t>407</w:t>
                  </w:r>
                  <w:r w:rsidR="00871CEA" w:rsidRPr="00871CEA">
                    <w:rPr>
                      <w:b/>
                    </w:rPr>
                    <w:t>.</w:t>
                  </w:r>
                  <w:r>
                    <w:rPr>
                      <w:b/>
                    </w:rPr>
                    <w:t>5</w:t>
                  </w:r>
                </w:p>
              </w:tc>
              <w:tc>
                <w:tcPr>
                  <w:tcW w:w="490" w:type="pct"/>
                  <w:shd w:val="clear" w:color="auto" w:fill="auto"/>
                </w:tcPr>
                <w:p w:rsidR="00BD031F" w:rsidRPr="0063699B" w:rsidRDefault="00871CEA" w:rsidP="00966E8A">
                  <w:pPr>
                    <w:pStyle w:val="TableBodyText"/>
                    <w:rPr>
                      <w:b/>
                    </w:rPr>
                  </w:pPr>
                  <w:r w:rsidRPr="00871CEA">
                    <w:rPr>
                      <w:b/>
                    </w:rPr>
                    <w:t xml:space="preserve">30 </w:t>
                  </w:r>
                  <w:r w:rsidR="005C1168">
                    <w:rPr>
                      <w:b/>
                    </w:rPr>
                    <w:t>68</w:t>
                  </w:r>
                  <w:r w:rsidR="00966E8A">
                    <w:rPr>
                      <w:b/>
                    </w:rPr>
                    <w:t>8</w:t>
                  </w:r>
                  <w:r w:rsidRPr="00871CEA">
                    <w:rPr>
                      <w:b/>
                    </w:rPr>
                    <w:t>.</w:t>
                  </w:r>
                  <w:r w:rsidR="00966E8A">
                    <w:rPr>
                      <w:b/>
                    </w:rPr>
                    <w:t>7</w:t>
                  </w:r>
                </w:p>
              </w:tc>
            </w:tr>
            <w:tr w:rsidR="00BC53F9" w:rsidRPr="007A155F" w:rsidTr="001225FE">
              <w:tc>
                <w:tcPr>
                  <w:tcW w:w="5000" w:type="pct"/>
                  <w:gridSpan w:val="11"/>
                  <w:shd w:val="clear" w:color="auto" w:fill="auto"/>
                </w:tcPr>
                <w:p w:rsidR="00062D18" w:rsidRPr="0063699B" w:rsidRDefault="002676BD" w:rsidP="002676BD">
                  <w:pPr>
                    <w:pStyle w:val="TableBodyText"/>
                    <w:ind w:right="28"/>
                    <w:jc w:val="left"/>
                  </w:pPr>
                  <w:r w:rsidRPr="0063699B">
                    <w:rPr>
                      <w:b/>
                    </w:rPr>
                    <w:t>Proportion of recurrent expenditure by service</w:t>
                  </w:r>
                </w:p>
              </w:tc>
            </w:tr>
            <w:tr w:rsidR="007637C8" w:rsidRPr="007A155F" w:rsidTr="00BE2DC4">
              <w:tc>
                <w:tcPr>
                  <w:tcW w:w="417" w:type="pct"/>
                  <w:shd w:val="clear" w:color="auto" w:fill="FFFFFF" w:themeFill="background1"/>
                  <w:vAlign w:val="bottom"/>
                </w:tcPr>
                <w:p w:rsidR="00BD031F" w:rsidRPr="0063699B" w:rsidRDefault="00BD031F" w:rsidP="009B2FC9">
                  <w:pPr>
                    <w:pStyle w:val="TableBodyText"/>
                    <w:ind w:left="57"/>
                    <w:jc w:val="left"/>
                  </w:pPr>
                  <w:r w:rsidRPr="0063699B">
                    <w:t>ACS</w:t>
                  </w:r>
                </w:p>
              </w:tc>
              <w:tc>
                <w:tcPr>
                  <w:tcW w:w="410" w:type="pct"/>
                  <w:shd w:val="clear" w:color="auto" w:fill="FFFFFF" w:themeFill="background1"/>
                  <w:vAlign w:val="bottom"/>
                </w:tcPr>
                <w:p w:rsidR="00BD031F" w:rsidRPr="00871CEA" w:rsidRDefault="00BD031F" w:rsidP="009B2FC9">
                  <w:pPr>
                    <w:pStyle w:val="TableBodyText"/>
                  </w:pPr>
                  <w:r w:rsidRPr="00871CEA">
                    <w:t>%</w:t>
                  </w:r>
                </w:p>
              </w:tc>
              <w:tc>
                <w:tcPr>
                  <w:tcW w:w="460" w:type="pct"/>
                  <w:shd w:val="clear" w:color="auto" w:fill="auto"/>
                </w:tcPr>
                <w:p w:rsidR="00BD031F" w:rsidRPr="007D789A" w:rsidRDefault="00871CEA" w:rsidP="007D789A">
                  <w:pPr>
                    <w:pStyle w:val="TableBodyText"/>
                    <w:rPr>
                      <w:highlight w:val="yellow"/>
                    </w:rPr>
                  </w:pPr>
                  <w:r w:rsidRPr="007D789A">
                    <w:t>5</w:t>
                  </w:r>
                  <w:r w:rsidR="007D789A" w:rsidRPr="007D789A">
                    <w:t>4</w:t>
                  </w:r>
                  <w:r w:rsidRPr="007D789A">
                    <w:t>.</w:t>
                  </w:r>
                  <w:r w:rsidR="007D789A" w:rsidRPr="007D789A">
                    <w:t>5</w:t>
                  </w:r>
                </w:p>
              </w:tc>
              <w:tc>
                <w:tcPr>
                  <w:tcW w:w="460" w:type="pct"/>
                  <w:shd w:val="clear" w:color="auto" w:fill="auto"/>
                </w:tcPr>
                <w:p w:rsidR="00BD031F" w:rsidRPr="007637C8" w:rsidRDefault="007637C8" w:rsidP="007637C8">
                  <w:pPr>
                    <w:pStyle w:val="TableBodyText"/>
                  </w:pPr>
                  <w:r>
                    <w:t>60.4</w:t>
                  </w:r>
                </w:p>
              </w:tc>
              <w:tc>
                <w:tcPr>
                  <w:tcW w:w="460" w:type="pct"/>
                  <w:shd w:val="clear" w:color="auto" w:fill="auto"/>
                </w:tcPr>
                <w:p w:rsidR="00BD031F" w:rsidRPr="007637C8" w:rsidRDefault="007637C8" w:rsidP="007637C8">
                  <w:pPr>
                    <w:pStyle w:val="TableBodyText"/>
                  </w:pPr>
                  <w:r>
                    <w:t>56.4</w:t>
                  </w:r>
                </w:p>
              </w:tc>
              <w:tc>
                <w:tcPr>
                  <w:tcW w:w="460" w:type="pct"/>
                  <w:shd w:val="clear" w:color="auto" w:fill="auto"/>
                </w:tcPr>
                <w:p w:rsidR="00BD031F" w:rsidRPr="007637C8" w:rsidRDefault="007637C8" w:rsidP="007637C8">
                  <w:pPr>
                    <w:pStyle w:val="TableBodyText"/>
                  </w:pPr>
                  <w:r>
                    <w:t>52.1</w:t>
                  </w:r>
                </w:p>
              </w:tc>
              <w:tc>
                <w:tcPr>
                  <w:tcW w:w="460" w:type="pct"/>
                  <w:shd w:val="clear" w:color="auto" w:fill="auto"/>
                </w:tcPr>
                <w:p w:rsidR="00BD031F" w:rsidRPr="007637C8" w:rsidRDefault="007637C8" w:rsidP="007637C8">
                  <w:pPr>
                    <w:pStyle w:val="TableBodyText"/>
                  </w:pPr>
                  <w:r>
                    <w:t>59.2</w:t>
                  </w:r>
                </w:p>
              </w:tc>
              <w:tc>
                <w:tcPr>
                  <w:tcW w:w="461" w:type="pct"/>
                  <w:shd w:val="clear" w:color="auto" w:fill="auto"/>
                </w:tcPr>
                <w:p w:rsidR="00BD031F" w:rsidRPr="007637C8" w:rsidRDefault="007637C8" w:rsidP="007637C8">
                  <w:pPr>
                    <w:pStyle w:val="TableBodyText"/>
                  </w:pPr>
                  <w:r>
                    <w:t>60.7</w:t>
                  </w:r>
                </w:p>
              </w:tc>
              <w:tc>
                <w:tcPr>
                  <w:tcW w:w="461" w:type="pct"/>
                  <w:shd w:val="clear" w:color="auto" w:fill="auto"/>
                </w:tcPr>
                <w:p w:rsidR="00BD031F" w:rsidRPr="007637C8" w:rsidRDefault="007637C8" w:rsidP="007637C8">
                  <w:pPr>
                    <w:pStyle w:val="TableBodyText"/>
                  </w:pPr>
                  <w:r w:rsidRPr="007637C8">
                    <w:t>58.0</w:t>
                  </w:r>
                </w:p>
              </w:tc>
              <w:tc>
                <w:tcPr>
                  <w:tcW w:w="461" w:type="pct"/>
                  <w:shd w:val="clear" w:color="auto" w:fill="auto"/>
                </w:tcPr>
                <w:p w:rsidR="00BD031F" w:rsidRPr="007637C8" w:rsidRDefault="007637C8" w:rsidP="007637C8">
                  <w:pPr>
                    <w:pStyle w:val="TableBodyText"/>
                  </w:pPr>
                  <w:r>
                    <w:t>24.1</w:t>
                  </w:r>
                </w:p>
              </w:tc>
              <w:tc>
                <w:tcPr>
                  <w:tcW w:w="490" w:type="pct"/>
                  <w:shd w:val="clear" w:color="auto" w:fill="auto"/>
                </w:tcPr>
                <w:p w:rsidR="00BD031F" w:rsidRPr="007637C8" w:rsidRDefault="007637C8" w:rsidP="00E5233B">
                  <w:pPr>
                    <w:pStyle w:val="TableBodyText"/>
                  </w:pPr>
                  <w:r>
                    <w:t>54.</w:t>
                  </w:r>
                  <w:r w:rsidR="00E5233B">
                    <w:t>7</w:t>
                  </w:r>
                </w:p>
              </w:tc>
            </w:tr>
            <w:tr w:rsidR="007637C8" w:rsidRPr="007A155F" w:rsidTr="00BE2DC4">
              <w:tc>
                <w:tcPr>
                  <w:tcW w:w="417" w:type="pct"/>
                  <w:shd w:val="clear" w:color="auto" w:fill="FFFFFF" w:themeFill="background1"/>
                  <w:vAlign w:val="bottom"/>
                </w:tcPr>
                <w:p w:rsidR="00BD031F" w:rsidRPr="0063699B" w:rsidRDefault="00BD031F" w:rsidP="00C73863">
                  <w:pPr>
                    <w:pStyle w:val="TableBodyText"/>
                    <w:ind w:left="57"/>
                    <w:jc w:val="left"/>
                  </w:pPr>
                  <w:r w:rsidRPr="0063699B">
                    <w:t>SPWD</w:t>
                  </w:r>
                </w:p>
              </w:tc>
              <w:tc>
                <w:tcPr>
                  <w:tcW w:w="410" w:type="pct"/>
                  <w:shd w:val="clear" w:color="auto" w:fill="FFFFFF" w:themeFill="background1"/>
                  <w:vAlign w:val="bottom"/>
                </w:tcPr>
                <w:p w:rsidR="00BD031F" w:rsidRPr="0063699B" w:rsidRDefault="00BD031F" w:rsidP="00C73863">
                  <w:pPr>
                    <w:pStyle w:val="TableBodyText"/>
                  </w:pPr>
                  <w:r w:rsidRPr="0063699B">
                    <w:t>%</w:t>
                  </w:r>
                </w:p>
              </w:tc>
              <w:tc>
                <w:tcPr>
                  <w:tcW w:w="460" w:type="pct"/>
                  <w:shd w:val="clear" w:color="auto" w:fill="auto"/>
                </w:tcPr>
                <w:p w:rsidR="00BD031F" w:rsidRPr="007D789A" w:rsidRDefault="007D789A" w:rsidP="007D789A">
                  <w:pPr>
                    <w:pStyle w:val="TableBodyText"/>
                  </w:pPr>
                  <w:r>
                    <w:t>25.5</w:t>
                  </w:r>
                </w:p>
              </w:tc>
              <w:tc>
                <w:tcPr>
                  <w:tcW w:w="460" w:type="pct"/>
                  <w:shd w:val="clear" w:color="auto" w:fill="auto"/>
                </w:tcPr>
                <w:p w:rsidR="00BD031F" w:rsidRPr="007D789A" w:rsidRDefault="007637C8" w:rsidP="00BD031F">
                  <w:pPr>
                    <w:pStyle w:val="TableBodyText"/>
                    <w:rPr>
                      <w:highlight w:val="yellow"/>
                    </w:rPr>
                  </w:pPr>
                  <w:r>
                    <w:t>24.7</w:t>
                  </w:r>
                </w:p>
              </w:tc>
              <w:tc>
                <w:tcPr>
                  <w:tcW w:w="460" w:type="pct"/>
                  <w:shd w:val="clear" w:color="auto" w:fill="auto"/>
                </w:tcPr>
                <w:p w:rsidR="00BD031F" w:rsidRPr="007637C8" w:rsidRDefault="00871CEA" w:rsidP="007637C8">
                  <w:pPr>
                    <w:pStyle w:val="TableBodyText"/>
                  </w:pPr>
                  <w:r w:rsidRPr="007637C8">
                    <w:t>23.</w:t>
                  </w:r>
                  <w:r w:rsidR="007637C8" w:rsidRPr="007637C8">
                    <w:t>3</w:t>
                  </w:r>
                </w:p>
              </w:tc>
              <w:tc>
                <w:tcPr>
                  <w:tcW w:w="460" w:type="pct"/>
                  <w:shd w:val="clear" w:color="auto" w:fill="auto"/>
                </w:tcPr>
                <w:p w:rsidR="00BD031F" w:rsidRPr="007D789A" w:rsidRDefault="007637C8" w:rsidP="00BD031F">
                  <w:pPr>
                    <w:pStyle w:val="TableBodyText"/>
                    <w:rPr>
                      <w:highlight w:val="yellow"/>
                    </w:rPr>
                  </w:pPr>
                  <w:r>
                    <w:t>29.5</w:t>
                  </w:r>
                </w:p>
              </w:tc>
              <w:tc>
                <w:tcPr>
                  <w:tcW w:w="460" w:type="pct"/>
                  <w:shd w:val="clear" w:color="auto" w:fill="auto"/>
                </w:tcPr>
                <w:p w:rsidR="00BD031F" w:rsidRPr="007D789A" w:rsidRDefault="007637C8" w:rsidP="007637C8">
                  <w:pPr>
                    <w:pStyle w:val="TableBodyText"/>
                    <w:rPr>
                      <w:highlight w:val="yellow"/>
                    </w:rPr>
                  </w:pPr>
                  <w:r>
                    <w:t>25.8</w:t>
                  </w:r>
                </w:p>
              </w:tc>
              <w:tc>
                <w:tcPr>
                  <w:tcW w:w="461" w:type="pct"/>
                  <w:shd w:val="clear" w:color="auto" w:fill="auto"/>
                </w:tcPr>
                <w:p w:rsidR="00BD031F" w:rsidRPr="007637C8" w:rsidRDefault="00871CEA" w:rsidP="007637C8">
                  <w:pPr>
                    <w:pStyle w:val="TableBodyText"/>
                  </w:pPr>
                  <w:r w:rsidRPr="007637C8">
                    <w:t>25.</w:t>
                  </w:r>
                  <w:r w:rsidR="007637C8" w:rsidRPr="007637C8">
                    <w:t>0</w:t>
                  </w:r>
                </w:p>
              </w:tc>
              <w:tc>
                <w:tcPr>
                  <w:tcW w:w="461" w:type="pct"/>
                  <w:shd w:val="clear" w:color="auto" w:fill="auto"/>
                </w:tcPr>
                <w:p w:rsidR="00BD031F" w:rsidRPr="007637C8" w:rsidRDefault="00871CEA" w:rsidP="007637C8">
                  <w:pPr>
                    <w:pStyle w:val="TableBodyText"/>
                  </w:pPr>
                  <w:r w:rsidRPr="007637C8">
                    <w:t>2</w:t>
                  </w:r>
                  <w:r w:rsidR="007637C8" w:rsidRPr="007637C8">
                    <w:t>2</w:t>
                  </w:r>
                  <w:r w:rsidRPr="007637C8">
                    <w:t>.</w:t>
                  </w:r>
                  <w:r w:rsidR="007637C8" w:rsidRPr="007637C8">
                    <w:t>8</w:t>
                  </w:r>
                </w:p>
              </w:tc>
              <w:tc>
                <w:tcPr>
                  <w:tcW w:w="461" w:type="pct"/>
                  <w:shd w:val="clear" w:color="auto" w:fill="auto"/>
                </w:tcPr>
                <w:p w:rsidR="00BD031F" w:rsidRPr="007D789A" w:rsidRDefault="007637C8" w:rsidP="00BD031F">
                  <w:pPr>
                    <w:pStyle w:val="TableBodyText"/>
                    <w:rPr>
                      <w:highlight w:val="yellow"/>
                    </w:rPr>
                  </w:pPr>
                  <w:r>
                    <w:t>21.6</w:t>
                  </w:r>
                </w:p>
              </w:tc>
              <w:tc>
                <w:tcPr>
                  <w:tcW w:w="490" w:type="pct"/>
                  <w:shd w:val="clear" w:color="auto" w:fill="auto"/>
                </w:tcPr>
                <w:p w:rsidR="00BD031F" w:rsidRPr="007637C8" w:rsidRDefault="00871CEA" w:rsidP="00E5233B">
                  <w:pPr>
                    <w:pStyle w:val="TableBodyText"/>
                  </w:pPr>
                  <w:r w:rsidRPr="007637C8">
                    <w:t>27.</w:t>
                  </w:r>
                  <w:r w:rsidR="00E5233B">
                    <w:t>4</w:t>
                  </w:r>
                </w:p>
              </w:tc>
            </w:tr>
            <w:tr w:rsidR="007637C8" w:rsidRPr="007A155F" w:rsidTr="00BE2DC4">
              <w:tc>
                <w:tcPr>
                  <w:tcW w:w="417" w:type="pct"/>
                  <w:shd w:val="clear" w:color="auto" w:fill="FFFFFF" w:themeFill="background1"/>
                  <w:vAlign w:val="bottom"/>
                </w:tcPr>
                <w:p w:rsidR="00BD031F" w:rsidRPr="0063699B" w:rsidRDefault="00BD031F" w:rsidP="00C73863">
                  <w:pPr>
                    <w:pStyle w:val="TableBodyText"/>
                    <w:ind w:left="57" w:right="0"/>
                    <w:jc w:val="left"/>
                  </w:pPr>
                  <w:r w:rsidRPr="0063699B">
                    <w:t>CPS</w:t>
                  </w:r>
                </w:p>
              </w:tc>
              <w:tc>
                <w:tcPr>
                  <w:tcW w:w="410" w:type="pct"/>
                  <w:shd w:val="clear" w:color="auto" w:fill="FFFFFF" w:themeFill="background1"/>
                  <w:vAlign w:val="bottom"/>
                </w:tcPr>
                <w:p w:rsidR="00BD031F" w:rsidRPr="0063699B" w:rsidRDefault="00BD031F" w:rsidP="00C73863">
                  <w:pPr>
                    <w:pStyle w:val="TableBodyText"/>
                  </w:pPr>
                  <w:r w:rsidRPr="0063699B">
                    <w:t>%</w:t>
                  </w:r>
                </w:p>
              </w:tc>
              <w:tc>
                <w:tcPr>
                  <w:tcW w:w="460" w:type="pct"/>
                  <w:shd w:val="clear" w:color="auto" w:fill="auto"/>
                </w:tcPr>
                <w:p w:rsidR="00BD031F" w:rsidRPr="007D789A" w:rsidRDefault="007D789A" w:rsidP="00871CEA">
                  <w:pPr>
                    <w:pStyle w:val="TableBodyText"/>
                    <w:rPr>
                      <w:highlight w:val="yellow"/>
                    </w:rPr>
                  </w:pPr>
                  <w:r>
                    <w:t>17.9</w:t>
                  </w:r>
                </w:p>
              </w:tc>
              <w:tc>
                <w:tcPr>
                  <w:tcW w:w="460" w:type="pct"/>
                  <w:shd w:val="clear" w:color="auto" w:fill="auto"/>
                </w:tcPr>
                <w:p w:rsidR="00BD031F" w:rsidRPr="007D789A" w:rsidRDefault="007637C8" w:rsidP="00BD031F">
                  <w:pPr>
                    <w:pStyle w:val="TableBodyText"/>
                    <w:rPr>
                      <w:highlight w:val="yellow"/>
                    </w:rPr>
                  </w:pPr>
                  <w:r>
                    <w:t>13.0</w:t>
                  </w:r>
                </w:p>
              </w:tc>
              <w:tc>
                <w:tcPr>
                  <w:tcW w:w="460" w:type="pct"/>
                  <w:shd w:val="clear" w:color="auto" w:fill="auto"/>
                </w:tcPr>
                <w:p w:rsidR="00BD031F" w:rsidRPr="007637C8" w:rsidRDefault="00871CEA" w:rsidP="007637C8">
                  <w:pPr>
                    <w:pStyle w:val="TableBodyText"/>
                  </w:pPr>
                  <w:r w:rsidRPr="007637C8">
                    <w:t>1</w:t>
                  </w:r>
                  <w:r w:rsidR="007637C8" w:rsidRPr="007637C8">
                    <w:t>7</w:t>
                  </w:r>
                  <w:r w:rsidRPr="007637C8">
                    <w:t>.</w:t>
                  </w:r>
                  <w:r w:rsidR="007637C8" w:rsidRPr="007637C8">
                    <w:t>2</w:t>
                  </w:r>
                </w:p>
              </w:tc>
              <w:tc>
                <w:tcPr>
                  <w:tcW w:w="460" w:type="pct"/>
                  <w:shd w:val="clear" w:color="auto" w:fill="auto"/>
                </w:tcPr>
                <w:p w:rsidR="00BD031F" w:rsidRPr="007D789A" w:rsidRDefault="007637C8" w:rsidP="00BD031F">
                  <w:pPr>
                    <w:pStyle w:val="TableBodyText"/>
                    <w:rPr>
                      <w:highlight w:val="yellow"/>
                    </w:rPr>
                  </w:pPr>
                  <w:r>
                    <w:t>15.0</w:t>
                  </w:r>
                </w:p>
              </w:tc>
              <w:tc>
                <w:tcPr>
                  <w:tcW w:w="460" w:type="pct"/>
                  <w:shd w:val="clear" w:color="auto" w:fill="auto"/>
                </w:tcPr>
                <w:p w:rsidR="00BD031F" w:rsidRPr="007637C8" w:rsidRDefault="00871CEA" w:rsidP="007637C8">
                  <w:pPr>
                    <w:pStyle w:val="TableBodyText"/>
                  </w:pPr>
                  <w:r w:rsidRPr="007637C8">
                    <w:t>1</w:t>
                  </w:r>
                  <w:r w:rsidR="007637C8" w:rsidRPr="007637C8">
                    <w:t>3</w:t>
                  </w:r>
                  <w:r w:rsidRPr="007637C8">
                    <w:t>.</w:t>
                  </w:r>
                  <w:r w:rsidR="007637C8" w:rsidRPr="007637C8">
                    <w:t>3</w:t>
                  </w:r>
                </w:p>
              </w:tc>
              <w:tc>
                <w:tcPr>
                  <w:tcW w:w="461" w:type="pct"/>
                  <w:shd w:val="clear" w:color="auto" w:fill="auto"/>
                </w:tcPr>
                <w:p w:rsidR="00BD031F" w:rsidRPr="007637C8" w:rsidRDefault="00871CEA" w:rsidP="007637C8">
                  <w:pPr>
                    <w:pStyle w:val="TableBodyText"/>
                  </w:pPr>
                  <w:r w:rsidRPr="007637C8">
                    <w:t>11.</w:t>
                  </w:r>
                  <w:r w:rsidR="007637C8" w:rsidRPr="007637C8">
                    <w:t>9</w:t>
                  </w:r>
                </w:p>
              </w:tc>
              <w:tc>
                <w:tcPr>
                  <w:tcW w:w="461" w:type="pct"/>
                  <w:shd w:val="clear" w:color="auto" w:fill="auto"/>
                </w:tcPr>
                <w:p w:rsidR="00BD031F" w:rsidRPr="007637C8" w:rsidRDefault="00871CEA" w:rsidP="007637C8">
                  <w:pPr>
                    <w:pStyle w:val="TableBodyText"/>
                  </w:pPr>
                  <w:r w:rsidRPr="007637C8">
                    <w:t>13.</w:t>
                  </w:r>
                  <w:r w:rsidR="007637C8" w:rsidRPr="007637C8">
                    <w:t>9</w:t>
                  </w:r>
                </w:p>
              </w:tc>
              <w:tc>
                <w:tcPr>
                  <w:tcW w:w="461" w:type="pct"/>
                  <w:shd w:val="clear" w:color="auto" w:fill="auto"/>
                </w:tcPr>
                <w:p w:rsidR="00BD031F" w:rsidRPr="007D789A" w:rsidRDefault="007637C8" w:rsidP="00BD031F">
                  <w:pPr>
                    <w:pStyle w:val="TableBodyText"/>
                    <w:rPr>
                      <w:highlight w:val="yellow"/>
                    </w:rPr>
                  </w:pPr>
                  <w:r>
                    <w:t>45.3</w:t>
                  </w:r>
                </w:p>
              </w:tc>
              <w:tc>
                <w:tcPr>
                  <w:tcW w:w="490" w:type="pct"/>
                  <w:shd w:val="clear" w:color="auto" w:fill="auto"/>
                </w:tcPr>
                <w:p w:rsidR="00BD031F" w:rsidRPr="007637C8" w:rsidRDefault="00871CEA" w:rsidP="00E5233B">
                  <w:pPr>
                    <w:pStyle w:val="TableBodyText"/>
                  </w:pPr>
                  <w:r w:rsidRPr="007637C8">
                    <w:t>1</w:t>
                  </w:r>
                  <w:r w:rsidR="007637C8" w:rsidRPr="007637C8">
                    <w:t>5</w:t>
                  </w:r>
                  <w:r w:rsidRPr="007637C8">
                    <w:t>.</w:t>
                  </w:r>
                  <w:r w:rsidR="00E5233B">
                    <w:t>5</w:t>
                  </w:r>
                </w:p>
              </w:tc>
            </w:tr>
            <w:tr w:rsidR="007637C8" w:rsidRPr="007A155F" w:rsidTr="00BE2DC4">
              <w:tc>
                <w:tcPr>
                  <w:tcW w:w="417" w:type="pct"/>
                  <w:shd w:val="clear" w:color="auto" w:fill="FFFFFF" w:themeFill="background1"/>
                  <w:vAlign w:val="bottom"/>
                </w:tcPr>
                <w:p w:rsidR="00BD031F" w:rsidRPr="0063699B" w:rsidRDefault="00BD031F" w:rsidP="00C73863">
                  <w:pPr>
                    <w:pStyle w:val="TableBodyText"/>
                    <w:ind w:left="57" w:right="0"/>
                    <w:jc w:val="left"/>
                  </w:pPr>
                  <w:r w:rsidRPr="0063699B">
                    <w:t>YJS</w:t>
                  </w:r>
                </w:p>
              </w:tc>
              <w:tc>
                <w:tcPr>
                  <w:tcW w:w="410" w:type="pct"/>
                  <w:shd w:val="clear" w:color="auto" w:fill="FFFFFF" w:themeFill="background1"/>
                  <w:vAlign w:val="bottom"/>
                </w:tcPr>
                <w:p w:rsidR="00BD031F" w:rsidRPr="0063699B" w:rsidRDefault="00BD031F" w:rsidP="00C73863">
                  <w:pPr>
                    <w:pStyle w:val="TableBodyText"/>
                  </w:pPr>
                  <w:r w:rsidRPr="0063699B">
                    <w:t>%</w:t>
                  </w:r>
                </w:p>
              </w:tc>
              <w:tc>
                <w:tcPr>
                  <w:tcW w:w="460" w:type="pct"/>
                  <w:shd w:val="clear" w:color="auto" w:fill="auto"/>
                </w:tcPr>
                <w:p w:rsidR="00BD031F" w:rsidRPr="007D789A" w:rsidRDefault="007D789A" w:rsidP="005314C9">
                  <w:pPr>
                    <w:pStyle w:val="TableBodyText"/>
                    <w:rPr>
                      <w:highlight w:val="yellow"/>
                    </w:rPr>
                  </w:pPr>
                  <w:r>
                    <w:t>2.0</w:t>
                  </w:r>
                </w:p>
              </w:tc>
              <w:tc>
                <w:tcPr>
                  <w:tcW w:w="460" w:type="pct"/>
                  <w:shd w:val="clear" w:color="auto" w:fill="auto"/>
                </w:tcPr>
                <w:p w:rsidR="00BD031F" w:rsidRPr="007D789A" w:rsidRDefault="007637C8" w:rsidP="007637C8">
                  <w:pPr>
                    <w:pStyle w:val="TableBodyText"/>
                    <w:rPr>
                      <w:highlight w:val="yellow"/>
                    </w:rPr>
                  </w:pPr>
                  <w:r>
                    <w:t>1.9</w:t>
                  </w:r>
                </w:p>
              </w:tc>
              <w:tc>
                <w:tcPr>
                  <w:tcW w:w="460" w:type="pct"/>
                  <w:shd w:val="clear" w:color="auto" w:fill="auto"/>
                </w:tcPr>
                <w:p w:rsidR="00BD031F" w:rsidRPr="007637C8" w:rsidRDefault="005314C9" w:rsidP="00BD031F">
                  <w:pPr>
                    <w:pStyle w:val="TableBodyText"/>
                  </w:pPr>
                  <w:r w:rsidRPr="007637C8">
                    <w:t>3.1</w:t>
                  </w:r>
                </w:p>
              </w:tc>
              <w:tc>
                <w:tcPr>
                  <w:tcW w:w="460" w:type="pct"/>
                  <w:shd w:val="clear" w:color="auto" w:fill="auto"/>
                </w:tcPr>
                <w:p w:rsidR="00BD031F" w:rsidRPr="007D789A" w:rsidRDefault="007637C8" w:rsidP="00BD031F">
                  <w:pPr>
                    <w:pStyle w:val="TableBodyText"/>
                    <w:rPr>
                      <w:highlight w:val="yellow"/>
                    </w:rPr>
                  </w:pPr>
                  <w:r>
                    <w:t>3.4</w:t>
                  </w:r>
                </w:p>
              </w:tc>
              <w:tc>
                <w:tcPr>
                  <w:tcW w:w="460" w:type="pct"/>
                  <w:shd w:val="clear" w:color="auto" w:fill="auto"/>
                </w:tcPr>
                <w:p w:rsidR="00BD031F" w:rsidRPr="007637C8" w:rsidRDefault="005314C9" w:rsidP="00BD031F">
                  <w:pPr>
                    <w:pStyle w:val="TableBodyText"/>
                  </w:pPr>
                  <w:r w:rsidRPr="007637C8">
                    <w:t>1.7</w:t>
                  </w:r>
                </w:p>
              </w:tc>
              <w:tc>
                <w:tcPr>
                  <w:tcW w:w="461" w:type="pct"/>
                  <w:shd w:val="clear" w:color="auto" w:fill="auto"/>
                </w:tcPr>
                <w:p w:rsidR="00BD031F" w:rsidRPr="007637C8" w:rsidRDefault="00871CEA" w:rsidP="00BD031F">
                  <w:pPr>
                    <w:pStyle w:val="TableBodyText"/>
                  </w:pPr>
                  <w:r w:rsidRPr="007637C8">
                    <w:t>2.3</w:t>
                  </w:r>
                </w:p>
              </w:tc>
              <w:tc>
                <w:tcPr>
                  <w:tcW w:w="461" w:type="pct"/>
                  <w:shd w:val="clear" w:color="auto" w:fill="auto"/>
                </w:tcPr>
                <w:p w:rsidR="00BD031F" w:rsidRPr="007637C8" w:rsidRDefault="00871CEA" w:rsidP="007637C8">
                  <w:pPr>
                    <w:pStyle w:val="TableBodyText"/>
                  </w:pPr>
                  <w:r w:rsidRPr="007637C8">
                    <w:t>5.</w:t>
                  </w:r>
                  <w:r w:rsidR="007637C8" w:rsidRPr="007637C8">
                    <w:t>3</w:t>
                  </w:r>
                </w:p>
              </w:tc>
              <w:tc>
                <w:tcPr>
                  <w:tcW w:w="461" w:type="pct"/>
                  <w:shd w:val="clear" w:color="auto" w:fill="auto"/>
                </w:tcPr>
                <w:p w:rsidR="00BD031F" w:rsidRPr="007D789A" w:rsidRDefault="007637C8" w:rsidP="00BD031F">
                  <w:pPr>
                    <w:pStyle w:val="TableBodyText"/>
                    <w:rPr>
                      <w:highlight w:val="yellow"/>
                    </w:rPr>
                  </w:pPr>
                  <w:r>
                    <w:t>9.0</w:t>
                  </w:r>
                </w:p>
              </w:tc>
              <w:tc>
                <w:tcPr>
                  <w:tcW w:w="490" w:type="pct"/>
                  <w:shd w:val="clear" w:color="auto" w:fill="auto"/>
                </w:tcPr>
                <w:p w:rsidR="00BD031F" w:rsidRPr="007637C8" w:rsidRDefault="00871CEA" w:rsidP="00BD031F">
                  <w:pPr>
                    <w:pStyle w:val="TableBodyText"/>
                  </w:pPr>
                  <w:r w:rsidRPr="007637C8">
                    <w:t>2.4</w:t>
                  </w:r>
                </w:p>
              </w:tc>
            </w:tr>
            <w:tr w:rsidR="007637C8" w:rsidRPr="0092362F" w:rsidTr="00B64832">
              <w:tc>
                <w:tcPr>
                  <w:tcW w:w="417" w:type="pct"/>
                  <w:shd w:val="clear" w:color="auto" w:fill="FFFFFF" w:themeFill="background1"/>
                  <w:vAlign w:val="bottom"/>
                </w:tcPr>
                <w:p w:rsidR="00BD031F" w:rsidRPr="0063699B" w:rsidRDefault="00BD031F" w:rsidP="00C73863">
                  <w:pPr>
                    <w:pStyle w:val="TableBodyText"/>
                    <w:ind w:left="57" w:right="0"/>
                    <w:jc w:val="left"/>
                    <w:rPr>
                      <w:b/>
                    </w:rPr>
                  </w:pPr>
                  <w:r w:rsidRPr="0063699B">
                    <w:rPr>
                      <w:b/>
                    </w:rPr>
                    <w:t>Total</w:t>
                  </w:r>
                </w:p>
              </w:tc>
              <w:tc>
                <w:tcPr>
                  <w:tcW w:w="410" w:type="pct"/>
                  <w:shd w:val="clear" w:color="auto" w:fill="FFFFFF" w:themeFill="background1"/>
                  <w:vAlign w:val="bottom"/>
                </w:tcPr>
                <w:p w:rsidR="00BD031F" w:rsidRPr="0063699B" w:rsidRDefault="00BD031F" w:rsidP="00C73863">
                  <w:pPr>
                    <w:pStyle w:val="TableBodyText"/>
                    <w:rPr>
                      <w:b/>
                    </w:rPr>
                  </w:pPr>
                  <w:r w:rsidRPr="0063699B">
                    <w:rPr>
                      <w:b/>
                    </w:rPr>
                    <w:t>%</w:t>
                  </w:r>
                </w:p>
              </w:tc>
              <w:tc>
                <w:tcPr>
                  <w:tcW w:w="460" w:type="pct"/>
                  <w:shd w:val="clear" w:color="auto" w:fill="auto"/>
                </w:tcPr>
                <w:p w:rsidR="00BD031F" w:rsidRPr="0063699B" w:rsidRDefault="005314C9" w:rsidP="00167146">
                  <w:pPr>
                    <w:pStyle w:val="TableBodyText"/>
                    <w:rPr>
                      <w:b/>
                    </w:rPr>
                  </w:pPr>
                  <w:r w:rsidRPr="005314C9">
                    <w:rPr>
                      <w:b/>
                    </w:rPr>
                    <w:t>100.0</w:t>
                  </w:r>
                </w:p>
              </w:tc>
              <w:tc>
                <w:tcPr>
                  <w:tcW w:w="460" w:type="pct"/>
                  <w:shd w:val="clear" w:color="auto" w:fill="auto"/>
                </w:tcPr>
                <w:p w:rsidR="00BD031F" w:rsidRPr="0063699B" w:rsidRDefault="005314C9" w:rsidP="00167146">
                  <w:pPr>
                    <w:pStyle w:val="TableBodyText"/>
                    <w:rPr>
                      <w:b/>
                    </w:rPr>
                  </w:pPr>
                  <w:r w:rsidRPr="005314C9">
                    <w:rPr>
                      <w:b/>
                    </w:rPr>
                    <w:t>100.0</w:t>
                  </w:r>
                </w:p>
              </w:tc>
              <w:tc>
                <w:tcPr>
                  <w:tcW w:w="460" w:type="pct"/>
                  <w:shd w:val="clear" w:color="auto" w:fill="auto"/>
                </w:tcPr>
                <w:p w:rsidR="00BD031F" w:rsidRPr="0063699B" w:rsidRDefault="005314C9" w:rsidP="00167146">
                  <w:pPr>
                    <w:pStyle w:val="TableBodyText"/>
                    <w:rPr>
                      <w:b/>
                    </w:rPr>
                  </w:pPr>
                  <w:r w:rsidRPr="005314C9">
                    <w:rPr>
                      <w:b/>
                    </w:rPr>
                    <w:t>100.0</w:t>
                  </w:r>
                </w:p>
              </w:tc>
              <w:tc>
                <w:tcPr>
                  <w:tcW w:w="460" w:type="pct"/>
                  <w:shd w:val="clear" w:color="auto" w:fill="auto"/>
                </w:tcPr>
                <w:p w:rsidR="00BD031F" w:rsidRPr="0063699B" w:rsidRDefault="005314C9" w:rsidP="00167146">
                  <w:pPr>
                    <w:pStyle w:val="TableBodyText"/>
                    <w:rPr>
                      <w:b/>
                    </w:rPr>
                  </w:pPr>
                  <w:r w:rsidRPr="005314C9">
                    <w:rPr>
                      <w:b/>
                    </w:rPr>
                    <w:t>100.0</w:t>
                  </w:r>
                </w:p>
              </w:tc>
              <w:tc>
                <w:tcPr>
                  <w:tcW w:w="460" w:type="pct"/>
                  <w:shd w:val="clear" w:color="auto" w:fill="auto"/>
                </w:tcPr>
                <w:p w:rsidR="00BD031F" w:rsidRPr="0063699B" w:rsidRDefault="005314C9" w:rsidP="00167146">
                  <w:pPr>
                    <w:pStyle w:val="TableBodyText"/>
                    <w:rPr>
                      <w:b/>
                    </w:rPr>
                  </w:pPr>
                  <w:r w:rsidRPr="005314C9">
                    <w:rPr>
                      <w:b/>
                    </w:rPr>
                    <w:t>100.0</w:t>
                  </w:r>
                </w:p>
              </w:tc>
              <w:tc>
                <w:tcPr>
                  <w:tcW w:w="461" w:type="pct"/>
                  <w:shd w:val="clear" w:color="auto" w:fill="auto"/>
                </w:tcPr>
                <w:p w:rsidR="00BD031F" w:rsidRPr="0063699B" w:rsidRDefault="005314C9" w:rsidP="00167146">
                  <w:pPr>
                    <w:pStyle w:val="TableBodyText"/>
                    <w:rPr>
                      <w:b/>
                    </w:rPr>
                  </w:pPr>
                  <w:r w:rsidRPr="005314C9">
                    <w:rPr>
                      <w:b/>
                    </w:rPr>
                    <w:t>100.0</w:t>
                  </w:r>
                </w:p>
              </w:tc>
              <w:tc>
                <w:tcPr>
                  <w:tcW w:w="461" w:type="pct"/>
                  <w:shd w:val="clear" w:color="auto" w:fill="auto"/>
                </w:tcPr>
                <w:p w:rsidR="00BD031F" w:rsidRPr="0063699B" w:rsidRDefault="005314C9" w:rsidP="00167146">
                  <w:pPr>
                    <w:pStyle w:val="TableBodyText"/>
                    <w:rPr>
                      <w:b/>
                    </w:rPr>
                  </w:pPr>
                  <w:r w:rsidRPr="005314C9">
                    <w:rPr>
                      <w:b/>
                    </w:rPr>
                    <w:t>100.0</w:t>
                  </w:r>
                </w:p>
              </w:tc>
              <w:tc>
                <w:tcPr>
                  <w:tcW w:w="461" w:type="pct"/>
                  <w:shd w:val="clear" w:color="auto" w:fill="auto"/>
                </w:tcPr>
                <w:p w:rsidR="00BD031F" w:rsidRPr="0063699B" w:rsidRDefault="005314C9" w:rsidP="00167146">
                  <w:pPr>
                    <w:pStyle w:val="TableBodyText"/>
                    <w:rPr>
                      <w:b/>
                    </w:rPr>
                  </w:pPr>
                  <w:r w:rsidRPr="005314C9">
                    <w:rPr>
                      <w:b/>
                    </w:rPr>
                    <w:t>100.0</w:t>
                  </w:r>
                </w:p>
              </w:tc>
              <w:tc>
                <w:tcPr>
                  <w:tcW w:w="490" w:type="pct"/>
                  <w:shd w:val="clear" w:color="auto" w:fill="auto"/>
                </w:tcPr>
                <w:p w:rsidR="00BD031F" w:rsidRPr="0063699B" w:rsidRDefault="005314C9" w:rsidP="00BD031F">
                  <w:pPr>
                    <w:pStyle w:val="TableBodyText"/>
                    <w:rPr>
                      <w:b/>
                    </w:rPr>
                  </w:pPr>
                  <w:r w:rsidRPr="005314C9">
                    <w:rPr>
                      <w:b/>
                    </w:rPr>
                    <w:t>100.0</w:t>
                  </w:r>
                </w:p>
              </w:tc>
            </w:tr>
            <w:tr w:rsidR="00BC53F9" w:rsidRPr="007A155F" w:rsidTr="001225FE">
              <w:tc>
                <w:tcPr>
                  <w:tcW w:w="5000" w:type="pct"/>
                  <w:gridSpan w:val="11"/>
                  <w:shd w:val="clear" w:color="auto" w:fill="auto"/>
                </w:tcPr>
                <w:p w:rsidR="00062D18" w:rsidRPr="0063699B" w:rsidRDefault="002676BD" w:rsidP="009E6625">
                  <w:pPr>
                    <w:pStyle w:val="TableBodyText"/>
                    <w:ind w:right="28"/>
                    <w:jc w:val="left"/>
                  </w:pPr>
                  <w:r w:rsidRPr="0063699B">
                    <w:rPr>
                      <w:b/>
                    </w:rPr>
                    <w:t>Recurrent expenditure on community services per person in the population</w:t>
                  </w:r>
                </w:p>
              </w:tc>
            </w:tr>
            <w:tr w:rsidR="007637C8" w:rsidRPr="007A155F" w:rsidTr="00BE2DC4">
              <w:tc>
                <w:tcPr>
                  <w:tcW w:w="417" w:type="pct"/>
                  <w:shd w:val="clear" w:color="auto" w:fill="FFFFFF" w:themeFill="background1"/>
                  <w:vAlign w:val="bottom"/>
                </w:tcPr>
                <w:p w:rsidR="00BD031F" w:rsidRPr="0063699B" w:rsidRDefault="00BD031F" w:rsidP="009B2FC9">
                  <w:pPr>
                    <w:pStyle w:val="TableBodyText"/>
                    <w:ind w:left="57"/>
                    <w:jc w:val="left"/>
                  </w:pPr>
                  <w:r w:rsidRPr="0063699B">
                    <w:t>ACS</w:t>
                  </w:r>
                </w:p>
              </w:tc>
              <w:tc>
                <w:tcPr>
                  <w:tcW w:w="410" w:type="pct"/>
                  <w:shd w:val="clear" w:color="auto" w:fill="FFFFFF" w:themeFill="background1"/>
                  <w:vAlign w:val="bottom"/>
                </w:tcPr>
                <w:p w:rsidR="00BD031F" w:rsidRPr="0063699B" w:rsidRDefault="00BD031F" w:rsidP="009B2FC9">
                  <w:pPr>
                    <w:pStyle w:val="TableBodyText"/>
                  </w:pPr>
                  <w:r w:rsidRPr="0063699B">
                    <w:t>$</w:t>
                  </w:r>
                </w:p>
              </w:tc>
              <w:tc>
                <w:tcPr>
                  <w:tcW w:w="460" w:type="pct"/>
                  <w:shd w:val="clear" w:color="auto" w:fill="auto"/>
                </w:tcPr>
                <w:p w:rsidR="00BD031F" w:rsidRPr="0063699B" w:rsidRDefault="00985FE1" w:rsidP="00985FE1">
                  <w:pPr>
                    <w:pStyle w:val="TableBodyText"/>
                  </w:pPr>
                  <w:r>
                    <w:t>4 229.2</w:t>
                  </w:r>
                </w:p>
              </w:tc>
              <w:tc>
                <w:tcPr>
                  <w:tcW w:w="460" w:type="pct"/>
                  <w:shd w:val="clear" w:color="auto" w:fill="auto"/>
                </w:tcPr>
                <w:p w:rsidR="00BD031F" w:rsidRPr="0063699B" w:rsidRDefault="00985FE1" w:rsidP="00985FE1">
                  <w:pPr>
                    <w:pStyle w:val="TableBodyText"/>
                  </w:pPr>
                  <w:r>
                    <w:t xml:space="preserve">4 </w:t>
                  </w:r>
                  <w:r w:rsidR="005314C9">
                    <w:t>7</w:t>
                  </w:r>
                  <w:r>
                    <w:t>69</w:t>
                  </w:r>
                  <w:r w:rsidR="005314C9">
                    <w:t>.</w:t>
                  </w:r>
                  <w:r>
                    <w:t>4</w:t>
                  </w:r>
                </w:p>
              </w:tc>
              <w:tc>
                <w:tcPr>
                  <w:tcW w:w="460" w:type="pct"/>
                  <w:shd w:val="clear" w:color="auto" w:fill="auto"/>
                </w:tcPr>
                <w:p w:rsidR="00BD031F" w:rsidRPr="0063699B" w:rsidRDefault="00985FE1" w:rsidP="00985FE1">
                  <w:pPr>
                    <w:pStyle w:val="TableBodyText"/>
                  </w:pPr>
                  <w:r>
                    <w:t>4 207</w:t>
                  </w:r>
                  <w:r w:rsidR="005314C9">
                    <w:t>.</w:t>
                  </w:r>
                  <w:r>
                    <w:t>6</w:t>
                  </w:r>
                </w:p>
              </w:tc>
              <w:tc>
                <w:tcPr>
                  <w:tcW w:w="460" w:type="pct"/>
                  <w:shd w:val="clear" w:color="auto" w:fill="auto"/>
                </w:tcPr>
                <w:p w:rsidR="00BD031F" w:rsidRPr="0063699B" w:rsidRDefault="00985FE1" w:rsidP="00985FE1">
                  <w:pPr>
                    <w:pStyle w:val="TableBodyText"/>
                  </w:pPr>
                  <w:r>
                    <w:t>4 344</w:t>
                  </w:r>
                  <w:r w:rsidR="005314C9">
                    <w:t>.</w:t>
                  </w:r>
                  <w:r>
                    <w:t>9</w:t>
                  </w:r>
                </w:p>
              </w:tc>
              <w:tc>
                <w:tcPr>
                  <w:tcW w:w="460" w:type="pct"/>
                  <w:shd w:val="clear" w:color="auto" w:fill="auto"/>
                </w:tcPr>
                <w:p w:rsidR="00BD031F" w:rsidRPr="0063699B" w:rsidRDefault="00985FE1" w:rsidP="00985FE1">
                  <w:pPr>
                    <w:pStyle w:val="TableBodyText"/>
                  </w:pPr>
                  <w:r>
                    <w:t xml:space="preserve">4 </w:t>
                  </w:r>
                  <w:r w:rsidR="005314C9">
                    <w:t>8</w:t>
                  </w:r>
                  <w:r>
                    <w:t>48</w:t>
                  </w:r>
                  <w:r w:rsidR="005314C9">
                    <w:t>.</w:t>
                  </w:r>
                  <w:r>
                    <w:t>2</w:t>
                  </w:r>
                </w:p>
              </w:tc>
              <w:tc>
                <w:tcPr>
                  <w:tcW w:w="461" w:type="pct"/>
                  <w:shd w:val="clear" w:color="auto" w:fill="auto"/>
                </w:tcPr>
                <w:p w:rsidR="00BD031F" w:rsidRPr="0063699B" w:rsidRDefault="00985FE1" w:rsidP="00BD031F">
                  <w:pPr>
                    <w:pStyle w:val="TableBodyText"/>
                  </w:pPr>
                  <w:r>
                    <w:t>4 127.4</w:t>
                  </w:r>
                </w:p>
              </w:tc>
              <w:tc>
                <w:tcPr>
                  <w:tcW w:w="461" w:type="pct"/>
                  <w:shd w:val="clear" w:color="auto" w:fill="auto"/>
                </w:tcPr>
                <w:p w:rsidR="00BD031F" w:rsidRPr="0063699B" w:rsidRDefault="00985FE1" w:rsidP="00BD031F">
                  <w:pPr>
                    <w:pStyle w:val="TableBodyText"/>
                  </w:pPr>
                  <w:r>
                    <w:t>4 734.6</w:t>
                  </w:r>
                </w:p>
              </w:tc>
              <w:tc>
                <w:tcPr>
                  <w:tcW w:w="461" w:type="pct"/>
                  <w:shd w:val="clear" w:color="auto" w:fill="auto"/>
                </w:tcPr>
                <w:p w:rsidR="00BD031F" w:rsidRPr="0063699B" w:rsidRDefault="00421DF6" w:rsidP="00BD031F">
                  <w:pPr>
                    <w:pStyle w:val="TableBodyText"/>
                  </w:pPr>
                  <w:r>
                    <w:t>3 752</w:t>
                  </w:r>
                  <w:r w:rsidR="00985FE1">
                    <w:t>.3</w:t>
                  </w:r>
                </w:p>
              </w:tc>
              <w:tc>
                <w:tcPr>
                  <w:tcW w:w="490" w:type="pct"/>
                  <w:shd w:val="clear" w:color="auto" w:fill="auto"/>
                </w:tcPr>
                <w:p w:rsidR="00BD031F" w:rsidRPr="0063699B" w:rsidRDefault="00421DF6" w:rsidP="00985FE1">
                  <w:pPr>
                    <w:pStyle w:val="TableBodyText"/>
                  </w:pPr>
                  <w:r w:rsidRPr="00421DF6">
                    <w:t>4 452.7</w:t>
                  </w:r>
                </w:p>
              </w:tc>
            </w:tr>
            <w:tr w:rsidR="007637C8" w:rsidRPr="007A155F" w:rsidTr="00BE2DC4">
              <w:tc>
                <w:tcPr>
                  <w:tcW w:w="417" w:type="pct"/>
                  <w:shd w:val="clear" w:color="auto" w:fill="FFFFFF" w:themeFill="background1"/>
                  <w:vAlign w:val="bottom"/>
                </w:tcPr>
                <w:p w:rsidR="005314C9" w:rsidRPr="0063699B" w:rsidRDefault="005314C9" w:rsidP="00C73863">
                  <w:pPr>
                    <w:pStyle w:val="TableBodyText"/>
                    <w:ind w:left="57"/>
                    <w:jc w:val="left"/>
                  </w:pPr>
                  <w:r w:rsidRPr="0063699B">
                    <w:t>SPWD</w:t>
                  </w:r>
                </w:p>
              </w:tc>
              <w:tc>
                <w:tcPr>
                  <w:tcW w:w="410" w:type="pct"/>
                  <w:shd w:val="clear" w:color="auto" w:fill="FFFFFF" w:themeFill="background1"/>
                  <w:vAlign w:val="bottom"/>
                </w:tcPr>
                <w:p w:rsidR="005314C9" w:rsidRPr="0063699B" w:rsidRDefault="005314C9" w:rsidP="00C73863">
                  <w:pPr>
                    <w:pStyle w:val="TableBodyText"/>
                  </w:pPr>
                  <w:r w:rsidRPr="0063699B">
                    <w:t>$</w:t>
                  </w:r>
                </w:p>
              </w:tc>
              <w:tc>
                <w:tcPr>
                  <w:tcW w:w="460" w:type="pct"/>
                  <w:shd w:val="clear" w:color="auto" w:fill="auto"/>
                </w:tcPr>
                <w:p w:rsidR="005314C9" w:rsidRPr="0063699B" w:rsidRDefault="005314C9" w:rsidP="000A56D8">
                  <w:pPr>
                    <w:pStyle w:val="TableBodyText"/>
                  </w:pPr>
                  <w:r w:rsidRPr="005314C9">
                    <w:t>3</w:t>
                  </w:r>
                  <w:r w:rsidR="000A56D8">
                    <w:t>84</w:t>
                  </w:r>
                  <w:r w:rsidRPr="005314C9">
                    <w:t>.</w:t>
                  </w:r>
                  <w:r w:rsidR="000A56D8">
                    <w:t>2</w:t>
                  </w:r>
                </w:p>
              </w:tc>
              <w:tc>
                <w:tcPr>
                  <w:tcW w:w="460" w:type="pct"/>
                  <w:shd w:val="clear" w:color="auto" w:fill="auto"/>
                </w:tcPr>
                <w:p w:rsidR="005314C9" w:rsidRPr="0063699B" w:rsidRDefault="005314C9" w:rsidP="000A56D8">
                  <w:pPr>
                    <w:pStyle w:val="TableBodyText"/>
                  </w:pPr>
                  <w:r w:rsidRPr="005314C9">
                    <w:t>3</w:t>
                  </w:r>
                  <w:r w:rsidR="000A56D8">
                    <w:t>56</w:t>
                  </w:r>
                  <w:r w:rsidRPr="005314C9">
                    <w:t>.</w:t>
                  </w:r>
                  <w:r w:rsidR="000A56D8">
                    <w:t>4</w:t>
                  </w:r>
                </w:p>
              </w:tc>
              <w:tc>
                <w:tcPr>
                  <w:tcW w:w="460" w:type="pct"/>
                  <w:shd w:val="clear" w:color="auto" w:fill="auto"/>
                </w:tcPr>
                <w:p w:rsidR="005314C9" w:rsidRPr="0063699B" w:rsidRDefault="000A56D8" w:rsidP="000A56D8">
                  <w:pPr>
                    <w:pStyle w:val="TableBodyText"/>
                  </w:pPr>
                  <w:r>
                    <w:t>310</w:t>
                  </w:r>
                  <w:r w:rsidR="005314C9" w:rsidRPr="005314C9">
                    <w:t>.</w:t>
                  </w:r>
                  <w:r>
                    <w:t>0</w:t>
                  </w:r>
                </w:p>
              </w:tc>
              <w:tc>
                <w:tcPr>
                  <w:tcW w:w="460" w:type="pct"/>
                  <w:shd w:val="clear" w:color="auto" w:fill="auto"/>
                </w:tcPr>
                <w:p w:rsidR="005314C9" w:rsidRPr="0063699B" w:rsidRDefault="000A56D8" w:rsidP="000A56D8">
                  <w:pPr>
                    <w:pStyle w:val="TableBodyText"/>
                  </w:pPr>
                  <w:r>
                    <w:t>402</w:t>
                  </w:r>
                  <w:r w:rsidR="005314C9" w:rsidRPr="005314C9">
                    <w:t>.</w:t>
                  </w:r>
                  <w:r>
                    <w:t>6</w:t>
                  </w:r>
                </w:p>
              </w:tc>
              <w:tc>
                <w:tcPr>
                  <w:tcW w:w="460" w:type="pct"/>
                  <w:shd w:val="clear" w:color="auto" w:fill="auto"/>
                </w:tcPr>
                <w:p w:rsidR="005314C9" w:rsidRPr="0063699B" w:rsidRDefault="000A56D8" w:rsidP="000A56D8">
                  <w:pPr>
                    <w:pStyle w:val="TableBodyText"/>
                  </w:pPr>
                  <w:r>
                    <w:t>463</w:t>
                  </w:r>
                  <w:r w:rsidR="005314C9" w:rsidRPr="005314C9">
                    <w:t>.</w:t>
                  </w:r>
                  <w:r>
                    <w:t>1</w:t>
                  </w:r>
                </w:p>
              </w:tc>
              <w:tc>
                <w:tcPr>
                  <w:tcW w:w="461" w:type="pct"/>
                  <w:shd w:val="clear" w:color="auto" w:fill="auto"/>
                </w:tcPr>
                <w:p w:rsidR="005314C9" w:rsidRPr="0063699B" w:rsidRDefault="000A56D8" w:rsidP="000A56D8">
                  <w:pPr>
                    <w:pStyle w:val="TableBodyText"/>
                  </w:pPr>
                  <w:r>
                    <w:t>405</w:t>
                  </w:r>
                  <w:r w:rsidR="005314C9" w:rsidRPr="005314C9">
                    <w:t>.</w:t>
                  </w:r>
                  <w:r>
                    <w:t>1</w:t>
                  </w:r>
                </w:p>
              </w:tc>
              <w:tc>
                <w:tcPr>
                  <w:tcW w:w="461" w:type="pct"/>
                  <w:shd w:val="clear" w:color="auto" w:fill="auto"/>
                </w:tcPr>
                <w:p w:rsidR="005314C9" w:rsidRPr="0063699B" w:rsidRDefault="005314C9" w:rsidP="000A56D8">
                  <w:pPr>
                    <w:pStyle w:val="TableBodyText"/>
                  </w:pPr>
                  <w:r w:rsidRPr="005314C9">
                    <w:t>27</w:t>
                  </w:r>
                  <w:r w:rsidR="000A56D8">
                    <w:t>1</w:t>
                  </w:r>
                  <w:r w:rsidRPr="005314C9">
                    <w:t>.</w:t>
                  </w:r>
                  <w:r w:rsidR="000A56D8">
                    <w:t>0</w:t>
                  </w:r>
                </w:p>
              </w:tc>
              <w:tc>
                <w:tcPr>
                  <w:tcW w:w="461" w:type="pct"/>
                  <w:shd w:val="clear" w:color="auto" w:fill="auto"/>
                </w:tcPr>
                <w:p w:rsidR="005314C9" w:rsidRPr="0063699B" w:rsidRDefault="005314C9" w:rsidP="000A56D8">
                  <w:pPr>
                    <w:pStyle w:val="TableBodyText"/>
                  </w:pPr>
                  <w:r w:rsidRPr="005314C9">
                    <w:t>3</w:t>
                  </w:r>
                  <w:r w:rsidR="000A56D8">
                    <w:t>87</w:t>
                  </w:r>
                  <w:r w:rsidRPr="005314C9">
                    <w:t>.</w:t>
                  </w:r>
                  <w:r w:rsidR="000A56D8">
                    <w:t>9</w:t>
                  </w:r>
                </w:p>
              </w:tc>
              <w:tc>
                <w:tcPr>
                  <w:tcW w:w="490" w:type="pct"/>
                  <w:shd w:val="clear" w:color="auto" w:fill="auto"/>
                </w:tcPr>
                <w:p w:rsidR="005314C9" w:rsidRPr="0063699B" w:rsidRDefault="000A56D8" w:rsidP="000A56D8">
                  <w:pPr>
                    <w:pStyle w:val="TableBodyText"/>
                  </w:pPr>
                  <w:r>
                    <w:t>4</w:t>
                  </w:r>
                  <w:r w:rsidR="005314C9" w:rsidRPr="005314C9">
                    <w:t>1</w:t>
                  </w:r>
                  <w:r>
                    <w:t>3</w:t>
                  </w:r>
                  <w:r w:rsidR="005314C9" w:rsidRPr="005314C9">
                    <w:t>.</w:t>
                  </w:r>
                  <w:r>
                    <w:t>9</w:t>
                  </w:r>
                </w:p>
              </w:tc>
            </w:tr>
            <w:tr w:rsidR="007637C8" w:rsidRPr="007A155F" w:rsidTr="00BE2DC4">
              <w:tc>
                <w:tcPr>
                  <w:tcW w:w="417" w:type="pct"/>
                  <w:shd w:val="clear" w:color="auto" w:fill="FFFFFF" w:themeFill="background1"/>
                  <w:vAlign w:val="bottom"/>
                </w:tcPr>
                <w:p w:rsidR="005314C9" w:rsidRPr="0063699B" w:rsidRDefault="005314C9" w:rsidP="00C73863">
                  <w:pPr>
                    <w:pStyle w:val="TableBodyText"/>
                    <w:ind w:left="57" w:right="0"/>
                    <w:jc w:val="left"/>
                  </w:pPr>
                  <w:r w:rsidRPr="0063699B">
                    <w:t>CPS</w:t>
                  </w:r>
                </w:p>
              </w:tc>
              <w:tc>
                <w:tcPr>
                  <w:tcW w:w="410" w:type="pct"/>
                  <w:shd w:val="clear" w:color="auto" w:fill="FFFFFF" w:themeFill="background1"/>
                  <w:vAlign w:val="bottom"/>
                </w:tcPr>
                <w:p w:rsidR="005314C9" w:rsidRPr="00F227D0" w:rsidRDefault="005314C9" w:rsidP="00C73863">
                  <w:pPr>
                    <w:pStyle w:val="TableBodyText"/>
                  </w:pPr>
                  <w:r w:rsidRPr="00F227D0">
                    <w:t>$</w:t>
                  </w:r>
                </w:p>
              </w:tc>
              <w:tc>
                <w:tcPr>
                  <w:tcW w:w="460" w:type="pct"/>
                  <w:shd w:val="clear" w:color="auto" w:fill="auto"/>
                </w:tcPr>
                <w:p w:rsidR="005314C9" w:rsidRPr="0063699B" w:rsidRDefault="00C919EF" w:rsidP="00375C20">
                  <w:pPr>
                    <w:pStyle w:val="TableBodyText"/>
                  </w:pPr>
                  <w:r>
                    <w:t>1</w:t>
                  </w:r>
                  <w:r w:rsidR="00B64832">
                    <w:t xml:space="preserve"> </w:t>
                  </w:r>
                  <w:r>
                    <w:t>014.8</w:t>
                  </w:r>
                </w:p>
              </w:tc>
              <w:tc>
                <w:tcPr>
                  <w:tcW w:w="460" w:type="pct"/>
                  <w:shd w:val="clear" w:color="auto" w:fill="auto"/>
                </w:tcPr>
                <w:p w:rsidR="005314C9" w:rsidRPr="0063699B" w:rsidRDefault="00C919EF" w:rsidP="00C919EF">
                  <w:pPr>
                    <w:pStyle w:val="TableBodyText"/>
                  </w:pPr>
                  <w:r>
                    <w:t>727</w:t>
                  </w:r>
                  <w:r w:rsidR="00375C20" w:rsidRPr="00375C20">
                    <w:t>.</w:t>
                  </w:r>
                  <w:r>
                    <w:t>3</w:t>
                  </w:r>
                </w:p>
              </w:tc>
              <w:tc>
                <w:tcPr>
                  <w:tcW w:w="460" w:type="pct"/>
                  <w:shd w:val="clear" w:color="auto" w:fill="auto"/>
                </w:tcPr>
                <w:p w:rsidR="005314C9" w:rsidRPr="0063699B" w:rsidRDefault="00C919EF" w:rsidP="00C919EF">
                  <w:pPr>
                    <w:pStyle w:val="TableBodyText"/>
                  </w:pPr>
                  <w:r>
                    <w:t>829</w:t>
                  </w:r>
                  <w:r w:rsidR="00375C20" w:rsidRPr="00375C20">
                    <w:t>.</w:t>
                  </w:r>
                  <w:r>
                    <w:t>4</w:t>
                  </w:r>
                </w:p>
              </w:tc>
              <w:tc>
                <w:tcPr>
                  <w:tcW w:w="460" w:type="pct"/>
                  <w:shd w:val="clear" w:color="auto" w:fill="auto"/>
                </w:tcPr>
                <w:p w:rsidR="005314C9" w:rsidRPr="0063699B" w:rsidRDefault="00375C20" w:rsidP="00C919EF">
                  <w:pPr>
                    <w:pStyle w:val="TableBodyText"/>
                  </w:pPr>
                  <w:r w:rsidRPr="00375C20">
                    <w:t>7</w:t>
                  </w:r>
                  <w:r w:rsidR="00C919EF">
                    <w:t>7</w:t>
                  </w:r>
                  <w:r w:rsidRPr="00375C20">
                    <w:t>1.</w:t>
                  </w:r>
                  <w:r w:rsidR="00C919EF">
                    <w:t>1</w:t>
                  </w:r>
                </w:p>
              </w:tc>
              <w:tc>
                <w:tcPr>
                  <w:tcW w:w="460" w:type="pct"/>
                  <w:shd w:val="clear" w:color="auto" w:fill="auto"/>
                </w:tcPr>
                <w:p w:rsidR="005314C9" w:rsidRPr="0063699B" w:rsidRDefault="00375C20" w:rsidP="00B64832">
                  <w:pPr>
                    <w:pStyle w:val="TableBodyText"/>
                  </w:pPr>
                  <w:r w:rsidRPr="00375C20">
                    <w:t>9</w:t>
                  </w:r>
                  <w:r w:rsidR="00B64832">
                    <w:t>34</w:t>
                  </w:r>
                  <w:r w:rsidRPr="00375C20">
                    <w:t>.</w:t>
                  </w:r>
                  <w:r w:rsidR="00B64832">
                    <w:t>7</w:t>
                  </w:r>
                </w:p>
              </w:tc>
              <w:tc>
                <w:tcPr>
                  <w:tcW w:w="461" w:type="pct"/>
                  <w:shd w:val="clear" w:color="auto" w:fill="auto"/>
                </w:tcPr>
                <w:p w:rsidR="005314C9" w:rsidRPr="0063699B" w:rsidRDefault="00B64832" w:rsidP="00B64832">
                  <w:pPr>
                    <w:pStyle w:val="TableBodyText"/>
                  </w:pPr>
                  <w:r>
                    <w:t>715</w:t>
                  </w:r>
                  <w:r w:rsidR="00375C20" w:rsidRPr="00375C20">
                    <w:t>.</w:t>
                  </w:r>
                  <w:r>
                    <w:t>7</w:t>
                  </w:r>
                </w:p>
              </w:tc>
              <w:tc>
                <w:tcPr>
                  <w:tcW w:w="461" w:type="pct"/>
                  <w:shd w:val="clear" w:color="auto" w:fill="auto"/>
                </w:tcPr>
                <w:p w:rsidR="005314C9" w:rsidRPr="0063699B" w:rsidRDefault="00375C20" w:rsidP="00B64832">
                  <w:pPr>
                    <w:pStyle w:val="TableBodyText"/>
                  </w:pPr>
                  <w:r w:rsidRPr="00375C20">
                    <w:t>6</w:t>
                  </w:r>
                  <w:r w:rsidR="00B64832">
                    <w:t>45</w:t>
                  </w:r>
                  <w:r w:rsidRPr="00375C20">
                    <w:t>.7</w:t>
                  </w:r>
                </w:p>
              </w:tc>
              <w:tc>
                <w:tcPr>
                  <w:tcW w:w="461" w:type="pct"/>
                  <w:shd w:val="clear" w:color="auto" w:fill="auto"/>
                </w:tcPr>
                <w:p w:rsidR="005314C9" w:rsidRPr="0063699B" w:rsidRDefault="00375C20" w:rsidP="00B64832">
                  <w:pPr>
                    <w:pStyle w:val="TableBodyText"/>
                  </w:pPr>
                  <w:r w:rsidRPr="00375C20">
                    <w:t>2</w:t>
                  </w:r>
                  <w:r w:rsidR="00B64832">
                    <w:t xml:space="preserve"> 909</w:t>
                  </w:r>
                  <w:r w:rsidRPr="00375C20">
                    <w:t>.</w:t>
                  </w:r>
                  <w:r w:rsidR="00B64832">
                    <w:t>5</w:t>
                  </w:r>
                </w:p>
              </w:tc>
              <w:tc>
                <w:tcPr>
                  <w:tcW w:w="490" w:type="pct"/>
                  <w:shd w:val="clear" w:color="auto" w:fill="auto"/>
                </w:tcPr>
                <w:p w:rsidR="005314C9" w:rsidRPr="0063699B" w:rsidRDefault="00375C20" w:rsidP="00B64832">
                  <w:pPr>
                    <w:pStyle w:val="TableBodyText"/>
                  </w:pPr>
                  <w:r w:rsidRPr="00375C20">
                    <w:t>8</w:t>
                  </w:r>
                  <w:r w:rsidR="00B64832">
                    <w:t>83</w:t>
                  </w:r>
                  <w:r w:rsidRPr="00375C20">
                    <w:t>.</w:t>
                  </w:r>
                  <w:r w:rsidR="00B64832">
                    <w:t>1</w:t>
                  </w:r>
                </w:p>
              </w:tc>
            </w:tr>
            <w:tr w:rsidR="007637C8" w:rsidRPr="007A155F" w:rsidTr="00BE2DC4">
              <w:tc>
                <w:tcPr>
                  <w:tcW w:w="417" w:type="pct"/>
                  <w:shd w:val="clear" w:color="auto" w:fill="FFFFFF" w:themeFill="background1"/>
                  <w:vAlign w:val="bottom"/>
                </w:tcPr>
                <w:p w:rsidR="005314C9" w:rsidRPr="0063699B" w:rsidRDefault="005314C9" w:rsidP="00C73863">
                  <w:pPr>
                    <w:pStyle w:val="TableBodyText"/>
                    <w:ind w:left="57" w:right="0"/>
                    <w:jc w:val="left"/>
                  </w:pPr>
                  <w:r w:rsidRPr="0063699B">
                    <w:t>YJS</w:t>
                  </w:r>
                </w:p>
              </w:tc>
              <w:tc>
                <w:tcPr>
                  <w:tcW w:w="410" w:type="pct"/>
                  <w:shd w:val="clear" w:color="auto" w:fill="FFFFFF" w:themeFill="background1"/>
                  <w:vAlign w:val="bottom"/>
                </w:tcPr>
                <w:p w:rsidR="005314C9" w:rsidRPr="0063699B" w:rsidRDefault="005314C9" w:rsidP="00C73863">
                  <w:pPr>
                    <w:pStyle w:val="TableBodyText"/>
                  </w:pPr>
                  <w:r w:rsidRPr="0063699B">
                    <w:t>$</w:t>
                  </w:r>
                </w:p>
              </w:tc>
              <w:tc>
                <w:tcPr>
                  <w:tcW w:w="460" w:type="pct"/>
                  <w:shd w:val="clear" w:color="auto" w:fill="auto"/>
                </w:tcPr>
                <w:p w:rsidR="005314C9" w:rsidRPr="0063699B" w:rsidRDefault="00375C20" w:rsidP="00375C20">
                  <w:pPr>
                    <w:pStyle w:val="TableBodyText"/>
                  </w:pPr>
                  <w:r w:rsidRPr="00375C20">
                    <w:t>271.4</w:t>
                  </w:r>
                </w:p>
              </w:tc>
              <w:tc>
                <w:tcPr>
                  <w:tcW w:w="460" w:type="pct"/>
                  <w:shd w:val="clear" w:color="auto" w:fill="auto"/>
                </w:tcPr>
                <w:p w:rsidR="005314C9" w:rsidRPr="0063699B" w:rsidRDefault="00375C20" w:rsidP="00833B6E">
                  <w:pPr>
                    <w:pStyle w:val="TableBodyText"/>
                  </w:pPr>
                  <w:r w:rsidRPr="00375C20">
                    <w:t>257.5</w:t>
                  </w:r>
                </w:p>
              </w:tc>
              <w:tc>
                <w:tcPr>
                  <w:tcW w:w="460" w:type="pct"/>
                  <w:shd w:val="clear" w:color="auto" w:fill="auto"/>
                </w:tcPr>
                <w:p w:rsidR="005314C9" w:rsidRPr="0063699B" w:rsidRDefault="00375C20" w:rsidP="00833B6E">
                  <w:pPr>
                    <w:pStyle w:val="TableBodyText"/>
                  </w:pPr>
                  <w:r w:rsidRPr="00375C20">
                    <w:t>345.8</w:t>
                  </w:r>
                </w:p>
              </w:tc>
              <w:tc>
                <w:tcPr>
                  <w:tcW w:w="460" w:type="pct"/>
                  <w:shd w:val="clear" w:color="auto" w:fill="auto"/>
                </w:tcPr>
                <w:p w:rsidR="005314C9" w:rsidRPr="0063699B" w:rsidRDefault="00375C20" w:rsidP="00833B6E">
                  <w:pPr>
                    <w:pStyle w:val="TableBodyText"/>
                  </w:pPr>
                  <w:r w:rsidRPr="00375C20">
                    <w:t>417.4</w:t>
                  </w:r>
                </w:p>
              </w:tc>
              <w:tc>
                <w:tcPr>
                  <w:tcW w:w="460" w:type="pct"/>
                  <w:shd w:val="clear" w:color="auto" w:fill="auto"/>
                </w:tcPr>
                <w:p w:rsidR="005314C9" w:rsidRPr="0063699B" w:rsidRDefault="00375C20" w:rsidP="00833B6E">
                  <w:pPr>
                    <w:pStyle w:val="TableBodyText"/>
                  </w:pPr>
                  <w:r w:rsidRPr="00375C20">
                    <w:t>266.0</w:t>
                  </w:r>
                </w:p>
              </w:tc>
              <w:tc>
                <w:tcPr>
                  <w:tcW w:w="461" w:type="pct"/>
                  <w:shd w:val="clear" w:color="auto" w:fill="auto"/>
                </w:tcPr>
                <w:p w:rsidR="005314C9" w:rsidRPr="0063699B" w:rsidRDefault="00375C20" w:rsidP="00833B6E">
                  <w:pPr>
                    <w:pStyle w:val="TableBodyText"/>
                  </w:pPr>
                  <w:r w:rsidRPr="00375C20">
                    <w:t>309.9</w:t>
                  </w:r>
                </w:p>
              </w:tc>
              <w:tc>
                <w:tcPr>
                  <w:tcW w:w="461" w:type="pct"/>
                  <w:shd w:val="clear" w:color="auto" w:fill="auto"/>
                </w:tcPr>
                <w:p w:rsidR="005314C9" w:rsidRPr="0063699B" w:rsidRDefault="00966E8A" w:rsidP="0014220E">
                  <w:pPr>
                    <w:pStyle w:val="TableBodyText"/>
                  </w:pPr>
                  <w:r>
                    <w:t>60</w:t>
                  </w:r>
                  <w:r w:rsidR="0014220E">
                    <w:t>2</w:t>
                  </w:r>
                  <w:r w:rsidR="00375C20" w:rsidRPr="00375C20">
                    <w:t>.</w:t>
                  </w:r>
                  <w:r w:rsidR="0014220E">
                    <w:t>5</w:t>
                  </w:r>
                </w:p>
              </w:tc>
              <w:tc>
                <w:tcPr>
                  <w:tcW w:w="461" w:type="pct"/>
                  <w:shd w:val="clear" w:color="auto" w:fill="auto"/>
                </w:tcPr>
                <w:p w:rsidR="005314C9" w:rsidRPr="0063699B" w:rsidRDefault="00375C20" w:rsidP="00833B6E">
                  <w:pPr>
                    <w:pStyle w:val="TableBodyText"/>
                  </w:pPr>
                  <w:r w:rsidRPr="00375C20">
                    <w:t>1</w:t>
                  </w:r>
                  <w:r w:rsidR="000800FA">
                    <w:t xml:space="preserve"> </w:t>
                  </w:r>
                  <w:r w:rsidRPr="00375C20">
                    <w:t>375.0</w:t>
                  </w:r>
                </w:p>
              </w:tc>
              <w:tc>
                <w:tcPr>
                  <w:tcW w:w="490" w:type="pct"/>
                  <w:shd w:val="clear" w:color="auto" w:fill="auto"/>
                </w:tcPr>
                <w:p w:rsidR="005314C9" w:rsidRPr="0063699B" w:rsidRDefault="00375C20" w:rsidP="00966E8A">
                  <w:pPr>
                    <w:pStyle w:val="TableBodyText"/>
                  </w:pPr>
                  <w:r w:rsidRPr="00375C20">
                    <w:t>318.</w:t>
                  </w:r>
                  <w:r w:rsidR="00966E8A">
                    <w:t>2</w:t>
                  </w:r>
                </w:p>
              </w:tc>
            </w:tr>
            <w:tr w:rsidR="007637C8" w:rsidRPr="0092362F" w:rsidTr="00BE2DC4">
              <w:tc>
                <w:tcPr>
                  <w:tcW w:w="417" w:type="pct"/>
                  <w:tcBorders>
                    <w:bottom w:val="single" w:sz="6" w:space="0" w:color="C8C8C8"/>
                  </w:tcBorders>
                  <w:shd w:val="clear" w:color="auto" w:fill="FFFFFF" w:themeFill="background1"/>
                  <w:vAlign w:val="bottom"/>
                </w:tcPr>
                <w:p w:rsidR="00F227D0" w:rsidRPr="0063699B" w:rsidRDefault="00F227D0" w:rsidP="003C3060">
                  <w:pPr>
                    <w:pStyle w:val="TableBodyText"/>
                    <w:ind w:left="57" w:right="0"/>
                    <w:jc w:val="left"/>
                    <w:rPr>
                      <w:b/>
                    </w:rPr>
                  </w:pPr>
                  <w:r w:rsidRPr="0063699B">
                    <w:rPr>
                      <w:b/>
                    </w:rPr>
                    <w:t>Total</w:t>
                  </w:r>
                </w:p>
              </w:tc>
              <w:tc>
                <w:tcPr>
                  <w:tcW w:w="410" w:type="pct"/>
                  <w:tcBorders>
                    <w:bottom w:val="single" w:sz="6" w:space="0" w:color="C8C8C8"/>
                  </w:tcBorders>
                  <w:shd w:val="clear" w:color="auto" w:fill="FFFFFF" w:themeFill="background1"/>
                  <w:vAlign w:val="bottom"/>
                </w:tcPr>
                <w:p w:rsidR="00F227D0" w:rsidRPr="0063699B" w:rsidRDefault="00F227D0" w:rsidP="00EA7C93">
                  <w:pPr>
                    <w:pStyle w:val="TableBodyText"/>
                    <w:rPr>
                      <w:b/>
                    </w:rPr>
                  </w:pPr>
                  <w:r w:rsidRPr="0063699B">
                    <w:rPr>
                      <w:b/>
                    </w:rPr>
                    <w:t>$</w:t>
                  </w:r>
                </w:p>
              </w:tc>
              <w:tc>
                <w:tcPr>
                  <w:tcW w:w="460" w:type="pct"/>
                  <w:tcBorders>
                    <w:bottom w:val="single" w:sz="6" w:space="0" w:color="C8C8C8"/>
                  </w:tcBorders>
                  <w:shd w:val="clear" w:color="auto" w:fill="auto"/>
                </w:tcPr>
                <w:p w:rsidR="00F227D0" w:rsidRPr="0063699B" w:rsidRDefault="002C3C79" w:rsidP="002C3C79">
                  <w:pPr>
                    <w:pStyle w:val="TableBodyText"/>
                    <w:rPr>
                      <w:b/>
                    </w:rPr>
                  </w:pPr>
                  <w:r>
                    <w:rPr>
                      <w:b/>
                    </w:rPr>
                    <w:t>1</w:t>
                  </w:r>
                  <w:r w:rsidR="00375C20">
                    <w:rPr>
                      <w:b/>
                    </w:rPr>
                    <w:t xml:space="preserve"> </w:t>
                  </w:r>
                  <w:r>
                    <w:rPr>
                      <w:b/>
                    </w:rPr>
                    <w:t>2</w:t>
                  </w:r>
                  <w:r w:rsidR="00565C21">
                    <w:rPr>
                      <w:b/>
                    </w:rPr>
                    <w:t>6</w:t>
                  </w:r>
                  <w:r>
                    <w:rPr>
                      <w:b/>
                    </w:rPr>
                    <w:t>7</w:t>
                  </w:r>
                  <w:r w:rsidR="005314C9" w:rsidRPr="005314C9">
                    <w:rPr>
                      <w:b/>
                    </w:rPr>
                    <w:t>.</w:t>
                  </w:r>
                  <w:r>
                    <w:rPr>
                      <w:b/>
                    </w:rPr>
                    <w:t>2</w:t>
                  </w:r>
                </w:p>
              </w:tc>
              <w:tc>
                <w:tcPr>
                  <w:tcW w:w="460" w:type="pct"/>
                  <w:tcBorders>
                    <w:bottom w:val="single" w:sz="6" w:space="0" w:color="C8C8C8"/>
                  </w:tcBorders>
                  <w:shd w:val="clear" w:color="auto" w:fill="auto"/>
                </w:tcPr>
                <w:p w:rsidR="00F227D0" w:rsidRPr="0063699B" w:rsidRDefault="002C3C79" w:rsidP="002C3C79">
                  <w:pPr>
                    <w:pStyle w:val="TableBodyText"/>
                    <w:rPr>
                      <w:b/>
                    </w:rPr>
                  </w:pPr>
                  <w:r>
                    <w:rPr>
                      <w:b/>
                    </w:rPr>
                    <w:t>1</w:t>
                  </w:r>
                  <w:r w:rsidR="00375C20">
                    <w:rPr>
                      <w:b/>
                    </w:rPr>
                    <w:t xml:space="preserve"> </w:t>
                  </w:r>
                  <w:r>
                    <w:rPr>
                      <w:b/>
                    </w:rPr>
                    <w:t>226</w:t>
                  </w:r>
                  <w:r w:rsidR="005314C9" w:rsidRPr="005314C9">
                    <w:rPr>
                      <w:b/>
                    </w:rPr>
                    <w:t>.</w:t>
                  </w:r>
                  <w:r w:rsidR="00565C21">
                    <w:rPr>
                      <w:b/>
                    </w:rPr>
                    <w:t>3</w:t>
                  </w:r>
                </w:p>
              </w:tc>
              <w:tc>
                <w:tcPr>
                  <w:tcW w:w="460" w:type="pct"/>
                  <w:tcBorders>
                    <w:bottom w:val="single" w:sz="6" w:space="0" w:color="C8C8C8"/>
                  </w:tcBorders>
                  <w:shd w:val="clear" w:color="auto" w:fill="auto"/>
                </w:tcPr>
                <w:p w:rsidR="00F227D0" w:rsidRPr="0063699B" w:rsidRDefault="002C3C79" w:rsidP="002C3C79">
                  <w:pPr>
                    <w:pStyle w:val="TableBodyText"/>
                    <w:rPr>
                      <w:b/>
                    </w:rPr>
                  </w:pPr>
                  <w:r>
                    <w:rPr>
                      <w:b/>
                    </w:rPr>
                    <w:t>1</w:t>
                  </w:r>
                  <w:r w:rsidR="00375C20">
                    <w:rPr>
                      <w:b/>
                    </w:rPr>
                    <w:t xml:space="preserve"> </w:t>
                  </w:r>
                  <w:r w:rsidR="00B64832">
                    <w:rPr>
                      <w:b/>
                    </w:rPr>
                    <w:t>1</w:t>
                  </w:r>
                  <w:r>
                    <w:rPr>
                      <w:b/>
                    </w:rPr>
                    <w:t>37</w:t>
                  </w:r>
                  <w:r w:rsidR="005314C9" w:rsidRPr="005314C9">
                    <w:rPr>
                      <w:b/>
                    </w:rPr>
                    <w:t>.</w:t>
                  </w:r>
                  <w:r>
                    <w:rPr>
                      <w:b/>
                    </w:rPr>
                    <w:t>3</w:t>
                  </w:r>
                </w:p>
              </w:tc>
              <w:tc>
                <w:tcPr>
                  <w:tcW w:w="460" w:type="pct"/>
                  <w:tcBorders>
                    <w:bottom w:val="single" w:sz="6" w:space="0" w:color="C8C8C8"/>
                  </w:tcBorders>
                  <w:shd w:val="clear" w:color="auto" w:fill="auto"/>
                </w:tcPr>
                <w:p w:rsidR="00F227D0" w:rsidRPr="0063699B" w:rsidRDefault="002C3C79" w:rsidP="002C3C79">
                  <w:pPr>
                    <w:pStyle w:val="TableBodyText"/>
                    <w:rPr>
                      <w:b/>
                    </w:rPr>
                  </w:pPr>
                  <w:r>
                    <w:rPr>
                      <w:b/>
                    </w:rPr>
                    <w:t>1</w:t>
                  </w:r>
                  <w:r w:rsidR="00375C20">
                    <w:rPr>
                      <w:b/>
                    </w:rPr>
                    <w:t xml:space="preserve"> </w:t>
                  </w:r>
                  <w:r>
                    <w:rPr>
                      <w:b/>
                    </w:rPr>
                    <w:t>181</w:t>
                  </w:r>
                  <w:r w:rsidR="005314C9" w:rsidRPr="005314C9">
                    <w:rPr>
                      <w:b/>
                    </w:rPr>
                    <w:t>.</w:t>
                  </w:r>
                  <w:r>
                    <w:rPr>
                      <w:b/>
                    </w:rPr>
                    <w:t>6</w:t>
                  </w:r>
                </w:p>
              </w:tc>
              <w:tc>
                <w:tcPr>
                  <w:tcW w:w="460" w:type="pct"/>
                  <w:tcBorders>
                    <w:bottom w:val="single" w:sz="6" w:space="0" w:color="C8C8C8"/>
                  </w:tcBorders>
                  <w:shd w:val="clear" w:color="auto" w:fill="auto"/>
                </w:tcPr>
                <w:p w:rsidR="00F227D0" w:rsidRPr="0063699B" w:rsidRDefault="002C3C79" w:rsidP="002C3C79">
                  <w:pPr>
                    <w:pStyle w:val="TableBodyText"/>
                    <w:rPr>
                      <w:b/>
                    </w:rPr>
                  </w:pPr>
                  <w:r>
                    <w:rPr>
                      <w:b/>
                    </w:rPr>
                    <w:t>1</w:t>
                  </w:r>
                  <w:r w:rsidR="00375C20">
                    <w:rPr>
                      <w:b/>
                    </w:rPr>
                    <w:t xml:space="preserve"> </w:t>
                  </w:r>
                  <w:r w:rsidR="005314C9" w:rsidRPr="005314C9">
                    <w:rPr>
                      <w:b/>
                    </w:rPr>
                    <w:t>4</w:t>
                  </w:r>
                  <w:r>
                    <w:rPr>
                      <w:b/>
                    </w:rPr>
                    <w:t>8</w:t>
                  </w:r>
                  <w:r w:rsidR="00565C21">
                    <w:rPr>
                      <w:b/>
                    </w:rPr>
                    <w:t>1</w:t>
                  </w:r>
                  <w:r w:rsidR="005314C9" w:rsidRPr="005314C9">
                    <w:rPr>
                      <w:b/>
                    </w:rPr>
                    <w:t>.</w:t>
                  </w:r>
                  <w:r>
                    <w:rPr>
                      <w:b/>
                    </w:rPr>
                    <w:t>7</w:t>
                  </w:r>
                </w:p>
              </w:tc>
              <w:tc>
                <w:tcPr>
                  <w:tcW w:w="461" w:type="pct"/>
                  <w:tcBorders>
                    <w:bottom w:val="single" w:sz="6" w:space="0" w:color="C8C8C8"/>
                  </w:tcBorders>
                  <w:shd w:val="clear" w:color="auto" w:fill="auto"/>
                </w:tcPr>
                <w:p w:rsidR="00F227D0" w:rsidRPr="0063699B" w:rsidRDefault="002D6205" w:rsidP="002D6205">
                  <w:pPr>
                    <w:pStyle w:val="TableBodyText"/>
                    <w:rPr>
                      <w:b/>
                    </w:rPr>
                  </w:pPr>
                  <w:r>
                    <w:rPr>
                      <w:b/>
                    </w:rPr>
                    <w:t>1</w:t>
                  </w:r>
                  <w:r w:rsidR="00375C20">
                    <w:rPr>
                      <w:b/>
                    </w:rPr>
                    <w:t xml:space="preserve"> </w:t>
                  </w:r>
                  <w:r w:rsidR="00565C21">
                    <w:rPr>
                      <w:b/>
                    </w:rPr>
                    <w:t>3</w:t>
                  </w:r>
                  <w:r w:rsidR="005314C9" w:rsidRPr="005314C9">
                    <w:rPr>
                      <w:b/>
                    </w:rPr>
                    <w:t>1</w:t>
                  </w:r>
                  <w:r>
                    <w:rPr>
                      <w:b/>
                    </w:rPr>
                    <w:t>8</w:t>
                  </w:r>
                  <w:r w:rsidR="005314C9" w:rsidRPr="005314C9">
                    <w:rPr>
                      <w:b/>
                    </w:rPr>
                    <w:t>.</w:t>
                  </w:r>
                  <w:r>
                    <w:rPr>
                      <w:b/>
                    </w:rPr>
                    <w:t>9</w:t>
                  </w:r>
                </w:p>
              </w:tc>
              <w:tc>
                <w:tcPr>
                  <w:tcW w:w="461" w:type="pct"/>
                  <w:tcBorders>
                    <w:bottom w:val="single" w:sz="6" w:space="0" w:color="C8C8C8"/>
                  </w:tcBorders>
                  <w:shd w:val="clear" w:color="auto" w:fill="auto"/>
                </w:tcPr>
                <w:p w:rsidR="00F227D0" w:rsidRPr="0063699B" w:rsidRDefault="002D6205" w:rsidP="00966E8A">
                  <w:pPr>
                    <w:pStyle w:val="TableBodyText"/>
                    <w:rPr>
                      <w:b/>
                    </w:rPr>
                  </w:pPr>
                  <w:r>
                    <w:rPr>
                      <w:b/>
                    </w:rPr>
                    <w:t>1</w:t>
                  </w:r>
                  <w:r w:rsidR="00375C20">
                    <w:rPr>
                      <w:b/>
                    </w:rPr>
                    <w:t xml:space="preserve"> </w:t>
                  </w:r>
                  <w:r>
                    <w:rPr>
                      <w:b/>
                    </w:rPr>
                    <w:t>0</w:t>
                  </w:r>
                  <w:r w:rsidR="00966E8A">
                    <w:rPr>
                      <w:b/>
                    </w:rPr>
                    <w:t>39</w:t>
                  </w:r>
                  <w:r w:rsidR="005314C9" w:rsidRPr="005314C9">
                    <w:rPr>
                      <w:b/>
                    </w:rPr>
                    <w:t>.</w:t>
                  </w:r>
                  <w:r w:rsidR="00966E8A">
                    <w:rPr>
                      <w:b/>
                    </w:rPr>
                    <w:t>7</w:t>
                  </w:r>
                </w:p>
              </w:tc>
              <w:tc>
                <w:tcPr>
                  <w:tcW w:w="461" w:type="pct"/>
                  <w:tcBorders>
                    <w:bottom w:val="single" w:sz="6" w:space="0" w:color="C8C8C8"/>
                  </w:tcBorders>
                  <w:shd w:val="clear" w:color="auto" w:fill="auto"/>
                </w:tcPr>
                <w:p w:rsidR="00F227D0" w:rsidRPr="0063699B" w:rsidRDefault="002D6205" w:rsidP="002D6205">
                  <w:pPr>
                    <w:pStyle w:val="TableBodyText"/>
                    <w:rPr>
                      <w:b/>
                    </w:rPr>
                  </w:pPr>
                  <w:r>
                    <w:rPr>
                      <w:b/>
                    </w:rPr>
                    <w:t>1</w:t>
                  </w:r>
                  <w:r w:rsidR="00375C20">
                    <w:rPr>
                      <w:b/>
                    </w:rPr>
                    <w:t xml:space="preserve"> </w:t>
                  </w:r>
                  <w:r>
                    <w:rPr>
                      <w:b/>
                    </w:rPr>
                    <w:t>6</w:t>
                  </w:r>
                  <w:r w:rsidR="00565C21">
                    <w:rPr>
                      <w:b/>
                    </w:rPr>
                    <w:t>7</w:t>
                  </w:r>
                  <w:r>
                    <w:rPr>
                      <w:b/>
                    </w:rPr>
                    <w:t>0</w:t>
                  </w:r>
                  <w:r w:rsidR="005314C9" w:rsidRPr="005314C9">
                    <w:rPr>
                      <w:b/>
                    </w:rPr>
                    <w:t>.</w:t>
                  </w:r>
                  <w:r>
                    <w:rPr>
                      <w:b/>
                    </w:rPr>
                    <w:t>0</w:t>
                  </w:r>
                </w:p>
              </w:tc>
              <w:tc>
                <w:tcPr>
                  <w:tcW w:w="490" w:type="pct"/>
                  <w:tcBorders>
                    <w:bottom w:val="single" w:sz="6" w:space="0" w:color="C8C8C8"/>
                  </w:tcBorders>
                  <w:shd w:val="clear" w:color="auto" w:fill="auto"/>
                </w:tcPr>
                <w:p w:rsidR="00F227D0" w:rsidRPr="0063699B" w:rsidRDefault="002D6205" w:rsidP="00966E8A">
                  <w:pPr>
                    <w:pStyle w:val="TableBodyText"/>
                    <w:rPr>
                      <w:b/>
                    </w:rPr>
                  </w:pPr>
                  <w:r>
                    <w:rPr>
                      <w:b/>
                    </w:rPr>
                    <w:t>1</w:t>
                  </w:r>
                  <w:r w:rsidR="00375C20">
                    <w:rPr>
                      <w:b/>
                    </w:rPr>
                    <w:t xml:space="preserve"> </w:t>
                  </w:r>
                  <w:r>
                    <w:rPr>
                      <w:b/>
                    </w:rPr>
                    <w:t>2</w:t>
                  </w:r>
                  <w:r w:rsidR="00966E8A">
                    <w:rPr>
                      <w:b/>
                    </w:rPr>
                    <w:t>81</w:t>
                  </w:r>
                  <w:r w:rsidR="005314C9" w:rsidRPr="005314C9">
                    <w:rPr>
                      <w:b/>
                    </w:rPr>
                    <w:t>.</w:t>
                  </w:r>
                  <w:r w:rsidR="00966E8A">
                    <w:rPr>
                      <w:b/>
                    </w:rPr>
                    <w:t>9</w:t>
                  </w:r>
                </w:p>
              </w:tc>
            </w:tr>
          </w:tbl>
          <w:p w:rsidR="00A97E34" w:rsidRPr="007A155F" w:rsidRDefault="00A97E34" w:rsidP="00C73863">
            <w:pPr>
              <w:pStyle w:val="Box"/>
            </w:pPr>
          </w:p>
        </w:tc>
      </w:tr>
      <w:tr w:rsidR="00BC53F9" w:rsidRPr="007A155F" w:rsidTr="00C73863">
        <w:trPr>
          <w:cantSplit/>
        </w:trPr>
        <w:tc>
          <w:tcPr>
            <w:tcW w:w="8771" w:type="dxa"/>
            <w:tcBorders>
              <w:top w:val="nil"/>
              <w:left w:val="nil"/>
              <w:bottom w:val="nil"/>
              <w:right w:val="nil"/>
            </w:tcBorders>
            <w:shd w:val="clear" w:color="auto" w:fill="auto"/>
          </w:tcPr>
          <w:p w:rsidR="00A97E34" w:rsidRPr="007A155F" w:rsidRDefault="00710A4B" w:rsidP="00855090">
            <w:pPr>
              <w:pStyle w:val="Note"/>
              <w:rPr>
                <w:b/>
                <w:position w:val="6"/>
              </w:rPr>
            </w:pPr>
            <w:r w:rsidRPr="00710A4B">
              <w:t xml:space="preserve">ACS = Aged care services. SPWD = Services for people with disability. CPS = Child protection services. YJS = Youth justice services. </w:t>
            </w:r>
            <w:r w:rsidRPr="007A155F">
              <w:rPr>
                <w:rStyle w:val="NoteLabel"/>
              </w:rPr>
              <w:t>a</w:t>
            </w:r>
            <w:r w:rsidRPr="00710A4B">
              <w:t xml:space="preserve"> See tables</w:t>
            </w:r>
            <w:r w:rsidR="001441CA">
              <w:t> </w:t>
            </w:r>
            <w:r w:rsidRPr="00710A4B">
              <w:t xml:space="preserve">14A.4, 15A.4, 16A.1, 17A.1 for detailed definitions, footnotes and caveats. </w:t>
            </w:r>
            <w:r>
              <w:rPr>
                <w:rStyle w:val="NoteLabel"/>
              </w:rPr>
              <w:t>b</w:t>
            </w:r>
            <w:r w:rsidRPr="00710A4B">
              <w:t xml:space="preserve"> </w:t>
            </w:r>
            <w:r w:rsidRPr="00BE2DC4">
              <w:t>For aged care services, recurrent expenditure per person is calculated using population data for all persons aged over 65 years and for people of Aboriginal and Torres Strait Islander descent over 50 years.</w:t>
            </w:r>
            <w:r w:rsidRPr="00523B52">
              <w:t xml:space="preserve"> </w:t>
            </w:r>
            <w:r w:rsidRPr="00523B52">
              <w:rPr>
                <w:rStyle w:val="NoteLabel"/>
              </w:rPr>
              <w:t>c</w:t>
            </w:r>
            <w:r w:rsidRPr="00523B52">
              <w:t xml:space="preserve"> </w:t>
            </w:r>
            <w:r w:rsidRPr="00BE2DC4">
              <w:t>For services for people with disability, recurrent expenditure per person is calculated using population data for all persons aged 0</w:t>
            </w:r>
            <w:r w:rsidR="008833EB">
              <w:noBreakHyphen/>
            </w:r>
            <w:r w:rsidRPr="00BE2DC4">
              <w:t>64 years.</w:t>
            </w:r>
            <w:r w:rsidRPr="00523B52">
              <w:t xml:space="preserve"> </w:t>
            </w:r>
            <w:r w:rsidRPr="00523B52">
              <w:rPr>
                <w:rStyle w:val="NoteLabel"/>
              </w:rPr>
              <w:t>d</w:t>
            </w:r>
            <w:r w:rsidRPr="00523B52">
              <w:t xml:space="preserve"> For child protection services and youth justice services, recurrent expenditure per person is calculated using population data for children 0–17 years (child protection) and 10–17 years (youth justice) </w:t>
            </w:r>
            <w:r w:rsidRPr="00523B52">
              <w:rPr>
                <w:rStyle w:val="NoteLabel"/>
              </w:rPr>
              <w:t>e</w:t>
            </w:r>
            <w:r w:rsidRPr="00523B52">
              <w:t xml:space="preserve"> </w:t>
            </w:r>
            <w:r w:rsidRPr="00BE2DC4">
              <w:t xml:space="preserve">The total expenditure figure covers amount spent on the four community services areas on a per head of population basis. </w:t>
            </w:r>
            <w:r w:rsidRPr="00BE2DC4">
              <w:rPr>
                <w:rStyle w:val="NoteLabel"/>
                <w:szCs w:val="18"/>
              </w:rPr>
              <w:t>f</w:t>
            </w:r>
            <w:r w:rsidRPr="00BE2DC4">
              <w:t xml:space="preserve"> The Australian totals </w:t>
            </w:r>
            <w:r w:rsidR="00855090" w:rsidRPr="00BE2DC4">
              <w:t>for aged care services and services for people with disability</w:t>
            </w:r>
            <w:r w:rsidRPr="00BE2DC4">
              <w:t xml:space="preserve"> include other expenditure that cannot be attributed to individual states or territories.</w:t>
            </w:r>
          </w:p>
        </w:tc>
      </w:tr>
      <w:tr w:rsidR="00BC53F9" w:rsidRPr="007A155F" w:rsidTr="00C73863">
        <w:trPr>
          <w:cantSplit/>
        </w:trPr>
        <w:tc>
          <w:tcPr>
            <w:tcW w:w="8771" w:type="dxa"/>
            <w:tcBorders>
              <w:top w:val="nil"/>
              <w:left w:val="nil"/>
              <w:bottom w:val="nil"/>
              <w:right w:val="nil"/>
            </w:tcBorders>
            <w:shd w:val="clear" w:color="auto" w:fill="auto"/>
          </w:tcPr>
          <w:p w:rsidR="00A97E34" w:rsidRPr="007A155F" w:rsidRDefault="00A97E34" w:rsidP="002E69E3">
            <w:pPr>
              <w:pStyle w:val="Source"/>
            </w:pPr>
            <w:r w:rsidRPr="003C3060">
              <w:rPr>
                <w:i/>
              </w:rPr>
              <w:t>Source</w:t>
            </w:r>
            <w:r w:rsidRPr="003C3060">
              <w:t xml:space="preserve">: </w:t>
            </w:r>
            <w:r w:rsidR="002676BD" w:rsidRPr="003C3060">
              <w:t xml:space="preserve">Australian, State and Territory governments (unpublished); </w:t>
            </w:r>
            <w:r w:rsidR="002676BD" w:rsidRPr="0063699B">
              <w:t>tables</w:t>
            </w:r>
            <w:r w:rsidR="00EA7C93" w:rsidRPr="0063699B">
              <w:t> </w:t>
            </w:r>
            <w:r w:rsidR="002E69E3" w:rsidRPr="00BE2DC4">
              <w:t>2A.2</w:t>
            </w:r>
            <w:r w:rsidR="002E69E3">
              <w:t>, 1</w:t>
            </w:r>
            <w:r w:rsidR="00017866">
              <w:t>4</w:t>
            </w:r>
            <w:r w:rsidR="002676BD" w:rsidRPr="0063699B">
              <w:t>A.</w:t>
            </w:r>
            <w:r w:rsidR="006D5F56">
              <w:t>4</w:t>
            </w:r>
            <w:r w:rsidR="002676BD" w:rsidRPr="0063699B">
              <w:t>, 1</w:t>
            </w:r>
            <w:r w:rsidR="00017866">
              <w:t>5</w:t>
            </w:r>
            <w:r w:rsidR="002676BD" w:rsidRPr="0063699B">
              <w:t>A.</w:t>
            </w:r>
            <w:r w:rsidR="006D5F56">
              <w:t>4</w:t>
            </w:r>
            <w:r w:rsidR="002676BD" w:rsidRPr="0063699B">
              <w:t>, 1</w:t>
            </w:r>
            <w:r w:rsidR="00017866">
              <w:t>6</w:t>
            </w:r>
            <w:r w:rsidR="002676BD" w:rsidRPr="0063699B">
              <w:t>A.</w:t>
            </w:r>
            <w:r w:rsidR="006D5F56">
              <w:t>1</w:t>
            </w:r>
            <w:r w:rsidR="002676BD" w:rsidRPr="0063699B">
              <w:t xml:space="preserve"> and 1</w:t>
            </w:r>
            <w:r w:rsidR="00017866">
              <w:t>7</w:t>
            </w:r>
            <w:r w:rsidR="002676BD" w:rsidRPr="0063699B">
              <w:t>A.</w:t>
            </w:r>
            <w:r w:rsidR="006D5F56">
              <w:t>1</w:t>
            </w:r>
            <w:r w:rsidR="002676BD" w:rsidRPr="003C3060">
              <w:t>.</w:t>
            </w:r>
          </w:p>
        </w:tc>
      </w:tr>
      <w:tr w:rsidR="00BC53F9" w:rsidRPr="007A155F" w:rsidTr="00C73863">
        <w:trPr>
          <w:cantSplit/>
        </w:trPr>
        <w:tc>
          <w:tcPr>
            <w:tcW w:w="8771" w:type="dxa"/>
            <w:tcBorders>
              <w:top w:val="nil"/>
              <w:left w:val="nil"/>
              <w:bottom w:val="single" w:sz="6" w:space="0" w:color="78A22F" w:themeColor="accent1"/>
              <w:right w:val="nil"/>
            </w:tcBorders>
            <w:shd w:val="clear" w:color="auto" w:fill="auto"/>
          </w:tcPr>
          <w:p w:rsidR="00A97E34" w:rsidRPr="007A155F" w:rsidRDefault="00A97E34" w:rsidP="00C73863">
            <w:pPr>
              <w:pStyle w:val="Box"/>
              <w:spacing w:before="0" w:line="120" w:lineRule="exact"/>
            </w:pPr>
          </w:p>
        </w:tc>
      </w:tr>
      <w:tr w:rsidR="00BC53F9" w:rsidRPr="007A155F" w:rsidTr="00C73863">
        <w:tc>
          <w:tcPr>
            <w:tcW w:w="8771" w:type="dxa"/>
            <w:tcBorders>
              <w:top w:val="single" w:sz="6" w:space="0" w:color="78A22F" w:themeColor="accent1"/>
              <w:left w:val="nil"/>
              <w:bottom w:val="nil"/>
              <w:right w:val="nil"/>
            </w:tcBorders>
          </w:tcPr>
          <w:p w:rsidR="00A97E34" w:rsidRPr="007A155F" w:rsidRDefault="00A97E34" w:rsidP="00C73863">
            <w:pPr>
              <w:pStyle w:val="BoxSpaceBelow"/>
            </w:pPr>
          </w:p>
        </w:tc>
      </w:tr>
    </w:tbl>
    <w:p w:rsidR="008655A2" w:rsidRPr="00F8542B" w:rsidRDefault="008655A2" w:rsidP="008655A2">
      <w:pPr>
        <w:pStyle w:val="Heading3"/>
      </w:pPr>
      <w:r w:rsidRPr="00F8542B">
        <w:t>Social and economic factors affecting demand for services</w:t>
      </w:r>
    </w:p>
    <w:p w:rsidR="000E22E0" w:rsidRPr="00483C15" w:rsidRDefault="002C1A11" w:rsidP="00551B18">
      <w:pPr>
        <w:pStyle w:val="BodyText"/>
      </w:pPr>
      <w:r w:rsidRPr="00483C15">
        <w:t xml:space="preserve">In general, disadvantaged members of the community live shorter lives and have higher rates of illness and disability </w:t>
      </w:r>
      <w:r w:rsidR="005A3A42" w:rsidRPr="00483C15">
        <w:t xml:space="preserve">than those whose circumstances are </w:t>
      </w:r>
      <w:r w:rsidR="005A3A42" w:rsidRPr="00BE2DC4">
        <w:t>advantageous</w:t>
      </w:r>
      <w:r w:rsidR="009E6625">
        <w:t>,</w:t>
      </w:r>
      <w:r w:rsidR="005A3A42" w:rsidRPr="00BE2DC4">
        <w:t xml:space="preserve"> </w:t>
      </w:r>
      <w:r w:rsidR="00617CC0" w:rsidRPr="00BE2DC4">
        <w:t>although</w:t>
      </w:r>
      <w:r w:rsidR="00617CC0" w:rsidRPr="00DA3237">
        <w:rPr>
          <w:shd w:val="clear" w:color="auto" w:fill="D8D8D8" w:themeFill="background2" w:themeFillTint="99"/>
        </w:rPr>
        <w:t xml:space="preserve"> </w:t>
      </w:r>
      <w:r w:rsidR="00617CC0" w:rsidRPr="00BE2DC4">
        <w:t>there is no</w:t>
      </w:r>
      <w:r w:rsidR="005A3A42" w:rsidRPr="00BE2DC4">
        <w:t>t necessarily a direct</w:t>
      </w:r>
      <w:r w:rsidR="00617CC0" w:rsidRPr="00BE2DC4">
        <w:t xml:space="preserve"> causal link</w:t>
      </w:r>
      <w:r w:rsidR="00067AF5" w:rsidRPr="00483C15">
        <w:t xml:space="preserve">. For example, higher levels of education and income are associated with lower prevalence of </w:t>
      </w:r>
      <w:r w:rsidR="00F02DD4">
        <w:t xml:space="preserve">health </w:t>
      </w:r>
      <w:r w:rsidR="00067AF5" w:rsidRPr="00483C15">
        <w:t xml:space="preserve">risk factors such as smoking and obesity and better health outcomes generally </w:t>
      </w:r>
      <w:r w:rsidRPr="00483C15">
        <w:t>(</w:t>
      </w:r>
      <w:r w:rsidR="00B61CDB" w:rsidRPr="00483C15">
        <w:t>AIHW </w:t>
      </w:r>
      <w:r w:rsidRPr="00483C15">
        <w:t>201</w:t>
      </w:r>
      <w:r w:rsidR="009C2291">
        <w:t>6</w:t>
      </w:r>
      <w:r w:rsidRPr="00483C15">
        <w:t>).</w:t>
      </w:r>
    </w:p>
    <w:p w:rsidR="00067AF5" w:rsidRPr="00483C15" w:rsidRDefault="000E22E0" w:rsidP="00551B18">
      <w:pPr>
        <w:pStyle w:val="BodyText"/>
      </w:pPr>
      <w:r w:rsidRPr="00483C15">
        <w:t xml:space="preserve">Disadvantage also limits the extent to which individuals and families can participate in society. Economic participation conveys financial, health and social benefits to individuals, households and families and is central to population welfare. </w:t>
      </w:r>
      <w:r w:rsidR="00067AF5" w:rsidRPr="00483C15">
        <w:t xml:space="preserve">Economic participation can </w:t>
      </w:r>
      <w:r w:rsidR="00067AF5" w:rsidRPr="00483C15">
        <w:lastRenderedPageBreak/>
        <w:t>be described as a person’s engagement in education and employment, and access to economic resources including income and wealth. The various aspects of economic participation are inter</w:t>
      </w:r>
      <w:r w:rsidR="007A3B79" w:rsidRPr="00483C15">
        <w:noBreakHyphen/>
      </w:r>
      <w:r w:rsidR="00067AF5" w:rsidRPr="00483C15">
        <w:t>related, and are also associated with positive social and health outcomes (AIHW 201</w:t>
      </w:r>
      <w:r w:rsidR="009C2291">
        <w:t>5</w:t>
      </w:r>
      <w:r w:rsidR="00067AF5" w:rsidRPr="00483C15">
        <w:t>).</w:t>
      </w:r>
    </w:p>
    <w:p w:rsidR="0066695D" w:rsidRPr="003C5EDB" w:rsidRDefault="000E22E0" w:rsidP="00551B18">
      <w:pPr>
        <w:pStyle w:val="BodyText"/>
      </w:pPr>
      <w:r w:rsidRPr="003C5EDB">
        <w:t>N</w:t>
      </w:r>
      <w:r w:rsidR="00255C2C" w:rsidRPr="003C5EDB">
        <w:t xml:space="preserve">o </w:t>
      </w:r>
      <w:r w:rsidRPr="003C5EDB">
        <w:t>single</w:t>
      </w:r>
      <w:r w:rsidR="00255C2C" w:rsidRPr="003C5EDB">
        <w:t xml:space="preserve"> factor can predict </w:t>
      </w:r>
      <w:r w:rsidR="00067AF5" w:rsidRPr="003C5EDB">
        <w:t>whether</w:t>
      </w:r>
      <w:r w:rsidR="00255C2C" w:rsidRPr="003C5EDB">
        <w:t xml:space="preserve"> </w:t>
      </w:r>
      <w:r w:rsidR="005810E3" w:rsidRPr="003C5EDB">
        <w:t xml:space="preserve">a child </w:t>
      </w:r>
      <w:r w:rsidR="00255C2C" w:rsidRPr="003C5EDB">
        <w:t xml:space="preserve">will </w:t>
      </w:r>
      <w:r w:rsidRPr="003C5EDB">
        <w:t xml:space="preserve">require </w:t>
      </w:r>
      <w:r w:rsidR="005810E3" w:rsidRPr="003C5EDB">
        <w:t>child protection services</w:t>
      </w:r>
      <w:r w:rsidRPr="003C5EDB">
        <w:t xml:space="preserve">. </w:t>
      </w:r>
      <w:r w:rsidR="00C9403F" w:rsidRPr="003C5EDB">
        <w:t>F</w:t>
      </w:r>
      <w:r w:rsidR="00067AF5" w:rsidRPr="003C5EDB">
        <w:t xml:space="preserve">actors commonly associated with </w:t>
      </w:r>
      <w:r w:rsidR="005810E3" w:rsidRPr="003C5EDB">
        <w:t xml:space="preserve">child protection </w:t>
      </w:r>
      <w:r w:rsidRPr="003C5EDB">
        <w:t xml:space="preserve">involvement </w:t>
      </w:r>
      <w:r w:rsidR="00067AF5" w:rsidRPr="003C5EDB">
        <w:t>include: early child bearing, parental alcohol and drug use, family violence, adult mental illness, social isolation, children with health, disability or behavioural problems</w:t>
      </w:r>
      <w:r w:rsidR="00C9403F" w:rsidRPr="003C5EDB">
        <w:t>, and families under financial stress</w:t>
      </w:r>
      <w:r w:rsidR="005C77FA" w:rsidRPr="003C5EDB">
        <w:t xml:space="preserve"> </w:t>
      </w:r>
      <w:r w:rsidR="00067AF5" w:rsidRPr="00192BD8">
        <w:t>(Bromfield and Holzer 2008</w:t>
      </w:r>
      <w:r w:rsidR="00C9403F" w:rsidRPr="00192BD8">
        <w:t>;</w:t>
      </w:r>
      <w:r w:rsidR="002A0ABF">
        <w:t xml:space="preserve"> </w:t>
      </w:r>
      <w:r w:rsidR="00EA50F8">
        <w:t xml:space="preserve">Scott </w:t>
      </w:r>
      <w:r w:rsidR="002A0ABF">
        <w:t>and</w:t>
      </w:r>
      <w:r w:rsidR="00EA50F8" w:rsidRPr="00EA50F8">
        <w:t xml:space="preserve"> </w:t>
      </w:r>
      <w:r w:rsidR="00EA50F8">
        <w:t>Nair</w:t>
      </w:r>
      <w:r w:rsidR="002A0ABF">
        <w:t>, 2013</w:t>
      </w:r>
      <w:r w:rsidR="002D1128">
        <w:t>; Scott 2014</w:t>
      </w:r>
      <w:r w:rsidR="00C9403F" w:rsidRPr="00192BD8">
        <w:t>)</w:t>
      </w:r>
      <w:r w:rsidR="00C9403F" w:rsidRPr="003C5EDB">
        <w:t>.</w:t>
      </w:r>
    </w:p>
    <w:p w:rsidR="00915BBB" w:rsidRPr="003C5EDB" w:rsidRDefault="00915BBB" w:rsidP="00CE1F52">
      <w:pPr>
        <w:pStyle w:val="BodyText"/>
      </w:pPr>
      <w:r w:rsidRPr="003C5EDB">
        <w:t>Similarly, no single factor can predict which c</w:t>
      </w:r>
      <w:r w:rsidR="005810E3" w:rsidRPr="003C5EDB">
        <w:t xml:space="preserve">hildren </w:t>
      </w:r>
      <w:r w:rsidRPr="003C5EDB">
        <w:t>will come into contact with the justice system or be subject to youth justice supervision. A range of factors are associated with youth justice system involvement, including a young person’s lack of maturity, his or her propensity to take risks and susceptibility to peer influence, intellectual disability, mental illness</w:t>
      </w:r>
      <w:r w:rsidR="00DF1D16" w:rsidRPr="003C5EDB">
        <w:t>, and entrenched socioeconomic disadvantage</w:t>
      </w:r>
      <w:r w:rsidRPr="003C5EDB">
        <w:t xml:space="preserve"> (</w:t>
      </w:r>
      <w:r w:rsidR="00C0429E" w:rsidRPr="003C5EDB">
        <w:t>Richards</w:t>
      </w:r>
      <w:r w:rsidR="00FC11CB" w:rsidRPr="003C5EDB">
        <w:t xml:space="preserve"> 2011</w:t>
      </w:r>
      <w:r w:rsidRPr="003C5EDB">
        <w:t>).</w:t>
      </w:r>
    </w:p>
    <w:p w:rsidR="006E7109" w:rsidRDefault="007D2442" w:rsidP="00CE1F52">
      <w:pPr>
        <w:pStyle w:val="BodyText"/>
      </w:pPr>
      <w:r w:rsidRPr="003442B1">
        <w:t xml:space="preserve">The ageing population is one of the key factors that will affect the demand for aged care </w:t>
      </w:r>
      <w:r w:rsidR="00316380" w:rsidRPr="003442B1">
        <w:t xml:space="preserve">services </w:t>
      </w:r>
      <w:r w:rsidR="005631D2">
        <w:t>into the future</w:t>
      </w:r>
      <w:r w:rsidR="00316380" w:rsidRPr="003442B1">
        <w:t xml:space="preserve">. The number of people aged 65 years </w:t>
      </w:r>
      <w:r w:rsidR="00333F81" w:rsidRPr="003442B1">
        <w:t>or</w:t>
      </w:r>
      <w:r w:rsidR="00316380" w:rsidRPr="003442B1">
        <w:t xml:space="preserve"> over is expected to increas</w:t>
      </w:r>
      <w:r w:rsidR="005631D2">
        <w:t>e</w:t>
      </w:r>
      <w:r w:rsidR="006E7109" w:rsidRPr="003442B1">
        <w:t xml:space="preserve"> </w:t>
      </w:r>
      <w:r w:rsidR="005932D4" w:rsidRPr="003442B1">
        <w:t xml:space="preserve">from </w:t>
      </w:r>
      <w:r w:rsidR="00707056">
        <w:t>15</w:t>
      </w:r>
      <w:r w:rsidR="005932D4" w:rsidRPr="003442B1">
        <w:t>.</w:t>
      </w:r>
      <w:r w:rsidR="00707056">
        <w:t>5</w:t>
      </w:r>
      <w:r w:rsidR="00316380" w:rsidRPr="003442B1">
        <w:t xml:space="preserve"> per cent of the total popula</w:t>
      </w:r>
      <w:r w:rsidR="00B15D3E" w:rsidRPr="003442B1">
        <w:t xml:space="preserve">tion in June </w:t>
      </w:r>
      <w:r w:rsidR="00B15D3E" w:rsidRPr="00315E9B">
        <w:t>201</w:t>
      </w:r>
      <w:r w:rsidR="00315E9B">
        <w:t>6</w:t>
      </w:r>
      <w:r w:rsidR="00B15D3E" w:rsidRPr="003442B1">
        <w:t xml:space="preserve"> (table </w:t>
      </w:r>
      <w:r w:rsidR="005631D2">
        <w:t>1</w:t>
      </w:r>
      <w:r w:rsidR="00D566ED">
        <w:t>4</w:t>
      </w:r>
      <w:r w:rsidR="005631D2">
        <w:t>A.</w:t>
      </w:r>
      <w:r w:rsidR="00707056">
        <w:t>1</w:t>
      </w:r>
      <w:r w:rsidR="005631D2">
        <w:t>) to 2</w:t>
      </w:r>
      <w:r w:rsidR="00D566ED">
        <w:t>2</w:t>
      </w:r>
      <w:r w:rsidR="005631D2">
        <w:t>.</w:t>
      </w:r>
      <w:r w:rsidR="00D566ED">
        <w:t>6</w:t>
      </w:r>
      <w:r w:rsidR="005631D2">
        <w:t xml:space="preserve"> per cent by 20</w:t>
      </w:r>
      <w:r w:rsidR="00D566ED">
        <w:t>54</w:t>
      </w:r>
      <w:r w:rsidR="001441CA">
        <w:noBreakHyphen/>
      </w:r>
      <w:r w:rsidR="00D566ED">
        <w:t>55</w:t>
      </w:r>
      <w:r w:rsidR="005631D2">
        <w:t xml:space="preserve">, with a </w:t>
      </w:r>
      <w:r w:rsidR="00333F81" w:rsidRPr="003442B1">
        <w:t>bigger relative increase</w:t>
      </w:r>
      <w:r w:rsidR="006E7109" w:rsidRPr="003442B1">
        <w:t xml:space="preserve"> (around four times) </w:t>
      </w:r>
      <w:r w:rsidR="005631D2">
        <w:t xml:space="preserve">anticipated </w:t>
      </w:r>
      <w:r w:rsidR="006E7109" w:rsidRPr="003442B1">
        <w:t>in the number of people aged over 85 years</w:t>
      </w:r>
      <w:r w:rsidR="00D566ED">
        <w:t xml:space="preserve"> (Treasury 2015)</w:t>
      </w:r>
      <w:r w:rsidR="006E7109" w:rsidRPr="003442B1">
        <w:t xml:space="preserve">. This age cohort </w:t>
      </w:r>
      <w:r w:rsidR="002F41ED">
        <w:t>comprises</w:t>
      </w:r>
      <w:r w:rsidR="00333F81" w:rsidRPr="003442B1">
        <w:t xml:space="preserve"> the main users of</w:t>
      </w:r>
      <w:r w:rsidR="00ED7D9C">
        <w:t xml:space="preserve"> aged care services (PC 2011).</w:t>
      </w:r>
      <w:r w:rsidR="005631D2">
        <w:t xml:space="preserve"> </w:t>
      </w:r>
      <w:r w:rsidR="00C64AAD" w:rsidRPr="003442B1">
        <w:t>Future challenges include i</w:t>
      </w:r>
      <w:r w:rsidRPr="003442B1">
        <w:t xml:space="preserve">ncreasing numbers of older people </w:t>
      </w:r>
      <w:r w:rsidR="00C64AAD" w:rsidRPr="003442B1">
        <w:t xml:space="preserve">who </w:t>
      </w:r>
      <w:r w:rsidRPr="003442B1">
        <w:t xml:space="preserve">are likely to require care (by 2050 it is estimated </w:t>
      </w:r>
      <w:r w:rsidR="00DB1FFA">
        <w:t>that</w:t>
      </w:r>
      <w:r w:rsidRPr="003442B1">
        <w:t xml:space="preserve"> 3.5 million Australians will use aged care services), expectations of care </w:t>
      </w:r>
      <w:r w:rsidR="00C64AAD" w:rsidRPr="003442B1">
        <w:t xml:space="preserve">and a </w:t>
      </w:r>
      <w:r w:rsidRPr="003442B1">
        <w:t xml:space="preserve">relative </w:t>
      </w:r>
      <w:r w:rsidR="00C64AAD" w:rsidRPr="003442B1">
        <w:t>decrease</w:t>
      </w:r>
      <w:r w:rsidRPr="003442B1">
        <w:t xml:space="preserve"> in the number of informal carers</w:t>
      </w:r>
      <w:r w:rsidR="00C64AAD" w:rsidRPr="003442B1">
        <w:t xml:space="preserve"> (PC </w:t>
      </w:r>
      <w:r w:rsidR="005932D4" w:rsidRPr="003442B1">
        <w:t>2011)</w:t>
      </w:r>
      <w:r w:rsidRPr="003442B1">
        <w:t>.</w:t>
      </w:r>
    </w:p>
    <w:p w:rsidR="007D619E" w:rsidRPr="003442B1" w:rsidRDefault="007D619E" w:rsidP="00BE2DC4">
      <w:pPr>
        <w:pStyle w:val="BodyText"/>
      </w:pPr>
      <w:r w:rsidRPr="007D619E">
        <w:t>Currently, assistance is provided by governments to people with disability and their carers, through specialist disability services provided under the National Disability Agreement (NDA) and through the NDIS. Unlike arrangements under the NDA, which provide funding to providers for supports based on available places in a set number of programs, the NDIS is intended to provide more choice and control to the person with disability over how and when support is provided (AIHW 2015). The NDIS is being rolled out progressively across the country and will largely replace the current provision of services provided under the NDA.</w:t>
      </w:r>
    </w:p>
    <w:p w:rsidR="002E1123" w:rsidRDefault="002E1123" w:rsidP="002E1123">
      <w:pPr>
        <w:pStyle w:val="Heading3"/>
      </w:pPr>
      <w:r w:rsidRPr="004D0800">
        <w:t>The role of carers across Australia</w:t>
      </w:r>
    </w:p>
    <w:p w:rsidR="002E1123" w:rsidRPr="00873EB5" w:rsidRDefault="00192769" w:rsidP="002E1123">
      <w:pPr>
        <w:pStyle w:val="BodyText"/>
      </w:pPr>
      <w:r>
        <w:t>C</w:t>
      </w:r>
      <w:r w:rsidR="002E1123" w:rsidRPr="004D0800">
        <w:t xml:space="preserve">arers play a vital role in supporting people in need to remain in the community. </w:t>
      </w:r>
      <w:r w:rsidRPr="00192769">
        <w:t xml:space="preserve">Although some care is provided by formal providers, </w:t>
      </w:r>
      <w:r w:rsidR="006A4D75">
        <w:t xml:space="preserve">currently </w:t>
      </w:r>
      <w:r w:rsidRPr="00192769">
        <w:t>it is often undertaken informally by friends and family.</w:t>
      </w:r>
      <w:r>
        <w:t xml:space="preserve"> </w:t>
      </w:r>
      <w:r w:rsidR="002E1123" w:rsidRPr="004D0800">
        <w:t xml:space="preserve">Carers enable older people to </w:t>
      </w:r>
      <w:r w:rsidR="002F41ED">
        <w:t>remain</w:t>
      </w:r>
      <w:r w:rsidR="002E1123" w:rsidRPr="004D0800">
        <w:t xml:space="preserve"> in their homes and support people with disability and </w:t>
      </w:r>
      <w:r w:rsidR="002E1123" w:rsidRPr="00040CBA">
        <w:t>long</w:t>
      </w:r>
      <w:r w:rsidR="007A3B79" w:rsidRPr="00040CBA">
        <w:noBreakHyphen/>
      </w:r>
      <w:r w:rsidR="002E1123" w:rsidRPr="00040CBA">
        <w:t xml:space="preserve">term health conditions to remain in </w:t>
      </w:r>
      <w:r w:rsidR="002F41ED">
        <w:t>the</w:t>
      </w:r>
      <w:r w:rsidR="002E1123" w:rsidRPr="00040CBA">
        <w:t xml:space="preserve"> </w:t>
      </w:r>
      <w:r w:rsidR="002F41ED">
        <w:t>community</w:t>
      </w:r>
      <w:r w:rsidR="002E1123" w:rsidRPr="00040CBA">
        <w:t xml:space="preserve"> (ABS</w:t>
      </w:r>
      <w:r w:rsidR="00A723CD">
        <w:t> </w:t>
      </w:r>
      <w:r w:rsidR="00357651">
        <w:t>2014</w:t>
      </w:r>
      <w:r w:rsidR="005D3B69" w:rsidRPr="00040CBA">
        <w:t>).</w:t>
      </w:r>
      <w:r w:rsidR="00ED7D9C">
        <w:t xml:space="preserve"> </w:t>
      </w:r>
      <w:r w:rsidR="00D3127F" w:rsidRPr="0063699B">
        <w:t>I</w:t>
      </w:r>
      <w:r w:rsidR="00D31BD5" w:rsidRPr="0063699B">
        <w:t>n 201</w:t>
      </w:r>
      <w:r w:rsidR="0063699B" w:rsidRPr="0063699B">
        <w:t>5</w:t>
      </w:r>
      <w:r w:rsidR="00D31BD5" w:rsidRPr="0063699B">
        <w:t xml:space="preserve">, </w:t>
      </w:r>
      <w:r w:rsidR="00212D13" w:rsidRPr="0063699B">
        <w:t xml:space="preserve">there were </w:t>
      </w:r>
      <w:r w:rsidR="0019529C">
        <w:t>2.7</w:t>
      </w:r>
      <w:r w:rsidR="00212D13" w:rsidRPr="0063699B">
        <w:t xml:space="preserve"> million carers</w:t>
      </w:r>
      <w:r w:rsidR="00D3127F" w:rsidRPr="0063699B">
        <w:t xml:space="preserve"> across Australia</w:t>
      </w:r>
      <w:r w:rsidR="00212D13" w:rsidRPr="0063699B">
        <w:t xml:space="preserve">, around </w:t>
      </w:r>
      <w:r w:rsidR="0019529C" w:rsidRPr="00BE2DC4">
        <w:t>855 </w:t>
      </w:r>
      <w:r w:rsidR="001B05F2" w:rsidRPr="00BE2DC4">
        <w:t>8</w:t>
      </w:r>
      <w:r w:rsidR="0019529C" w:rsidRPr="00BE2DC4">
        <w:t>00</w:t>
      </w:r>
      <w:r w:rsidR="00D3127F" w:rsidRPr="0063699B">
        <w:t xml:space="preserve"> </w:t>
      </w:r>
      <w:r w:rsidR="00212D13" w:rsidRPr="0063699B">
        <w:t xml:space="preserve">of </w:t>
      </w:r>
      <w:r w:rsidR="00D3127F" w:rsidRPr="0063699B">
        <w:t xml:space="preserve">whom </w:t>
      </w:r>
      <w:r w:rsidR="00212D13" w:rsidRPr="0063699B">
        <w:t>were primary carers</w:t>
      </w:r>
      <w:r w:rsidR="00D31BD5" w:rsidRPr="0063699B">
        <w:t xml:space="preserve"> (</w:t>
      </w:r>
      <w:r w:rsidR="00F7000A" w:rsidRPr="0063699B">
        <w:t>table FA.</w:t>
      </w:r>
      <w:r w:rsidR="008B413F" w:rsidRPr="0063699B">
        <w:t>1</w:t>
      </w:r>
      <w:r w:rsidR="00D31BD5" w:rsidRPr="0063699B">
        <w:t>)</w:t>
      </w:r>
      <w:r w:rsidR="00212D13" w:rsidRPr="0063699B">
        <w:t xml:space="preserve">. </w:t>
      </w:r>
      <w:r w:rsidR="00D3127F" w:rsidRPr="0063699B">
        <w:t xml:space="preserve">This equates to approximately </w:t>
      </w:r>
      <w:r w:rsidR="0019529C">
        <w:t>3.7</w:t>
      </w:r>
      <w:r w:rsidR="00D3127F" w:rsidRPr="0063699B">
        <w:t xml:space="preserve"> per cent of the Australian </w:t>
      </w:r>
      <w:r w:rsidR="00D3127F" w:rsidRPr="0063699B">
        <w:lastRenderedPageBreak/>
        <w:t>population being primary care</w:t>
      </w:r>
      <w:r w:rsidR="00617CC0">
        <w:t>rs of people with disability or older people</w:t>
      </w:r>
      <w:r w:rsidR="00D3127F" w:rsidRPr="0063699B">
        <w:t>.</w:t>
      </w:r>
      <w:r w:rsidR="00ED7D9C">
        <w:t xml:space="preserve"> </w:t>
      </w:r>
      <w:r w:rsidR="009C3071" w:rsidRPr="004D0800">
        <w:t>C</w:t>
      </w:r>
      <w:r w:rsidR="00AC002C" w:rsidRPr="004D0800">
        <w:t>hapter</w:t>
      </w:r>
      <w:r w:rsidR="00EA7C93" w:rsidRPr="004D0800">
        <w:t> </w:t>
      </w:r>
      <w:r w:rsidR="00AC002C" w:rsidRPr="00636C31">
        <w:t>1</w:t>
      </w:r>
      <w:r w:rsidR="00636C31" w:rsidRPr="00636C31">
        <w:t>5</w:t>
      </w:r>
      <w:r w:rsidR="00AC002C" w:rsidRPr="004D0800">
        <w:t xml:space="preserve"> include</w:t>
      </w:r>
      <w:r w:rsidR="00867F83" w:rsidRPr="004D0800">
        <w:t>s</w:t>
      </w:r>
      <w:r w:rsidR="00AC002C" w:rsidRPr="004D0800">
        <w:t xml:space="preserve"> </w:t>
      </w:r>
      <w:r w:rsidR="009C3071" w:rsidRPr="004D0800">
        <w:t>further information on carers</w:t>
      </w:r>
      <w:r w:rsidR="006A4D75">
        <w:t xml:space="preserve"> of people with disability</w:t>
      </w:r>
      <w:r w:rsidR="009C3071" w:rsidRPr="004D0800">
        <w:t xml:space="preserve">, including </w:t>
      </w:r>
      <w:r w:rsidR="00AC002C" w:rsidRPr="004D0800">
        <w:t xml:space="preserve">the labour force participation of primary carers and the proportion of primary carers who report a need for further assistance in their caring </w:t>
      </w:r>
      <w:r w:rsidR="00AC002C" w:rsidRPr="007B33C3">
        <w:t>roles.</w:t>
      </w:r>
    </w:p>
    <w:p w:rsidR="0083195E" w:rsidRPr="00FD539F" w:rsidRDefault="0083195E" w:rsidP="0083195E">
      <w:pPr>
        <w:pStyle w:val="Heading3"/>
      </w:pPr>
      <w:r w:rsidRPr="0039059D">
        <w:t>Service</w:t>
      </w:r>
      <w:r w:rsidR="007A3B79" w:rsidRPr="0039059D">
        <w:noBreakHyphen/>
      </w:r>
      <w:r w:rsidRPr="00FD539F">
        <w:t>sector objectives</w:t>
      </w:r>
    </w:p>
    <w:p w:rsidR="0083195E" w:rsidRPr="0039059D" w:rsidRDefault="0083195E" w:rsidP="0083195E">
      <w:pPr>
        <w:pStyle w:val="BodyText"/>
      </w:pPr>
      <w:r w:rsidRPr="0039059D">
        <w:t xml:space="preserve">The overarching service sector objectives in box </w:t>
      </w:r>
      <w:r w:rsidR="002908D5">
        <w:t>F.2</w:t>
      </w:r>
      <w:r w:rsidR="00497AB8">
        <w:rPr>
          <w:b/>
        </w:rPr>
        <w:t xml:space="preserve"> </w:t>
      </w:r>
      <w:r w:rsidRPr="0039059D">
        <w:t>draw together the objectives from each of the specific services</w:t>
      </w:r>
      <w:r w:rsidR="00027729" w:rsidRPr="0039059D">
        <w:t xml:space="preserve"> detailed in this Report</w:t>
      </w:r>
      <w:r w:rsidRPr="0039059D">
        <w:t xml:space="preserve">. </w:t>
      </w:r>
    </w:p>
    <w:p w:rsidR="000444CC" w:rsidRPr="00BC53F9" w:rsidRDefault="000444CC">
      <w:pPr>
        <w:pStyle w:val="BoxSpaceAbove"/>
        <w:rPr>
          <w:color w:val="808080" w:themeColor="background1" w:themeShade="8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C53F9" w:rsidRPr="00F85C1E" w:rsidTr="00C73863">
        <w:tc>
          <w:tcPr>
            <w:tcW w:w="8771" w:type="dxa"/>
            <w:tcBorders>
              <w:top w:val="single" w:sz="6" w:space="0" w:color="78A22F"/>
              <w:left w:val="nil"/>
              <w:bottom w:val="nil"/>
              <w:right w:val="nil"/>
            </w:tcBorders>
            <w:shd w:val="clear" w:color="auto" w:fill="F2F2F2" w:themeFill="background1" w:themeFillShade="F2"/>
          </w:tcPr>
          <w:p w:rsidR="000444CC" w:rsidRPr="00F85C1E" w:rsidRDefault="00636C31" w:rsidP="002F41ED">
            <w:pPr>
              <w:pStyle w:val="BoxTitle"/>
            </w:pPr>
            <w:r>
              <w:rPr>
                <w:b w:val="0"/>
              </w:rPr>
              <w:t xml:space="preserve">Box </w:t>
            </w:r>
            <w:proofErr w:type="spellStart"/>
            <w:r w:rsidR="00EC1787">
              <w:rPr>
                <w:b w:val="0"/>
              </w:rPr>
              <w:t>F.</w:t>
            </w:r>
            <w:r w:rsidR="00F33AC2">
              <w:rPr>
                <w:b w:val="0"/>
                <w:noProof/>
              </w:rPr>
              <w:t>2</w:t>
            </w:r>
            <w:proofErr w:type="spellEnd"/>
            <w:r w:rsidR="000444CC" w:rsidRPr="00F85C1E">
              <w:tab/>
              <w:t xml:space="preserve">Objectives </w:t>
            </w:r>
            <w:r w:rsidR="002F41ED">
              <w:t>of</w:t>
            </w:r>
            <w:r w:rsidR="000444CC" w:rsidRPr="00F85C1E">
              <w:t xml:space="preserve"> community services</w:t>
            </w:r>
          </w:p>
        </w:tc>
      </w:tr>
      <w:tr w:rsidR="00BC53F9" w:rsidRPr="00F85C1E" w:rsidTr="00C73863">
        <w:trPr>
          <w:cantSplit/>
        </w:trPr>
        <w:tc>
          <w:tcPr>
            <w:tcW w:w="8771" w:type="dxa"/>
            <w:tcBorders>
              <w:top w:val="nil"/>
              <w:left w:val="nil"/>
              <w:bottom w:val="nil"/>
              <w:right w:val="nil"/>
            </w:tcBorders>
            <w:shd w:val="clear" w:color="auto" w:fill="F2F2F2" w:themeFill="background1" w:themeFillShade="F2"/>
          </w:tcPr>
          <w:p w:rsidR="006277E9" w:rsidRDefault="000444CC" w:rsidP="000444CC">
            <w:pPr>
              <w:pStyle w:val="Box"/>
            </w:pPr>
            <w:r w:rsidRPr="00F85C1E">
              <w:t>The overarching objective of the community services’ sector is to ensure that older people, people with disability and vulnerable children are supported or assisted and have the opportunity to fully participate in the community.</w:t>
            </w:r>
          </w:p>
          <w:p w:rsidR="000444CC" w:rsidRPr="00F85C1E" w:rsidRDefault="000444CC" w:rsidP="000444CC">
            <w:pPr>
              <w:pStyle w:val="Box"/>
            </w:pPr>
            <w:r w:rsidRPr="00F85C1E">
              <w:t>The specific objectives of the services that comprise the community services sector are summarised below:</w:t>
            </w:r>
          </w:p>
          <w:p w:rsidR="00370271" w:rsidRPr="00F85C1E" w:rsidRDefault="000444CC" w:rsidP="000444CC">
            <w:pPr>
              <w:pStyle w:val="BoxListBullet"/>
            </w:pPr>
            <w:r w:rsidRPr="00F85C1E">
              <w:t>Aged care services (</w:t>
            </w:r>
            <w:r w:rsidRPr="00636C31">
              <w:t>chapter</w:t>
            </w:r>
            <w:r w:rsidR="00EA7C93" w:rsidRPr="00636C31">
              <w:t> </w:t>
            </w:r>
            <w:r w:rsidRPr="00636C31">
              <w:t>1</w:t>
            </w:r>
            <w:r w:rsidR="00636C31">
              <w:t>4</w:t>
            </w:r>
            <w:r w:rsidRPr="00F85C1E">
              <w:t xml:space="preserve">) </w:t>
            </w:r>
            <w:r w:rsidR="00017866">
              <w:rPr>
                <w:rFonts w:cs="Arial"/>
              </w:rPr>
              <w:t>aim to promote the wellbeing and independence of older people (and their carers), by enabling them to stay in their own homes or by assisting them in residential care</w:t>
            </w:r>
          </w:p>
          <w:p w:rsidR="000444CC" w:rsidRPr="00F85C1E" w:rsidRDefault="000444CC" w:rsidP="00854C65">
            <w:pPr>
              <w:pStyle w:val="BoxListBullet"/>
            </w:pPr>
            <w:r w:rsidRPr="00F85C1E">
              <w:t>Services for people with disability (</w:t>
            </w:r>
            <w:r w:rsidRPr="00636C31">
              <w:t>chapter</w:t>
            </w:r>
            <w:r w:rsidR="00EA7C93" w:rsidRPr="00636C31">
              <w:t> </w:t>
            </w:r>
            <w:r w:rsidRPr="00636C31">
              <w:t>1</w:t>
            </w:r>
            <w:r w:rsidR="00636C31">
              <w:t>5</w:t>
            </w:r>
            <w:r w:rsidRPr="00F85C1E">
              <w:t xml:space="preserve">) </w:t>
            </w:r>
            <w:r w:rsidR="00854C65" w:rsidRPr="00854C65">
              <w:t xml:space="preserve">aim to help people with disability and their carers have an enhanced quality of life, enjoy choice and wellbeing, achieve independence, social and economic participation, and </w:t>
            </w:r>
            <w:r w:rsidR="00E74871">
              <w:t>full inclusion in the community</w:t>
            </w:r>
          </w:p>
          <w:p w:rsidR="000444CC" w:rsidRPr="00F85C1E" w:rsidRDefault="000444CC" w:rsidP="000444CC">
            <w:pPr>
              <w:pStyle w:val="BoxListBullet"/>
            </w:pPr>
            <w:r w:rsidRPr="00F85C1E">
              <w:t>Child protection services (</w:t>
            </w:r>
            <w:r w:rsidRPr="00636C31">
              <w:t>chapter</w:t>
            </w:r>
            <w:r w:rsidR="00EA7C93" w:rsidRPr="00636C31">
              <w:t> </w:t>
            </w:r>
            <w:r w:rsidRPr="00636C31">
              <w:t>1</w:t>
            </w:r>
            <w:r w:rsidR="00636C31">
              <w:t>6</w:t>
            </w:r>
            <w:r w:rsidRPr="00F85C1E">
              <w:t xml:space="preserve">) </w:t>
            </w:r>
            <w:r w:rsidR="00E74871">
              <w:t>aim to promote child and family wellbeing by enabling families to care for and protect children and young people, and protecting children and young people who are at risk of abuse and neglect within their families or whose families do not have the capacity to provide care and protection, and supporting children and young people in the child protection system to reach their potential</w:t>
            </w:r>
          </w:p>
          <w:p w:rsidR="000444CC" w:rsidRPr="00F85C1E" w:rsidRDefault="000444CC" w:rsidP="00E74871">
            <w:pPr>
              <w:pStyle w:val="BoxListBullet"/>
            </w:pPr>
            <w:r w:rsidRPr="00F85C1E">
              <w:t>Youth justice services (</w:t>
            </w:r>
            <w:r w:rsidRPr="00636C31">
              <w:t>chapter</w:t>
            </w:r>
            <w:r w:rsidR="00EA7C93" w:rsidRPr="00636C31">
              <w:t> </w:t>
            </w:r>
            <w:r w:rsidRPr="00636C31">
              <w:t>1</w:t>
            </w:r>
            <w:r w:rsidR="00636C31">
              <w:t>7</w:t>
            </w:r>
            <w:r w:rsidRPr="00F85C1E">
              <w:t xml:space="preserve">) </w:t>
            </w:r>
            <w:r w:rsidR="00E74871">
              <w:t>aim to promote community safety, rehabilitate and reintegrate young people who offend, contribute to a reduction in youth re-offending, and recognise the rights of victims</w:t>
            </w:r>
            <w:r w:rsidRPr="00F85C1E">
              <w:t>.</w:t>
            </w:r>
          </w:p>
        </w:tc>
      </w:tr>
      <w:tr w:rsidR="00BC53F9" w:rsidRPr="00F85C1E" w:rsidTr="00C73863">
        <w:trPr>
          <w:cantSplit/>
        </w:trPr>
        <w:tc>
          <w:tcPr>
            <w:tcW w:w="8771" w:type="dxa"/>
            <w:tcBorders>
              <w:top w:val="nil"/>
              <w:left w:val="nil"/>
              <w:bottom w:val="nil"/>
              <w:right w:val="nil"/>
            </w:tcBorders>
            <w:shd w:val="clear" w:color="auto" w:fill="F2F2F2" w:themeFill="background1" w:themeFillShade="F2"/>
          </w:tcPr>
          <w:p w:rsidR="000444CC" w:rsidRPr="00F85C1E" w:rsidRDefault="000444CC" w:rsidP="00636C31">
            <w:pPr>
              <w:pStyle w:val="BoxSource"/>
            </w:pPr>
            <w:r w:rsidRPr="00F85C1E">
              <w:rPr>
                <w:i/>
              </w:rPr>
              <w:t>Source</w:t>
            </w:r>
            <w:r w:rsidRPr="00F85C1E">
              <w:t xml:space="preserve">: </w:t>
            </w:r>
            <w:r w:rsidRPr="00636C31">
              <w:t>Chapters</w:t>
            </w:r>
            <w:r w:rsidR="00EA7C93" w:rsidRPr="00636C31">
              <w:t> </w:t>
            </w:r>
            <w:r w:rsidRPr="00636C31">
              <w:t>1</w:t>
            </w:r>
            <w:r w:rsidR="00636C31" w:rsidRPr="00636C31">
              <w:t>4</w:t>
            </w:r>
            <w:r w:rsidRPr="00636C31">
              <w:t>, 1</w:t>
            </w:r>
            <w:r w:rsidR="00636C31" w:rsidRPr="00636C31">
              <w:t>5</w:t>
            </w:r>
            <w:r w:rsidRPr="00636C31">
              <w:t>, 1</w:t>
            </w:r>
            <w:r w:rsidR="00636C31" w:rsidRPr="00636C31">
              <w:t>6</w:t>
            </w:r>
            <w:r w:rsidRPr="00636C31">
              <w:t xml:space="preserve"> and 1</w:t>
            </w:r>
            <w:r w:rsidR="00636C31">
              <w:t>7</w:t>
            </w:r>
            <w:r w:rsidRPr="00F85C1E">
              <w:t>.</w:t>
            </w:r>
          </w:p>
        </w:tc>
      </w:tr>
      <w:tr w:rsidR="00BC53F9" w:rsidRPr="00F85C1E" w:rsidTr="00C73863">
        <w:trPr>
          <w:cantSplit/>
        </w:trPr>
        <w:tc>
          <w:tcPr>
            <w:tcW w:w="8771" w:type="dxa"/>
            <w:tcBorders>
              <w:top w:val="nil"/>
              <w:left w:val="nil"/>
              <w:bottom w:val="single" w:sz="6" w:space="0" w:color="78A22F"/>
              <w:right w:val="nil"/>
            </w:tcBorders>
            <w:shd w:val="clear" w:color="auto" w:fill="F2F2F2" w:themeFill="background1" w:themeFillShade="F2"/>
          </w:tcPr>
          <w:p w:rsidR="000444CC" w:rsidRPr="00F85C1E" w:rsidRDefault="000444CC">
            <w:pPr>
              <w:pStyle w:val="Box"/>
              <w:spacing w:before="0" w:line="120" w:lineRule="exact"/>
            </w:pPr>
          </w:p>
        </w:tc>
      </w:tr>
      <w:tr w:rsidR="00BC53F9" w:rsidRPr="00F85C1E" w:rsidTr="00C73863">
        <w:tc>
          <w:tcPr>
            <w:tcW w:w="8771" w:type="dxa"/>
            <w:tcBorders>
              <w:top w:val="single" w:sz="6" w:space="0" w:color="78A22F"/>
              <w:left w:val="nil"/>
              <w:bottom w:val="nil"/>
              <w:right w:val="nil"/>
            </w:tcBorders>
          </w:tcPr>
          <w:p w:rsidR="000444CC" w:rsidRPr="00F85C1E" w:rsidRDefault="000444CC" w:rsidP="00C73863">
            <w:pPr>
              <w:pStyle w:val="BoxSpaceBelow"/>
            </w:pPr>
          </w:p>
        </w:tc>
      </w:tr>
    </w:tbl>
    <w:p w:rsidR="00397770" w:rsidRPr="00D91FC7" w:rsidRDefault="00EC1787" w:rsidP="00A272DC">
      <w:pPr>
        <w:pStyle w:val="Heading2"/>
      </w:pPr>
      <w:bookmarkStart w:id="10" w:name="_Toc338234651"/>
      <w:bookmarkStart w:id="11" w:name="_Toc396386201"/>
      <w:bookmarkStart w:id="12" w:name="_Toc463425932"/>
      <w:proofErr w:type="spellStart"/>
      <w:r>
        <w:t>F.</w:t>
      </w:r>
      <w:r w:rsidR="00F33AC2">
        <w:rPr>
          <w:noProof/>
        </w:rPr>
        <w:t>2</w:t>
      </w:r>
      <w:proofErr w:type="spellEnd"/>
      <w:r w:rsidR="003C2C54" w:rsidRPr="00D91FC7">
        <w:tab/>
      </w:r>
      <w:r w:rsidR="004E274E" w:rsidRPr="00D91FC7">
        <w:t xml:space="preserve">Sector </w:t>
      </w:r>
      <w:r w:rsidR="004D1B48" w:rsidRPr="00D91FC7">
        <w:t>p</w:t>
      </w:r>
      <w:r w:rsidR="00A272DC" w:rsidRPr="00D91FC7">
        <w:t xml:space="preserve">erformance </w:t>
      </w:r>
      <w:r w:rsidR="004D1B48" w:rsidRPr="00D91FC7">
        <w:t>i</w:t>
      </w:r>
      <w:r w:rsidR="00A272DC" w:rsidRPr="00D91FC7">
        <w:t xml:space="preserve">ndicator </w:t>
      </w:r>
      <w:r w:rsidR="004D1B48" w:rsidRPr="00D91FC7">
        <w:t>f</w:t>
      </w:r>
      <w:r w:rsidR="00A272DC" w:rsidRPr="00D91FC7">
        <w:t>ramework</w:t>
      </w:r>
      <w:bookmarkEnd w:id="10"/>
      <w:bookmarkEnd w:id="11"/>
      <w:bookmarkEnd w:id="12"/>
    </w:p>
    <w:p w:rsidR="008F40DD" w:rsidRPr="00D91FC7" w:rsidRDefault="00A70830" w:rsidP="008F40DD">
      <w:pPr>
        <w:pStyle w:val="BodyText"/>
      </w:pPr>
      <w:r w:rsidRPr="00D91FC7">
        <w:t xml:space="preserve">This sector </w:t>
      </w:r>
      <w:r w:rsidR="0004040E" w:rsidRPr="00D91FC7">
        <w:t>overview</w:t>
      </w:r>
      <w:r w:rsidRPr="00D91FC7">
        <w:t xml:space="preserve"> </w:t>
      </w:r>
      <w:r w:rsidR="004C1D43" w:rsidRPr="00D91FC7">
        <w:t xml:space="preserve">is based on </w:t>
      </w:r>
      <w:r w:rsidRPr="00D91FC7">
        <w:t xml:space="preserve">a </w:t>
      </w:r>
      <w:r w:rsidR="004E274E" w:rsidRPr="00D91FC7">
        <w:t xml:space="preserve">sector </w:t>
      </w:r>
      <w:r w:rsidRPr="00D91FC7">
        <w:t xml:space="preserve">performance indicator framework </w:t>
      </w:r>
      <w:r w:rsidR="004C1D43" w:rsidRPr="00D91FC7">
        <w:t>(figure </w:t>
      </w:r>
      <w:r w:rsidR="00F6164C">
        <w:t>F.</w:t>
      </w:r>
      <w:r w:rsidR="000B04A4">
        <w:t>1</w:t>
      </w:r>
      <w:r w:rsidR="004C1D43" w:rsidRPr="00D91FC7">
        <w:t>). made up of the following elements:</w:t>
      </w:r>
    </w:p>
    <w:p w:rsidR="008F40DD" w:rsidRPr="00D021AD" w:rsidRDefault="004E274E" w:rsidP="008F40DD">
      <w:pPr>
        <w:pStyle w:val="ListBullet"/>
      </w:pPr>
      <w:r w:rsidRPr="00D021AD">
        <w:t xml:space="preserve">Sector </w:t>
      </w:r>
      <w:r w:rsidR="00002906" w:rsidRPr="00D021AD">
        <w:t xml:space="preserve">objectives </w:t>
      </w:r>
      <w:r w:rsidR="008F40DD" w:rsidRPr="00D021AD">
        <w:t xml:space="preserve">— </w:t>
      </w:r>
      <w:r w:rsidR="00002906" w:rsidRPr="00D021AD">
        <w:t xml:space="preserve">three </w:t>
      </w:r>
      <w:r w:rsidRPr="00D021AD">
        <w:t xml:space="preserve">sector </w:t>
      </w:r>
      <w:r w:rsidR="00002906" w:rsidRPr="00D021AD">
        <w:t>objectives</w:t>
      </w:r>
      <w:r w:rsidR="008F40DD" w:rsidRPr="00D021AD">
        <w:t xml:space="preserve"> are </w:t>
      </w:r>
      <w:r w:rsidR="00002906" w:rsidRPr="00D021AD">
        <w:t xml:space="preserve">a </w:t>
      </w:r>
      <w:r w:rsidR="00423D1B" w:rsidRPr="00D021AD">
        <w:t>précis</w:t>
      </w:r>
      <w:r w:rsidR="00002906" w:rsidRPr="00D021AD">
        <w:t xml:space="preserve"> of</w:t>
      </w:r>
      <w:r w:rsidR="008F40DD" w:rsidRPr="00D021AD">
        <w:t xml:space="preserve"> the key objectives of the community services sector</w:t>
      </w:r>
      <w:r w:rsidR="007369D6" w:rsidRPr="00D021AD">
        <w:t xml:space="preserve"> (box </w:t>
      </w:r>
      <w:r w:rsidR="00D021AD" w:rsidRPr="00D021AD">
        <w:t>F.</w:t>
      </w:r>
      <w:r w:rsidR="002908D5">
        <w:t>2</w:t>
      </w:r>
      <w:r w:rsidR="007369D6" w:rsidRPr="00D021AD">
        <w:t>)</w:t>
      </w:r>
    </w:p>
    <w:p w:rsidR="008F40DD" w:rsidRDefault="008F40DD" w:rsidP="008F40DD">
      <w:pPr>
        <w:pStyle w:val="ListBullet"/>
      </w:pPr>
      <w:r w:rsidRPr="00D91FC7">
        <w:t>Sector</w:t>
      </w:r>
      <w:r w:rsidR="007A3B79" w:rsidRPr="00D91FC7">
        <w:noBreakHyphen/>
      </w:r>
      <w:r w:rsidRPr="00D91FC7">
        <w:t>wide indicators —</w:t>
      </w:r>
      <w:r w:rsidR="004C1D43" w:rsidRPr="00D91FC7">
        <w:t xml:space="preserve"> </w:t>
      </w:r>
      <w:r w:rsidRPr="00D91FC7">
        <w:t>sector</w:t>
      </w:r>
      <w:r w:rsidR="007A3B79" w:rsidRPr="00D91FC7">
        <w:noBreakHyphen/>
      </w:r>
      <w:r w:rsidRPr="00D91FC7">
        <w:t>wide indicators are high level indicators which cut across community services</w:t>
      </w:r>
      <w:r w:rsidR="00A86F10">
        <w:t>.</w:t>
      </w:r>
    </w:p>
    <w:p w:rsidR="000444CC" w:rsidRPr="00BC53F9" w:rsidRDefault="000444CC" w:rsidP="00CE06DB">
      <w:pPr>
        <w:pStyle w:val="BoxSpaceAbove"/>
        <w:rPr>
          <w:color w:val="808080" w:themeColor="background1" w:themeShade="8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91FC7" w:rsidRPr="00D91FC7" w:rsidTr="00C73863">
        <w:tc>
          <w:tcPr>
            <w:tcW w:w="8771" w:type="dxa"/>
            <w:tcBorders>
              <w:top w:val="single" w:sz="6" w:space="0" w:color="78A22F"/>
              <w:left w:val="nil"/>
              <w:bottom w:val="nil"/>
              <w:right w:val="nil"/>
            </w:tcBorders>
            <w:shd w:val="clear" w:color="auto" w:fill="auto"/>
          </w:tcPr>
          <w:p w:rsidR="00370271" w:rsidRPr="00D91FC7" w:rsidRDefault="000444CC" w:rsidP="005631D2">
            <w:pPr>
              <w:pStyle w:val="FigureTitle"/>
              <w:rPr>
                <w:rStyle w:val="DraftingNote"/>
                <w:b/>
                <w:color w:val="auto"/>
                <w:u w:val="none"/>
              </w:rPr>
            </w:pPr>
            <w:r w:rsidRPr="00D069DC">
              <w:rPr>
                <w:b w:val="0"/>
              </w:rPr>
              <w:t xml:space="preserve">Figure </w:t>
            </w:r>
            <w:proofErr w:type="spellStart"/>
            <w:r w:rsidR="00646A94">
              <w:rPr>
                <w:b w:val="0"/>
              </w:rPr>
              <w:t>F.</w:t>
            </w:r>
            <w:r w:rsidR="00F33AC2">
              <w:rPr>
                <w:b w:val="0"/>
                <w:noProof/>
              </w:rPr>
              <w:t>1</w:t>
            </w:r>
            <w:proofErr w:type="spellEnd"/>
            <w:r w:rsidRPr="00D91FC7">
              <w:tab/>
              <w:t>Community services performance indicator framework</w:t>
            </w:r>
          </w:p>
        </w:tc>
      </w:tr>
      <w:tr w:rsidR="00D91FC7" w:rsidRPr="00D91FC7" w:rsidTr="00C73863">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D91FC7" w:rsidRPr="00483C15" w:rsidTr="00F85C1E">
              <w:tc>
                <w:tcPr>
                  <w:tcW w:w="5000" w:type="pct"/>
                  <w:tcBorders>
                    <w:top w:val="nil"/>
                    <w:bottom w:val="nil"/>
                  </w:tcBorders>
                </w:tcPr>
                <w:p w:rsidR="000444CC" w:rsidRPr="001835B3" w:rsidRDefault="005631D2" w:rsidP="001835B3">
                  <w:pPr>
                    <w:pStyle w:val="Figure"/>
                    <w:rPr>
                      <w:rStyle w:val="DraftingNote"/>
                      <w:b w:val="0"/>
                      <w:color w:val="auto"/>
                      <w:highlight w:val="yellow"/>
                      <w:u w:val="none"/>
                    </w:rPr>
                  </w:pPr>
                  <w:r>
                    <w:rPr>
                      <w:noProof/>
                    </w:rPr>
                    <w:drawing>
                      <wp:inline distT="0" distB="0" distL="0" distR="0" wp14:anchorId="64F10D29" wp14:editId="0E92DA81">
                        <wp:extent cx="5341693" cy="4215740"/>
                        <wp:effectExtent l="0" t="0" r="0" b="0"/>
                        <wp:docPr id="3" name="Picture 3" descr="Figure F.1 Community services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Monitor\01 Management\09 VISIO and PIFs\Performance frameworks\2016 Report\NEW updated PIF - WIP tf\Visio saved as PNG\Volume F\sector-overviewf-community-services.png"/>
                                <pic:cNvPicPr>
                                  <a:picLocks noChangeAspect="1" noChangeArrowheads="1"/>
                                </pic:cNvPicPr>
                              </pic:nvPicPr>
                              <pic:blipFill rotWithShape="1">
                                <a:blip r:embed="rId9">
                                  <a:extLst>
                                    <a:ext uri="{28A0092B-C50C-407E-A947-70E740481C1C}">
                                      <a14:useLocalDpi xmlns:a14="http://schemas.microsoft.com/office/drawing/2010/main" val="0"/>
                                    </a:ext>
                                  </a:extLst>
                                </a:blip>
                                <a:srcRect b="41419"/>
                                <a:stretch/>
                              </pic:blipFill>
                              <pic:spPr bwMode="auto">
                                <a:xfrm>
                                  <a:off x="0" y="0"/>
                                  <a:ext cx="5343525" cy="4217186"/>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0444CC" w:rsidRPr="00483C15" w:rsidRDefault="000444CC" w:rsidP="00EF3595">
            <w:pPr>
              <w:pStyle w:val="Figure"/>
              <w:rPr>
                <w:highlight w:val="yellow"/>
              </w:rPr>
            </w:pPr>
          </w:p>
        </w:tc>
      </w:tr>
      <w:tr w:rsidR="00D91FC7" w:rsidRPr="00D91FC7" w:rsidTr="00C73863">
        <w:tc>
          <w:tcPr>
            <w:tcW w:w="8771" w:type="dxa"/>
            <w:tcBorders>
              <w:top w:val="nil"/>
              <w:left w:val="nil"/>
              <w:bottom w:val="single" w:sz="6" w:space="0" w:color="78A22F"/>
              <w:right w:val="nil"/>
            </w:tcBorders>
            <w:shd w:val="clear" w:color="auto" w:fill="auto"/>
          </w:tcPr>
          <w:p w:rsidR="000444CC" w:rsidRPr="00D91FC7" w:rsidRDefault="000444CC" w:rsidP="00EF3595">
            <w:pPr>
              <w:pStyle w:val="Figurespace"/>
              <w:rPr>
                <w:highlight w:val="yellow"/>
              </w:rPr>
            </w:pPr>
          </w:p>
        </w:tc>
      </w:tr>
      <w:tr w:rsidR="00D91FC7" w:rsidRPr="00D91FC7" w:rsidTr="00C73863">
        <w:tc>
          <w:tcPr>
            <w:tcW w:w="8771" w:type="dxa"/>
            <w:tcBorders>
              <w:top w:val="single" w:sz="6" w:space="0" w:color="78A22F"/>
              <w:left w:val="nil"/>
              <w:bottom w:val="nil"/>
              <w:right w:val="nil"/>
            </w:tcBorders>
          </w:tcPr>
          <w:p w:rsidR="000444CC" w:rsidRPr="00D91FC7" w:rsidRDefault="000444CC" w:rsidP="00FD03F4">
            <w:pPr>
              <w:pStyle w:val="BoxSpaceBelow"/>
            </w:pPr>
          </w:p>
        </w:tc>
      </w:tr>
    </w:tbl>
    <w:p w:rsidR="00621119" w:rsidRPr="00D91FC7" w:rsidRDefault="00621119" w:rsidP="00654035">
      <w:pPr>
        <w:pStyle w:val="Heading4"/>
      </w:pPr>
      <w:r w:rsidRPr="00D91FC7">
        <w:t>Wellbeing of older people</w:t>
      </w:r>
    </w:p>
    <w:p w:rsidR="00621119" w:rsidRPr="00D91FC7" w:rsidRDefault="00621119" w:rsidP="00941D09">
      <w:pPr>
        <w:pStyle w:val="BodyText"/>
      </w:pPr>
      <w:r w:rsidRPr="00D91FC7">
        <w:t>‘</w:t>
      </w:r>
      <w:r w:rsidR="00CB3EC2" w:rsidRPr="00D91FC7">
        <w:t>Wellbeing of older people</w:t>
      </w:r>
      <w:r w:rsidRPr="00D91FC7">
        <w:t xml:space="preserve">’ is an indicator of governments’ objective </w:t>
      </w:r>
      <w:r w:rsidR="00CB3EC2" w:rsidRPr="00D91FC7">
        <w:t xml:space="preserve">to promote the wellbeing and independence of older people </w:t>
      </w:r>
      <w:r w:rsidR="00E33535" w:rsidRPr="00D91FC7">
        <w:t xml:space="preserve">(box </w:t>
      </w:r>
      <w:r w:rsidR="006E3A65">
        <w:t>F.</w:t>
      </w:r>
      <w:r w:rsidR="002908D5">
        <w:t>3</w:t>
      </w:r>
      <w:r w:rsidR="00E33535" w:rsidRPr="00D91FC7">
        <w:t>)</w:t>
      </w:r>
      <w:r w:rsidR="00CB3EC2" w:rsidRPr="00D91FC7">
        <w:t xml:space="preserve">. </w:t>
      </w:r>
    </w:p>
    <w:p w:rsidR="000444CC" w:rsidRPr="00BC53F9" w:rsidRDefault="000444CC">
      <w:pPr>
        <w:pStyle w:val="BoxSpaceAbove"/>
        <w:rPr>
          <w:color w:val="808080" w:themeColor="background1" w:themeShade="8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C53F9" w:rsidRPr="004A10AF" w:rsidTr="00C73863">
        <w:tc>
          <w:tcPr>
            <w:tcW w:w="8771" w:type="dxa"/>
            <w:tcBorders>
              <w:top w:val="single" w:sz="6" w:space="0" w:color="78A22F"/>
              <w:left w:val="nil"/>
              <w:bottom w:val="nil"/>
              <w:right w:val="nil"/>
            </w:tcBorders>
            <w:shd w:val="clear" w:color="auto" w:fill="F2F2F2" w:themeFill="background1" w:themeFillShade="F2"/>
          </w:tcPr>
          <w:p w:rsidR="000444CC" w:rsidRPr="004A10AF" w:rsidRDefault="000444CC" w:rsidP="00EC1787">
            <w:pPr>
              <w:pStyle w:val="BoxTitle"/>
            </w:pPr>
            <w:r w:rsidRPr="004A10AF">
              <w:rPr>
                <w:b w:val="0"/>
              </w:rPr>
              <w:t xml:space="preserve">Box </w:t>
            </w:r>
            <w:bookmarkStart w:id="13" w:name="OLE_LINK2"/>
            <w:proofErr w:type="spellStart"/>
            <w:r w:rsidR="00EC1787">
              <w:rPr>
                <w:b w:val="0"/>
              </w:rPr>
              <w:t>F.</w:t>
            </w:r>
            <w:r w:rsidR="00F33AC2">
              <w:rPr>
                <w:b w:val="0"/>
                <w:noProof/>
              </w:rPr>
              <w:t>3</w:t>
            </w:r>
            <w:bookmarkEnd w:id="13"/>
            <w:proofErr w:type="spellEnd"/>
            <w:r w:rsidRPr="004A10AF">
              <w:tab/>
              <w:t>Wellbeing of older people</w:t>
            </w:r>
          </w:p>
        </w:tc>
      </w:tr>
      <w:tr w:rsidR="00BC53F9" w:rsidRPr="004A10AF" w:rsidTr="00C73863">
        <w:trPr>
          <w:cantSplit/>
        </w:trPr>
        <w:tc>
          <w:tcPr>
            <w:tcW w:w="8771" w:type="dxa"/>
            <w:tcBorders>
              <w:top w:val="nil"/>
              <w:left w:val="nil"/>
              <w:bottom w:val="nil"/>
              <w:right w:val="nil"/>
            </w:tcBorders>
            <w:shd w:val="clear" w:color="auto" w:fill="F2F2F2" w:themeFill="background1" w:themeFillShade="F2"/>
          </w:tcPr>
          <w:p w:rsidR="000444CC" w:rsidRPr="00483C15" w:rsidRDefault="000444CC" w:rsidP="000444CC">
            <w:pPr>
              <w:pStyle w:val="Box"/>
            </w:pPr>
            <w:r w:rsidRPr="00483C15">
              <w:t xml:space="preserve">‘Wellbeing of older people’ is defined as overall life satisfaction of older people and is measured by the proportion of people aged 65 years or over who were </w:t>
            </w:r>
            <w:r w:rsidR="001C0802" w:rsidRPr="00483C15">
              <w:t>at least</w:t>
            </w:r>
            <w:r w:rsidRPr="00483C15">
              <w:t xml:space="preserve"> satisfied with their lives. </w:t>
            </w:r>
          </w:p>
          <w:p w:rsidR="000444CC" w:rsidRPr="00483C15" w:rsidRDefault="000444CC" w:rsidP="000444CC">
            <w:pPr>
              <w:pStyle w:val="Box"/>
            </w:pPr>
            <w:r w:rsidRPr="00483C15">
              <w:t xml:space="preserve">A high proportion of people who are </w:t>
            </w:r>
            <w:r w:rsidR="001C0802" w:rsidRPr="00483C15">
              <w:t>at least</w:t>
            </w:r>
            <w:r w:rsidRPr="00483C15">
              <w:t xml:space="preserve"> satisfied with their lives is desirable. </w:t>
            </w:r>
          </w:p>
          <w:p w:rsidR="000444CC" w:rsidRPr="006931B3" w:rsidRDefault="00EB5BA8" w:rsidP="00F53BAC">
            <w:pPr>
              <w:pStyle w:val="Box"/>
              <w:rPr>
                <w:rStyle w:val="DraftingNote"/>
              </w:rPr>
            </w:pPr>
            <w:r w:rsidRPr="008D60E3">
              <w:t xml:space="preserve">Data are no longer available for reporting against this indicator. </w:t>
            </w:r>
            <w:r w:rsidR="00F53BAC">
              <w:t>D</w:t>
            </w:r>
            <w:r w:rsidR="00F53BAC" w:rsidRPr="008D60E3">
              <w:t xml:space="preserve">ata </w:t>
            </w:r>
            <w:r w:rsidR="00F53BAC">
              <w:t xml:space="preserve">for </w:t>
            </w:r>
            <w:r w:rsidRPr="008D60E3">
              <w:t>2010 can be found in the 2015 Report.</w:t>
            </w:r>
          </w:p>
        </w:tc>
      </w:tr>
      <w:tr w:rsidR="00BC53F9" w:rsidRPr="004A10AF" w:rsidTr="00C73863">
        <w:trPr>
          <w:cantSplit/>
        </w:trPr>
        <w:tc>
          <w:tcPr>
            <w:tcW w:w="8771" w:type="dxa"/>
            <w:tcBorders>
              <w:top w:val="nil"/>
              <w:left w:val="nil"/>
              <w:bottom w:val="single" w:sz="6" w:space="0" w:color="78A22F"/>
              <w:right w:val="nil"/>
            </w:tcBorders>
            <w:shd w:val="clear" w:color="auto" w:fill="F2F2F2" w:themeFill="background1" w:themeFillShade="F2"/>
          </w:tcPr>
          <w:p w:rsidR="000444CC" w:rsidRPr="004A10AF" w:rsidRDefault="000444CC">
            <w:pPr>
              <w:pStyle w:val="Box"/>
              <w:spacing w:before="0" w:line="120" w:lineRule="exact"/>
            </w:pPr>
          </w:p>
        </w:tc>
      </w:tr>
      <w:tr w:rsidR="00BC53F9" w:rsidRPr="004A10AF" w:rsidTr="00C73863">
        <w:tc>
          <w:tcPr>
            <w:tcW w:w="8771" w:type="dxa"/>
            <w:tcBorders>
              <w:top w:val="single" w:sz="6" w:space="0" w:color="78A22F"/>
              <w:left w:val="nil"/>
              <w:bottom w:val="nil"/>
              <w:right w:val="nil"/>
            </w:tcBorders>
          </w:tcPr>
          <w:p w:rsidR="000444CC" w:rsidRPr="004A10AF" w:rsidRDefault="000444CC" w:rsidP="00C73863">
            <w:pPr>
              <w:pStyle w:val="BoxSpaceBelow"/>
            </w:pPr>
          </w:p>
        </w:tc>
      </w:tr>
    </w:tbl>
    <w:p w:rsidR="0034049D" w:rsidRPr="00092371" w:rsidRDefault="0034049D" w:rsidP="00654035">
      <w:pPr>
        <w:pStyle w:val="Heading4"/>
      </w:pPr>
      <w:r w:rsidRPr="00092371">
        <w:lastRenderedPageBreak/>
        <w:t xml:space="preserve">Independence of older people </w:t>
      </w:r>
    </w:p>
    <w:p w:rsidR="00F022B6" w:rsidRPr="00092371" w:rsidRDefault="0034049D" w:rsidP="0034049D">
      <w:pPr>
        <w:pStyle w:val="BodyText"/>
      </w:pPr>
      <w:r w:rsidRPr="00092371">
        <w:t xml:space="preserve">‘Independence of older people’ is an indicator of governments’ objective to promote the wellbeing and independence of older people </w:t>
      </w:r>
      <w:r w:rsidR="00B810F9">
        <w:t>(box F.</w:t>
      </w:r>
      <w:r w:rsidR="002908D5">
        <w:t>4</w:t>
      </w:r>
      <w:r w:rsidR="00983919" w:rsidRPr="00092371">
        <w:t>)</w:t>
      </w:r>
      <w:r w:rsidR="00B32EB6" w:rsidRPr="00092371">
        <w:t>.</w:t>
      </w:r>
    </w:p>
    <w:p w:rsidR="00AA6D46" w:rsidRPr="00BC53F9" w:rsidRDefault="00AA6D46">
      <w:pPr>
        <w:pStyle w:val="BoxSpaceAbove"/>
        <w:rPr>
          <w:color w:val="808080" w:themeColor="background1" w:themeShade="80"/>
        </w:rPr>
      </w:pPr>
    </w:p>
    <w:tbl>
      <w:tblPr>
        <w:tblpPr w:leftFromText="180" w:rightFromText="180" w:vertAnchor="text" w:horzAnchor="margin" w:tblpXSpec="center" w:tblpY="1"/>
        <w:tblW w:w="0" w:type="auto"/>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022B6" w:rsidRPr="00092371" w:rsidTr="00F022B6">
        <w:tc>
          <w:tcPr>
            <w:tcW w:w="8771" w:type="dxa"/>
            <w:tcBorders>
              <w:top w:val="single" w:sz="6" w:space="0" w:color="78A22F"/>
              <w:left w:val="nil"/>
              <w:bottom w:val="nil"/>
              <w:right w:val="nil"/>
            </w:tcBorders>
            <w:shd w:val="clear" w:color="auto" w:fill="F2F2F2" w:themeFill="background1" w:themeFillShade="F2"/>
          </w:tcPr>
          <w:p w:rsidR="00F022B6" w:rsidRPr="00092371" w:rsidRDefault="00F022B6" w:rsidP="00F022B6">
            <w:pPr>
              <w:pStyle w:val="BoxTitle"/>
            </w:pPr>
            <w:r w:rsidRPr="00092371">
              <w:rPr>
                <w:b w:val="0"/>
              </w:rPr>
              <w:t xml:space="preserve">Box </w:t>
            </w:r>
            <w:proofErr w:type="spellStart"/>
            <w:r>
              <w:rPr>
                <w:b w:val="0"/>
              </w:rPr>
              <w:t>F.</w:t>
            </w:r>
            <w:r w:rsidR="00F33AC2">
              <w:rPr>
                <w:b w:val="0"/>
                <w:noProof/>
              </w:rPr>
              <w:t>4</w:t>
            </w:r>
            <w:proofErr w:type="spellEnd"/>
            <w:r w:rsidRPr="00092371">
              <w:tab/>
              <w:t xml:space="preserve">Independence of older people </w:t>
            </w:r>
          </w:p>
        </w:tc>
      </w:tr>
      <w:tr w:rsidR="00F022B6" w:rsidRPr="00092371" w:rsidTr="00F022B6">
        <w:trPr>
          <w:cantSplit/>
        </w:trPr>
        <w:tc>
          <w:tcPr>
            <w:tcW w:w="8771" w:type="dxa"/>
            <w:tcBorders>
              <w:top w:val="nil"/>
              <w:left w:val="nil"/>
              <w:bottom w:val="nil"/>
              <w:right w:val="nil"/>
            </w:tcBorders>
            <w:shd w:val="clear" w:color="auto" w:fill="F2F2F2" w:themeFill="background1" w:themeFillShade="F2"/>
          </w:tcPr>
          <w:p w:rsidR="00F022B6" w:rsidRPr="00092371" w:rsidRDefault="00F022B6" w:rsidP="00F022B6">
            <w:pPr>
              <w:pStyle w:val="Box"/>
            </w:pPr>
            <w:r w:rsidRPr="00092371">
              <w:t>‘Independence of older people’ is defined as participation in the community by older people and is measured by the</w:t>
            </w:r>
            <w:r>
              <w:t xml:space="preserve"> proportion of people </w:t>
            </w:r>
            <w:r w:rsidR="00F53BAC" w:rsidRPr="00092371">
              <w:t xml:space="preserve">aged 65 or over </w:t>
            </w:r>
            <w:r w:rsidRPr="00092371">
              <w:t>living in households</w:t>
            </w:r>
            <w:r>
              <w:t>,</w:t>
            </w:r>
            <w:r w:rsidR="00F53BAC">
              <w:t xml:space="preserve"> </w:t>
            </w:r>
            <w:r w:rsidRPr="00092371">
              <w:t xml:space="preserve">who participated in social or community activities away from home in the past </w:t>
            </w:r>
            <w:r w:rsidR="00F53BAC">
              <w:t>3</w:t>
            </w:r>
            <w:r w:rsidRPr="00092371">
              <w:t xml:space="preserve"> months. </w:t>
            </w:r>
          </w:p>
          <w:p w:rsidR="00F022B6" w:rsidRDefault="00F022B6" w:rsidP="00F022B6">
            <w:pPr>
              <w:pStyle w:val="Box"/>
            </w:pPr>
            <w:r w:rsidRPr="00092371">
              <w:t xml:space="preserve">A high proportion of people aged 65 years or over who participated in </w:t>
            </w:r>
            <w:r>
              <w:t xml:space="preserve">social or </w:t>
            </w:r>
            <w:r w:rsidRPr="00092371">
              <w:t>community</w:t>
            </w:r>
            <w:r>
              <w:t xml:space="preserve"> activities is desirable.</w:t>
            </w:r>
          </w:p>
          <w:p w:rsidR="00F022B6" w:rsidRPr="00092371" w:rsidRDefault="00F022B6" w:rsidP="00F022B6">
            <w:pPr>
              <w:pStyle w:val="Box"/>
            </w:pPr>
            <w:r w:rsidRPr="00092371">
              <w:t>Data reported for this indicator</w:t>
            </w:r>
            <w:r>
              <w:t xml:space="preserve"> are</w:t>
            </w:r>
            <w:r w:rsidRPr="00092371">
              <w:t>:</w:t>
            </w:r>
          </w:p>
          <w:p w:rsidR="00F022B6" w:rsidRPr="00092371" w:rsidRDefault="00F022B6" w:rsidP="00F022B6">
            <w:pPr>
              <w:pStyle w:val="BoxListBullet"/>
            </w:pPr>
            <w:r w:rsidRPr="00092371">
              <w:t xml:space="preserve">comparable (subject to caveats) across jurisdictions for </w:t>
            </w:r>
            <w:r w:rsidRPr="00DB201A">
              <w:t>201</w:t>
            </w:r>
            <w:r>
              <w:t>5</w:t>
            </w:r>
          </w:p>
          <w:p w:rsidR="00F022B6" w:rsidRDefault="00F022B6" w:rsidP="00F022B6">
            <w:pPr>
              <w:pStyle w:val="BoxListBullet"/>
            </w:pPr>
            <w:r w:rsidRPr="00092371">
              <w:t xml:space="preserve">complete (subject to caveats) for the current reporting period. All required </w:t>
            </w:r>
            <w:r w:rsidRPr="00DB201A">
              <w:t>2015 data</w:t>
            </w:r>
            <w:r w:rsidRPr="00092371">
              <w:t xml:space="preserve"> are a</w:t>
            </w:r>
            <w:r>
              <w:t>vailable for all jurisdictions.</w:t>
            </w:r>
          </w:p>
          <w:p w:rsidR="00F022B6" w:rsidRPr="00092371" w:rsidRDefault="00F022B6" w:rsidP="00F53BAC">
            <w:pPr>
              <w:pStyle w:val="Box"/>
            </w:pPr>
            <w:r w:rsidRPr="00F746A7">
              <w:t>The</w:t>
            </w:r>
            <w:r w:rsidR="00873EB5">
              <w:t xml:space="preserve"> </w:t>
            </w:r>
            <w:r w:rsidR="00F53BAC">
              <w:t xml:space="preserve">Survey of Disability, Ageing and Carers </w:t>
            </w:r>
            <w:r w:rsidRPr="00F746A7">
              <w:t>does not include people living in discrete Indigenous communities and very remote areas, which affects the c</w:t>
            </w:r>
            <w:r>
              <w:t>omparability of NT results.</w:t>
            </w:r>
          </w:p>
        </w:tc>
      </w:tr>
      <w:tr w:rsidR="00F022B6" w:rsidRPr="00092371" w:rsidTr="00F022B6">
        <w:trPr>
          <w:cantSplit/>
        </w:trPr>
        <w:tc>
          <w:tcPr>
            <w:tcW w:w="8771" w:type="dxa"/>
            <w:tcBorders>
              <w:top w:val="nil"/>
              <w:left w:val="nil"/>
              <w:bottom w:val="single" w:sz="6" w:space="0" w:color="78A22F"/>
              <w:right w:val="nil"/>
            </w:tcBorders>
            <w:shd w:val="clear" w:color="auto" w:fill="F2F2F2" w:themeFill="background1" w:themeFillShade="F2"/>
          </w:tcPr>
          <w:p w:rsidR="00F022B6" w:rsidRPr="00092371" w:rsidRDefault="00F022B6" w:rsidP="00F022B6">
            <w:pPr>
              <w:pStyle w:val="Box"/>
              <w:spacing w:before="0" w:line="120" w:lineRule="exact"/>
            </w:pPr>
          </w:p>
        </w:tc>
      </w:tr>
      <w:tr w:rsidR="00F022B6" w:rsidRPr="00092371" w:rsidTr="00F022B6">
        <w:tc>
          <w:tcPr>
            <w:tcW w:w="8771" w:type="dxa"/>
            <w:tcBorders>
              <w:top w:val="single" w:sz="6" w:space="0" w:color="78A22F"/>
              <w:left w:val="nil"/>
              <w:bottom w:val="nil"/>
              <w:right w:val="nil"/>
            </w:tcBorders>
          </w:tcPr>
          <w:p w:rsidR="00F022B6" w:rsidRPr="00092371" w:rsidRDefault="00F022B6" w:rsidP="00F022B6">
            <w:pPr>
              <w:pStyle w:val="BoxSpaceBelow"/>
            </w:pPr>
          </w:p>
        </w:tc>
      </w:tr>
    </w:tbl>
    <w:p w:rsidR="0017048F" w:rsidRDefault="0017048F" w:rsidP="00624AE3">
      <w:pPr>
        <w:pStyle w:val="BodyText"/>
      </w:pPr>
      <w:r w:rsidRPr="00DB201A">
        <w:t xml:space="preserve">Nationally, </w:t>
      </w:r>
      <w:r w:rsidR="00E723F1" w:rsidRPr="00DB201A">
        <w:t>in 20</w:t>
      </w:r>
      <w:r w:rsidR="00CC65A2" w:rsidRPr="00DB201A">
        <w:t>1</w:t>
      </w:r>
      <w:r w:rsidR="00DB201A" w:rsidRPr="00DB201A">
        <w:t>5</w:t>
      </w:r>
      <w:r w:rsidR="00E723F1" w:rsidRPr="00DB201A">
        <w:t xml:space="preserve">, </w:t>
      </w:r>
      <w:r w:rsidR="0096235E" w:rsidRPr="00DB201A">
        <w:t>among</w:t>
      </w:r>
      <w:r w:rsidRPr="00DB201A">
        <w:t xml:space="preserve"> people aged 65 years </w:t>
      </w:r>
      <w:r w:rsidR="002E7B5F" w:rsidRPr="00DB201A">
        <w:t>or over</w:t>
      </w:r>
      <w:r w:rsidRPr="00DB201A">
        <w:t xml:space="preserve"> </w:t>
      </w:r>
      <w:r w:rsidR="00BE7792" w:rsidRPr="00DB201A">
        <w:t>living in households</w:t>
      </w:r>
      <w:r w:rsidR="0094760E" w:rsidRPr="00DB201A">
        <w:t>, the proportion who participated in social or community activities</w:t>
      </w:r>
      <w:r w:rsidR="00CC65A2" w:rsidRPr="00DB201A">
        <w:t xml:space="preserve"> away from home</w:t>
      </w:r>
      <w:r w:rsidR="0094760E" w:rsidRPr="00DB201A">
        <w:t xml:space="preserve"> in the past 3 months was</w:t>
      </w:r>
      <w:r w:rsidR="00CC65A2" w:rsidRPr="00DB201A">
        <w:t xml:space="preserve"> </w:t>
      </w:r>
      <w:r w:rsidR="002A0E06">
        <w:t>93</w:t>
      </w:r>
      <w:r w:rsidR="00CC65A2" w:rsidRPr="00DB201A">
        <w:t>.</w:t>
      </w:r>
      <w:r w:rsidR="002A0E06">
        <w:t>6</w:t>
      </w:r>
      <w:r w:rsidR="00483C15" w:rsidRPr="00DB201A">
        <w:t> </w:t>
      </w:r>
      <w:r w:rsidR="00CC65A2" w:rsidRPr="00DB201A">
        <w:t>per cent</w:t>
      </w:r>
      <w:r w:rsidR="0096235E" w:rsidRPr="00DB201A">
        <w:t xml:space="preserve"> </w:t>
      </w:r>
      <w:r w:rsidRPr="00DB201A">
        <w:t>(figure </w:t>
      </w:r>
      <w:r w:rsidR="00D021AD" w:rsidRPr="00DB201A">
        <w:t>F.</w:t>
      </w:r>
      <w:r w:rsidR="00646A94">
        <w:t>2</w:t>
      </w:r>
      <w:r w:rsidRPr="00DB201A">
        <w:t>).</w:t>
      </w:r>
    </w:p>
    <w:p w:rsidR="00466581" w:rsidRDefault="00466581" w:rsidP="00F33AC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466581" w:rsidTr="00F33AC2">
        <w:trPr>
          <w:tblHeader/>
        </w:trPr>
        <w:tc>
          <w:tcPr>
            <w:tcW w:w="8771" w:type="dxa"/>
            <w:tcBorders>
              <w:top w:val="single" w:sz="6" w:space="0" w:color="78A22F"/>
              <w:left w:val="nil"/>
              <w:bottom w:val="nil"/>
              <w:right w:val="nil"/>
            </w:tcBorders>
            <w:shd w:val="clear" w:color="auto" w:fill="auto"/>
          </w:tcPr>
          <w:p w:rsidR="00466581" w:rsidRPr="00176D3F" w:rsidRDefault="00466581" w:rsidP="00466581">
            <w:pPr>
              <w:pStyle w:val="FigureTitle"/>
            </w:pPr>
            <w:r w:rsidRPr="00784A05">
              <w:rPr>
                <w:b w:val="0"/>
              </w:rPr>
              <w:t xml:space="preserve">Figure </w:t>
            </w:r>
            <w:proofErr w:type="spellStart"/>
            <w:r>
              <w:rPr>
                <w:b w:val="0"/>
              </w:rPr>
              <w:t>F.</w:t>
            </w:r>
            <w:r w:rsidR="00F33AC2">
              <w:rPr>
                <w:b w:val="0"/>
                <w:noProof/>
              </w:rPr>
              <w:t>2</w:t>
            </w:r>
            <w:proofErr w:type="spellEnd"/>
            <w:r>
              <w:tab/>
              <w:t>P</w:t>
            </w:r>
            <w:r w:rsidRPr="00DB201A">
              <w:t>eople 65 years or over living in households</w:t>
            </w:r>
            <w:r>
              <w:t>, who participated in social/</w:t>
            </w:r>
            <w:r w:rsidRPr="00DB201A">
              <w:t xml:space="preserve">community activities away from home in the past </w:t>
            </w:r>
            <w:r>
              <w:t>3</w:t>
            </w:r>
            <w:r w:rsidRPr="00DB201A">
              <w:t xml:space="preserve"> months, 2015</w:t>
            </w:r>
            <w:r w:rsidRPr="00DB201A">
              <w:rPr>
                <w:rStyle w:val="NoteLabel"/>
                <w:b/>
              </w:rPr>
              <w:t>a</w:t>
            </w:r>
            <w:r>
              <w:rPr>
                <w:rStyle w:val="NoteLabel"/>
                <w:b/>
              </w:rPr>
              <w:t>, b</w:t>
            </w:r>
          </w:p>
        </w:tc>
      </w:tr>
      <w:tr w:rsidR="00466581" w:rsidTr="00F33AC2">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466581" w:rsidRPr="00B1465D" w:rsidTr="00F33AC2">
              <w:trPr>
                <w:tblHeader/>
                <w:jc w:val="center"/>
              </w:trPr>
              <w:tc>
                <w:tcPr>
                  <w:tcW w:w="5000" w:type="pct"/>
                  <w:tcBorders>
                    <w:top w:val="nil"/>
                    <w:bottom w:val="nil"/>
                  </w:tcBorders>
                </w:tcPr>
                <w:p w:rsidR="00466581" w:rsidRPr="00B1465D" w:rsidRDefault="00FF5B15" w:rsidP="00F33AC2">
                  <w:pPr>
                    <w:pStyle w:val="Figure"/>
                    <w:spacing w:before="60" w:after="60"/>
                    <w:rPr>
                      <w:rFonts w:ascii="Arial" w:hAnsi="Arial" w:cs="Arial"/>
                      <w:sz w:val="18"/>
                      <w:szCs w:val="18"/>
                    </w:rPr>
                  </w:pPr>
                  <w:r>
                    <w:rPr>
                      <w:rFonts w:ascii="Arial" w:hAnsi="Arial" w:cs="Arial"/>
                      <w:noProof/>
                      <w:sz w:val="18"/>
                      <w:szCs w:val="18"/>
                    </w:rPr>
                    <w:drawing>
                      <wp:inline distT="0" distB="0" distL="0" distR="0" wp14:anchorId="32D53CF6" wp14:editId="399088C0">
                        <wp:extent cx="5343525" cy="2162175"/>
                        <wp:effectExtent l="0" t="0" r="9525" b="9525"/>
                        <wp:docPr id="1" name="Picture 1" descr="Figure F.2 People 65 years or over living in households, who participated in social or community activities away from home in the past 3 months, 20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43525" cy="2162175"/>
                                </a:xfrm>
                                <a:prstGeom prst="rect">
                                  <a:avLst/>
                                </a:prstGeom>
                                <a:noFill/>
                                <a:ln>
                                  <a:noFill/>
                                </a:ln>
                              </pic:spPr>
                            </pic:pic>
                          </a:graphicData>
                        </a:graphic>
                      </wp:inline>
                    </w:drawing>
                  </w:r>
                </w:p>
              </w:tc>
            </w:tr>
          </w:tbl>
          <w:p w:rsidR="00466581" w:rsidRDefault="00466581" w:rsidP="00F33AC2">
            <w:pPr>
              <w:pStyle w:val="Figure"/>
            </w:pPr>
          </w:p>
        </w:tc>
      </w:tr>
      <w:tr w:rsidR="00466581" w:rsidRPr="00176D3F" w:rsidTr="00F33AC2">
        <w:tc>
          <w:tcPr>
            <w:tcW w:w="8771" w:type="dxa"/>
            <w:tcBorders>
              <w:top w:val="nil"/>
              <w:left w:val="nil"/>
              <w:bottom w:val="nil"/>
              <w:right w:val="nil"/>
            </w:tcBorders>
            <w:shd w:val="clear" w:color="auto" w:fill="auto"/>
          </w:tcPr>
          <w:p w:rsidR="00466581" w:rsidRPr="00176D3F" w:rsidRDefault="00466581" w:rsidP="00466581">
            <w:pPr>
              <w:pStyle w:val="Note"/>
            </w:pPr>
            <w:r w:rsidRPr="00092371">
              <w:rPr>
                <w:rStyle w:val="NoteLabel"/>
              </w:rPr>
              <w:t>a</w:t>
            </w:r>
            <w:r w:rsidRPr="00092371">
              <w:t xml:space="preserve"> </w:t>
            </w:r>
            <w:r w:rsidRPr="00B20B3B">
              <w:t xml:space="preserve">See </w:t>
            </w:r>
            <w:r>
              <w:t xml:space="preserve">box F.4 and </w:t>
            </w:r>
            <w:r w:rsidRPr="00B20B3B">
              <w:t xml:space="preserve">table </w:t>
            </w:r>
            <w:r>
              <w:t>FA.2</w:t>
            </w:r>
            <w:r w:rsidRPr="00B20B3B">
              <w:t xml:space="preserve"> for detailed </w:t>
            </w:r>
            <w:r>
              <w:t>definitions, footnotes and caveats.</w:t>
            </w:r>
            <w:r w:rsidRPr="00092371">
              <w:rPr>
                <w:rStyle w:val="NoteLabel"/>
              </w:rPr>
              <w:t xml:space="preserve"> </w:t>
            </w:r>
            <w:r>
              <w:rPr>
                <w:rStyle w:val="NoteLabel"/>
              </w:rPr>
              <w:t>b</w:t>
            </w:r>
            <w:r w:rsidRPr="00092371">
              <w:t xml:space="preserve"> </w:t>
            </w:r>
            <w:r w:rsidRPr="00841E21">
              <w:rPr>
                <w:rFonts w:asciiTheme="minorHAnsi" w:hAnsiTheme="minorHAnsi" w:cstheme="minorHAnsi"/>
                <w:szCs w:val="18"/>
              </w:rPr>
              <w:t>Error bars represent the 95 per cent confidence interval associated with each point estimate</w:t>
            </w:r>
            <w:r w:rsidRPr="008A7681">
              <w:rPr>
                <w:rFonts w:asciiTheme="minorHAnsi" w:hAnsiTheme="minorHAnsi"/>
                <w:sz w:val="22"/>
                <w:szCs w:val="22"/>
              </w:rPr>
              <w:t>.</w:t>
            </w:r>
          </w:p>
        </w:tc>
      </w:tr>
      <w:tr w:rsidR="00466581" w:rsidRPr="00176D3F" w:rsidTr="00F33AC2">
        <w:tc>
          <w:tcPr>
            <w:tcW w:w="8771" w:type="dxa"/>
            <w:tcBorders>
              <w:top w:val="nil"/>
              <w:left w:val="nil"/>
              <w:bottom w:val="nil"/>
              <w:right w:val="nil"/>
            </w:tcBorders>
            <w:shd w:val="clear" w:color="auto" w:fill="auto"/>
          </w:tcPr>
          <w:p w:rsidR="00466581" w:rsidRPr="00176D3F" w:rsidRDefault="00466581" w:rsidP="00466581">
            <w:pPr>
              <w:pStyle w:val="Source"/>
            </w:pPr>
            <w:r w:rsidRPr="00092371">
              <w:rPr>
                <w:i/>
              </w:rPr>
              <w:t>Source</w:t>
            </w:r>
            <w:r w:rsidRPr="00092371">
              <w:t xml:space="preserve">: ABS </w:t>
            </w:r>
            <w:r>
              <w:t>(unpublished)</w:t>
            </w:r>
            <w:r w:rsidRPr="00092371">
              <w:t xml:space="preserve"> Survey of Disability, Ageing and Carers</w:t>
            </w:r>
            <w:r>
              <w:t xml:space="preserve"> (SDAC)</w:t>
            </w:r>
            <w:r w:rsidRPr="00092371">
              <w:t xml:space="preserve"> 201</w:t>
            </w:r>
            <w:r>
              <w:t>5</w:t>
            </w:r>
            <w:r w:rsidRPr="00092371">
              <w:t xml:space="preserve">; </w:t>
            </w:r>
            <w:r w:rsidRPr="00092371">
              <w:rPr>
                <w:shd w:val="clear" w:color="auto" w:fill="FFFFFF" w:themeFill="background1"/>
              </w:rPr>
              <w:t>table FA.</w:t>
            </w:r>
            <w:r>
              <w:rPr>
                <w:shd w:val="clear" w:color="auto" w:fill="FFFFFF" w:themeFill="background1"/>
              </w:rPr>
              <w:t>2</w:t>
            </w:r>
            <w:r w:rsidRPr="00092371">
              <w:rPr>
                <w:shd w:val="clear" w:color="auto" w:fill="FFFFFF" w:themeFill="background1"/>
              </w:rPr>
              <w:t>.</w:t>
            </w:r>
            <w:r w:rsidRPr="00176D3F">
              <w:t xml:space="preserve"> </w:t>
            </w:r>
          </w:p>
        </w:tc>
      </w:tr>
      <w:tr w:rsidR="00466581" w:rsidTr="00F33AC2">
        <w:tc>
          <w:tcPr>
            <w:tcW w:w="8771" w:type="dxa"/>
            <w:tcBorders>
              <w:top w:val="nil"/>
              <w:left w:val="nil"/>
              <w:bottom w:val="single" w:sz="6" w:space="0" w:color="78A22F"/>
              <w:right w:val="nil"/>
            </w:tcBorders>
            <w:shd w:val="clear" w:color="auto" w:fill="auto"/>
          </w:tcPr>
          <w:p w:rsidR="00466581" w:rsidRDefault="00466581" w:rsidP="00F33AC2">
            <w:pPr>
              <w:pStyle w:val="Figurespace"/>
            </w:pPr>
          </w:p>
        </w:tc>
      </w:tr>
      <w:tr w:rsidR="00466581" w:rsidRPr="000863A5" w:rsidTr="00F33AC2">
        <w:tc>
          <w:tcPr>
            <w:tcW w:w="8771" w:type="dxa"/>
            <w:tcBorders>
              <w:top w:val="single" w:sz="6" w:space="0" w:color="78A22F"/>
              <w:left w:val="nil"/>
              <w:bottom w:val="nil"/>
              <w:right w:val="nil"/>
            </w:tcBorders>
          </w:tcPr>
          <w:p w:rsidR="00466581" w:rsidRPr="00626D32" w:rsidRDefault="00466581" w:rsidP="00F33AC2">
            <w:pPr>
              <w:pStyle w:val="BoxSpaceBelow"/>
            </w:pPr>
          </w:p>
        </w:tc>
      </w:tr>
    </w:tbl>
    <w:p w:rsidR="00332140" w:rsidRPr="00092371" w:rsidRDefault="00332140" w:rsidP="00654035">
      <w:pPr>
        <w:pStyle w:val="Heading4"/>
      </w:pPr>
      <w:r w:rsidRPr="00092371">
        <w:lastRenderedPageBreak/>
        <w:t>Quality of life</w:t>
      </w:r>
      <w:r w:rsidR="00737BD6" w:rsidRPr="00092371">
        <w:t xml:space="preserve"> </w:t>
      </w:r>
      <w:r w:rsidR="00F30C2B" w:rsidRPr="00092371">
        <w:rPr>
          <w:shd w:val="clear" w:color="auto" w:fill="FFFFFF" w:themeFill="background1"/>
        </w:rPr>
        <w:t>of people with disability</w:t>
      </w:r>
    </w:p>
    <w:p w:rsidR="004A0DD6" w:rsidRDefault="00332140" w:rsidP="00833C8E">
      <w:pPr>
        <w:pStyle w:val="BodyText"/>
        <w:shd w:val="clear" w:color="auto" w:fill="FFFFFF" w:themeFill="background1"/>
      </w:pPr>
      <w:r w:rsidRPr="00092371">
        <w:t>‘Quality of life</w:t>
      </w:r>
      <w:r w:rsidR="00F30C2B" w:rsidRPr="00092371">
        <w:t xml:space="preserve"> </w:t>
      </w:r>
      <w:r w:rsidR="00F30C2B" w:rsidRPr="00092371">
        <w:rPr>
          <w:shd w:val="clear" w:color="auto" w:fill="FFFFFF" w:themeFill="background1"/>
        </w:rPr>
        <w:t>of people with disability</w:t>
      </w:r>
      <w:r w:rsidRPr="00092371">
        <w:rPr>
          <w:shd w:val="clear" w:color="auto" w:fill="FFFFFF" w:themeFill="background1"/>
        </w:rPr>
        <w:t>’</w:t>
      </w:r>
      <w:r w:rsidRPr="00092371">
        <w:t xml:space="preserve"> is an indicator of governments’ objective </w:t>
      </w:r>
      <w:r w:rsidR="00A7744B" w:rsidRPr="00092371">
        <w:t>for</w:t>
      </w:r>
      <w:r w:rsidRPr="00092371">
        <w:t xml:space="preserve"> people with disability to have an enhanced quality of life and participate as valued members of the </w:t>
      </w:r>
      <w:r w:rsidRPr="00483C15">
        <w:t>community</w:t>
      </w:r>
      <w:r w:rsidR="00841B74" w:rsidRPr="00483C15">
        <w:t xml:space="preserve"> (box </w:t>
      </w:r>
      <w:r w:rsidR="00B810F9">
        <w:t>F.</w:t>
      </w:r>
      <w:r w:rsidR="002908D5">
        <w:t>5</w:t>
      </w:r>
      <w:r w:rsidR="00841B74" w:rsidRPr="00483C15">
        <w:t>)</w:t>
      </w:r>
      <w:r w:rsidR="00F5209B" w:rsidRPr="00483C15">
        <w:t>.</w:t>
      </w:r>
    </w:p>
    <w:p w:rsidR="002E5806" w:rsidRDefault="002E580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2E5806" w:rsidTr="002E5806">
        <w:tc>
          <w:tcPr>
            <w:tcW w:w="8771" w:type="dxa"/>
            <w:tcBorders>
              <w:top w:val="single" w:sz="6" w:space="0" w:color="78A22F"/>
              <w:left w:val="nil"/>
              <w:bottom w:val="nil"/>
              <w:right w:val="nil"/>
            </w:tcBorders>
            <w:shd w:val="clear" w:color="auto" w:fill="F2F2F2"/>
          </w:tcPr>
          <w:p w:rsidR="002E5806" w:rsidRDefault="002E5806" w:rsidP="002E5806">
            <w:pPr>
              <w:pStyle w:val="BoxTitle"/>
            </w:pPr>
            <w:r>
              <w:rPr>
                <w:b w:val="0"/>
              </w:rPr>
              <w:t xml:space="preserve">Box </w:t>
            </w:r>
            <w:proofErr w:type="spellStart"/>
            <w:r>
              <w:rPr>
                <w:b w:val="0"/>
              </w:rPr>
              <w:t>F.</w:t>
            </w:r>
            <w:r w:rsidR="00F33AC2">
              <w:rPr>
                <w:b w:val="0"/>
                <w:noProof/>
              </w:rPr>
              <w:t>5</w:t>
            </w:r>
            <w:proofErr w:type="spellEnd"/>
            <w:r>
              <w:tab/>
            </w:r>
            <w:r w:rsidRPr="003C41E7">
              <w:t>Quality of life of people with disability</w:t>
            </w:r>
          </w:p>
        </w:tc>
      </w:tr>
      <w:tr w:rsidR="002E5806" w:rsidTr="002E5806">
        <w:tc>
          <w:tcPr>
            <w:tcW w:w="8771" w:type="dxa"/>
            <w:tcBorders>
              <w:top w:val="nil"/>
              <w:left w:val="nil"/>
              <w:bottom w:val="nil"/>
              <w:right w:val="nil"/>
            </w:tcBorders>
            <w:shd w:val="clear" w:color="auto" w:fill="F2F2F2"/>
          </w:tcPr>
          <w:p w:rsidR="00646A94" w:rsidRDefault="002E5806" w:rsidP="002E5806">
            <w:pPr>
              <w:pStyle w:val="Box"/>
            </w:pPr>
            <w:r w:rsidRPr="00483C15">
              <w:t>‘Quality of life of people with disability’ is defined as overall life satisfaction of people with disability, and is measured by the number of people with disability who were at least mostly satisfied with their lives, divided by the total number of people with a mild, moderate, severe or profound disab</w:t>
            </w:r>
            <w:r w:rsidR="00AA39AB">
              <w:t>ility who provided a response.</w:t>
            </w:r>
          </w:p>
          <w:p w:rsidR="00646A94" w:rsidRPr="00483C15" w:rsidRDefault="00646A94" w:rsidP="00646A94">
            <w:pPr>
              <w:pStyle w:val="Box"/>
            </w:pPr>
            <w:r w:rsidRPr="00483C15">
              <w:t xml:space="preserve">A high proportion of people with disability who were at least mostly satisfied with their lives is desirable. </w:t>
            </w:r>
          </w:p>
          <w:p w:rsidR="00646A94" w:rsidRPr="00483C15" w:rsidRDefault="00646A94" w:rsidP="00646A94">
            <w:pPr>
              <w:pStyle w:val="Box"/>
            </w:pPr>
            <w:r w:rsidRPr="00483C15">
              <w:t xml:space="preserve">Overall life satisfaction is a subjective indicator of wellbeing. A number of circumstances may influence overall life satisfaction, such as health, education, employment, income, personality, family and social connections, civil and human rights, levels of trust and altruism, and opportunities for democratic participation (Diener 1984; Stutzer and Frey 2010). </w:t>
            </w:r>
          </w:p>
          <w:p w:rsidR="002E5806" w:rsidRDefault="00646A94" w:rsidP="00F53BAC">
            <w:pPr>
              <w:pStyle w:val="Box"/>
            </w:pPr>
            <w:r w:rsidRPr="008D60E3">
              <w:t xml:space="preserve">Data are no longer available for reporting against this indicator. </w:t>
            </w:r>
            <w:r w:rsidR="00F53BAC">
              <w:t>D</w:t>
            </w:r>
            <w:r w:rsidR="00F53BAC" w:rsidRPr="008D60E3">
              <w:t xml:space="preserve">ata </w:t>
            </w:r>
            <w:r w:rsidR="00F53BAC">
              <w:t xml:space="preserve">for </w:t>
            </w:r>
            <w:r w:rsidRPr="008D60E3">
              <w:t>2010 can be found in the 2015 Report.</w:t>
            </w:r>
          </w:p>
        </w:tc>
      </w:tr>
      <w:tr w:rsidR="002E5806" w:rsidTr="002E5806">
        <w:tc>
          <w:tcPr>
            <w:tcW w:w="8771" w:type="dxa"/>
            <w:tcBorders>
              <w:top w:val="nil"/>
              <w:left w:val="nil"/>
              <w:bottom w:val="single" w:sz="6" w:space="0" w:color="78A22F"/>
              <w:right w:val="nil"/>
            </w:tcBorders>
            <w:shd w:val="clear" w:color="auto" w:fill="F2F2F2"/>
          </w:tcPr>
          <w:p w:rsidR="002E5806" w:rsidRDefault="002E5806">
            <w:pPr>
              <w:pStyle w:val="Box"/>
              <w:spacing w:before="0" w:line="120" w:lineRule="exact"/>
            </w:pPr>
          </w:p>
        </w:tc>
      </w:tr>
      <w:tr w:rsidR="002E5806" w:rsidRPr="000863A5" w:rsidTr="002E5806">
        <w:tc>
          <w:tcPr>
            <w:tcW w:w="8771" w:type="dxa"/>
            <w:tcBorders>
              <w:top w:val="single" w:sz="6" w:space="0" w:color="78A22F"/>
              <w:left w:val="nil"/>
              <w:bottom w:val="nil"/>
              <w:right w:val="nil"/>
            </w:tcBorders>
          </w:tcPr>
          <w:p w:rsidR="002E5806" w:rsidRPr="00626D32" w:rsidRDefault="002E5806" w:rsidP="002E5806">
            <w:pPr>
              <w:pStyle w:val="BoxSpaceBelow"/>
            </w:pPr>
          </w:p>
        </w:tc>
      </w:tr>
    </w:tbl>
    <w:p w:rsidR="00732082" w:rsidRPr="00092371" w:rsidRDefault="00732082" w:rsidP="00654035">
      <w:pPr>
        <w:pStyle w:val="Heading4"/>
      </w:pPr>
      <w:r w:rsidRPr="00092371">
        <w:t>Participation of people with disability and their carers in the community</w:t>
      </w:r>
    </w:p>
    <w:p w:rsidR="00732082" w:rsidRDefault="00732082" w:rsidP="00732082">
      <w:pPr>
        <w:pStyle w:val="BodyText"/>
      </w:pPr>
      <w:r w:rsidRPr="00092371">
        <w:t>‘Participation of people with disability and their carers</w:t>
      </w:r>
      <w:r w:rsidR="008049F3" w:rsidRPr="00092371">
        <w:t xml:space="preserve"> in the community</w:t>
      </w:r>
      <w:r w:rsidRPr="00092371">
        <w:t xml:space="preserve">’ is an indicator of governments’ objective </w:t>
      </w:r>
      <w:r w:rsidR="00A7744B" w:rsidRPr="00092371">
        <w:t>for</w:t>
      </w:r>
      <w:r w:rsidRPr="00092371">
        <w:t xml:space="preserve"> people with disability and their carers to participate as valued members of the community</w:t>
      </w:r>
      <w:r w:rsidR="00E33535" w:rsidRPr="00092371">
        <w:t xml:space="preserve"> </w:t>
      </w:r>
      <w:r w:rsidR="000D6710" w:rsidRPr="00092371">
        <w:t xml:space="preserve">and have an enhanced quality of life </w:t>
      </w:r>
      <w:r w:rsidR="00E33535" w:rsidRPr="00092371">
        <w:t>(</w:t>
      </w:r>
      <w:r w:rsidR="00E33535" w:rsidRPr="00483C15">
        <w:t xml:space="preserve">box </w:t>
      </w:r>
      <w:r w:rsidR="00793813">
        <w:t>F.</w:t>
      </w:r>
      <w:r w:rsidR="002908D5">
        <w:t>6</w:t>
      </w:r>
      <w:r w:rsidR="00E33535" w:rsidRPr="00483C15">
        <w:t>)</w:t>
      </w:r>
      <w:r w:rsidR="00F1119E" w:rsidRPr="00483C15">
        <w:t>.</w:t>
      </w:r>
    </w:p>
    <w:p w:rsidR="00C478C4" w:rsidRDefault="00C478C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478C4" w:rsidTr="00D344DF">
        <w:tc>
          <w:tcPr>
            <w:tcW w:w="8771" w:type="dxa"/>
            <w:tcBorders>
              <w:top w:val="single" w:sz="6" w:space="0" w:color="78A22F"/>
              <w:left w:val="nil"/>
              <w:bottom w:val="nil"/>
              <w:right w:val="nil"/>
            </w:tcBorders>
            <w:shd w:val="clear" w:color="auto" w:fill="F2F2F2"/>
          </w:tcPr>
          <w:p w:rsidR="00C478C4" w:rsidRDefault="00C478C4">
            <w:pPr>
              <w:pStyle w:val="BoxTitle"/>
            </w:pPr>
            <w:r>
              <w:rPr>
                <w:b w:val="0"/>
              </w:rPr>
              <w:t xml:space="preserve">Box </w:t>
            </w:r>
            <w:proofErr w:type="spellStart"/>
            <w:r>
              <w:rPr>
                <w:b w:val="0"/>
              </w:rPr>
              <w:t>F.</w:t>
            </w:r>
            <w:r w:rsidR="00F33AC2">
              <w:rPr>
                <w:b w:val="0"/>
                <w:noProof/>
              </w:rPr>
              <w:t>6</w:t>
            </w:r>
            <w:proofErr w:type="spellEnd"/>
            <w:r>
              <w:tab/>
            </w:r>
            <w:r w:rsidRPr="00891440">
              <w:t>Participation of people with disability and their carers in the community</w:t>
            </w:r>
          </w:p>
        </w:tc>
      </w:tr>
      <w:tr w:rsidR="00C478C4" w:rsidTr="00D344DF">
        <w:trPr>
          <w:cantSplit/>
        </w:trPr>
        <w:tc>
          <w:tcPr>
            <w:tcW w:w="8771" w:type="dxa"/>
            <w:tcBorders>
              <w:top w:val="nil"/>
              <w:left w:val="nil"/>
              <w:bottom w:val="nil"/>
              <w:right w:val="nil"/>
            </w:tcBorders>
            <w:shd w:val="clear" w:color="auto" w:fill="F2F2F2"/>
          </w:tcPr>
          <w:p w:rsidR="00C478C4" w:rsidRPr="00891440" w:rsidRDefault="00C478C4" w:rsidP="00C478C4">
            <w:pPr>
              <w:pStyle w:val="Box"/>
            </w:pPr>
            <w:r w:rsidRPr="00891440">
              <w:t xml:space="preserve">‘Participation of people with disability and their carers in the community’ is defined as social and community participation of people with disability and their carers and is </w:t>
            </w:r>
            <w:r>
              <w:t xml:space="preserve">reported </w:t>
            </w:r>
            <w:r w:rsidRPr="00891440">
              <w:t xml:space="preserve">by </w:t>
            </w:r>
            <w:r>
              <w:t xml:space="preserve">two </w:t>
            </w:r>
            <w:r w:rsidRPr="00891440">
              <w:t>measure</w:t>
            </w:r>
            <w:r>
              <w:t>s</w:t>
            </w:r>
            <w:r w:rsidRPr="00891440">
              <w:t>:</w:t>
            </w:r>
          </w:p>
          <w:p w:rsidR="00C478C4" w:rsidRPr="00256A62" w:rsidRDefault="00C478C4" w:rsidP="00C478C4">
            <w:pPr>
              <w:pStyle w:val="BoxListBullet"/>
            </w:pPr>
            <w:r w:rsidRPr="00256A62">
              <w:t xml:space="preserve">the proportion of people with disability and their carers who participated in social or community activities (away from home or at home) in the past </w:t>
            </w:r>
            <w:r>
              <w:t>3 months</w:t>
            </w:r>
          </w:p>
          <w:p w:rsidR="00C478C4" w:rsidRDefault="00C478C4" w:rsidP="00D344DF">
            <w:pPr>
              <w:pStyle w:val="BoxListBullet"/>
            </w:pPr>
            <w:r w:rsidRPr="00891440">
              <w:t xml:space="preserve">the proportion of primary carers </w:t>
            </w:r>
            <w:r>
              <w:t xml:space="preserve">of people with disability </w:t>
            </w:r>
            <w:r w:rsidRPr="00891440">
              <w:t xml:space="preserve">who participated in social or community activities </w:t>
            </w:r>
            <w:r w:rsidRPr="00665E5E">
              <w:t>(away from home or at home)</w:t>
            </w:r>
            <w:r w:rsidRPr="00AD3330">
              <w:t xml:space="preserve"> and without the care recipient</w:t>
            </w:r>
            <w:r w:rsidRPr="00891440">
              <w:t xml:space="preserve"> in the past </w:t>
            </w:r>
            <w:r>
              <w:t>3</w:t>
            </w:r>
            <w:r w:rsidRPr="00891440">
              <w:t xml:space="preserve"> months. </w:t>
            </w:r>
          </w:p>
        </w:tc>
      </w:tr>
      <w:tr w:rsidR="00C478C4" w:rsidTr="00D344DF">
        <w:trPr>
          <w:cantSplit/>
        </w:trPr>
        <w:tc>
          <w:tcPr>
            <w:tcW w:w="8771" w:type="dxa"/>
            <w:tcBorders>
              <w:top w:val="nil"/>
              <w:left w:val="nil"/>
              <w:bottom w:val="nil"/>
              <w:right w:val="nil"/>
            </w:tcBorders>
            <w:shd w:val="clear" w:color="auto" w:fill="F2F2F2"/>
          </w:tcPr>
          <w:p w:rsidR="00C478C4" w:rsidRPr="00023ED5" w:rsidRDefault="00C9043E" w:rsidP="00C9043E">
            <w:pPr>
              <w:pStyle w:val="BoxSource"/>
              <w:jc w:val="right"/>
            </w:pPr>
            <w:r w:rsidRPr="00023ED5">
              <w:t>(continued next page)</w:t>
            </w:r>
          </w:p>
        </w:tc>
      </w:tr>
      <w:tr w:rsidR="00C478C4" w:rsidTr="00D344DF">
        <w:trPr>
          <w:cantSplit/>
        </w:trPr>
        <w:tc>
          <w:tcPr>
            <w:tcW w:w="8771" w:type="dxa"/>
            <w:tcBorders>
              <w:top w:val="nil"/>
              <w:left w:val="nil"/>
              <w:bottom w:val="single" w:sz="6" w:space="0" w:color="78A22F"/>
              <w:right w:val="nil"/>
            </w:tcBorders>
            <w:shd w:val="clear" w:color="auto" w:fill="F2F2F2"/>
          </w:tcPr>
          <w:p w:rsidR="00C478C4" w:rsidRDefault="00C478C4">
            <w:pPr>
              <w:pStyle w:val="Box"/>
              <w:spacing w:before="0" w:line="120" w:lineRule="exact"/>
            </w:pPr>
          </w:p>
        </w:tc>
      </w:tr>
      <w:tr w:rsidR="00C478C4" w:rsidRPr="000863A5" w:rsidTr="00D344DF">
        <w:tc>
          <w:tcPr>
            <w:tcW w:w="8771" w:type="dxa"/>
            <w:tcBorders>
              <w:top w:val="single" w:sz="6" w:space="0" w:color="78A22F"/>
              <w:left w:val="nil"/>
              <w:bottom w:val="nil"/>
              <w:right w:val="nil"/>
            </w:tcBorders>
          </w:tcPr>
          <w:p w:rsidR="00C478C4" w:rsidRPr="00626D32" w:rsidRDefault="00C478C4" w:rsidP="00D344DF">
            <w:pPr>
              <w:pStyle w:val="BoxSpaceBelow"/>
            </w:pPr>
          </w:p>
        </w:tc>
      </w:tr>
    </w:tbl>
    <w:p w:rsidR="002E5806" w:rsidRDefault="002E580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2E5806" w:rsidTr="002E5806">
        <w:tc>
          <w:tcPr>
            <w:tcW w:w="8771" w:type="dxa"/>
            <w:tcBorders>
              <w:top w:val="single" w:sz="6" w:space="0" w:color="78A22F"/>
              <w:left w:val="nil"/>
              <w:bottom w:val="nil"/>
              <w:right w:val="nil"/>
            </w:tcBorders>
            <w:shd w:val="clear" w:color="auto" w:fill="F2F2F2"/>
          </w:tcPr>
          <w:p w:rsidR="002E5806" w:rsidRPr="00C9043E" w:rsidRDefault="002E5806" w:rsidP="00841E21">
            <w:pPr>
              <w:pStyle w:val="BoxTitle"/>
              <w:rPr>
                <w:b w:val="0"/>
                <w:sz w:val="18"/>
                <w:szCs w:val="18"/>
              </w:rPr>
            </w:pPr>
            <w:r>
              <w:rPr>
                <w:b w:val="0"/>
              </w:rPr>
              <w:t xml:space="preserve">Box </w:t>
            </w:r>
            <w:proofErr w:type="spellStart"/>
            <w:r>
              <w:rPr>
                <w:b w:val="0"/>
              </w:rPr>
              <w:t>F.</w:t>
            </w:r>
            <w:r w:rsidR="00841E21">
              <w:rPr>
                <w:b w:val="0"/>
              </w:rPr>
              <w:t>6</w:t>
            </w:r>
            <w:proofErr w:type="spellEnd"/>
            <w:r>
              <w:tab/>
            </w:r>
            <w:r w:rsidR="004417E6" w:rsidRPr="004417E6">
              <w:rPr>
                <w:b w:val="0"/>
                <w:sz w:val="18"/>
                <w:szCs w:val="18"/>
              </w:rPr>
              <w:t>(</w:t>
            </w:r>
            <w:r w:rsidR="00C9043E" w:rsidRPr="004417E6">
              <w:rPr>
                <w:b w:val="0"/>
                <w:sz w:val="18"/>
                <w:szCs w:val="18"/>
              </w:rPr>
              <w:t>continued</w:t>
            </w:r>
            <w:r w:rsidR="004417E6">
              <w:rPr>
                <w:b w:val="0"/>
                <w:sz w:val="18"/>
                <w:szCs w:val="18"/>
              </w:rPr>
              <w:t>)</w:t>
            </w:r>
          </w:p>
        </w:tc>
      </w:tr>
      <w:tr w:rsidR="002E5806" w:rsidTr="002E5806">
        <w:tc>
          <w:tcPr>
            <w:tcW w:w="8771" w:type="dxa"/>
            <w:tcBorders>
              <w:top w:val="nil"/>
              <w:left w:val="nil"/>
              <w:bottom w:val="nil"/>
              <w:right w:val="nil"/>
            </w:tcBorders>
            <w:shd w:val="clear" w:color="auto" w:fill="F2F2F2"/>
          </w:tcPr>
          <w:p w:rsidR="004417E6" w:rsidRDefault="004417E6" w:rsidP="00DB201A">
            <w:pPr>
              <w:pStyle w:val="Box"/>
            </w:pPr>
            <w:r w:rsidRPr="00891440">
              <w:t>A high proportion of people with disability and their carers who participated in social or com</w:t>
            </w:r>
            <w:r>
              <w:t>munity activities is desirable.</w:t>
            </w:r>
          </w:p>
          <w:p w:rsidR="00DB201A" w:rsidRDefault="002E5806" w:rsidP="00DB201A">
            <w:pPr>
              <w:pStyle w:val="Box"/>
            </w:pPr>
            <w:r>
              <w:t xml:space="preserve">Data are not available for the first measure. </w:t>
            </w:r>
            <w:r w:rsidRPr="00891440">
              <w:t xml:space="preserve">Data reported for </w:t>
            </w:r>
            <w:r>
              <w:t>the second measure are</w:t>
            </w:r>
            <w:r w:rsidR="00DB201A">
              <w:t>:</w:t>
            </w:r>
          </w:p>
          <w:p w:rsidR="002E5806" w:rsidRDefault="002E5806" w:rsidP="00DB201A">
            <w:pPr>
              <w:pStyle w:val="BoxListBullet"/>
            </w:pPr>
            <w:r w:rsidRPr="00DB201A">
              <w:t>comparable (subject to caveats) across jurisdictions for 201</w:t>
            </w:r>
            <w:r w:rsidR="00DB201A" w:rsidRPr="00DB201A">
              <w:t>5</w:t>
            </w:r>
            <w:r w:rsidRPr="00DB201A">
              <w:t xml:space="preserve"> but a break in series means that data for </w:t>
            </w:r>
            <w:r w:rsidRPr="00294520">
              <w:t>20</w:t>
            </w:r>
            <w:r w:rsidR="00294520" w:rsidRPr="00294520">
              <w:t>09</w:t>
            </w:r>
            <w:r w:rsidRPr="00DB201A">
              <w:t xml:space="preserve"> and earlier years are not comparable to data for 201</w:t>
            </w:r>
            <w:r w:rsidR="00DB201A" w:rsidRPr="00DB201A">
              <w:t>5</w:t>
            </w:r>
          </w:p>
          <w:p w:rsidR="00294520" w:rsidRDefault="00A86F10" w:rsidP="00294520">
            <w:pPr>
              <w:pStyle w:val="BoxListBullet"/>
            </w:pPr>
            <w:r>
              <w:t>t</w:t>
            </w:r>
            <w:r w:rsidR="00294520" w:rsidRPr="00BE2DC4">
              <w:t xml:space="preserve">he </w:t>
            </w:r>
            <w:r w:rsidR="00831E95" w:rsidRPr="00BE2DC4">
              <w:t>c</w:t>
            </w:r>
            <w:r w:rsidR="00294520" w:rsidRPr="00BE2DC4">
              <w:t xml:space="preserve">arers participation in social or community activities </w:t>
            </w:r>
            <w:r w:rsidR="00466581">
              <w:t>‘</w:t>
            </w:r>
            <w:r w:rsidR="00294520" w:rsidRPr="00466581">
              <w:rPr>
                <w:iCs/>
              </w:rPr>
              <w:t>at home</w:t>
            </w:r>
            <w:r w:rsidR="00466581">
              <w:rPr>
                <w:iCs/>
              </w:rPr>
              <w:t>’</w:t>
            </w:r>
            <w:r w:rsidR="00294520" w:rsidRPr="00BE2DC4">
              <w:t xml:space="preserve"> data item is not comparable between 2012 and 2015 due to </w:t>
            </w:r>
            <w:r w:rsidR="00294520" w:rsidRPr="00BE2DC4">
              <w:rPr>
                <w:rFonts w:cs="Arial"/>
              </w:rPr>
              <w:t>slight differences in response categories for this topic</w:t>
            </w:r>
            <w:r w:rsidR="00294520" w:rsidRPr="00BE2DC4">
              <w:t xml:space="preserve">. The </w:t>
            </w:r>
            <w:r w:rsidR="008833EB">
              <w:t>‘</w:t>
            </w:r>
            <w:r w:rsidR="00294520" w:rsidRPr="00BE2DC4">
              <w:t>Away from home</w:t>
            </w:r>
            <w:r w:rsidR="008833EB">
              <w:t>’</w:t>
            </w:r>
            <w:r w:rsidR="00294520" w:rsidRPr="00BE2DC4">
              <w:t xml:space="preserve"> data item is comparable between 2012 and 2015</w:t>
            </w:r>
          </w:p>
          <w:p w:rsidR="00646A94" w:rsidRPr="00DB201A" w:rsidRDefault="00646A94" w:rsidP="00646A94">
            <w:pPr>
              <w:pStyle w:val="BoxListBullet"/>
            </w:pPr>
            <w:r w:rsidRPr="00DB201A">
              <w:t>complete (subject to caveats) for the current reporting period. All required 2015 data are available for all jurisdictions</w:t>
            </w:r>
            <w:r w:rsidR="00C369EF">
              <w:t>.</w:t>
            </w:r>
          </w:p>
          <w:p w:rsidR="00646A94" w:rsidRPr="00DB201A" w:rsidRDefault="00646A94" w:rsidP="00646A94">
            <w:pPr>
              <w:pStyle w:val="Box"/>
            </w:pPr>
            <w:r w:rsidRPr="00DB201A">
              <w:t>The SDAC does not include people living in discrete Indigenous communities and very remote areas, which affects the comparability of the NT results.</w:t>
            </w:r>
          </w:p>
        </w:tc>
      </w:tr>
      <w:tr w:rsidR="002E5806" w:rsidTr="002E5806">
        <w:tc>
          <w:tcPr>
            <w:tcW w:w="8771" w:type="dxa"/>
            <w:tcBorders>
              <w:top w:val="nil"/>
              <w:left w:val="nil"/>
              <w:bottom w:val="single" w:sz="6" w:space="0" w:color="78A22F"/>
              <w:right w:val="nil"/>
            </w:tcBorders>
            <w:shd w:val="clear" w:color="auto" w:fill="F2F2F2"/>
          </w:tcPr>
          <w:p w:rsidR="002E5806" w:rsidRDefault="002E5806">
            <w:pPr>
              <w:pStyle w:val="Box"/>
              <w:spacing w:before="0" w:line="120" w:lineRule="exact"/>
            </w:pPr>
          </w:p>
        </w:tc>
      </w:tr>
      <w:tr w:rsidR="002E5806" w:rsidRPr="000863A5" w:rsidTr="002E5806">
        <w:tc>
          <w:tcPr>
            <w:tcW w:w="8771" w:type="dxa"/>
            <w:tcBorders>
              <w:top w:val="single" w:sz="6" w:space="0" w:color="78A22F"/>
              <w:left w:val="nil"/>
              <w:bottom w:val="nil"/>
              <w:right w:val="nil"/>
            </w:tcBorders>
          </w:tcPr>
          <w:p w:rsidR="002E5806" w:rsidRPr="00626D32" w:rsidRDefault="002E5806" w:rsidP="002E5806">
            <w:pPr>
              <w:pStyle w:val="BoxSpaceBelow"/>
            </w:pPr>
          </w:p>
        </w:tc>
      </w:tr>
    </w:tbl>
    <w:p w:rsidR="00F53BAC" w:rsidRPr="001441CA" w:rsidRDefault="0017048F" w:rsidP="00F53BAC">
      <w:pPr>
        <w:pStyle w:val="BodyText"/>
      </w:pPr>
      <w:r w:rsidRPr="00DB201A">
        <w:t>Nationally</w:t>
      </w:r>
      <w:r w:rsidR="00E320A7" w:rsidRPr="00DB201A">
        <w:t xml:space="preserve"> in 20</w:t>
      </w:r>
      <w:r w:rsidR="00495EE9" w:rsidRPr="00DB201A">
        <w:t>1</w:t>
      </w:r>
      <w:r w:rsidR="00DB201A" w:rsidRPr="00DB201A">
        <w:t>5</w:t>
      </w:r>
      <w:r w:rsidRPr="00DB201A">
        <w:t xml:space="preserve">, </w:t>
      </w:r>
      <w:r w:rsidR="003F5C1D">
        <w:t>76</w:t>
      </w:r>
      <w:r w:rsidR="00AD3330" w:rsidRPr="00DB201A">
        <w:t>.</w:t>
      </w:r>
      <w:r w:rsidR="003F5C1D">
        <w:t>0</w:t>
      </w:r>
      <w:r w:rsidR="00F83C3F" w:rsidRPr="00DB201A">
        <w:t xml:space="preserve"> </w:t>
      </w:r>
      <w:r w:rsidRPr="00DB201A">
        <w:t xml:space="preserve">per cent of </w:t>
      </w:r>
      <w:r w:rsidR="007C44E1" w:rsidRPr="00DB201A">
        <w:t xml:space="preserve">primary carers participated in social or community activities </w:t>
      </w:r>
      <w:r w:rsidR="007C44E1" w:rsidRPr="00F53BAC">
        <w:rPr>
          <w:i/>
        </w:rPr>
        <w:t>away from home</w:t>
      </w:r>
      <w:r w:rsidR="007C44E1" w:rsidRPr="00DB201A">
        <w:t xml:space="preserve"> and without the </w:t>
      </w:r>
      <w:r w:rsidR="00F53BAC" w:rsidRPr="00DB201A">
        <w:t xml:space="preserve">care </w:t>
      </w:r>
      <w:r w:rsidR="007C44E1" w:rsidRPr="00DB201A">
        <w:t xml:space="preserve">recipient in the </w:t>
      </w:r>
      <w:r w:rsidR="00A7744B" w:rsidRPr="00DB201A">
        <w:t>past</w:t>
      </w:r>
      <w:r w:rsidR="00F53BAC">
        <w:t xml:space="preserve"> 3</w:t>
      </w:r>
      <w:r w:rsidR="00040120" w:rsidRPr="00DB201A">
        <w:t xml:space="preserve"> months</w:t>
      </w:r>
      <w:r w:rsidR="007C44E1" w:rsidRPr="00DB201A">
        <w:t xml:space="preserve"> </w:t>
      </w:r>
      <w:r w:rsidRPr="00DB201A">
        <w:t>(figure </w:t>
      </w:r>
      <w:r w:rsidR="00B810F9" w:rsidRPr="00DB201A">
        <w:t>F.</w:t>
      </w:r>
      <w:r w:rsidR="003B515F">
        <w:t>3</w:t>
      </w:r>
      <w:r w:rsidR="00F53BAC">
        <w:t>).</w:t>
      </w:r>
    </w:p>
    <w:p w:rsidR="00E754A0" w:rsidRPr="00891440" w:rsidRDefault="00E754A0" w:rsidP="00F53BAC">
      <w:pPr>
        <w:pStyle w:val="BodyText"/>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92371" w:rsidRPr="00092371" w:rsidTr="00C73863">
        <w:tc>
          <w:tcPr>
            <w:tcW w:w="8771" w:type="dxa"/>
            <w:tcBorders>
              <w:top w:val="single" w:sz="6" w:space="0" w:color="78A22F"/>
              <w:left w:val="nil"/>
              <w:bottom w:val="nil"/>
              <w:right w:val="nil"/>
            </w:tcBorders>
            <w:shd w:val="clear" w:color="auto" w:fill="auto"/>
          </w:tcPr>
          <w:p w:rsidR="00E754A0" w:rsidRPr="001E60CD" w:rsidRDefault="00E754A0" w:rsidP="00F53BAC">
            <w:pPr>
              <w:pStyle w:val="FigureTitle"/>
              <w:rPr>
                <w:rStyle w:val="DraftingNote"/>
              </w:rPr>
            </w:pPr>
            <w:r w:rsidRPr="00DB201A">
              <w:rPr>
                <w:b w:val="0"/>
              </w:rPr>
              <w:t xml:space="preserve">Figure </w:t>
            </w:r>
            <w:proofErr w:type="spellStart"/>
            <w:r w:rsidR="00EC1787" w:rsidRPr="00DB201A">
              <w:rPr>
                <w:b w:val="0"/>
              </w:rPr>
              <w:t>F.</w:t>
            </w:r>
            <w:r w:rsidR="00F33AC2">
              <w:rPr>
                <w:b w:val="0"/>
                <w:noProof/>
              </w:rPr>
              <w:t>3</w:t>
            </w:r>
            <w:proofErr w:type="spellEnd"/>
            <w:r w:rsidRPr="00DB201A">
              <w:tab/>
            </w:r>
            <w:r w:rsidR="00F53BAC">
              <w:t>P</w:t>
            </w:r>
            <w:r w:rsidR="009C45D6" w:rsidRPr="00DB201A">
              <w:t>rimary carers who participated in social or community activities away from home</w:t>
            </w:r>
            <w:r w:rsidR="00A13891" w:rsidRPr="00DB201A">
              <w:t xml:space="preserve"> in the last </w:t>
            </w:r>
            <w:r w:rsidR="00F53BAC">
              <w:t>3</w:t>
            </w:r>
            <w:r w:rsidR="00A13891" w:rsidRPr="00DB201A">
              <w:t xml:space="preserve"> months</w:t>
            </w:r>
            <w:r w:rsidR="009C45D6" w:rsidRPr="00DB201A">
              <w:t>, 201</w:t>
            </w:r>
            <w:r w:rsidR="00DB201A">
              <w:t>5</w:t>
            </w:r>
            <w:r w:rsidR="00211ECC">
              <w:rPr>
                <w:rStyle w:val="NoteLabel"/>
                <w:b/>
              </w:rPr>
              <w:t>a</w:t>
            </w:r>
            <w:r w:rsidR="00841E21">
              <w:rPr>
                <w:rStyle w:val="NoteLabel"/>
                <w:b/>
              </w:rPr>
              <w:t>, b</w:t>
            </w:r>
            <w:r w:rsidR="001E60CD">
              <w:rPr>
                <w:rStyle w:val="NoteLabel"/>
                <w:b/>
              </w:rPr>
              <w:t xml:space="preserve"> </w:t>
            </w:r>
          </w:p>
        </w:tc>
      </w:tr>
      <w:tr w:rsidR="00092371" w:rsidRPr="00092371" w:rsidTr="00C73863">
        <w:tc>
          <w:tcPr>
            <w:tcW w:w="8771" w:type="dxa"/>
            <w:tcBorders>
              <w:top w:val="nil"/>
              <w:left w:val="nil"/>
              <w:bottom w:val="nil"/>
              <w:right w:val="nil"/>
            </w:tcBorders>
            <w:shd w:val="clear" w:color="auto" w:fill="auto"/>
            <w:tcMar>
              <w:top w:w="28" w:type="dxa"/>
              <w:bottom w:w="28" w:type="dxa"/>
            </w:tcMar>
          </w:tcPr>
          <w:p w:rsidR="00E754A0" w:rsidRPr="00092371" w:rsidRDefault="00FF5B15" w:rsidP="00C73863">
            <w:pPr>
              <w:pStyle w:val="Figure"/>
            </w:pPr>
            <w:r>
              <w:rPr>
                <w:noProof/>
              </w:rPr>
              <w:drawing>
                <wp:inline distT="0" distB="0" distL="0" distR="0" wp14:anchorId="78DB105A" wp14:editId="070F4E66">
                  <wp:extent cx="5419725" cy="2524125"/>
                  <wp:effectExtent l="0" t="0" r="9525" b="9525"/>
                  <wp:docPr id="2" name="Picture 2" descr="Figure F.3 Primary carers who participated in social or community activities away from home in the last 3 months, 20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19725" cy="2524125"/>
                          </a:xfrm>
                          <a:prstGeom prst="rect">
                            <a:avLst/>
                          </a:prstGeom>
                          <a:noFill/>
                          <a:ln>
                            <a:noFill/>
                          </a:ln>
                        </pic:spPr>
                      </pic:pic>
                    </a:graphicData>
                  </a:graphic>
                </wp:inline>
              </w:drawing>
            </w:r>
          </w:p>
        </w:tc>
      </w:tr>
      <w:tr w:rsidR="00092371" w:rsidRPr="00092371" w:rsidTr="00C73863">
        <w:tc>
          <w:tcPr>
            <w:tcW w:w="8771" w:type="dxa"/>
            <w:tcBorders>
              <w:top w:val="nil"/>
              <w:left w:val="nil"/>
              <w:bottom w:val="nil"/>
              <w:right w:val="nil"/>
            </w:tcBorders>
            <w:shd w:val="clear" w:color="auto" w:fill="auto"/>
          </w:tcPr>
          <w:p w:rsidR="00E754A0" w:rsidRPr="00092371" w:rsidRDefault="00C70DF6" w:rsidP="00832204">
            <w:pPr>
              <w:pStyle w:val="Note"/>
            </w:pPr>
            <w:r>
              <w:rPr>
                <w:rStyle w:val="NoteLabel"/>
              </w:rPr>
              <w:t xml:space="preserve">a </w:t>
            </w:r>
            <w:r w:rsidRPr="00B20B3B">
              <w:t xml:space="preserve">See </w:t>
            </w:r>
            <w:r w:rsidR="00741DBC">
              <w:t>box F.</w:t>
            </w:r>
            <w:r w:rsidR="002908D5">
              <w:t>6</w:t>
            </w:r>
            <w:r w:rsidR="00741DBC">
              <w:t xml:space="preserve"> and </w:t>
            </w:r>
            <w:r w:rsidRPr="00B20B3B">
              <w:t xml:space="preserve">table </w:t>
            </w:r>
            <w:r>
              <w:t>FA.</w:t>
            </w:r>
            <w:r w:rsidR="00832204">
              <w:t>3</w:t>
            </w:r>
            <w:r w:rsidRPr="00B20B3B">
              <w:t xml:space="preserve"> for detailed </w:t>
            </w:r>
            <w:r>
              <w:t>definitions, footnotes and caveat</w:t>
            </w:r>
            <w:r w:rsidR="006E14D5">
              <w:t>s</w:t>
            </w:r>
            <w:r w:rsidR="00211ECC">
              <w:t>.</w:t>
            </w:r>
            <w:r w:rsidR="00841E21">
              <w:t xml:space="preserve"> </w:t>
            </w:r>
            <w:r w:rsidR="00841E21">
              <w:rPr>
                <w:rStyle w:val="NoteLabel"/>
              </w:rPr>
              <w:t>b</w:t>
            </w:r>
            <w:r w:rsidR="00841E21" w:rsidRPr="00092371">
              <w:t xml:space="preserve"> </w:t>
            </w:r>
            <w:r w:rsidR="00841E21" w:rsidRPr="00841E21">
              <w:rPr>
                <w:rFonts w:asciiTheme="minorHAnsi" w:hAnsiTheme="minorHAnsi" w:cstheme="minorHAnsi"/>
                <w:szCs w:val="18"/>
              </w:rPr>
              <w:t>Error bars represent the 95 per cent confidence interval associated with each point estimate</w:t>
            </w:r>
            <w:r w:rsidR="00841E21" w:rsidRPr="008A7681">
              <w:rPr>
                <w:rFonts w:asciiTheme="minorHAnsi" w:hAnsiTheme="minorHAnsi"/>
                <w:sz w:val="22"/>
                <w:szCs w:val="22"/>
              </w:rPr>
              <w:t>.</w:t>
            </w:r>
          </w:p>
        </w:tc>
      </w:tr>
      <w:tr w:rsidR="00092371" w:rsidRPr="00092371" w:rsidTr="00C73863">
        <w:tc>
          <w:tcPr>
            <w:tcW w:w="8771" w:type="dxa"/>
            <w:tcBorders>
              <w:top w:val="nil"/>
              <w:left w:val="nil"/>
              <w:bottom w:val="nil"/>
              <w:right w:val="nil"/>
            </w:tcBorders>
            <w:shd w:val="clear" w:color="auto" w:fill="auto"/>
          </w:tcPr>
          <w:p w:rsidR="00E754A0" w:rsidRPr="00092371" w:rsidRDefault="009C45D6" w:rsidP="00155452">
            <w:pPr>
              <w:pStyle w:val="Source"/>
            </w:pPr>
            <w:r w:rsidRPr="00092371">
              <w:rPr>
                <w:i/>
              </w:rPr>
              <w:t>S</w:t>
            </w:r>
            <w:r w:rsidR="00E754A0" w:rsidRPr="00092371">
              <w:rPr>
                <w:i/>
              </w:rPr>
              <w:t>ource</w:t>
            </w:r>
            <w:r w:rsidR="00E754A0" w:rsidRPr="00092371">
              <w:t xml:space="preserve">: </w:t>
            </w:r>
            <w:r w:rsidRPr="00092371">
              <w:t xml:space="preserve">ABS </w:t>
            </w:r>
            <w:r w:rsidR="001D3D0B">
              <w:t>(201</w:t>
            </w:r>
            <w:r w:rsidR="00155452">
              <w:t>6</w:t>
            </w:r>
            <w:r w:rsidR="00031446">
              <w:t>a</w:t>
            </w:r>
            <w:r w:rsidR="001D3D0B">
              <w:t xml:space="preserve">) </w:t>
            </w:r>
            <w:r w:rsidR="001D3D0B" w:rsidRPr="001B2D08">
              <w:t>SDAC 201</w:t>
            </w:r>
            <w:r w:rsidR="008D60E3">
              <w:t>5</w:t>
            </w:r>
            <w:r w:rsidRPr="00092371">
              <w:t>; table FA.</w:t>
            </w:r>
            <w:r w:rsidR="00832204">
              <w:t>3</w:t>
            </w:r>
            <w:r w:rsidRPr="00092371">
              <w:t>.</w:t>
            </w:r>
          </w:p>
        </w:tc>
      </w:tr>
      <w:tr w:rsidR="00092371" w:rsidRPr="00092371" w:rsidTr="00C73863">
        <w:tc>
          <w:tcPr>
            <w:tcW w:w="8771" w:type="dxa"/>
            <w:tcBorders>
              <w:top w:val="nil"/>
              <w:left w:val="nil"/>
              <w:bottom w:val="single" w:sz="6" w:space="0" w:color="78A22F"/>
              <w:right w:val="nil"/>
            </w:tcBorders>
            <w:shd w:val="clear" w:color="auto" w:fill="auto"/>
          </w:tcPr>
          <w:p w:rsidR="00E754A0" w:rsidRPr="00092371" w:rsidRDefault="00E754A0" w:rsidP="00C73863">
            <w:pPr>
              <w:pStyle w:val="Figurespace"/>
            </w:pPr>
          </w:p>
        </w:tc>
      </w:tr>
      <w:tr w:rsidR="00092371" w:rsidRPr="00092371" w:rsidTr="00C73863">
        <w:tc>
          <w:tcPr>
            <w:tcW w:w="8771" w:type="dxa"/>
            <w:tcBorders>
              <w:top w:val="single" w:sz="6" w:space="0" w:color="78A22F"/>
              <w:left w:val="nil"/>
              <w:bottom w:val="nil"/>
              <w:right w:val="nil"/>
            </w:tcBorders>
          </w:tcPr>
          <w:p w:rsidR="00E754A0" w:rsidRPr="00092371" w:rsidRDefault="00E754A0" w:rsidP="00C73863">
            <w:pPr>
              <w:pStyle w:val="BoxSpaceBelow"/>
            </w:pPr>
          </w:p>
        </w:tc>
      </w:tr>
    </w:tbl>
    <w:p w:rsidR="00F53BAC" w:rsidRDefault="00F53BAC" w:rsidP="00F53BAC">
      <w:pPr>
        <w:pStyle w:val="BodyText"/>
      </w:pPr>
      <w:r>
        <w:t xml:space="preserve">Nationally in 2015, </w:t>
      </w:r>
      <w:r w:rsidR="00AB61DD">
        <w:t>76</w:t>
      </w:r>
      <w:r w:rsidRPr="00DB201A">
        <w:t>.</w:t>
      </w:r>
      <w:r w:rsidR="00AB61DD">
        <w:t>2</w:t>
      </w:r>
      <w:r w:rsidRPr="00DB201A">
        <w:t xml:space="preserve"> per cent of primary carers participated in social or community activities </w:t>
      </w:r>
      <w:r w:rsidRPr="00537EAA">
        <w:rPr>
          <w:i/>
        </w:rPr>
        <w:t>at home</w:t>
      </w:r>
      <w:r w:rsidRPr="00DB201A">
        <w:t xml:space="preserve"> and without the recipient of care in the past </w:t>
      </w:r>
      <w:r>
        <w:t>3</w:t>
      </w:r>
      <w:r w:rsidRPr="00DB201A">
        <w:t xml:space="preserve"> months (table FA.3).</w:t>
      </w:r>
    </w:p>
    <w:p w:rsidR="006E1F91" w:rsidRPr="00891440" w:rsidRDefault="006E1F91" w:rsidP="006D5264">
      <w:pPr>
        <w:pStyle w:val="Heading4"/>
      </w:pPr>
      <w:r w:rsidRPr="00891440">
        <w:lastRenderedPageBreak/>
        <w:t xml:space="preserve">Jobless families </w:t>
      </w:r>
      <w:r w:rsidR="00C07AA9" w:rsidRPr="00891440">
        <w:t xml:space="preserve">with children </w:t>
      </w:r>
      <w:r w:rsidRPr="00891440">
        <w:t xml:space="preserve">as a proportion of all families </w:t>
      </w:r>
    </w:p>
    <w:p w:rsidR="00352F02" w:rsidRPr="00891440" w:rsidRDefault="006019A9" w:rsidP="0016069C">
      <w:pPr>
        <w:pStyle w:val="BodyText"/>
      </w:pPr>
      <w:r w:rsidRPr="00891440">
        <w:t>‘</w:t>
      </w:r>
      <w:r w:rsidR="006E1F91" w:rsidRPr="00891440">
        <w:t xml:space="preserve">Jobless families </w:t>
      </w:r>
      <w:r w:rsidR="00C07AA9" w:rsidRPr="00891440">
        <w:t xml:space="preserve">with children </w:t>
      </w:r>
      <w:r w:rsidR="006E1F91" w:rsidRPr="00891440">
        <w:t>as a proportion of all families</w:t>
      </w:r>
      <w:r w:rsidRPr="00891440">
        <w:t>’ is an indicator of governments’ objective</w:t>
      </w:r>
      <w:r w:rsidR="006E1F91" w:rsidRPr="00891440">
        <w:t xml:space="preserve"> to ensure </w:t>
      </w:r>
      <w:r w:rsidR="000A3A02" w:rsidRPr="00891440">
        <w:t>Australia’s children a</w:t>
      </w:r>
      <w:r w:rsidR="00F53BAC">
        <w:t>re</w:t>
      </w:r>
      <w:r w:rsidR="000A3A02" w:rsidRPr="00891440">
        <w:t xml:space="preserve"> </w:t>
      </w:r>
      <w:r w:rsidR="00F53BAC">
        <w:t>safe and well</w:t>
      </w:r>
      <w:r w:rsidR="000A3A02" w:rsidRPr="00891440">
        <w:t xml:space="preserve"> </w:t>
      </w:r>
      <w:r w:rsidR="00C07AA9" w:rsidRPr="00891440">
        <w:t>(</w:t>
      </w:r>
      <w:r w:rsidR="003F0234" w:rsidRPr="00891440">
        <w:t xml:space="preserve">box </w:t>
      </w:r>
      <w:r w:rsidR="004272A1">
        <w:t>F.</w:t>
      </w:r>
      <w:r w:rsidR="002908D5">
        <w:t>7</w:t>
      </w:r>
      <w:r w:rsidR="00CE06DB" w:rsidRPr="00891440">
        <w:t>).</w:t>
      </w:r>
    </w:p>
    <w:p w:rsidR="009C45D6" w:rsidRPr="00BC53F9" w:rsidRDefault="009C45D6">
      <w:pPr>
        <w:pStyle w:val="BoxSpaceAbove"/>
        <w:rPr>
          <w:color w:val="808080" w:themeColor="background1" w:themeShade="8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C53F9" w:rsidRPr="00037348" w:rsidTr="00C73863">
        <w:tc>
          <w:tcPr>
            <w:tcW w:w="8771" w:type="dxa"/>
            <w:tcBorders>
              <w:top w:val="single" w:sz="6" w:space="0" w:color="78A22F"/>
              <w:left w:val="nil"/>
              <w:bottom w:val="nil"/>
              <w:right w:val="nil"/>
            </w:tcBorders>
            <w:shd w:val="clear" w:color="auto" w:fill="F2F2F2" w:themeFill="background1" w:themeFillShade="F2"/>
          </w:tcPr>
          <w:p w:rsidR="009C45D6" w:rsidRPr="00037348" w:rsidRDefault="009C45D6" w:rsidP="00E74FB4">
            <w:pPr>
              <w:pStyle w:val="BoxTitle"/>
            </w:pPr>
            <w:r w:rsidRPr="00037348">
              <w:rPr>
                <w:b w:val="0"/>
              </w:rPr>
              <w:t xml:space="preserve">Box </w:t>
            </w:r>
            <w:proofErr w:type="spellStart"/>
            <w:r w:rsidR="00EC1787">
              <w:rPr>
                <w:b w:val="0"/>
              </w:rPr>
              <w:t>F.</w:t>
            </w:r>
            <w:r w:rsidR="00F33AC2">
              <w:rPr>
                <w:b w:val="0"/>
                <w:noProof/>
              </w:rPr>
              <w:t>7</w:t>
            </w:r>
            <w:proofErr w:type="spellEnd"/>
            <w:r w:rsidR="00E74FB4" w:rsidRPr="00037348">
              <w:tab/>
              <w:t>Jobless families with children</w:t>
            </w:r>
          </w:p>
        </w:tc>
      </w:tr>
      <w:tr w:rsidR="00BC53F9" w:rsidRPr="00EB5BA8" w:rsidTr="00C73863">
        <w:trPr>
          <w:cantSplit/>
        </w:trPr>
        <w:tc>
          <w:tcPr>
            <w:tcW w:w="8771" w:type="dxa"/>
            <w:tcBorders>
              <w:top w:val="nil"/>
              <w:left w:val="nil"/>
              <w:bottom w:val="nil"/>
              <w:right w:val="nil"/>
            </w:tcBorders>
            <w:shd w:val="clear" w:color="auto" w:fill="F2F2F2" w:themeFill="background1" w:themeFillShade="F2"/>
          </w:tcPr>
          <w:p w:rsidR="009C45D6" w:rsidRPr="00EB5BA8" w:rsidRDefault="00E74FB4" w:rsidP="009C45D6">
            <w:pPr>
              <w:pStyle w:val="Box"/>
            </w:pPr>
            <w:r w:rsidRPr="00EB5BA8">
              <w:t xml:space="preserve">‘Jobless families with children’ </w:t>
            </w:r>
            <w:r w:rsidR="009C45D6" w:rsidRPr="00EB5BA8">
              <w:t>is defined as the number of families without jobs</w:t>
            </w:r>
            <w:r w:rsidR="00993BEE" w:rsidRPr="00EB5BA8">
              <w:t xml:space="preserve"> who have children</w:t>
            </w:r>
            <w:r w:rsidR="009C45D6" w:rsidRPr="00EB5BA8">
              <w:t xml:space="preserve"> as a proportion of all families. Family is defined as two or more people, one of whom is at least 15 years of age, who are related by blood, marriage (registered or de facto), adoption, step or fostering, and who are usually resident in the same household. The basis of a family is formed by identifying the presence of a couple relationship, lone parent</w:t>
            </w:r>
            <w:r w:rsidR="00E54D1A" w:rsidRPr="00EB5BA8">
              <w:noBreakHyphen/>
            </w:r>
            <w:r w:rsidR="009C45D6" w:rsidRPr="00EB5BA8">
              <w:t>child relationship or other blood relationship. Some households will, therefore, contain more than one family (</w:t>
            </w:r>
            <w:r w:rsidR="009C45D6" w:rsidRPr="004F1F5B">
              <w:t>ABS</w:t>
            </w:r>
            <w:r w:rsidR="00DE5E90" w:rsidRPr="004F1F5B">
              <w:t> </w:t>
            </w:r>
            <w:r w:rsidR="00A723CD" w:rsidRPr="004F1F5B">
              <w:t>2015</w:t>
            </w:r>
            <w:r w:rsidR="004F1F5B">
              <w:t>a</w:t>
            </w:r>
            <w:r w:rsidR="009C45D6" w:rsidRPr="00EB5BA8">
              <w:t>)</w:t>
            </w:r>
            <w:r w:rsidR="007A3B79" w:rsidRPr="00EB5BA8">
              <w:t>.</w:t>
            </w:r>
            <w:r w:rsidR="009C45D6" w:rsidRPr="00EB5BA8">
              <w:t xml:space="preserve"> </w:t>
            </w:r>
          </w:p>
          <w:p w:rsidR="009C45D6" w:rsidRPr="00EB5BA8" w:rsidRDefault="00993BEE" w:rsidP="009C45D6">
            <w:pPr>
              <w:pStyle w:val="Box"/>
            </w:pPr>
            <w:r w:rsidRPr="00EB5BA8">
              <w:t>Jobless families with children</w:t>
            </w:r>
            <w:r w:rsidR="00F53BAC">
              <w:t xml:space="preserve"> is reported by</w:t>
            </w:r>
            <w:r w:rsidR="009C45D6" w:rsidRPr="00EB5BA8">
              <w:t xml:space="preserve"> three measures:</w:t>
            </w:r>
          </w:p>
          <w:p w:rsidR="009C45D6" w:rsidRPr="00EB5BA8" w:rsidRDefault="00993BEE" w:rsidP="009C45D6">
            <w:pPr>
              <w:pStyle w:val="BoxListBullet"/>
            </w:pPr>
            <w:r w:rsidRPr="00EB5BA8">
              <w:t>jobless</w:t>
            </w:r>
            <w:r w:rsidR="009C45D6" w:rsidRPr="00EB5BA8">
              <w:t xml:space="preserve"> families as a proportion of all families</w:t>
            </w:r>
          </w:p>
          <w:p w:rsidR="009C45D6" w:rsidRPr="00EB5BA8" w:rsidRDefault="00993BEE" w:rsidP="009C45D6">
            <w:pPr>
              <w:pStyle w:val="BoxListBullet"/>
            </w:pPr>
            <w:r w:rsidRPr="00EB5BA8">
              <w:t xml:space="preserve">jobless </w:t>
            </w:r>
            <w:r w:rsidR="009C45D6" w:rsidRPr="00EB5BA8">
              <w:t>families with dependants (including children aged under 15 years) as a proportion of all families with dependants (including children aged under 15 years)</w:t>
            </w:r>
          </w:p>
          <w:p w:rsidR="009C45D6" w:rsidRPr="00EB5BA8" w:rsidRDefault="00993BEE" w:rsidP="009C45D6">
            <w:pPr>
              <w:pStyle w:val="BoxListBullet"/>
            </w:pPr>
            <w:r w:rsidRPr="00EB5BA8">
              <w:t xml:space="preserve">jobless </w:t>
            </w:r>
            <w:r w:rsidR="009C45D6" w:rsidRPr="00EB5BA8">
              <w:t>families with children aged under 15 years as a proportion of all families with children aged under 15 years.</w:t>
            </w:r>
          </w:p>
          <w:p w:rsidR="009C45D6" w:rsidRPr="00EB5BA8" w:rsidRDefault="009C45D6" w:rsidP="009C45D6">
            <w:pPr>
              <w:pStyle w:val="Box"/>
            </w:pPr>
            <w:r w:rsidRPr="00EB5BA8">
              <w:t>A low or decreasing number of jobless families as a proportion of all families is desirable.</w:t>
            </w:r>
          </w:p>
          <w:p w:rsidR="00993BEE" w:rsidRPr="00EB5BA8" w:rsidRDefault="00993BEE" w:rsidP="00993BEE">
            <w:pPr>
              <w:pStyle w:val="Box"/>
            </w:pPr>
            <w:r w:rsidRPr="00EB5BA8">
              <w:t>Data reported for this indicator are:</w:t>
            </w:r>
          </w:p>
          <w:p w:rsidR="00993BEE" w:rsidRPr="00EB5BA8" w:rsidRDefault="00993BEE" w:rsidP="00993BEE">
            <w:pPr>
              <w:pStyle w:val="BoxListBullet"/>
            </w:pPr>
            <w:r w:rsidRPr="00EB5BA8">
              <w:t>comparab</w:t>
            </w:r>
            <w:r w:rsidR="00045FF9" w:rsidRPr="00EB5BA8">
              <w:t>le (subject to caveats) fr</w:t>
            </w:r>
            <w:r w:rsidR="00A47C30" w:rsidRPr="00EB5BA8">
              <w:t>o</w:t>
            </w:r>
            <w:r w:rsidR="00A47C30">
              <w:t>m</w:t>
            </w:r>
            <w:r w:rsidR="00045FF9" w:rsidRPr="00EB5BA8">
              <w:t xml:space="preserve"> 2012</w:t>
            </w:r>
            <w:r w:rsidR="00A47C30">
              <w:t xml:space="preserve"> onwards</w:t>
            </w:r>
          </w:p>
          <w:p w:rsidR="009C45D6" w:rsidRPr="00EB5BA8" w:rsidRDefault="00993BEE" w:rsidP="00BE13C0">
            <w:pPr>
              <w:pStyle w:val="BoxListBullet"/>
            </w:pPr>
            <w:r w:rsidRPr="00EB5BA8">
              <w:t>complete (subject to caveats) for</w:t>
            </w:r>
            <w:r w:rsidR="00EF5D38">
              <w:t xml:space="preserve"> the current reporting period</w:t>
            </w:r>
            <w:r w:rsidR="00A47C30">
              <w:t xml:space="preserve"> (2015)</w:t>
            </w:r>
            <w:r w:rsidR="00EF5D38">
              <w:t xml:space="preserve">. </w:t>
            </w:r>
          </w:p>
        </w:tc>
      </w:tr>
      <w:tr w:rsidR="00BC53F9" w:rsidRPr="00BC53F9" w:rsidTr="00C73863">
        <w:trPr>
          <w:cantSplit/>
        </w:trPr>
        <w:tc>
          <w:tcPr>
            <w:tcW w:w="8771" w:type="dxa"/>
            <w:tcBorders>
              <w:top w:val="nil"/>
              <w:left w:val="nil"/>
              <w:bottom w:val="single" w:sz="6" w:space="0" w:color="78A22F"/>
              <w:right w:val="nil"/>
            </w:tcBorders>
            <w:shd w:val="clear" w:color="auto" w:fill="F2F2F2" w:themeFill="background1" w:themeFillShade="F2"/>
          </w:tcPr>
          <w:p w:rsidR="009C45D6" w:rsidRPr="00BC53F9" w:rsidRDefault="009C45D6">
            <w:pPr>
              <w:pStyle w:val="Box"/>
              <w:spacing w:before="0" w:line="120" w:lineRule="exact"/>
              <w:rPr>
                <w:color w:val="808080" w:themeColor="background1" w:themeShade="80"/>
              </w:rPr>
            </w:pPr>
          </w:p>
        </w:tc>
      </w:tr>
      <w:tr w:rsidR="00BC53F9" w:rsidRPr="00BC53F9" w:rsidTr="00C73863">
        <w:tc>
          <w:tcPr>
            <w:tcW w:w="8771" w:type="dxa"/>
            <w:tcBorders>
              <w:top w:val="single" w:sz="6" w:space="0" w:color="78A22F"/>
              <w:left w:val="nil"/>
              <w:bottom w:val="nil"/>
              <w:right w:val="nil"/>
            </w:tcBorders>
          </w:tcPr>
          <w:p w:rsidR="009C45D6" w:rsidRPr="00BC53F9" w:rsidRDefault="009C45D6" w:rsidP="00C73863">
            <w:pPr>
              <w:pStyle w:val="BoxSpaceBelow"/>
              <w:rPr>
                <w:color w:val="808080" w:themeColor="background1" w:themeShade="80"/>
              </w:rPr>
            </w:pPr>
          </w:p>
        </w:tc>
      </w:tr>
    </w:tbl>
    <w:p w:rsidR="009C45D6" w:rsidRPr="00590DDE" w:rsidRDefault="008D4EAA" w:rsidP="00B17470">
      <w:pPr>
        <w:pStyle w:val="BodyText"/>
        <w:spacing w:before="120"/>
      </w:pPr>
      <w:r w:rsidRPr="00BE2DC4">
        <w:t xml:space="preserve">Nationally, </w:t>
      </w:r>
      <w:r w:rsidR="006406D2" w:rsidRPr="00BE2DC4">
        <w:t>20.5 per cent of</w:t>
      </w:r>
      <w:r w:rsidRPr="00BE2DC4">
        <w:t xml:space="preserve"> families were jobless as at 30</w:t>
      </w:r>
      <w:r w:rsidR="007B28BD" w:rsidRPr="00BE2DC4">
        <w:t> </w:t>
      </w:r>
      <w:r w:rsidRPr="00BE2DC4">
        <w:t>June 2</w:t>
      </w:r>
      <w:r w:rsidR="006D5264" w:rsidRPr="00BE2DC4">
        <w:t>01</w:t>
      </w:r>
      <w:r w:rsidR="00A47C30" w:rsidRPr="00BE2DC4">
        <w:t>5</w:t>
      </w:r>
      <w:r w:rsidRPr="00BE2DC4">
        <w:t xml:space="preserve">, whilst for families with dependents or children under 15 years this was </w:t>
      </w:r>
      <w:r w:rsidR="006406D2" w:rsidRPr="00BE2DC4">
        <w:t>1</w:t>
      </w:r>
      <w:r w:rsidR="008C4E67" w:rsidRPr="00BE2DC4">
        <w:t>1.9</w:t>
      </w:r>
      <w:r w:rsidR="006406D2" w:rsidRPr="00BE2DC4">
        <w:t xml:space="preserve"> per cent</w:t>
      </w:r>
      <w:r w:rsidR="00B17470" w:rsidRPr="00BE2DC4">
        <w:t xml:space="preserve"> (</w:t>
      </w:r>
      <w:r w:rsidR="00697B91" w:rsidRPr="00BE2DC4">
        <w:t>t</w:t>
      </w:r>
      <w:r w:rsidR="00B17470" w:rsidRPr="00BE2DC4">
        <w:t>able F</w:t>
      </w:r>
      <w:r w:rsidR="00590DDE" w:rsidRPr="00BE2DC4">
        <w:t>A</w:t>
      </w:r>
      <w:r w:rsidR="00B17470" w:rsidRPr="00BE2DC4">
        <w:t>.</w:t>
      </w:r>
      <w:r w:rsidR="00590DDE" w:rsidRPr="00BE2DC4">
        <w:t>4).</w:t>
      </w:r>
      <w:r w:rsidR="00142BA8">
        <w:t xml:space="preserve"> </w:t>
      </w:r>
    </w:p>
    <w:p w:rsidR="006F2B3B" w:rsidRPr="00092371" w:rsidRDefault="00EF3CF1" w:rsidP="006D5264">
      <w:pPr>
        <w:pStyle w:val="Heading4"/>
      </w:pPr>
      <w:r w:rsidRPr="00092371">
        <w:t>Improving child development</w:t>
      </w:r>
    </w:p>
    <w:p w:rsidR="006E1F91" w:rsidRDefault="006E1F91" w:rsidP="006E1F91">
      <w:pPr>
        <w:pStyle w:val="BodyText"/>
      </w:pPr>
      <w:r w:rsidRPr="00092371">
        <w:t>‘Improving child development’ is an indicator of governments’ objective to ensure that Australia’s children are safe and well</w:t>
      </w:r>
      <w:r w:rsidR="00E33535" w:rsidRPr="00092371">
        <w:t xml:space="preserve"> (box </w:t>
      </w:r>
      <w:r w:rsidR="004272A1">
        <w:t>F.</w:t>
      </w:r>
      <w:r w:rsidR="002908D5">
        <w:t>8</w:t>
      </w:r>
      <w:r w:rsidR="00E33535" w:rsidRPr="00497AB8">
        <w:t>)</w:t>
      </w:r>
      <w:r w:rsidRPr="00497AB8">
        <w:t>.</w:t>
      </w:r>
    </w:p>
    <w:p w:rsidR="00AA39AB" w:rsidRDefault="00AA39A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AA39AB" w:rsidTr="00D069DC">
        <w:tc>
          <w:tcPr>
            <w:tcW w:w="8771" w:type="dxa"/>
            <w:tcBorders>
              <w:top w:val="single" w:sz="6" w:space="0" w:color="78A22F"/>
              <w:left w:val="nil"/>
              <w:bottom w:val="nil"/>
              <w:right w:val="nil"/>
            </w:tcBorders>
            <w:shd w:val="clear" w:color="auto" w:fill="F2F2F2"/>
          </w:tcPr>
          <w:p w:rsidR="00AA39AB" w:rsidRDefault="00AA39AB" w:rsidP="00AA39AB">
            <w:pPr>
              <w:pStyle w:val="BoxTitle"/>
            </w:pPr>
            <w:r>
              <w:rPr>
                <w:b w:val="0"/>
              </w:rPr>
              <w:t xml:space="preserve">Box </w:t>
            </w:r>
            <w:proofErr w:type="spellStart"/>
            <w:r>
              <w:rPr>
                <w:b w:val="0"/>
              </w:rPr>
              <w:t>F.</w:t>
            </w:r>
            <w:r w:rsidR="00F33AC2">
              <w:rPr>
                <w:b w:val="0"/>
                <w:noProof/>
              </w:rPr>
              <w:t>8</w:t>
            </w:r>
            <w:proofErr w:type="spellEnd"/>
            <w:r>
              <w:tab/>
            </w:r>
            <w:r w:rsidRPr="007E03CB">
              <w:t>Improving child development</w:t>
            </w:r>
          </w:p>
        </w:tc>
      </w:tr>
      <w:tr w:rsidR="00AA39AB" w:rsidTr="00D069DC">
        <w:tc>
          <w:tcPr>
            <w:tcW w:w="8771" w:type="dxa"/>
            <w:tcBorders>
              <w:top w:val="nil"/>
              <w:left w:val="nil"/>
              <w:bottom w:val="nil"/>
              <w:right w:val="nil"/>
            </w:tcBorders>
            <w:shd w:val="clear" w:color="auto" w:fill="F2F2F2"/>
          </w:tcPr>
          <w:p w:rsidR="00AA39AB" w:rsidRPr="007E03CB" w:rsidRDefault="00AA39AB" w:rsidP="00AA39AB">
            <w:pPr>
              <w:pStyle w:val="Box"/>
            </w:pPr>
            <w:r w:rsidRPr="007E03CB">
              <w:t xml:space="preserve">‘Improving child development’ is defined as the proportion of children who are developmentally vulnerable on one or more Australian Early Development Census (AEDC) domains. </w:t>
            </w:r>
          </w:p>
          <w:p w:rsidR="00C369EF" w:rsidRDefault="00AA39AB" w:rsidP="00C369EF">
            <w:pPr>
              <w:pStyle w:val="Box"/>
            </w:pPr>
            <w:r w:rsidRPr="007E03CB">
              <w:t>A low or decreasing proportion of children who are developmentally vulnerable on one or more AEDC</w:t>
            </w:r>
            <w:r>
              <w:t xml:space="preserve"> domains is desirable.</w:t>
            </w:r>
            <w:r w:rsidR="00C369EF" w:rsidRPr="007E03CB">
              <w:t xml:space="preserve"> </w:t>
            </w:r>
          </w:p>
          <w:p w:rsidR="00AA39AB" w:rsidRDefault="00C369EF" w:rsidP="00D069DC">
            <w:pPr>
              <w:pStyle w:val="Box"/>
            </w:pPr>
            <w:r w:rsidRPr="007E03CB">
              <w:t>The AEDC is a population measure of young children’s development as they enter school</w:t>
            </w:r>
            <w:r>
              <w:t xml:space="preserve"> and </w:t>
            </w:r>
            <w:r w:rsidRPr="007E03CB">
              <w:t>therefore reports on early childhood development across the whole community. Every three years, teachers complete a checklist for children in their first year of full</w:t>
            </w:r>
            <w:r w:rsidRPr="007E03CB">
              <w:noBreakHyphen/>
              <w:t>time school</w:t>
            </w:r>
            <w:r>
              <w:t xml:space="preserve"> which</w:t>
            </w:r>
            <w:r w:rsidRPr="007E03CB">
              <w:t xml:space="preserve"> measures five key areas, or domains, of early childhood development:</w:t>
            </w:r>
            <w:r>
              <w:t xml:space="preserve"> </w:t>
            </w:r>
            <w:r w:rsidRPr="007E03CB">
              <w:t>physical health and wellbeing</w:t>
            </w:r>
            <w:r>
              <w:t xml:space="preserve">; </w:t>
            </w:r>
            <w:r w:rsidRPr="007E03CB">
              <w:t>social competence</w:t>
            </w:r>
            <w:r>
              <w:t xml:space="preserve">; </w:t>
            </w:r>
            <w:r w:rsidRPr="007E03CB">
              <w:t>emotional maturity</w:t>
            </w:r>
            <w:r>
              <w:t xml:space="preserve">; </w:t>
            </w:r>
            <w:r w:rsidRPr="007E03CB">
              <w:t>language and cognitive skills</w:t>
            </w:r>
            <w:r>
              <w:t>; commu</w:t>
            </w:r>
            <w:r w:rsidRPr="007E03CB">
              <w:t>nication skills and general knowledge.</w:t>
            </w:r>
          </w:p>
          <w:p w:rsidR="001A2C16" w:rsidRPr="007E03CB" w:rsidRDefault="001A2C16" w:rsidP="001A2C16">
            <w:pPr>
              <w:pStyle w:val="Box"/>
            </w:pPr>
            <w:r w:rsidRPr="007E03CB">
              <w:t>Data reported for this indicator are:</w:t>
            </w:r>
          </w:p>
          <w:p w:rsidR="001A2C16" w:rsidRPr="007E03CB" w:rsidRDefault="001A2C16" w:rsidP="001A2C16">
            <w:pPr>
              <w:pStyle w:val="BoxListBullet"/>
            </w:pPr>
            <w:r w:rsidRPr="007E03CB">
              <w:t xml:space="preserve">comparable (subject to caveats) across jurisdictions and over time </w:t>
            </w:r>
          </w:p>
          <w:p w:rsidR="001A2C16" w:rsidRDefault="001A2C16" w:rsidP="001A2C16">
            <w:pPr>
              <w:pStyle w:val="BoxListBullet"/>
            </w:pPr>
            <w:r w:rsidRPr="007E03CB">
              <w:t xml:space="preserve">complete (subject to caveats) for the current reporting period. </w:t>
            </w:r>
            <w:r w:rsidRPr="00F63F7A">
              <w:t>All required 2015 data are available for all jurisdictions</w:t>
            </w:r>
            <w:r>
              <w:t>.</w:t>
            </w:r>
          </w:p>
        </w:tc>
      </w:tr>
      <w:tr w:rsidR="00AA39AB" w:rsidTr="00D069DC">
        <w:tc>
          <w:tcPr>
            <w:tcW w:w="8771" w:type="dxa"/>
            <w:tcBorders>
              <w:top w:val="nil"/>
              <w:left w:val="nil"/>
              <w:bottom w:val="single" w:sz="6" w:space="0" w:color="78A22F"/>
              <w:right w:val="nil"/>
            </w:tcBorders>
            <w:shd w:val="clear" w:color="auto" w:fill="F2F2F2"/>
          </w:tcPr>
          <w:p w:rsidR="00AA39AB" w:rsidRDefault="00AA39AB">
            <w:pPr>
              <w:pStyle w:val="Box"/>
              <w:spacing w:before="0" w:line="120" w:lineRule="exact"/>
            </w:pPr>
          </w:p>
        </w:tc>
      </w:tr>
      <w:tr w:rsidR="00AA39AB" w:rsidRPr="000863A5" w:rsidTr="00D069DC">
        <w:tc>
          <w:tcPr>
            <w:tcW w:w="8771" w:type="dxa"/>
            <w:tcBorders>
              <w:top w:val="single" w:sz="6" w:space="0" w:color="78A22F"/>
              <w:left w:val="nil"/>
              <w:bottom w:val="nil"/>
              <w:right w:val="nil"/>
            </w:tcBorders>
          </w:tcPr>
          <w:p w:rsidR="00AA39AB" w:rsidRPr="00626D32" w:rsidRDefault="00AA39AB" w:rsidP="00D069DC">
            <w:pPr>
              <w:pStyle w:val="BoxSpaceBelow"/>
            </w:pPr>
          </w:p>
        </w:tc>
      </w:tr>
    </w:tbl>
    <w:p w:rsidR="006F2B3B" w:rsidRPr="008833EB" w:rsidRDefault="007716AF" w:rsidP="00A7744B">
      <w:pPr>
        <w:pStyle w:val="BodyText"/>
      </w:pPr>
      <w:r w:rsidRPr="00F63F7A">
        <w:t>Nationally, i</w:t>
      </w:r>
      <w:r w:rsidR="006F2B3B" w:rsidRPr="00F63F7A">
        <w:t>n 20</w:t>
      </w:r>
      <w:r w:rsidR="00453B8A" w:rsidRPr="00F63F7A">
        <w:t>1</w:t>
      </w:r>
      <w:r w:rsidR="00F63F7A" w:rsidRPr="00F63F7A">
        <w:t>5</w:t>
      </w:r>
      <w:r w:rsidR="006F2B3B" w:rsidRPr="00F63F7A">
        <w:t xml:space="preserve">, </w:t>
      </w:r>
      <w:r w:rsidR="00E21092" w:rsidRPr="00F63F7A">
        <w:t>22.0</w:t>
      </w:r>
      <w:r w:rsidR="006F2B3B" w:rsidRPr="00F63F7A">
        <w:t xml:space="preserve"> per cent of children were developmentally vulnerable on one or more</w:t>
      </w:r>
      <w:r w:rsidR="009A2F30" w:rsidRPr="00F63F7A">
        <w:t xml:space="preserve"> </w:t>
      </w:r>
      <w:r w:rsidR="00866129" w:rsidRPr="00F63F7A">
        <w:t>AEDC</w:t>
      </w:r>
      <w:r w:rsidR="006F2B3B" w:rsidRPr="00F63F7A">
        <w:t xml:space="preserve"> domains, while </w:t>
      </w:r>
      <w:r w:rsidR="00E21092" w:rsidRPr="00F63F7A">
        <w:t>1</w:t>
      </w:r>
      <w:r w:rsidR="00F63F7A" w:rsidRPr="00F63F7A">
        <w:t>1</w:t>
      </w:r>
      <w:r w:rsidR="00E21092" w:rsidRPr="00F63F7A">
        <w:t>.</w:t>
      </w:r>
      <w:r w:rsidR="00F63F7A" w:rsidRPr="00F63F7A">
        <w:t>1</w:t>
      </w:r>
      <w:r w:rsidR="006F2B3B" w:rsidRPr="00F63F7A">
        <w:t xml:space="preserve"> per cent of children were developmentally vulnerable on two or more </w:t>
      </w:r>
      <w:r w:rsidR="00866129" w:rsidRPr="00F63F7A">
        <w:t>AEDC</w:t>
      </w:r>
      <w:r w:rsidR="006F2B3B" w:rsidRPr="00F63F7A">
        <w:t xml:space="preserve"> domains</w:t>
      </w:r>
      <w:r w:rsidR="00197646" w:rsidRPr="00F63F7A">
        <w:t xml:space="preserve"> </w:t>
      </w:r>
      <w:r w:rsidR="00197646" w:rsidRPr="00D833BF">
        <w:t>(</w:t>
      </w:r>
      <w:r w:rsidR="00866129" w:rsidRPr="00D833BF">
        <w:t xml:space="preserve">figure </w:t>
      </w:r>
      <w:r w:rsidR="00B810F9" w:rsidRPr="00D833BF">
        <w:t>F.</w:t>
      </w:r>
      <w:r w:rsidR="00564CE1">
        <w:t>4</w:t>
      </w:r>
      <w:r w:rsidR="00197646" w:rsidRPr="00D833BF">
        <w:t>)</w:t>
      </w:r>
      <w:r w:rsidR="006F2B3B" w:rsidRPr="00D833BF">
        <w:t>.</w:t>
      </w:r>
    </w:p>
    <w:p w:rsidR="00880430" w:rsidRPr="008833EB" w:rsidRDefault="00880430" w:rsidP="00C73863">
      <w:pPr>
        <w:pStyle w:val="BoxSpaceAbove"/>
        <w:rPr>
          <w:color w:val="808080" w:themeColor="background1" w:themeShade="8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C53F9" w:rsidRPr="00037348" w:rsidTr="00C73863">
        <w:tc>
          <w:tcPr>
            <w:tcW w:w="8771" w:type="dxa"/>
            <w:tcBorders>
              <w:top w:val="single" w:sz="6" w:space="0" w:color="78A22F"/>
              <w:left w:val="nil"/>
              <w:bottom w:val="nil"/>
              <w:right w:val="nil"/>
            </w:tcBorders>
            <w:shd w:val="clear" w:color="auto" w:fill="auto"/>
          </w:tcPr>
          <w:p w:rsidR="00880430" w:rsidRPr="00037348" w:rsidRDefault="00880430" w:rsidP="001A2C16">
            <w:pPr>
              <w:pStyle w:val="FigureTitle"/>
            </w:pPr>
            <w:r w:rsidRPr="00D833BF">
              <w:rPr>
                <w:b w:val="0"/>
              </w:rPr>
              <w:t xml:space="preserve">Figure </w:t>
            </w:r>
            <w:proofErr w:type="spellStart"/>
            <w:r w:rsidR="00EC1787" w:rsidRPr="00D833BF">
              <w:rPr>
                <w:b w:val="0"/>
              </w:rPr>
              <w:t>F.</w:t>
            </w:r>
            <w:r w:rsidR="00F33AC2">
              <w:rPr>
                <w:b w:val="0"/>
                <w:noProof/>
              </w:rPr>
              <w:t>4</w:t>
            </w:r>
            <w:proofErr w:type="spellEnd"/>
            <w:r w:rsidRPr="00D833BF">
              <w:tab/>
              <w:t xml:space="preserve">Proportion of children who </w:t>
            </w:r>
            <w:r w:rsidR="001A2C16">
              <w:t>we</w:t>
            </w:r>
            <w:r w:rsidRPr="00D833BF">
              <w:t>re developmentally vulnerable, 201</w:t>
            </w:r>
            <w:r w:rsidR="00D833BF">
              <w:t>5</w:t>
            </w:r>
            <w:r w:rsidR="00415005" w:rsidRPr="00D833BF">
              <w:rPr>
                <w:rStyle w:val="NoteLabel"/>
                <w:b/>
              </w:rPr>
              <w:t>a</w:t>
            </w:r>
          </w:p>
        </w:tc>
      </w:tr>
      <w:tr w:rsidR="00BC53F9" w:rsidRPr="00037348" w:rsidTr="00C73863">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487"/>
            </w:tblGrid>
            <w:tr w:rsidR="00BC53F9" w:rsidRPr="00037348" w:rsidTr="00473762">
              <w:tc>
                <w:tcPr>
                  <w:tcW w:w="8487" w:type="dxa"/>
                  <w:tcBorders>
                    <w:top w:val="nil"/>
                    <w:bottom w:val="nil"/>
                  </w:tcBorders>
                </w:tcPr>
                <w:p w:rsidR="00880430" w:rsidRPr="00037348" w:rsidRDefault="00FF5B15" w:rsidP="00C73863">
                  <w:pPr>
                    <w:pStyle w:val="Figure"/>
                    <w:spacing w:before="60" w:after="60"/>
                  </w:pPr>
                  <w:r>
                    <w:rPr>
                      <w:noProof/>
                    </w:rPr>
                    <w:drawing>
                      <wp:inline distT="0" distB="0" distL="0" distR="0" wp14:anchorId="713F62B6" wp14:editId="27BAE125">
                        <wp:extent cx="5295900" cy="2457450"/>
                        <wp:effectExtent l="0" t="0" r="0" b="0"/>
                        <wp:docPr id="4" name="Picture 4" descr="Figure F.4 Proportion of children who were developmentally vulnerable, 20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95900" cy="2457450"/>
                                </a:xfrm>
                                <a:prstGeom prst="rect">
                                  <a:avLst/>
                                </a:prstGeom>
                                <a:noFill/>
                                <a:ln>
                                  <a:noFill/>
                                </a:ln>
                              </pic:spPr>
                            </pic:pic>
                          </a:graphicData>
                        </a:graphic>
                      </wp:inline>
                    </w:drawing>
                  </w:r>
                </w:p>
              </w:tc>
            </w:tr>
          </w:tbl>
          <w:p w:rsidR="00880430" w:rsidRPr="00037348" w:rsidRDefault="00880430" w:rsidP="00C73863">
            <w:pPr>
              <w:pStyle w:val="Figure"/>
            </w:pPr>
          </w:p>
        </w:tc>
      </w:tr>
      <w:tr w:rsidR="00415005" w:rsidRPr="00037348" w:rsidTr="00C73863">
        <w:tc>
          <w:tcPr>
            <w:tcW w:w="8771" w:type="dxa"/>
            <w:tcBorders>
              <w:top w:val="nil"/>
              <w:left w:val="nil"/>
              <w:bottom w:val="nil"/>
              <w:right w:val="nil"/>
            </w:tcBorders>
            <w:shd w:val="clear" w:color="auto" w:fill="auto"/>
          </w:tcPr>
          <w:p w:rsidR="00415005" w:rsidRPr="00037348" w:rsidRDefault="00415005" w:rsidP="00832204">
            <w:pPr>
              <w:pStyle w:val="Source"/>
              <w:rPr>
                <w:i/>
              </w:rPr>
            </w:pPr>
            <w:r>
              <w:rPr>
                <w:rStyle w:val="NoteLabel"/>
              </w:rPr>
              <w:t xml:space="preserve">a </w:t>
            </w:r>
            <w:r w:rsidRPr="00B20B3B">
              <w:t xml:space="preserve">See </w:t>
            </w:r>
            <w:r>
              <w:t>box F.</w:t>
            </w:r>
            <w:r w:rsidR="002908D5">
              <w:t>8</w:t>
            </w:r>
            <w:r>
              <w:t xml:space="preserve"> and </w:t>
            </w:r>
            <w:r w:rsidRPr="00B20B3B">
              <w:t xml:space="preserve">table </w:t>
            </w:r>
            <w:r>
              <w:t>FA.</w:t>
            </w:r>
            <w:r w:rsidR="00832204">
              <w:t>5</w:t>
            </w:r>
            <w:r w:rsidRPr="00B20B3B">
              <w:t xml:space="preserve"> for detailed </w:t>
            </w:r>
            <w:r>
              <w:t>definitions, footnotes and caveats.</w:t>
            </w:r>
            <w:r w:rsidR="00841E21">
              <w:t xml:space="preserve"> </w:t>
            </w:r>
          </w:p>
        </w:tc>
      </w:tr>
      <w:tr w:rsidR="00BC53F9" w:rsidRPr="00037348" w:rsidTr="00C73863">
        <w:tc>
          <w:tcPr>
            <w:tcW w:w="8771" w:type="dxa"/>
            <w:tcBorders>
              <w:top w:val="nil"/>
              <w:left w:val="nil"/>
              <w:bottom w:val="nil"/>
              <w:right w:val="nil"/>
            </w:tcBorders>
            <w:shd w:val="clear" w:color="auto" w:fill="auto"/>
          </w:tcPr>
          <w:p w:rsidR="00880430" w:rsidRPr="00037348" w:rsidRDefault="00880430" w:rsidP="00F63F7A">
            <w:pPr>
              <w:pStyle w:val="Source"/>
            </w:pPr>
            <w:r w:rsidRPr="00F63F7A">
              <w:rPr>
                <w:i/>
              </w:rPr>
              <w:t>Source</w:t>
            </w:r>
            <w:r w:rsidRPr="00F63F7A">
              <w:t>: Centre for Community Child Health and Telethon Institute for Child Health Research (201</w:t>
            </w:r>
            <w:r w:rsidR="00F63F7A" w:rsidRPr="00F63F7A">
              <w:t>6</w:t>
            </w:r>
            <w:r w:rsidRPr="00F63F7A">
              <w:t xml:space="preserve">), </w:t>
            </w:r>
            <w:r w:rsidRPr="00F63F7A">
              <w:rPr>
                <w:i/>
              </w:rPr>
              <w:t xml:space="preserve">A Snapshot of Early Childhood Development in Australia </w:t>
            </w:r>
            <w:r w:rsidRPr="00F63F7A">
              <w:rPr>
                <w:rFonts w:cs="Arial"/>
                <w:i/>
              </w:rPr>
              <w:t>―</w:t>
            </w:r>
            <w:r w:rsidR="00FA1BEB" w:rsidRPr="00F63F7A">
              <w:rPr>
                <w:i/>
              </w:rPr>
              <w:t xml:space="preserve"> AEDC</w:t>
            </w:r>
            <w:r w:rsidRPr="00F63F7A">
              <w:rPr>
                <w:i/>
              </w:rPr>
              <w:t xml:space="preserve"> National Report 201</w:t>
            </w:r>
            <w:r w:rsidR="00F63F7A">
              <w:rPr>
                <w:i/>
              </w:rPr>
              <w:t>5</w:t>
            </w:r>
            <w:r w:rsidRPr="00037348">
              <w:t>; table FA.</w:t>
            </w:r>
            <w:r w:rsidR="00832204">
              <w:t>5</w:t>
            </w:r>
            <w:r w:rsidRPr="00037348">
              <w:t>.</w:t>
            </w:r>
          </w:p>
        </w:tc>
      </w:tr>
      <w:tr w:rsidR="00BC53F9" w:rsidRPr="00037348" w:rsidTr="00C73863">
        <w:tc>
          <w:tcPr>
            <w:tcW w:w="8771" w:type="dxa"/>
            <w:tcBorders>
              <w:top w:val="nil"/>
              <w:left w:val="nil"/>
              <w:bottom w:val="single" w:sz="6" w:space="0" w:color="78A22F"/>
              <w:right w:val="nil"/>
            </w:tcBorders>
            <w:shd w:val="clear" w:color="auto" w:fill="auto"/>
          </w:tcPr>
          <w:p w:rsidR="00880430" w:rsidRPr="00037348" w:rsidRDefault="00880430" w:rsidP="00C73863">
            <w:pPr>
              <w:pStyle w:val="Figurespace"/>
            </w:pPr>
          </w:p>
        </w:tc>
      </w:tr>
      <w:tr w:rsidR="00BC53F9" w:rsidRPr="00037348" w:rsidTr="00C73863">
        <w:tc>
          <w:tcPr>
            <w:tcW w:w="8771" w:type="dxa"/>
            <w:tcBorders>
              <w:top w:val="single" w:sz="6" w:space="0" w:color="78A22F"/>
              <w:left w:val="nil"/>
              <w:bottom w:val="nil"/>
              <w:right w:val="nil"/>
            </w:tcBorders>
          </w:tcPr>
          <w:p w:rsidR="00880430" w:rsidRPr="00037348" w:rsidRDefault="00880430" w:rsidP="00C73863">
            <w:pPr>
              <w:pStyle w:val="BoxSpaceBelow"/>
            </w:pPr>
          </w:p>
        </w:tc>
      </w:tr>
    </w:tbl>
    <w:p w:rsidR="008655A2" w:rsidRPr="005B75F8" w:rsidRDefault="00EC1787" w:rsidP="008655A2">
      <w:pPr>
        <w:pStyle w:val="Heading2"/>
      </w:pPr>
      <w:bookmarkStart w:id="14" w:name="_Toc338234652"/>
      <w:bookmarkStart w:id="15" w:name="_Toc396386202"/>
      <w:bookmarkStart w:id="16" w:name="_Toc463425933"/>
      <w:proofErr w:type="spellStart"/>
      <w:r>
        <w:lastRenderedPageBreak/>
        <w:t>F.</w:t>
      </w:r>
      <w:r w:rsidR="00F33AC2">
        <w:rPr>
          <w:noProof/>
        </w:rPr>
        <w:t>3</w:t>
      </w:r>
      <w:proofErr w:type="spellEnd"/>
      <w:r w:rsidR="003C2C54" w:rsidRPr="005B75F8">
        <w:tab/>
      </w:r>
      <w:r w:rsidR="008655A2" w:rsidRPr="005B75F8">
        <w:t>Cross</w:t>
      </w:r>
      <w:r w:rsidR="007A3B79" w:rsidRPr="005B75F8">
        <w:noBreakHyphen/>
      </w:r>
      <w:r w:rsidR="008655A2" w:rsidRPr="005B75F8">
        <w:t>cutting and interface issues</w:t>
      </w:r>
      <w:bookmarkEnd w:id="14"/>
      <w:bookmarkEnd w:id="15"/>
      <w:bookmarkEnd w:id="16"/>
    </w:p>
    <w:p w:rsidR="006D71BE" w:rsidRPr="005B75F8" w:rsidRDefault="006D71BE" w:rsidP="006D71BE">
      <w:pPr>
        <w:pStyle w:val="BodyText"/>
      </w:pPr>
      <w:r w:rsidRPr="005B75F8">
        <w:t xml:space="preserve">Although this Report </w:t>
      </w:r>
      <w:r w:rsidR="001A2C16">
        <w:t>cov</w:t>
      </w:r>
      <w:r w:rsidRPr="005B75F8">
        <w:t>e</w:t>
      </w:r>
      <w:r w:rsidR="001A2C16">
        <w:t>r</w:t>
      </w:r>
      <w:r w:rsidRPr="005B75F8">
        <w:t xml:space="preserve">s </w:t>
      </w:r>
      <w:r w:rsidR="006E14D5">
        <w:t>four</w:t>
      </w:r>
      <w:r w:rsidRPr="005B75F8">
        <w:t xml:space="preserve"> areas of community services in separate chapters, it is recognised that there are many linkages between community services</w:t>
      </w:r>
      <w:r w:rsidR="001A2C16">
        <w:t xml:space="preserve"> and g</w:t>
      </w:r>
      <w:r w:rsidRPr="005B75F8">
        <w:t>overnments are increasingly emphasising the need for integrated, client</w:t>
      </w:r>
      <w:r w:rsidR="007B28BD">
        <w:noBreakHyphen/>
      </w:r>
      <w:r w:rsidRPr="005B75F8">
        <w:t>centred community services.</w:t>
      </w:r>
    </w:p>
    <w:p w:rsidR="006D71BE" w:rsidRPr="002421E1" w:rsidRDefault="006D71BE" w:rsidP="006D71BE">
      <w:pPr>
        <w:pStyle w:val="BodyText"/>
      </w:pPr>
      <w:r w:rsidRPr="002421E1">
        <w:t xml:space="preserve">Many community services are linked by the provision of different services to individuals at different stages of life. Other services are not </w:t>
      </w:r>
      <w:r w:rsidR="001A2C16">
        <w:t xml:space="preserve">(or not </w:t>
      </w:r>
      <w:r w:rsidRPr="002421E1">
        <w:t>as strictly</w:t>
      </w:r>
      <w:r w:rsidR="001A2C16">
        <w:t>)</w:t>
      </w:r>
      <w:r w:rsidR="003B2A86" w:rsidRPr="002421E1">
        <w:t xml:space="preserve">, </w:t>
      </w:r>
      <w:r w:rsidRPr="002421E1">
        <w:t>age</w:t>
      </w:r>
      <w:r w:rsidR="007A3B79" w:rsidRPr="002421E1">
        <w:noBreakHyphen/>
      </w:r>
      <w:r w:rsidRPr="002421E1">
        <w:t>specific</w:t>
      </w:r>
      <w:r w:rsidR="00A56F57" w:rsidRPr="002421E1">
        <w:t>,</w:t>
      </w:r>
      <w:r w:rsidRPr="002421E1">
        <w:t xml:space="preserve"> and some individuals may receive multiple services at the same time — for example, a child who is in receipt of </w:t>
      </w:r>
      <w:r w:rsidR="004D4DD2" w:rsidRPr="002421E1">
        <w:t>youth</w:t>
      </w:r>
      <w:r w:rsidRPr="002421E1">
        <w:t xml:space="preserve"> justice services together with homelessness, child protection or disability services. Disability services can continue throughout an individual’s lifetime and overlap with the provision of aged care services.</w:t>
      </w:r>
    </w:p>
    <w:p w:rsidR="006D71BE" w:rsidRPr="00357651" w:rsidRDefault="006D71BE" w:rsidP="00235464">
      <w:pPr>
        <w:pStyle w:val="BodyText"/>
      </w:pPr>
      <w:r w:rsidRPr="002421E1">
        <w:t xml:space="preserve">The sequence of interventions or services can be referred to as ‘pathways’ of community service provision. However, there is </w:t>
      </w:r>
      <w:r w:rsidR="003B2A86" w:rsidRPr="002421E1">
        <w:t xml:space="preserve">a paucity of </w:t>
      </w:r>
      <w:r w:rsidRPr="002421E1">
        <w:t>information on the patterns of access by individuals to the range of community services, either concurrently or in succession over a lifetime. A greater understanding of the links between the use of various community services, the nature of these links, and whether interventions in one area of service provision result in reduced need</w:t>
      </w:r>
      <w:r w:rsidR="001A2C16">
        <w:t xml:space="preserve"> for other services, will help </w:t>
      </w:r>
      <w:r w:rsidRPr="002421E1">
        <w:t xml:space="preserve">inform government </w:t>
      </w:r>
      <w:r w:rsidR="00C369EF">
        <w:t>policy.</w:t>
      </w:r>
    </w:p>
    <w:p w:rsidR="006D71BE" w:rsidRPr="00357651" w:rsidRDefault="006D71BE" w:rsidP="00A04B8E">
      <w:pPr>
        <w:pStyle w:val="BodyText"/>
      </w:pPr>
      <w:r w:rsidRPr="00611FF5">
        <w:t>There are also links between community services and other government services. Access to effective community services can influence outcomes for clients of education, health, housing and justice sector services. In turn, access to these other service areas can affect community services outcomes.</w:t>
      </w:r>
      <w:r w:rsidR="00E114C7">
        <w:t xml:space="preserve"> </w:t>
      </w:r>
      <w:r w:rsidRPr="00A602A0">
        <w:t xml:space="preserve">The community services and health sectors are closely related and their effective interaction assists the provision of services in both sectors. The disability sector is also </w:t>
      </w:r>
      <w:r w:rsidR="00CB699A" w:rsidRPr="00A602A0">
        <w:t>closely</w:t>
      </w:r>
      <w:r w:rsidRPr="00A602A0">
        <w:t xml:space="preserve"> linked to health servi</w:t>
      </w:r>
      <w:r w:rsidR="00E32621" w:rsidRPr="00A602A0">
        <w:t xml:space="preserve">ces by the needs of clients. </w:t>
      </w:r>
      <w:r w:rsidR="00E32621" w:rsidRPr="00A04B8E">
        <w:t xml:space="preserve">A higher proportion of </w:t>
      </w:r>
      <w:r w:rsidRPr="00A04B8E">
        <w:t xml:space="preserve">people with disability </w:t>
      </w:r>
      <w:r w:rsidR="00EF4384" w:rsidRPr="00A04B8E">
        <w:t>have long</w:t>
      </w:r>
      <w:r w:rsidR="00E32621" w:rsidRPr="00A04B8E">
        <w:t xml:space="preserve"> term health conditions and more difficulty accessing </w:t>
      </w:r>
      <w:r w:rsidR="00A04B8E" w:rsidRPr="00A04B8E">
        <w:t xml:space="preserve">health </w:t>
      </w:r>
      <w:r w:rsidR="00E32621" w:rsidRPr="00A04B8E">
        <w:t>services</w:t>
      </w:r>
      <w:r w:rsidRPr="00A04B8E">
        <w:t xml:space="preserve"> than the general population</w:t>
      </w:r>
      <w:r w:rsidRPr="00A602A0">
        <w:t xml:space="preserve"> (</w:t>
      </w:r>
      <w:r w:rsidR="00E32621" w:rsidRPr="004F1F5B">
        <w:t>ABS 2015</w:t>
      </w:r>
      <w:r w:rsidR="004F1F5B">
        <w:t>b</w:t>
      </w:r>
      <w:r w:rsidR="00E32621" w:rsidRPr="00A602A0">
        <w:t xml:space="preserve"> and unpublished</w:t>
      </w:r>
      <w:r w:rsidR="00A602A0" w:rsidRPr="00A602A0">
        <w:t>)</w:t>
      </w:r>
      <w:r w:rsidR="00C369EF">
        <w:t>.</w:t>
      </w:r>
    </w:p>
    <w:p w:rsidR="00FE7DD7" w:rsidRPr="001441CA" w:rsidRDefault="003132FC" w:rsidP="00FE7DD7">
      <w:pPr>
        <w:pStyle w:val="Heading2"/>
      </w:pPr>
      <w:bookmarkStart w:id="17" w:name="_Toc243452627"/>
      <w:bookmarkStart w:id="18" w:name="_Toc338234655"/>
      <w:bookmarkStart w:id="19" w:name="_Toc396386204"/>
      <w:bookmarkStart w:id="20" w:name="_Toc463425934"/>
      <w:proofErr w:type="spellStart"/>
      <w:r>
        <w:t>F.</w:t>
      </w:r>
      <w:r w:rsidR="00F33AC2">
        <w:rPr>
          <w:noProof/>
        </w:rPr>
        <w:t>4</w:t>
      </w:r>
      <w:proofErr w:type="spellEnd"/>
      <w:r w:rsidR="003C2C54" w:rsidRPr="00F01F25">
        <w:tab/>
      </w:r>
      <w:r w:rsidR="00FE7DD7" w:rsidRPr="00F01F25">
        <w:t>References</w:t>
      </w:r>
      <w:bookmarkEnd w:id="17"/>
      <w:bookmarkEnd w:id="18"/>
      <w:bookmarkEnd w:id="19"/>
      <w:bookmarkEnd w:id="20"/>
      <w:r w:rsidR="00EC1787">
        <w:t xml:space="preserve"> </w:t>
      </w:r>
    </w:p>
    <w:p w:rsidR="00CE0418" w:rsidRPr="006A011B" w:rsidRDefault="00FE7DD7" w:rsidP="005B7660">
      <w:pPr>
        <w:pStyle w:val="Reference"/>
      </w:pPr>
      <w:r w:rsidRPr="006A011B">
        <w:t xml:space="preserve">ABS (Australian Bureau of Statistics) </w:t>
      </w:r>
      <w:r w:rsidR="00CE0418" w:rsidRPr="006A011B">
        <w:t xml:space="preserve">2014, </w:t>
      </w:r>
      <w:r w:rsidR="00CE0418" w:rsidRPr="006A011B">
        <w:rPr>
          <w:i/>
        </w:rPr>
        <w:t xml:space="preserve">Caring in the Community, Australia, </w:t>
      </w:r>
      <w:r w:rsidR="00CE0418" w:rsidRPr="006A011B">
        <w:t>Cat. no. 4436.0, Canberra.</w:t>
      </w:r>
    </w:p>
    <w:p w:rsidR="00A723CD" w:rsidRPr="004F1F5B" w:rsidRDefault="00A723CD" w:rsidP="005B7660">
      <w:pPr>
        <w:pStyle w:val="Reference"/>
      </w:pPr>
      <w:r w:rsidRPr="004F1F5B">
        <w:t>—— 2015</w:t>
      </w:r>
      <w:r w:rsidR="004F1F5B" w:rsidRPr="004F1F5B">
        <w:t>a</w:t>
      </w:r>
      <w:r w:rsidRPr="004F1F5B">
        <w:t xml:space="preserve">, </w:t>
      </w:r>
      <w:r w:rsidRPr="004F1F5B">
        <w:rPr>
          <w:i/>
        </w:rPr>
        <w:t>Family, household and income unit variables, 2014</w:t>
      </w:r>
      <w:r w:rsidRPr="004F1F5B">
        <w:t>, Cat. no. 1286.0, Canberra.</w:t>
      </w:r>
    </w:p>
    <w:p w:rsidR="00E32621" w:rsidRPr="004F1F5B" w:rsidRDefault="00E32621" w:rsidP="005B7660">
      <w:pPr>
        <w:pStyle w:val="Reference"/>
      </w:pPr>
      <w:r w:rsidRPr="004F1F5B">
        <w:t>—— 2015</w:t>
      </w:r>
      <w:r w:rsidR="004F1F5B" w:rsidRPr="004F1F5B">
        <w:t>b</w:t>
      </w:r>
      <w:r w:rsidRPr="004F1F5B">
        <w:t xml:space="preserve">, </w:t>
      </w:r>
      <w:r w:rsidRPr="004F1F5B">
        <w:rPr>
          <w:i/>
        </w:rPr>
        <w:t>General Social Survey: Summary Results, Australia, 2014,</w:t>
      </w:r>
      <w:r w:rsidRPr="004F1F5B">
        <w:t xml:space="preserve"> Cat. no. 4159.0, Canberra.</w:t>
      </w:r>
    </w:p>
    <w:p w:rsidR="0092617E" w:rsidRDefault="004F1F5B" w:rsidP="005B7660">
      <w:pPr>
        <w:pStyle w:val="Reference"/>
      </w:pPr>
      <w:r w:rsidRPr="004F1F5B">
        <w:t>——</w:t>
      </w:r>
      <w:r w:rsidR="0092617E">
        <w:t xml:space="preserve"> </w:t>
      </w:r>
      <w:r w:rsidR="0092617E" w:rsidRPr="00BE2DC4">
        <w:t>2016</w:t>
      </w:r>
      <w:r w:rsidR="00031446" w:rsidRPr="00BE2DC4">
        <w:t>a</w:t>
      </w:r>
      <w:r w:rsidR="0092617E" w:rsidRPr="00BE2DC4">
        <w:t xml:space="preserve">, </w:t>
      </w:r>
      <w:r w:rsidR="0092617E" w:rsidRPr="00BE2DC4">
        <w:rPr>
          <w:i/>
        </w:rPr>
        <w:t>Disability, Ageing and Carers, Australia: Summary of Findings, 2015</w:t>
      </w:r>
      <w:r w:rsidR="0092617E" w:rsidRPr="00BE2DC4">
        <w:t>;</w:t>
      </w:r>
      <w:r w:rsidR="00031446" w:rsidRPr="00BE2DC4">
        <w:t xml:space="preserve"> Cat. no. 4430.0, Canberra.</w:t>
      </w:r>
    </w:p>
    <w:p w:rsidR="004F1F5B" w:rsidRPr="001441CA" w:rsidRDefault="0092617E" w:rsidP="005B7660">
      <w:pPr>
        <w:pStyle w:val="Reference"/>
      </w:pPr>
      <w:r w:rsidRPr="004F1F5B">
        <w:t xml:space="preserve">—— </w:t>
      </w:r>
      <w:r w:rsidR="004F1F5B" w:rsidRPr="004F1F5B">
        <w:t>2016</w:t>
      </w:r>
      <w:r w:rsidR="00031446">
        <w:t>b</w:t>
      </w:r>
      <w:r w:rsidR="004F1F5B" w:rsidRPr="004F1F5B">
        <w:t xml:space="preserve">, </w:t>
      </w:r>
      <w:r w:rsidR="004F1F5B" w:rsidRPr="004F1F5B">
        <w:rPr>
          <w:i/>
        </w:rPr>
        <w:t>Australian National Accounts: National Income, National Expenditure and Product</w:t>
      </w:r>
      <w:r w:rsidR="004F1F5B" w:rsidRPr="004F1F5B">
        <w:t>, Cat. no. 5206.0, Canberra.</w:t>
      </w:r>
    </w:p>
    <w:p w:rsidR="00CE0418" w:rsidRPr="006A011B" w:rsidRDefault="00FE7DD7" w:rsidP="005B7660">
      <w:pPr>
        <w:pStyle w:val="Reference"/>
      </w:pPr>
      <w:r w:rsidRPr="006A011B">
        <w:lastRenderedPageBreak/>
        <w:t xml:space="preserve">Australian Council of Social Service </w:t>
      </w:r>
      <w:r w:rsidR="00CE0418" w:rsidRPr="006A011B">
        <w:t xml:space="preserve">2009, </w:t>
      </w:r>
      <w:r w:rsidR="00CE0418" w:rsidRPr="006A011B">
        <w:rPr>
          <w:i/>
        </w:rPr>
        <w:t>Australian Community Sector Survey Report 2009</w:t>
      </w:r>
      <w:r w:rsidR="00CE0418" w:rsidRPr="006A011B">
        <w:t>, Strawberry Hills.</w:t>
      </w:r>
    </w:p>
    <w:p w:rsidR="00CE0418" w:rsidRPr="006A011B" w:rsidRDefault="00FE7DD7" w:rsidP="005B7660">
      <w:pPr>
        <w:pStyle w:val="Reference"/>
      </w:pPr>
      <w:r w:rsidRPr="006A011B">
        <w:t xml:space="preserve">AIHW (Australian Institute of Health and Welfare) </w:t>
      </w:r>
      <w:r w:rsidR="00CE0418" w:rsidRPr="006A011B">
        <w:t xml:space="preserve">2003 (and previous issues), </w:t>
      </w:r>
      <w:r w:rsidR="00CE0418" w:rsidRPr="006A011B">
        <w:rPr>
          <w:i/>
        </w:rPr>
        <w:t>National Classifications of Community Services, Version</w:t>
      </w:r>
      <w:r w:rsidR="00164271" w:rsidRPr="006A011B">
        <w:rPr>
          <w:i/>
        </w:rPr>
        <w:t xml:space="preserve"> </w:t>
      </w:r>
      <w:r w:rsidR="00CE0418" w:rsidRPr="006A011B">
        <w:rPr>
          <w:i/>
        </w:rPr>
        <w:t>2.0</w:t>
      </w:r>
      <w:r w:rsidR="00CE0418" w:rsidRPr="006A011B">
        <w:t xml:space="preserve">, Cat. no. HWI 40, Canberra. </w:t>
      </w:r>
    </w:p>
    <w:p w:rsidR="00CE0418" w:rsidRPr="006A011B" w:rsidRDefault="00CE0418" w:rsidP="005B7660">
      <w:pPr>
        <w:pStyle w:val="Reference"/>
      </w:pPr>
      <w:r w:rsidRPr="006A011B">
        <w:t xml:space="preserve">—— 2005, </w:t>
      </w:r>
      <w:r w:rsidRPr="006A011B">
        <w:rPr>
          <w:i/>
        </w:rPr>
        <w:t>National Community Services Information Strategic Plan 2005–2009</w:t>
      </w:r>
      <w:r w:rsidRPr="006A011B">
        <w:t xml:space="preserve">, Cat. no. AUS 68, Canberra </w:t>
      </w:r>
    </w:p>
    <w:p w:rsidR="009C2291" w:rsidRDefault="00CE0418" w:rsidP="005B7660">
      <w:pPr>
        <w:pStyle w:val="Reference"/>
      </w:pPr>
      <w:r w:rsidRPr="006A011B">
        <w:t>—— 201</w:t>
      </w:r>
      <w:r w:rsidR="009C2291">
        <w:t>5</w:t>
      </w:r>
      <w:r w:rsidRPr="006A011B">
        <w:t xml:space="preserve">, </w:t>
      </w:r>
      <w:r w:rsidRPr="006A011B">
        <w:rPr>
          <w:i/>
        </w:rPr>
        <w:t>Australia’s welfare 201</w:t>
      </w:r>
      <w:r w:rsidR="009C2291">
        <w:rPr>
          <w:i/>
        </w:rPr>
        <w:t>5</w:t>
      </w:r>
      <w:r w:rsidRPr="006A011B">
        <w:rPr>
          <w:i/>
        </w:rPr>
        <w:t>,</w:t>
      </w:r>
      <w:r w:rsidRPr="006A011B">
        <w:t xml:space="preserve"> Australia’s welfare series no. 1</w:t>
      </w:r>
      <w:r w:rsidR="009C2291">
        <w:t>2</w:t>
      </w:r>
      <w:r w:rsidRPr="006A011B">
        <w:t>, Cat. no. AUS 1</w:t>
      </w:r>
      <w:r w:rsidR="009C2291">
        <w:t>89</w:t>
      </w:r>
      <w:r w:rsidRPr="006A011B">
        <w:t>, Canberra.</w:t>
      </w:r>
    </w:p>
    <w:p w:rsidR="00CE0418" w:rsidRPr="006A011B" w:rsidRDefault="009C2291" w:rsidP="005B7660">
      <w:pPr>
        <w:pStyle w:val="Reference"/>
      </w:pPr>
      <w:r w:rsidRPr="006A011B">
        <w:t>—— 201</w:t>
      </w:r>
      <w:r>
        <w:t>6</w:t>
      </w:r>
      <w:r w:rsidRPr="006A011B">
        <w:t xml:space="preserve">, </w:t>
      </w:r>
      <w:r w:rsidRPr="006A011B">
        <w:rPr>
          <w:i/>
        </w:rPr>
        <w:t>Australia’s health 201</w:t>
      </w:r>
      <w:r>
        <w:rPr>
          <w:i/>
        </w:rPr>
        <w:t>6</w:t>
      </w:r>
      <w:r w:rsidRPr="006A011B">
        <w:rPr>
          <w:i/>
        </w:rPr>
        <w:t xml:space="preserve">, </w:t>
      </w:r>
      <w:r w:rsidRPr="006A011B">
        <w:t>Cat. no.</w:t>
      </w:r>
      <w:r>
        <w:t xml:space="preserve"> 15</w:t>
      </w:r>
      <w:r w:rsidRPr="006A011B">
        <w:t> AUS 1</w:t>
      </w:r>
      <w:r>
        <w:t>99</w:t>
      </w:r>
      <w:r w:rsidRPr="006A011B">
        <w:t>, Canbe</w:t>
      </w:r>
      <w:r w:rsidR="00282D9C">
        <w:t>rra.</w:t>
      </w:r>
    </w:p>
    <w:p w:rsidR="00FB3E36" w:rsidRPr="006A011B" w:rsidRDefault="00FB3E36" w:rsidP="005B7660">
      <w:pPr>
        <w:pStyle w:val="Reference"/>
      </w:pPr>
      <w:r w:rsidRPr="006A011B">
        <w:t xml:space="preserve">Bromfield, L. M., and Holzer, P. J., 2008, </w:t>
      </w:r>
      <w:r w:rsidRPr="006A011B">
        <w:rPr>
          <w:i/>
        </w:rPr>
        <w:t>NCPASS comparability of child protection data: Project report</w:t>
      </w:r>
      <w:r w:rsidRPr="006A011B">
        <w:t>, Australian Institute of Family Studies, Melbourne.</w:t>
      </w:r>
    </w:p>
    <w:p w:rsidR="00310A77" w:rsidRPr="00704EA9" w:rsidRDefault="00310A77" w:rsidP="005B7660">
      <w:pPr>
        <w:pStyle w:val="Reference"/>
      </w:pPr>
      <w:r>
        <w:t xml:space="preserve">Department of Treasury 2015, </w:t>
      </w:r>
      <w:r w:rsidRPr="00450A77">
        <w:rPr>
          <w:i/>
        </w:rPr>
        <w:t>2015 Intergenerational Report Australia in 2055</w:t>
      </w:r>
      <w:r>
        <w:t>, Treasury, Canberra.</w:t>
      </w:r>
    </w:p>
    <w:p w:rsidR="00913C89" w:rsidRDefault="003341E0" w:rsidP="005B7660">
      <w:pPr>
        <w:pStyle w:val="Reference"/>
      </w:pPr>
      <w:r w:rsidRPr="006A011B">
        <w:t xml:space="preserve">Diener, E. </w:t>
      </w:r>
      <w:r w:rsidR="00913C89" w:rsidRPr="006A011B">
        <w:t>1984</w:t>
      </w:r>
      <w:r w:rsidRPr="006A011B">
        <w:t>,</w:t>
      </w:r>
      <w:r w:rsidR="000415BE" w:rsidRPr="006A011B">
        <w:t xml:space="preserve"> Subjective well</w:t>
      </w:r>
      <w:r w:rsidR="007A3B79" w:rsidRPr="006A011B">
        <w:noBreakHyphen/>
      </w:r>
      <w:r w:rsidR="000415BE" w:rsidRPr="006A011B">
        <w:t>being,</w:t>
      </w:r>
      <w:r w:rsidR="00913C89" w:rsidRPr="006A011B">
        <w:t xml:space="preserve"> </w:t>
      </w:r>
      <w:r w:rsidR="00913C89" w:rsidRPr="006A011B">
        <w:rPr>
          <w:i/>
        </w:rPr>
        <w:t>Psychological Bulletin</w:t>
      </w:r>
      <w:r w:rsidR="00913C89" w:rsidRPr="006A011B">
        <w:t>, 95, 542</w:t>
      </w:r>
      <w:r w:rsidR="007A3B79" w:rsidRPr="006A011B">
        <w:noBreakHyphen/>
      </w:r>
      <w:r w:rsidR="00913C89" w:rsidRPr="006A011B">
        <w:t>575.</w:t>
      </w:r>
    </w:p>
    <w:p w:rsidR="00DC146F" w:rsidRPr="00520DA6" w:rsidRDefault="00012EEC" w:rsidP="005B7660">
      <w:pPr>
        <w:pStyle w:val="Reference"/>
      </w:pPr>
      <w:r w:rsidRPr="006A011B">
        <w:t xml:space="preserve">Productivity Commission </w:t>
      </w:r>
      <w:r w:rsidR="00CE3A29" w:rsidRPr="006A011B">
        <w:t xml:space="preserve">2011, </w:t>
      </w:r>
      <w:r w:rsidR="00CE3A29" w:rsidRPr="006A011B">
        <w:rPr>
          <w:i/>
          <w:szCs w:val="24"/>
        </w:rPr>
        <w:t>Caring for Older Australians,</w:t>
      </w:r>
      <w:r w:rsidR="00CE3A29" w:rsidRPr="006A011B">
        <w:rPr>
          <w:szCs w:val="24"/>
        </w:rPr>
        <w:t xml:space="preserve"> Report No.</w:t>
      </w:r>
      <w:r w:rsidR="00960A48" w:rsidRPr="006A011B">
        <w:rPr>
          <w:szCs w:val="24"/>
        </w:rPr>
        <w:t> </w:t>
      </w:r>
      <w:r w:rsidR="00CE3A29" w:rsidRPr="006A011B">
        <w:rPr>
          <w:szCs w:val="24"/>
        </w:rPr>
        <w:t>53, Final</w:t>
      </w:r>
      <w:r w:rsidR="00B16B9B" w:rsidRPr="006A011B">
        <w:rPr>
          <w:szCs w:val="24"/>
        </w:rPr>
        <w:t xml:space="preserve"> </w:t>
      </w:r>
      <w:r w:rsidR="007A3B79" w:rsidRPr="006A011B">
        <w:rPr>
          <w:szCs w:val="24"/>
        </w:rPr>
        <w:t>i</w:t>
      </w:r>
      <w:r w:rsidR="00CE3A29" w:rsidRPr="006A011B">
        <w:rPr>
          <w:szCs w:val="24"/>
        </w:rPr>
        <w:t xml:space="preserve">nquiry Report, Canberra. </w:t>
      </w:r>
    </w:p>
    <w:p w:rsidR="00567583" w:rsidRDefault="003341E0" w:rsidP="005B7660">
      <w:pPr>
        <w:pStyle w:val="Reference"/>
      </w:pPr>
      <w:r w:rsidRPr="006A011B">
        <w:t xml:space="preserve">Richards, K. 2011, What makes juvenile offenders different from adult offenders? </w:t>
      </w:r>
      <w:r w:rsidRPr="006A011B">
        <w:rPr>
          <w:i/>
        </w:rPr>
        <w:t>Trends &amp; Issues in Crime and Criminal Justice</w:t>
      </w:r>
      <w:r w:rsidRPr="006A011B">
        <w:t>, 409, Australian Institute of Criminology</w:t>
      </w:r>
      <w:r w:rsidR="0048226F" w:rsidRPr="006A011B">
        <w:t>, Canberra</w:t>
      </w:r>
      <w:r w:rsidRPr="006A011B">
        <w:t>.</w:t>
      </w:r>
    </w:p>
    <w:p w:rsidR="00E816EF" w:rsidRDefault="00E816EF" w:rsidP="005B7660">
      <w:pPr>
        <w:pStyle w:val="Reference"/>
      </w:pPr>
      <w:r w:rsidRPr="00B83A70">
        <w:t xml:space="preserve">Scott, D 2014, </w:t>
      </w:r>
      <w:r w:rsidRPr="00CD5B86">
        <w:rPr>
          <w:i/>
        </w:rPr>
        <w:t xml:space="preserve">Understanding child </w:t>
      </w:r>
      <w:r w:rsidR="006A1870">
        <w:rPr>
          <w:i/>
        </w:rPr>
        <w:t>neglect,</w:t>
      </w:r>
      <w:r w:rsidRPr="00B83A70">
        <w:t xml:space="preserve"> </w:t>
      </w:r>
      <w:r w:rsidR="00CD5B86">
        <w:t>Melbourne: AIFS. Viewed 13</w:t>
      </w:r>
      <w:r w:rsidR="001441CA">
        <w:t> </w:t>
      </w:r>
      <w:r w:rsidR="00CD5B86">
        <w:t xml:space="preserve">October 2016 </w:t>
      </w:r>
      <w:r>
        <w:t>&lt;</w:t>
      </w:r>
      <w:r w:rsidRPr="00B83A70">
        <w:t>https://aifs.gov.au/cfca/publications/understanding-child-neglect/risk-indicators-neglect</w:t>
      </w:r>
      <w:r>
        <w:t>&gt;.</w:t>
      </w:r>
    </w:p>
    <w:p w:rsidR="00E816EF" w:rsidRPr="006A011B" w:rsidRDefault="00E816EF" w:rsidP="005B7660">
      <w:pPr>
        <w:pStyle w:val="Reference"/>
      </w:pPr>
      <w:r>
        <w:t>Scott</w:t>
      </w:r>
      <w:r w:rsidR="00833B6E">
        <w:t>,</w:t>
      </w:r>
      <w:r>
        <w:t xml:space="preserve"> D and Nair</w:t>
      </w:r>
      <w:r w:rsidR="00833B6E">
        <w:t>,</w:t>
      </w:r>
      <w:r>
        <w:t xml:space="preserve"> L 2013, </w:t>
      </w:r>
      <w:r w:rsidRPr="00E816EF">
        <w:rPr>
          <w:i/>
        </w:rPr>
        <w:t>Child protection statistics for Aboriginal and Torres Strait Islander children</w:t>
      </w:r>
      <w:r>
        <w:t>. Melbourne: AIFS. Viewed 13</w:t>
      </w:r>
      <w:r w:rsidR="001441CA">
        <w:t> </w:t>
      </w:r>
      <w:r>
        <w:t>October 2016, &lt;http://www.aifs.gov.au/nch/pubs/sheets/rs10/rs10.html&gt;.</w:t>
      </w:r>
    </w:p>
    <w:p w:rsidR="00310A77" w:rsidRPr="00704EA9" w:rsidRDefault="008E5B36" w:rsidP="005B7660">
      <w:pPr>
        <w:pStyle w:val="Reference"/>
      </w:pPr>
      <w:r w:rsidRPr="006A011B">
        <w:t xml:space="preserve">Stutzer, A. and Frey, B.S. 2010, </w:t>
      </w:r>
      <w:r w:rsidR="00AD7FF2" w:rsidRPr="006A011B">
        <w:rPr>
          <w:i/>
        </w:rPr>
        <w:t>Recent Advances in the Economics of Individual Subjective We</w:t>
      </w:r>
      <w:r w:rsidRPr="006A011B">
        <w:rPr>
          <w:i/>
        </w:rPr>
        <w:t xml:space="preserve">llbeing. </w:t>
      </w:r>
      <w:r w:rsidR="00960A48" w:rsidRPr="006A011B">
        <w:rPr>
          <w:i/>
        </w:rPr>
        <w:t>Discussion Paper No. </w:t>
      </w:r>
      <w:r w:rsidR="00AD7FF2" w:rsidRPr="006A011B">
        <w:rPr>
          <w:i/>
        </w:rPr>
        <w:t>4850</w:t>
      </w:r>
      <w:r w:rsidR="005672D8" w:rsidRPr="006A011B">
        <w:t>,</w:t>
      </w:r>
      <w:r w:rsidR="00AD7FF2" w:rsidRPr="006A011B">
        <w:t xml:space="preserve"> I</w:t>
      </w:r>
      <w:r w:rsidRPr="006A011B">
        <w:t xml:space="preserve">nstitute for the Study of Labor, </w:t>
      </w:r>
      <w:r w:rsidR="00AD7FF2" w:rsidRPr="006A011B">
        <w:t>Zurich</w:t>
      </w:r>
      <w:r w:rsidRPr="006A011B">
        <w:t>.</w:t>
      </w:r>
    </w:p>
    <w:sectPr w:rsidR="00310A77" w:rsidRPr="00704EA9" w:rsidSect="00010C8D">
      <w:headerReference w:type="even" r:id="rId13"/>
      <w:headerReference w:type="default" r:id="rId14"/>
      <w:footerReference w:type="even" r:id="rId15"/>
      <w:footerReference w:type="default" r:id="rId16"/>
      <w:pgSz w:w="11907" w:h="16840" w:code="9"/>
      <w:pgMar w:top="1984" w:right="1304" w:bottom="1247" w:left="1814" w:header="1701" w:footer="397" w:gutter="0"/>
      <w:pgNumType w:start="1" w:chapStyle="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3AC2" w:rsidRDefault="00F33AC2">
      <w:r>
        <w:separator/>
      </w:r>
    </w:p>
    <w:p w:rsidR="00F33AC2" w:rsidRDefault="00F33AC2"/>
  </w:endnote>
  <w:endnote w:type="continuationSeparator" w:id="0">
    <w:p w:rsidR="00F33AC2" w:rsidRDefault="00F33AC2">
      <w:r>
        <w:continuationSeparator/>
      </w:r>
    </w:p>
    <w:p w:rsidR="00F33AC2" w:rsidRDefault="00F33A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F33AC2" w:rsidTr="00F72ECB">
      <w:trPr>
        <w:trHeight w:hRule="exact" w:val="567"/>
      </w:trPr>
      <w:tc>
        <w:tcPr>
          <w:tcW w:w="510" w:type="dxa"/>
        </w:tcPr>
        <w:p w:rsidR="00F33AC2" w:rsidRPr="00A24443" w:rsidRDefault="00F33AC2" w:rsidP="0019293B">
          <w:pPr>
            <w:pStyle w:val="Footer"/>
            <w:tabs>
              <w:tab w:val="left" w:pos="0"/>
            </w:tabs>
            <w:ind w:right="0"/>
            <w:rPr>
              <w:rStyle w:val="PageNumber"/>
              <w:caps w:val="0"/>
            </w:rPr>
          </w:pPr>
          <w:r>
            <w:rPr>
              <w:rStyle w:val="PageNumber"/>
              <w:caps w:val="0"/>
            </w:rPr>
            <w:t>F.</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F06C4E">
            <w:rPr>
              <w:rStyle w:val="PageNumber"/>
              <w:caps w:val="0"/>
              <w:noProof/>
            </w:rPr>
            <w:t>2</w:t>
          </w:r>
          <w:r w:rsidRPr="00A24443">
            <w:rPr>
              <w:rStyle w:val="PageNumber"/>
              <w:caps w:val="0"/>
            </w:rPr>
            <w:fldChar w:fldCharType="end"/>
          </w:r>
        </w:p>
      </w:tc>
      <w:tc>
        <w:tcPr>
          <w:tcW w:w="7767" w:type="dxa"/>
        </w:tcPr>
        <w:p w:rsidR="00F33AC2" w:rsidRPr="0013739A" w:rsidRDefault="00F33AC2" w:rsidP="00B57A1E">
          <w:pPr>
            <w:pStyle w:val="Footer"/>
            <w:rPr>
              <w:rFonts w:cs="Arial"/>
            </w:rPr>
          </w:pPr>
          <w:r>
            <w:rPr>
              <w:rFonts w:cs="Arial"/>
            </w:rPr>
            <w:t>Report on Government Services 2017</w:t>
          </w:r>
          <w:bookmarkStart w:id="21" w:name="DraftReportEven"/>
          <w:bookmarkEnd w:id="21"/>
        </w:p>
      </w:tc>
      <w:tc>
        <w:tcPr>
          <w:tcW w:w="510" w:type="dxa"/>
        </w:tcPr>
        <w:p w:rsidR="00F33AC2" w:rsidRDefault="00F33AC2" w:rsidP="0019293B">
          <w:pPr>
            <w:pStyle w:val="Footer"/>
          </w:pPr>
        </w:p>
      </w:tc>
    </w:tr>
  </w:tbl>
  <w:p w:rsidR="00F33AC2" w:rsidRDefault="00F33AC2" w:rsidP="0019293B">
    <w:pPr>
      <w:pStyle w:val="FooterEnd"/>
    </w:pPr>
  </w:p>
  <w:p w:rsidR="00F33AC2" w:rsidRDefault="00F33AC2" w:rsidP="0019293B">
    <w:pPr>
      <w:pStyle w:val="FooterEnd"/>
    </w:pPr>
  </w:p>
  <w:p w:rsidR="00F33AC2" w:rsidRDefault="00F33AC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F33AC2" w:rsidTr="00F72ECB">
      <w:trPr>
        <w:trHeight w:hRule="exact" w:val="567"/>
      </w:trPr>
      <w:tc>
        <w:tcPr>
          <w:tcW w:w="510" w:type="dxa"/>
        </w:tcPr>
        <w:p w:rsidR="00F33AC2" w:rsidRDefault="00F33AC2">
          <w:pPr>
            <w:pStyle w:val="Footer"/>
            <w:ind w:right="360" w:firstLine="360"/>
          </w:pPr>
        </w:p>
      </w:tc>
      <w:tc>
        <w:tcPr>
          <w:tcW w:w="7767" w:type="dxa"/>
        </w:tcPr>
        <w:p w:rsidR="00F33AC2" w:rsidRPr="00BA5B14" w:rsidRDefault="00F33AC2" w:rsidP="00F72ECB">
          <w:pPr>
            <w:pStyle w:val="Footer"/>
            <w:jc w:val="right"/>
            <w:rPr>
              <w:rFonts w:cs="Arial"/>
            </w:rPr>
          </w:pPr>
          <w:r>
            <w:rPr>
              <w:rFonts w:cs="Arial"/>
            </w:rPr>
            <w:t>Community Services Sector Overview</w:t>
          </w:r>
          <w:bookmarkStart w:id="22" w:name="_Toc272325755"/>
        </w:p>
      </w:tc>
      <w:tc>
        <w:tcPr>
          <w:tcW w:w="510" w:type="dxa"/>
        </w:tcPr>
        <w:p w:rsidR="00F33AC2" w:rsidRPr="00A24443" w:rsidRDefault="00F33AC2">
          <w:pPr>
            <w:pStyle w:val="Footer"/>
            <w:jc w:val="right"/>
            <w:rPr>
              <w:caps w:val="0"/>
            </w:rPr>
          </w:pPr>
          <w:r>
            <w:rPr>
              <w:rStyle w:val="PageNumber"/>
              <w:caps w:val="0"/>
            </w:rPr>
            <w:t>F.</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F06C4E">
            <w:rPr>
              <w:rStyle w:val="PageNumber"/>
              <w:caps w:val="0"/>
              <w:noProof/>
            </w:rPr>
            <w:t>1</w:t>
          </w:r>
          <w:r w:rsidRPr="00A24443">
            <w:rPr>
              <w:rStyle w:val="PageNumber"/>
              <w:caps w:val="0"/>
            </w:rPr>
            <w:fldChar w:fldCharType="end"/>
          </w:r>
        </w:p>
      </w:tc>
    </w:tr>
    <w:bookmarkEnd w:id="22"/>
  </w:tbl>
  <w:p w:rsidR="00F33AC2" w:rsidRDefault="00F33AC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3AC2" w:rsidRDefault="00F33AC2">
      <w:r>
        <w:separator/>
      </w:r>
    </w:p>
    <w:p w:rsidR="00F33AC2" w:rsidRDefault="00F33AC2"/>
  </w:footnote>
  <w:footnote w:type="continuationSeparator" w:id="0">
    <w:p w:rsidR="00F33AC2" w:rsidRDefault="00F33AC2">
      <w:r>
        <w:continuationSeparator/>
      </w:r>
    </w:p>
    <w:p w:rsidR="00F33AC2" w:rsidRDefault="00F33AC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F33AC2" w:rsidTr="00BF4970">
      <w:trPr>
        <w:trHeight w:val="319"/>
      </w:trPr>
      <w:tc>
        <w:tcPr>
          <w:tcW w:w="2155" w:type="dxa"/>
          <w:tcBorders>
            <w:top w:val="single" w:sz="24" w:space="0" w:color="auto"/>
          </w:tcBorders>
        </w:tcPr>
        <w:p w:rsidR="00F33AC2" w:rsidRDefault="00F33AC2" w:rsidP="0019293B">
          <w:pPr>
            <w:pStyle w:val="HeaderEven"/>
          </w:pPr>
        </w:p>
      </w:tc>
      <w:tc>
        <w:tcPr>
          <w:tcW w:w="6634" w:type="dxa"/>
          <w:tcBorders>
            <w:top w:val="single" w:sz="6" w:space="0" w:color="auto"/>
          </w:tcBorders>
        </w:tcPr>
        <w:p w:rsidR="00F33AC2" w:rsidRDefault="00F33AC2" w:rsidP="00377404">
          <w:pPr>
            <w:pStyle w:val="HeaderEven"/>
            <w:jc w:val="right"/>
          </w:pPr>
        </w:p>
      </w:tc>
    </w:tr>
  </w:tbl>
  <w:p w:rsidR="00F33AC2" w:rsidRDefault="00F33AC2" w:rsidP="0019293B">
    <w:pPr>
      <w:pStyle w:val="HeaderEnd"/>
    </w:pPr>
  </w:p>
  <w:p w:rsidR="00F33AC2" w:rsidRDefault="00F33AC2" w:rsidP="00037348">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F33AC2" w:rsidTr="00E669E2">
      <w:tc>
        <w:tcPr>
          <w:tcW w:w="6634" w:type="dxa"/>
          <w:tcBorders>
            <w:top w:val="single" w:sz="6" w:space="0" w:color="auto"/>
          </w:tcBorders>
        </w:tcPr>
        <w:p w:rsidR="00F33AC2" w:rsidRDefault="00F33AC2" w:rsidP="00EC7B14">
          <w:pPr>
            <w:pStyle w:val="HeaderOdd"/>
          </w:pPr>
        </w:p>
      </w:tc>
      <w:tc>
        <w:tcPr>
          <w:tcW w:w="2155" w:type="dxa"/>
          <w:tcBorders>
            <w:top w:val="single" w:sz="24" w:space="0" w:color="auto"/>
          </w:tcBorders>
        </w:tcPr>
        <w:p w:rsidR="00F33AC2" w:rsidRDefault="00F33AC2" w:rsidP="00E669E2">
          <w:pPr>
            <w:pStyle w:val="HeaderOdd"/>
          </w:pPr>
        </w:p>
      </w:tc>
    </w:tr>
  </w:tbl>
  <w:p w:rsidR="00F33AC2" w:rsidRDefault="00F33AC2" w:rsidP="00E669E2">
    <w:pPr>
      <w:pStyle w:val="HeaderEnd"/>
    </w:pPr>
  </w:p>
  <w:p w:rsidR="00F33AC2" w:rsidRDefault="00F33AC2" w:rsidP="004B680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88"/>
    <w:multiLevelType w:val="singleLevel"/>
    <w:tmpl w:val="0B5AF1CA"/>
    <w:lvl w:ilvl="0">
      <w:start w:val="1"/>
      <w:numFmt w:val="decimal"/>
      <w:lvlText w:val="%1."/>
      <w:lvlJc w:val="left"/>
      <w:pPr>
        <w:tabs>
          <w:tab w:val="num" w:pos="360"/>
        </w:tabs>
        <w:ind w:left="360" w:hanging="360"/>
      </w:pPr>
    </w:lvl>
  </w:abstractNum>
  <w:abstractNum w:abstractNumId="2">
    <w:nsid w:val="FFFFFF89"/>
    <w:multiLevelType w:val="singleLevel"/>
    <w:tmpl w:val="521C75D6"/>
    <w:lvl w:ilvl="0">
      <w:start w:val="1"/>
      <w:numFmt w:val="bullet"/>
      <w:lvlText w:val=""/>
      <w:lvlJc w:val="left"/>
      <w:pPr>
        <w:tabs>
          <w:tab w:val="num" w:pos="360"/>
        </w:tabs>
        <w:ind w:left="360" w:hanging="360"/>
      </w:pPr>
      <w:rPr>
        <w:rFonts w:ascii="Symbol" w:hAnsi="Symbol" w:hint="default"/>
      </w:rPr>
    </w:lvl>
  </w:abstractNum>
  <w:abstractNum w:abstractNumId="3">
    <w:nsid w:val="FFFFFFFE"/>
    <w:multiLevelType w:val="singleLevel"/>
    <w:tmpl w:val="FFFFFFFF"/>
    <w:lvl w:ilvl="0">
      <w:numFmt w:val="decimal"/>
      <w:lvlText w:val="*"/>
      <w:lvlJc w:val="left"/>
    </w:lvl>
  </w:abstractNum>
  <w:abstractNum w:abstractNumId="4">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6">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7">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0">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2">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3">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4">
    <w:nsid w:val="3C722E17"/>
    <w:multiLevelType w:val="hybridMultilevel"/>
    <w:tmpl w:val="D03C1D6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5">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9">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0">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3"/>
  </w:num>
  <w:num w:numId="2">
    <w:abstractNumId w:val="6"/>
  </w:num>
  <w:num w:numId="3">
    <w:abstractNumId w:val="22"/>
  </w:num>
  <w:num w:numId="4">
    <w:abstractNumId w:val="4"/>
  </w:num>
  <w:num w:numId="5">
    <w:abstractNumId w:val="16"/>
  </w:num>
  <w:num w:numId="6">
    <w:abstractNumId w:val="5"/>
  </w:num>
  <w:num w:numId="7">
    <w:abstractNumId w:val="21"/>
  </w:num>
  <w:num w:numId="8">
    <w:abstractNumId w:val="18"/>
  </w:num>
  <w:num w:numId="9">
    <w:abstractNumId w:val="23"/>
  </w:num>
  <w:num w:numId="10">
    <w:abstractNumId w:val="11"/>
  </w:num>
  <w:num w:numId="11">
    <w:abstractNumId w:val="9"/>
  </w:num>
  <w:num w:numId="12">
    <w:abstractNumId w:val="17"/>
  </w:num>
  <w:num w:numId="13">
    <w:abstractNumId w:val="8"/>
  </w:num>
  <w:num w:numId="14">
    <w:abstractNumId w:val="7"/>
  </w:num>
  <w:num w:numId="15">
    <w:abstractNumId w:val="14"/>
  </w:num>
  <w:num w:numId="16">
    <w:abstractNumId w:val="12"/>
  </w:num>
  <w:num w:numId="17">
    <w:abstractNumId w:val="15"/>
  </w:num>
  <w:num w:numId="18">
    <w:abstractNumId w:val="19"/>
  </w:num>
  <w:num w:numId="19">
    <w:abstractNumId w:val="20"/>
  </w:num>
  <w:num w:numId="20">
    <w:abstractNumId w:val="10"/>
  </w:num>
  <w:num w:numId="21">
    <w:abstractNumId w:val="0"/>
  </w:num>
  <w:num w:numId="22">
    <w:abstractNumId w:val="3"/>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3">
    <w:abstractNumId w:val="2"/>
  </w:num>
  <w:num w:numId="24">
    <w:abstractNumId w:val="3"/>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25">
    <w:abstractNumId w:val="1"/>
  </w:num>
  <w:num w:numId="26">
    <w:abstractNumId w:val="13"/>
  </w:num>
  <w:num w:numId="27">
    <w:abstractNumId w:val="16"/>
  </w:num>
  <w:num w:numId="28">
    <w:abstractNumId w:val="16"/>
  </w:num>
  <w:num w:numId="29">
    <w:abstractNumId w:val="16"/>
  </w:num>
  <w:num w:numId="30">
    <w:abstractNumId w:val="13"/>
  </w:num>
  <w:num w:numId="31">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5253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F"/>
    <w:docVar w:name="FindingOptions" w:val="1"/>
    <w:docVar w:name="RecOptions" w:val="111"/>
    <w:docVar w:name="ShortChapterTitle" w:val="Community Services Sector Overview"/>
    <w:docVar w:name="ShortReportTitle" w:val="Report on Government Services 2017"/>
  </w:docVars>
  <w:rsids>
    <w:rsidRoot w:val="008B2B88"/>
    <w:rsid w:val="00001A26"/>
    <w:rsid w:val="00002906"/>
    <w:rsid w:val="00002DF2"/>
    <w:rsid w:val="00003939"/>
    <w:rsid w:val="0000421F"/>
    <w:rsid w:val="000048ED"/>
    <w:rsid w:val="00004F85"/>
    <w:rsid w:val="000054DF"/>
    <w:rsid w:val="000061AE"/>
    <w:rsid w:val="00006499"/>
    <w:rsid w:val="000073D6"/>
    <w:rsid w:val="00007F79"/>
    <w:rsid w:val="0001056D"/>
    <w:rsid w:val="00010C8D"/>
    <w:rsid w:val="0001168A"/>
    <w:rsid w:val="0001249D"/>
    <w:rsid w:val="00012606"/>
    <w:rsid w:val="00012EEC"/>
    <w:rsid w:val="0001316B"/>
    <w:rsid w:val="00013629"/>
    <w:rsid w:val="000143FC"/>
    <w:rsid w:val="000154A3"/>
    <w:rsid w:val="00015B20"/>
    <w:rsid w:val="000167C1"/>
    <w:rsid w:val="00017094"/>
    <w:rsid w:val="00017398"/>
    <w:rsid w:val="00017461"/>
    <w:rsid w:val="00017864"/>
    <w:rsid w:val="00017866"/>
    <w:rsid w:val="0002036F"/>
    <w:rsid w:val="000204FD"/>
    <w:rsid w:val="00020E04"/>
    <w:rsid w:val="00022060"/>
    <w:rsid w:val="00023230"/>
    <w:rsid w:val="000237C1"/>
    <w:rsid w:val="00023ED5"/>
    <w:rsid w:val="000243AB"/>
    <w:rsid w:val="00024A62"/>
    <w:rsid w:val="00024A97"/>
    <w:rsid w:val="000276E2"/>
    <w:rsid w:val="00027729"/>
    <w:rsid w:val="0002785E"/>
    <w:rsid w:val="00031446"/>
    <w:rsid w:val="00032B6D"/>
    <w:rsid w:val="00033496"/>
    <w:rsid w:val="00033A80"/>
    <w:rsid w:val="0003440F"/>
    <w:rsid w:val="0003465F"/>
    <w:rsid w:val="00035B58"/>
    <w:rsid w:val="0003664B"/>
    <w:rsid w:val="00036A5F"/>
    <w:rsid w:val="00036DBF"/>
    <w:rsid w:val="00037348"/>
    <w:rsid w:val="00040120"/>
    <w:rsid w:val="0004021D"/>
    <w:rsid w:val="0004033A"/>
    <w:rsid w:val="0004040E"/>
    <w:rsid w:val="00040CBA"/>
    <w:rsid w:val="0004111F"/>
    <w:rsid w:val="000415BE"/>
    <w:rsid w:val="00041828"/>
    <w:rsid w:val="00043621"/>
    <w:rsid w:val="00044121"/>
    <w:rsid w:val="000444CC"/>
    <w:rsid w:val="00045008"/>
    <w:rsid w:val="00045FF9"/>
    <w:rsid w:val="00046094"/>
    <w:rsid w:val="000464E1"/>
    <w:rsid w:val="00047CD4"/>
    <w:rsid w:val="00051323"/>
    <w:rsid w:val="00051D8F"/>
    <w:rsid w:val="000525FA"/>
    <w:rsid w:val="00052DBC"/>
    <w:rsid w:val="00054FBC"/>
    <w:rsid w:val="00055781"/>
    <w:rsid w:val="00055CAB"/>
    <w:rsid w:val="00055D43"/>
    <w:rsid w:val="00056483"/>
    <w:rsid w:val="00056544"/>
    <w:rsid w:val="00056717"/>
    <w:rsid w:val="0005727C"/>
    <w:rsid w:val="000573FC"/>
    <w:rsid w:val="00057537"/>
    <w:rsid w:val="00057ADE"/>
    <w:rsid w:val="00060666"/>
    <w:rsid w:val="00060EA1"/>
    <w:rsid w:val="00061116"/>
    <w:rsid w:val="0006257A"/>
    <w:rsid w:val="0006268F"/>
    <w:rsid w:val="00062D18"/>
    <w:rsid w:val="000632E1"/>
    <w:rsid w:val="0006398E"/>
    <w:rsid w:val="00065BE5"/>
    <w:rsid w:val="00066C2C"/>
    <w:rsid w:val="000672AC"/>
    <w:rsid w:val="000674C3"/>
    <w:rsid w:val="00067AF5"/>
    <w:rsid w:val="00067CFB"/>
    <w:rsid w:val="00070088"/>
    <w:rsid w:val="0007150B"/>
    <w:rsid w:val="00071D2E"/>
    <w:rsid w:val="00072C07"/>
    <w:rsid w:val="000748D0"/>
    <w:rsid w:val="00074CFA"/>
    <w:rsid w:val="00074E5A"/>
    <w:rsid w:val="00075441"/>
    <w:rsid w:val="000769AD"/>
    <w:rsid w:val="00077A98"/>
    <w:rsid w:val="00077BB1"/>
    <w:rsid w:val="000800FA"/>
    <w:rsid w:val="000831D0"/>
    <w:rsid w:val="00083396"/>
    <w:rsid w:val="00083EEF"/>
    <w:rsid w:val="00085CCF"/>
    <w:rsid w:val="00087491"/>
    <w:rsid w:val="000875B0"/>
    <w:rsid w:val="00087876"/>
    <w:rsid w:val="00090281"/>
    <w:rsid w:val="0009065E"/>
    <w:rsid w:val="00090D55"/>
    <w:rsid w:val="0009132A"/>
    <w:rsid w:val="000921D0"/>
    <w:rsid w:val="00092371"/>
    <w:rsid w:val="0009256B"/>
    <w:rsid w:val="000937A0"/>
    <w:rsid w:val="000938F5"/>
    <w:rsid w:val="0009526C"/>
    <w:rsid w:val="0009588B"/>
    <w:rsid w:val="00095E70"/>
    <w:rsid w:val="00096CF3"/>
    <w:rsid w:val="00096F8A"/>
    <w:rsid w:val="000970BF"/>
    <w:rsid w:val="000A1810"/>
    <w:rsid w:val="000A199B"/>
    <w:rsid w:val="000A1F77"/>
    <w:rsid w:val="000A244C"/>
    <w:rsid w:val="000A2EAE"/>
    <w:rsid w:val="000A309A"/>
    <w:rsid w:val="000A3A02"/>
    <w:rsid w:val="000A3DD4"/>
    <w:rsid w:val="000A3E1F"/>
    <w:rsid w:val="000A4869"/>
    <w:rsid w:val="000A56D8"/>
    <w:rsid w:val="000A5954"/>
    <w:rsid w:val="000A73A6"/>
    <w:rsid w:val="000A79BA"/>
    <w:rsid w:val="000A7CE1"/>
    <w:rsid w:val="000B04A4"/>
    <w:rsid w:val="000B1858"/>
    <w:rsid w:val="000B1A5A"/>
    <w:rsid w:val="000B1E38"/>
    <w:rsid w:val="000B245E"/>
    <w:rsid w:val="000B4762"/>
    <w:rsid w:val="000B4A65"/>
    <w:rsid w:val="000B4D98"/>
    <w:rsid w:val="000B4DDC"/>
    <w:rsid w:val="000B5935"/>
    <w:rsid w:val="000B601B"/>
    <w:rsid w:val="000B70A7"/>
    <w:rsid w:val="000B72D8"/>
    <w:rsid w:val="000B7745"/>
    <w:rsid w:val="000C182C"/>
    <w:rsid w:val="000C1EEF"/>
    <w:rsid w:val="000C207E"/>
    <w:rsid w:val="000C2290"/>
    <w:rsid w:val="000C2358"/>
    <w:rsid w:val="000C3390"/>
    <w:rsid w:val="000C4F04"/>
    <w:rsid w:val="000C5730"/>
    <w:rsid w:val="000C5977"/>
    <w:rsid w:val="000C5AD7"/>
    <w:rsid w:val="000C7CD7"/>
    <w:rsid w:val="000D09EE"/>
    <w:rsid w:val="000D0B05"/>
    <w:rsid w:val="000D10D1"/>
    <w:rsid w:val="000D1247"/>
    <w:rsid w:val="000D1881"/>
    <w:rsid w:val="000D2115"/>
    <w:rsid w:val="000D4D6D"/>
    <w:rsid w:val="000D5298"/>
    <w:rsid w:val="000D5632"/>
    <w:rsid w:val="000D5E02"/>
    <w:rsid w:val="000D6710"/>
    <w:rsid w:val="000D7213"/>
    <w:rsid w:val="000E120B"/>
    <w:rsid w:val="000E22E0"/>
    <w:rsid w:val="000E4E50"/>
    <w:rsid w:val="000E6649"/>
    <w:rsid w:val="000E6B3A"/>
    <w:rsid w:val="000E6FC5"/>
    <w:rsid w:val="000E7E20"/>
    <w:rsid w:val="000F0EA0"/>
    <w:rsid w:val="000F26AD"/>
    <w:rsid w:val="000F2940"/>
    <w:rsid w:val="000F32BF"/>
    <w:rsid w:val="000F37E2"/>
    <w:rsid w:val="000F6643"/>
    <w:rsid w:val="000F7D2A"/>
    <w:rsid w:val="00101522"/>
    <w:rsid w:val="00101C8D"/>
    <w:rsid w:val="00102C0B"/>
    <w:rsid w:val="0010302F"/>
    <w:rsid w:val="00103A38"/>
    <w:rsid w:val="00104D21"/>
    <w:rsid w:val="0010506A"/>
    <w:rsid w:val="00106698"/>
    <w:rsid w:val="0010688B"/>
    <w:rsid w:val="00107A1E"/>
    <w:rsid w:val="00110116"/>
    <w:rsid w:val="00110F0B"/>
    <w:rsid w:val="001117BC"/>
    <w:rsid w:val="001117FD"/>
    <w:rsid w:val="00111FD7"/>
    <w:rsid w:val="00113615"/>
    <w:rsid w:val="00114335"/>
    <w:rsid w:val="0011537D"/>
    <w:rsid w:val="00115A01"/>
    <w:rsid w:val="0011600C"/>
    <w:rsid w:val="001160C1"/>
    <w:rsid w:val="00116955"/>
    <w:rsid w:val="0011721E"/>
    <w:rsid w:val="00117A35"/>
    <w:rsid w:val="00117F28"/>
    <w:rsid w:val="0012171C"/>
    <w:rsid w:val="001225FE"/>
    <w:rsid w:val="0012407C"/>
    <w:rsid w:val="0012694F"/>
    <w:rsid w:val="00126EB8"/>
    <w:rsid w:val="00126FFB"/>
    <w:rsid w:val="001274C4"/>
    <w:rsid w:val="00130B6F"/>
    <w:rsid w:val="001314D7"/>
    <w:rsid w:val="00131EC8"/>
    <w:rsid w:val="00132F74"/>
    <w:rsid w:val="001338EE"/>
    <w:rsid w:val="0013440D"/>
    <w:rsid w:val="00134D51"/>
    <w:rsid w:val="00134F50"/>
    <w:rsid w:val="00135861"/>
    <w:rsid w:val="0013633B"/>
    <w:rsid w:val="001363AA"/>
    <w:rsid w:val="0013746E"/>
    <w:rsid w:val="001400E6"/>
    <w:rsid w:val="001403E8"/>
    <w:rsid w:val="00140B29"/>
    <w:rsid w:val="00141033"/>
    <w:rsid w:val="0014127F"/>
    <w:rsid w:val="00141740"/>
    <w:rsid w:val="00141F80"/>
    <w:rsid w:val="0014220E"/>
    <w:rsid w:val="00142377"/>
    <w:rsid w:val="001423BA"/>
    <w:rsid w:val="00142BA8"/>
    <w:rsid w:val="00142E40"/>
    <w:rsid w:val="0014398D"/>
    <w:rsid w:val="001441CA"/>
    <w:rsid w:val="001443C8"/>
    <w:rsid w:val="00144CC2"/>
    <w:rsid w:val="00145401"/>
    <w:rsid w:val="0014572B"/>
    <w:rsid w:val="00145A06"/>
    <w:rsid w:val="001460BC"/>
    <w:rsid w:val="0014769D"/>
    <w:rsid w:val="0015130B"/>
    <w:rsid w:val="001514CE"/>
    <w:rsid w:val="00152258"/>
    <w:rsid w:val="00152D5E"/>
    <w:rsid w:val="00153378"/>
    <w:rsid w:val="00153946"/>
    <w:rsid w:val="001541A6"/>
    <w:rsid w:val="00155452"/>
    <w:rsid w:val="00155ACF"/>
    <w:rsid w:val="00156731"/>
    <w:rsid w:val="001571B4"/>
    <w:rsid w:val="00157A9D"/>
    <w:rsid w:val="0016069C"/>
    <w:rsid w:val="001610C1"/>
    <w:rsid w:val="0016118D"/>
    <w:rsid w:val="00162767"/>
    <w:rsid w:val="00162CC6"/>
    <w:rsid w:val="00163A78"/>
    <w:rsid w:val="00164271"/>
    <w:rsid w:val="00165928"/>
    <w:rsid w:val="00166DF5"/>
    <w:rsid w:val="00167146"/>
    <w:rsid w:val="00167E6D"/>
    <w:rsid w:val="00170451"/>
    <w:rsid w:val="0017048F"/>
    <w:rsid w:val="00170B93"/>
    <w:rsid w:val="001710B4"/>
    <w:rsid w:val="00171F25"/>
    <w:rsid w:val="00171FFB"/>
    <w:rsid w:val="0017256B"/>
    <w:rsid w:val="00172E1F"/>
    <w:rsid w:val="001731B5"/>
    <w:rsid w:val="00173979"/>
    <w:rsid w:val="0017417B"/>
    <w:rsid w:val="00176008"/>
    <w:rsid w:val="00177B60"/>
    <w:rsid w:val="00177BA6"/>
    <w:rsid w:val="00181A0D"/>
    <w:rsid w:val="00182642"/>
    <w:rsid w:val="00182C03"/>
    <w:rsid w:val="00183074"/>
    <w:rsid w:val="0018316D"/>
    <w:rsid w:val="001835B3"/>
    <w:rsid w:val="00184012"/>
    <w:rsid w:val="001860A8"/>
    <w:rsid w:val="001866FC"/>
    <w:rsid w:val="00186E54"/>
    <w:rsid w:val="001876EF"/>
    <w:rsid w:val="00187A60"/>
    <w:rsid w:val="00191973"/>
    <w:rsid w:val="00191E78"/>
    <w:rsid w:val="00191F61"/>
    <w:rsid w:val="0019200C"/>
    <w:rsid w:val="00192067"/>
    <w:rsid w:val="001926C1"/>
    <w:rsid w:val="00192769"/>
    <w:rsid w:val="0019293B"/>
    <w:rsid w:val="00192BCD"/>
    <w:rsid w:val="00192BD8"/>
    <w:rsid w:val="00192CA4"/>
    <w:rsid w:val="00193D87"/>
    <w:rsid w:val="001946C1"/>
    <w:rsid w:val="0019529C"/>
    <w:rsid w:val="00196683"/>
    <w:rsid w:val="00196DFE"/>
    <w:rsid w:val="00197085"/>
    <w:rsid w:val="00197646"/>
    <w:rsid w:val="00197C1A"/>
    <w:rsid w:val="00197EA7"/>
    <w:rsid w:val="001A00CC"/>
    <w:rsid w:val="001A0559"/>
    <w:rsid w:val="001A081B"/>
    <w:rsid w:val="001A19EC"/>
    <w:rsid w:val="001A2660"/>
    <w:rsid w:val="001A2C16"/>
    <w:rsid w:val="001A3F34"/>
    <w:rsid w:val="001A3FAD"/>
    <w:rsid w:val="001A423C"/>
    <w:rsid w:val="001A49D3"/>
    <w:rsid w:val="001A5193"/>
    <w:rsid w:val="001A5FB7"/>
    <w:rsid w:val="001A6F28"/>
    <w:rsid w:val="001A6FAD"/>
    <w:rsid w:val="001A77BF"/>
    <w:rsid w:val="001A7AA1"/>
    <w:rsid w:val="001B0394"/>
    <w:rsid w:val="001B05F2"/>
    <w:rsid w:val="001B094F"/>
    <w:rsid w:val="001B1783"/>
    <w:rsid w:val="001B2D08"/>
    <w:rsid w:val="001B3404"/>
    <w:rsid w:val="001B3825"/>
    <w:rsid w:val="001B3CF1"/>
    <w:rsid w:val="001B3E37"/>
    <w:rsid w:val="001B4B60"/>
    <w:rsid w:val="001B542A"/>
    <w:rsid w:val="001B5A40"/>
    <w:rsid w:val="001B6E2F"/>
    <w:rsid w:val="001B716A"/>
    <w:rsid w:val="001B719E"/>
    <w:rsid w:val="001B75D6"/>
    <w:rsid w:val="001B7F86"/>
    <w:rsid w:val="001C0802"/>
    <w:rsid w:val="001C0865"/>
    <w:rsid w:val="001C1835"/>
    <w:rsid w:val="001C3ABA"/>
    <w:rsid w:val="001C5236"/>
    <w:rsid w:val="001C61AC"/>
    <w:rsid w:val="001C68D0"/>
    <w:rsid w:val="001C776E"/>
    <w:rsid w:val="001D1902"/>
    <w:rsid w:val="001D192A"/>
    <w:rsid w:val="001D1AE3"/>
    <w:rsid w:val="001D2030"/>
    <w:rsid w:val="001D2266"/>
    <w:rsid w:val="001D2B9E"/>
    <w:rsid w:val="001D35B6"/>
    <w:rsid w:val="001D3D0B"/>
    <w:rsid w:val="001D3EDA"/>
    <w:rsid w:val="001D4BC7"/>
    <w:rsid w:val="001D4C33"/>
    <w:rsid w:val="001D4C67"/>
    <w:rsid w:val="001D6BB7"/>
    <w:rsid w:val="001D7247"/>
    <w:rsid w:val="001E03B9"/>
    <w:rsid w:val="001E0CE2"/>
    <w:rsid w:val="001E10B3"/>
    <w:rsid w:val="001E11C8"/>
    <w:rsid w:val="001E16B9"/>
    <w:rsid w:val="001E2517"/>
    <w:rsid w:val="001E37DC"/>
    <w:rsid w:val="001E410D"/>
    <w:rsid w:val="001E46B0"/>
    <w:rsid w:val="001E48AD"/>
    <w:rsid w:val="001E4CD2"/>
    <w:rsid w:val="001E60CD"/>
    <w:rsid w:val="001E65FF"/>
    <w:rsid w:val="001E6F0C"/>
    <w:rsid w:val="001E7BE8"/>
    <w:rsid w:val="001E7BF7"/>
    <w:rsid w:val="001F0248"/>
    <w:rsid w:val="001F1AC3"/>
    <w:rsid w:val="001F2DD3"/>
    <w:rsid w:val="001F30EF"/>
    <w:rsid w:val="001F34A3"/>
    <w:rsid w:val="001F4425"/>
    <w:rsid w:val="001F6464"/>
    <w:rsid w:val="0020094B"/>
    <w:rsid w:val="00200F52"/>
    <w:rsid w:val="00200F75"/>
    <w:rsid w:val="00201B08"/>
    <w:rsid w:val="0020230F"/>
    <w:rsid w:val="0020262C"/>
    <w:rsid w:val="002027A9"/>
    <w:rsid w:val="00202C2C"/>
    <w:rsid w:val="002034F9"/>
    <w:rsid w:val="00203CAD"/>
    <w:rsid w:val="00203E5E"/>
    <w:rsid w:val="00204355"/>
    <w:rsid w:val="002056BC"/>
    <w:rsid w:val="00205901"/>
    <w:rsid w:val="00205931"/>
    <w:rsid w:val="002079F9"/>
    <w:rsid w:val="00211062"/>
    <w:rsid w:val="00211ECC"/>
    <w:rsid w:val="00212D13"/>
    <w:rsid w:val="00213537"/>
    <w:rsid w:val="00213C29"/>
    <w:rsid w:val="002153A0"/>
    <w:rsid w:val="002163E5"/>
    <w:rsid w:val="00217FBC"/>
    <w:rsid w:val="00220488"/>
    <w:rsid w:val="0022104A"/>
    <w:rsid w:val="00222DEF"/>
    <w:rsid w:val="0022404E"/>
    <w:rsid w:val="002242D0"/>
    <w:rsid w:val="002250AA"/>
    <w:rsid w:val="002251D1"/>
    <w:rsid w:val="00225CE3"/>
    <w:rsid w:val="0022623F"/>
    <w:rsid w:val="002265D5"/>
    <w:rsid w:val="00227B1F"/>
    <w:rsid w:val="002315D6"/>
    <w:rsid w:val="002344AC"/>
    <w:rsid w:val="00235464"/>
    <w:rsid w:val="00235C15"/>
    <w:rsid w:val="0023638B"/>
    <w:rsid w:val="0023776D"/>
    <w:rsid w:val="00237A7F"/>
    <w:rsid w:val="00237A88"/>
    <w:rsid w:val="0024099C"/>
    <w:rsid w:val="002410EC"/>
    <w:rsid w:val="002421E1"/>
    <w:rsid w:val="00242279"/>
    <w:rsid w:val="0024263F"/>
    <w:rsid w:val="0024274B"/>
    <w:rsid w:val="00242C73"/>
    <w:rsid w:val="002438AD"/>
    <w:rsid w:val="00244297"/>
    <w:rsid w:val="002445AF"/>
    <w:rsid w:val="00244BB6"/>
    <w:rsid w:val="00244D73"/>
    <w:rsid w:val="002450CD"/>
    <w:rsid w:val="002456BF"/>
    <w:rsid w:val="00245958"/>
    <w:rsid w:val="00245999"/>
    <w:rsid w:val="00245C74"/>
    <w:rsid w:val="00250B44"/>
    <w:rsid w:val="002528BD"/>
    <w:rsid w:val="00253469"/>
    <w:rsid w:val="00253DC7"/>
    <w:rsid w:val="002541C2"/>
    <w:rsid w:val="00254670"/>
    <w:rsid w:val="00254A96"/>
    <w:rsid w:val="002556E2"/>
    <w:rsid w:val="00255A37"/>
    <w:rsid w:val="00255C2C"/>
    <w:rsid w:val="00255FD4"/>
    <w:rsid w:val="00256A62"/>
    <w:rsid w:val="00257629"/>
    <w:rsid w:val="002578AC"/>
    <w:rsid w:val="002601D2"/>
    <w:rsid w:val="00260851"/>
    <w:rsid w:val="00261535"/>
    <w:rsid w:val="002616A3"/>
    <w:rsid w:val="0026240B"/>
    <w:rsid w:val="00262C3D"/>
    <w:rsid w:val="00263186"/>
    <w:rsid w:val="00263EF8"/>
    <w:rsid w:val="002654F2"/>
    <w:rsid w:val="002676BD"/>
    <w:rsid w:val="00270756"/>
    <w:rsid w:val="00270D99"/>
    <w:rsid w:val="00271A9A"/>
    <w:rsid w:val="00271F7C"/>
    <w:rsid w:val="00272FA3"/>
    <w:rsid w:val="002737C7"/>
    <w:rsid w:val="002743C2"/>
    <w:rsid w:val="00274A7F"/>
    <w:rsid w:val="00275832"/>
    <w:rsid w:val="0027681F"/>
    <w:rsid w:val="00277E32"/>
    <w:rsid w:val="00277FA3"/>
    <w:rsid w:val="00280A4D"/>
    <w:rsid w:val="00282D9C"/>
    <w:rsid w:val="002831BA"/>
    <w:rsid w:val="002858BF"/>
    <w:rsid w:val="00285D58"/>
    <w:rsid w:val="00285E19"/>
    <w:rsid w:val="00285F8A"/>
    <w:rsid w:val="00286093"/>
    <w:rsid w:val="00286598"/>
    <w:rsid w:val="0028772E"/>
    <w:rsid w:val="002877D3"/>
    <w:rsid w:val="0029042D"/>
    <w:rsid w:val="00290559"/>
    <w:rsid w:val="002908D5"/>
    <w:rsid w:val="00290CEF"/>
    <w:rsid w:val="00291005"/>
    <w:rsid w:val="00291A2F"/>
    <w:rsid w:val="00291B40"/>
    <w:rsid w:val="00292714"/>
    <w:rsid w:val="00292755"/>
    <w:rsid w:val="00293698"/>
    <w:rsid w:val="00293819"/>
    <w:rsid w:val="00294520"/>
    <w:rsid w:val="00294F5E"/>
    <w:rsid w:val="0029540D"/>
    <w:rsid w:val="00297590"/>
    <w:rsid w:val="002A0335"/>
    <w:rsid w:val="002A0ABF"/>
    <w:rsid w:val="002A0E06"/>
    <w:rsid w:val="002A0E9A"/>
    <w:rsid w:val="002A0FA5"/>
    <w:rsid w:val="002A1BF0"/>
    <w:rsid w:val="002A25BE"/>
    <w:rsid w:val="002A3659"/>
    <w:rsid w:val="002A3A5B"/>
    <w:rsid w:val="002A3BFD"/>
    <w:rsid w:val="002A49F3"/>
    <w:rsid w:val="002A4D3C"/>
    <w:rsid w:val="002A5A84"/>
    <w:rsid w:val="002A5B05"/>
    <w:rsid w:val="002A5E46"/>
    <w:rsid w:val="002A6142"/>
    <w:rsid w:val="002A6DDA"/>
    <w:rsid w:val="002B04AB"/>
    <w:rsid w:val="002B1D3A"/>
    <w:rsid w:val="002B207E"/>
    <w:rsid w:val="002B21E3"/>
    <w:rsid w:val="002B34A9"/>
    <w:rsid w:val="002B38EA"/>
    <w:rsid w:val="002B4008"/>
    <w:rsid w:val="002B4380"/>
    <w:rsid w:val="002B47C3"/>
    <w:rsid w:val="002B5B30"/>
    <w:rsid w:val="002B7088"/>
    <w:rsid w:val="002C15A1"/>
    <w:rsid w:val="002C198B"/>
    <w:rsid w:val="002C1A11"/>
    <w:rsid w:val="002C244C"/>
    <w:rsid w:val="002C2B06"/>
    <w:rsid w:val="002C2F98"/>
    <w:rsid w:val="002C34EC"/>
    <w:rsid w:val="002C3C79"/>
    <w:rsid w:val="002C3E77"/>
    <w:rsid w:val="002C4C5B"/>
    <w:rsid w:val="002C4D32"/>
    <w:rsid w:val="002C4E2B"/>
    <w:rsid w:val="002C5E19"/>
    <w:rsid w:val="002C6D22"/>
    <w:rsid w:val="002D01DE"/>
    <w:rsid w:val="002D0E8E"/>
    <w:rsid w:val="002D1112"/>
    <w:rsid w:val="002D1128"/>
    <w:rsid w:val="002D1148"/>
    <w:rsid w:val="002D1285"/>
    <w:rsid w:val="002D2B91"/>
    <w:rsid w:val="002D3074"/>
    <w:rsid w:val="002D3459"/>
    <w:rsid w:val="002D4D1A"/>
    <w:rsid w:val="002D6205"/>
    <w:rsid w:val="002D63A4"/>
    <w:rsid w:val="002D6F75"/>
    <w:rsid w:val="002D72E8"/>
    <w:rsid w:val="002E0788"/>
    <w:rsid w:val="002E0A10"/>
    <w:rsid w:val="002E1123"/>
    <w:rsid w:val="002E3077"/>
    <w:rsid w:val="002E5806"/>
    <w:rsid w:val="002E6468"/>
    <w:rsid w:val="002E69E3"/>
    <w:rsid w:val="002E7B5F"/>
    <w:rsid w:val="002F0619"/>
    <w:rsid w:val="002F0D3C"/>
    <w:rsid w:val="002F13FD"/>
    <w:rsid w:val="002F1BD3"/>
    <w:rsid w:val="002F319A"/>
    <w:rsid w:val="002F33AF"/>
    <w:rsid w:val="002F3CD3"/>
    <w:rsid w:val="002F41ED"/>
    <w:rsid w:val="002F4965"/>
    <w:rsid w:val="002F4FDD"/>
    <w:rsid w:val="00301189"/>
    <w:rsid w:val="00302902"/>
    <w:rsid w:val="0030346F"/>
    <w:rsid w:val="00304FBD"/>
    <w:rsid w:val="00305436"/>
    <w:rsid w:val="003059F7"/>
    <w:rsid w:val="00305E25"/>
    <w:rsid w:val="0030763B"/>
    <w:rsid w:val="00307C6F"/>
    <w:rsid w:val="00310485"/>
    <w:rsid w:val="00310A77"/>
    <w:rsid w:val="00311B96"/>
    <w:rsid w:val="003128CA"/>
    <w:rsid w:val="003132FC"/>
    <w:rsid w:val="003139C6"/>
    <w:rsid w:val="00315910"/>
    <w:rsid w:val="00315E9B"/>
    <w:rsid w:val="00316380"/>
    <w:rsid w:val="00317A5A"/>
    <w:rsid w:val="00320C57"/>
    <w:rsid w:val="00321017"/>
    <w:rsid w:val="003210D1"/>
    <w:rsid w:val="003215D5"/>
    <w:rsid w:val="003218A4"/>
    <w:rsid w:val="00321919"/>
    <w:rsid w:val="00321F5D"/>
    <w:rsid w:val="0032317C"/>
    <w:rsid w:val="003233C9"/>
    <w:rsid w:val="00323786"/>
    <w:rsid w:val="00323E09"/>
    <w:rsid w:val="003253E0"/>
    <w:rsid w:val="00325AC8"/>
    <w:rsid w:val="00325E57"/>
    <w:rsid w:val="00326379"/>
    <w:rsid w:val="003266F0"/>
    <w:rsid w:val="00326C08"/>
    <w:rsid w:val="00326E33"/>
    <w:rsid w:val="0032744B"/>
    <w:rsid w:val="00327C1E"/>
    <w:rsid w:val="00331B2C"/>
    <w:rsid w:val="00332140"/>
    <w:rsid w:val="00333776"/>
    <w:rsid w:val="00333860"/>
    <w:rsid w:val="00333932"/>
    <w:rsid w:val="00333CE6"/>
    <w:rsid w:val="00333F81"/>
    <w:rsid w:val="003341E0"/>
    <w:rsid w:val="003342D8"/>
    <w:rsid w:val="00334F01"/>
    <w:rsid w:val="003353D3"/>
    <w:rsid w:val="00335745"/>
    <w:rsid w:val="0033586C"/>
    <w:rsid w:val="00335B9A"/>
    <w:rsid w:val="0033601E"/>
    <w:rsid w:val="00337C38"/>
    <w:rsid w:val="00340278"/>
    <w:rsid w:val="0034049D"/>
    <w:rsid w:val="003422A7"/>
    <w:rsid w:val="0034238C"/>
    <w:rsid w:val="00342439"/>
    <w:rsid w:val="0034285B"/>
    <w:rsid w:val="003442B1"/>
    <w:rsid w:val="003446C1"/>
    <w:rsid w:val="0034687E"/>
    <w:rsid w:val="00346B65"/>
    <w:rsid w:val="00350E66"/>
    <w:rsid w:val="00351386"/>
    <w:rsid w:val="003518AA"/>
    <w:rsid w:val="00352A93"/>
    <w:rsid w:val="00352F02"/>
    <w:rsid w:val="00353182"/>
    <w:rsid w:val="00353222"/>
    <w:rsid w:val="003534F9"/>
    <w:rsid w:val="00353682"/>
    <w:rsid w:val="003539F4"/>
    <w:rsid w:val="00356C24"/>
    <w:rsid w:val="003570A6"/>
    <w:rsid w:val="00357154"/>
    <w:rsid w:val="003572CE"/>
    <w:rsid w:val="00357651"/>
    <w:rsid w:val="003579ED"/>
    <w:rsid w:val="00357A35"/>
    <w:rsid w:val="003601A2"/>
    <w:rsid w:val="003602E1"/>
    <w:rsid w:val="003607B0"/>
    <w:rsid w:val="00360985"/>
    <w:rsid w:val="00363D6C"/>
    <w:rsid w:val="00365385"/>
    <w:rsid w:val="00365A60"/>
    <w:rsid w:val="00366282"/>
    <w:rsid w:val="00367A69"/>
    <w:rsid w:val="00367AE8"/>
    <w:rsid w:val="00367DC9"/>
    <w:rsid w:val="00370271"/>
    <w:rsid w:val="003702C5"/>
    <w:rsid w:val="00370F5C"/>
    <w:rsid w:val="00371240"/>
    <w:rsid w:val="003715B4"/>
    <w:rsid w:val="003720B5"/>
    <w:rsid w:val="003720FF"/>
    <w:rsid w:val="00372995"/>
    <w:rsid w:val="00373B97"/>
    <w:rsid w:val="0037453F"/>
    <w:rsid w:val="00374731"/>
    <w:rsid w:val="00374A23"/>
    <w:rsid w:val="003753EB"/>
    <w:rsid w:val="00375440"/>
    <w:rsid w:val="00375B5B"/>
    <w:rsid w:val="00375C20"/>
    <w:rsid w:val="00377404"/>
    <w:rsid w:val="003819E7"/>
    <w:rsid w:val="00381DD5"/>
    <w:rsid w:val="00382AE8"/>
    <w:rsid w:val="003836F1"/>
    <w:rsid w:val="003837F3"/>
    <w:rsid w:val="00383A2B"/>
    <w:rsid w:val="00383D5C"/>
    <w:rsid w:val="00384132"/>
    <w:rsid w:val="003844A9"/>
    <w:rsid w:val="00384FA5"/>
    <w:rsid w:val="003850A5"/>
    <w:rsid w:val="00385E09"/>
    <w:rsid w:val="003864C5"/>
    <w:rsid w:val="003900A3"/>
    <w:rsid w:val="0039051E"/>
    <w:rsid w:val="0039059D"/>
    <w:rsid w:val="003917B0"/>
    <w:rsid w:val="003924B3"/>
    <w:rsid w:val="003929BE"/>
    <w:rsid w:val="003931D5"/>
    <w:rsid w:val="00393458"/>
    <w:rsid w:val="00394733"/>
    <w:rsid w:val="00394A11"/>
    <w:rsid w:val="00394A31"/>
    <w:rsid w:val="00394A92"/>
    <w:rsid w:val="00395234"/>
    <w:rsid w:val="00395F0B"/>
    <w:rsid w:val="0039606C"/>
    <w:rsid w:val="003967EE"/>
    <w:rsid w:val="003975B8"/>
    <w:rsid w:val="00397655"/>
    <w:rsid w:val="00397770"/>
    <w:rsid w:val="00397962"/>
    <w:rsid w:val="003A0712"/>
    <w:rsid w:val="003A14D1"/>
    <w:rsid w:val="003A2707"/>
    <w:rsid w:val="003A2F50"/>
    <w:rsid w:val="003A3840"/>
    <w:rsid w:val="003A3C76"/>
    <w:rsid w:val="003A4492"/>
    <w:rsid w:val="003A4BBD"/>
    <w:rsid w:val="003A6AF2"/>
    <w:rsid w:val="003A7DAA"/>
    <w:rsid w:val="003B121A"/>
    <w:rsid w:val="003B153E"/>
    <w:rsid w:val="003B1DFC"/>
    <w:rsid w:val="003B1EA7"/>
    <w:rsid w:val="003B2A86"/>
    <w:rsid w:val="003B2D0A"/>
    <w:rsid w:val="003B38FA"/>
    <w:rsid w:val="003B3B6D"/>
    <w:rsid w:val="003B3C3B"/>
    <w:rsid w:val="003B3D90"/>
    <w:rsid w:val="003B4083"/>
    <w:rsid w:val="003B47B3"/>
    <w:rsid w:val="003B4B2A"/>
    <w:rsid w:val="003B4D1D"/>
    <w:rsid w:val="003B515F"/>
    <w:rsid w:val="003B5881"/>
    <w:rsid w:val="003B7336"/>
    <w:rsid w:val="003B74CB"/>
    <w:rsid w:val="003B7FC5"/>
    <w:rsid w:val="003B7FDE"/>
    <w:rsid w:val="003C076B"/>
    <w:rsid w:val="003C126F"/>
    <w:rsid w:val="003C1745"/>
    <w:rsid w:val="003C26A3"/>
    <w:rsid w:val="003C2814"/>
    <w:rsid w:val="003C2C54"/>
    <w:rsid w:val="003C3060"/>
    <w:rsid w:val="003C3453"/>
    <w:rsid w:val="003C35EC"/>
    <w:rsid w:val="003C38B5"/>
    <w:rsid w:val="003C41B8"/>
    <w:rsid w:val="003C41E7"/>
    <w:rsid w:val="003C46BC"/>
    <w:rsid w:val="003C54FF"/>
    <w:rsid w:val="003C5775"/>
    <w:rsid w:val="003C5D99"/>
    <w:rsid w:val="003C5EDB"/>
    <w:rsid w:val="003C6789"/>
    <w:rsid w:val="003C70B0"/>
    <w:rsid w:val="003D0D66"/>
    <w:rsid w:val="003D2243"/>
    <w:rsid w:val="003D282E"/>
    <w:rsid w:val="003D284D"/>
    <w:rsid w:val="003D2B58"/>
    <w:rsid w:val="003D2E26"/>
    <w:rsid w:val="003D53A9"/>
    <w:rsid w:val="003E040E"/>
    <w:rsid w:val="003E0CCF"/>
    <w:rsid w:val="003E2BEB"/>
    <w:rsid w:val="003E2D72"/>
    <w:rsid w:val="003E4CA4"/>
    <w:rsid w:val="003E6A43"/>
    <w:rsid w:val="003E72D9"/>
    <w:rsid w:val="003E75AD"/>
    <w:rsid w:val="003F0234"/>
    <w:rsid w:val="003F0789"/>
    <w:rsid w:val="003F10FF"/>
    <w:rsid w:val="003F22F7"/>
    <w:rsid w:val="003F2AAA"/>
    <w:rsid w:val="003F3A2F"/>
    <w:rsid w:val="003F4C3B"/>
    <w:rsid w:val="003F54DD"/>
    <w:rsid w:val="003F5AC1"/>
    <w:rsid w:val="003F5C1D"/>
    <w:rsid w:val="003F6EE5"/>
    <w:rsid w:val="003F771F"/>
    <w:rsid w:val="003F7A4B"/>
    <w:rsid w:val="003F7C74"/>
    <w:rsid w:val="004004D5"/>
    <w:rsid w:val="004015C1"/>
    <w:rsid w:val="00401882"/>
    <w:rsid w:val="004019F7"/>
    <w:rsid w:val="00401CE7"/>
    <w:rsid w:val="00402229"/>
    <w:rsid w:val="00402888"/>
    <w:rsid w:val="00405379"/>
    <w:rsid w:val="00405AA7"/>
    <w:rsid w:val="00406BF8"/>
    <w:rsid w:val="004100C8"/>
    <w:rsid w:val="00410E1D"/>
    <w:rsid w:val="00410EDC"/>
    <w:rsid w:val="004119D6"/>
    <w:rsid w:val="00412ACE"/>
    <w:rsid w:val="00412C98"/>
    <w:rsid w:val="00414053"/>
    <w:rsid w:val="00414E84"/>
    <w:rsid w:val="00415005"/>
    <w:rsid w:val="00415950"/>
    <w:rsid w:val="00416464"/>
    <w:rsid w:val="004168F3"/>
    <w:rsid w:val="00416B73"/>
    <w:rsid w:val="00417C6B"/>
    <w:rsid w:val="00417F03"/>
    <w:rsid w:val="00420DE7"/>
    <w:rsid w:val="00421DF6"/>
    <w:rsid w:val="004225B8"/>
    <w:rsid w:val="0042291B"/>
    <w:rsid w:val="00422964"/>
    <w:rsid w:val="00423138"/>
    <w:rsid w:val="00423423"/>
    <w:rsid w:val="00423D1B"/>
    <w:rsid w:val="004240B6"/>
    <w:rsid w:val="00426164"/>
    <w:rsid w:val="00426248"/>
    <w:rsid w:val="004263F9"/>
    <w:rsid w:val="004272A1"/>
    <w:rsid w:val="00430406"/>
    <w:rsid w:val="00430560"/>
    <w:rsid w:val="004306E9"/>
    <w:rsid w:val="00431249"/>
    <w:rsid w:val="00432050"/>
    <w:rsid w:val="00432345"/>
    <w:rsid w:val="0043448C"/>
    <w:rsid w:val="004345EE"/>
    <w:rsid w:val="00434C19"/>
    <w:rsid w:val="004362EA"/>
    <w:rsid w:val="00436721"/>
    <w:rsid w:val="0043747B"/>
    <w:rsid w:val="00437840"/>
    <w:rsid w:val="00437D60"/>
    <w:rsid w:val="004407DE"/>
    <w:rsid w:val="00440F9A"/>
    <w:rsid w:val="004417E6"/>
    <w:rsid w:val="004420D6"/>
    <w:rsid w:val="004421C0"/>
    <w:rsid w:val="0044377C"/>
    <w:rsid w:val="00443CA1"/>
    <w:rsid w:val="004447DB"/>
    <w:rsid w:val="00445190"/>
    <w:rsid w:val="0044543F"/>
    <w:rsid w:val="00445823"/>
    <w:rsid w:val="0044609A"/>
    <w:rsid w:val="00446543"/>
    <w:rsid w:val="00446D7C"/>
    <w:rsid w:val="004475EA"/>
    <w:rsid w:val="00447D01"/>
    <w:rsid w:val="00450810"/>
    <w:rsid w:val="00450A77"/>
    <w:rsid w:val="0045185E"/>
    <w:rsid w:val="0045243F"/>
    <w:rsid w:val="00452596"/>
    <w:rsid w:val="00453A9D"/>
    <w:rsid w:val="00453B8A"/>
    <w:rsid w:val="00454DF5"/>
    <w:rsid w:val="004563F9"/>
    <w:rsid w:val="00457E58"/>
    <w:rsid w:val="0046151F"/>
    <w:rsid w:val="0046291F"/>
    <w:rsid w:val="00466581"/>
    <w:rsid w:val="004667DA"/>
    <w:rsid w:val="004668A3"/>
    <w:rsid w:val="004671D0"/>
    <w:rsid w:val="00467B0C"/>
    <w:rsid w:val="00470182"/>
    <w:rsid w:val="0047073D"/>
    <w:rsid w:val="00470EFC"/>
    <w:rsid w:val="00471217"/>
    <w:rsid w:val="004716D0"/>
    <w:rsid w:val="00471702"/>
    <w:rsid w:val="00471F88"/>
    <w:rsid w:val="004722B6"/>
    <w:rsid w:val="00473521"/>
    <w:rsid w:val="00473762"/>
    <w:rsid w:val="00473AD0"/>
    <w:rsid w:val="004747EE"/>
    <w:rsid w:val="00475ED7"/>
    <w:rsid w:val="004761C2"/>
    <w:rsid w:val="00477144"/>
    <w:rsid w:val="004808AF"/>
    <w:rsid w:val="00480A45"/>
    <w:rsid w:val="004821E7"/>
    <w:rsid w:val="0048226F"/>
    <w:rsid w:val="0048265F"/>
    <w:rsid w:val="004830BA"/>
    <w:rsid w:val="0048359B"/>
    <w:rsid w:val="00483806"/>
    <w:rsid w:val="0048391F"/>
    <w:rsid w:val="00483C15"/>
    <w:rsid w:val="00485FDB"/>
    <w:rsid w:val="00486009"/>
    <w:rsid w:val="00486201"/>
    <w:rsid w:val="00490969"/>
    <w:rsid w:val="00490BD9"/>
    <w:rsid w:val="00491849"/>
    <w:rsid w:val="00491B30"/>
    <w:rsid w:val="0049211A"/>
    <w:rsid w:val="00492F0A"/>
    <w:rsid w:val="00493AEA"/>
    <w:rsid w:val="0049459F"/>
    <w:rsid w:val="004948F5"/>
    <w:rsid w:val="0049530B"/>
    <w:rsid w:val="00495EE9"/>
    <w:rsid w:val="00496306"/>
    <w:rsid w:val="00497AB8"/>
    <w:rsid w:val="004A0C5F"/>
    <w:rsid w:val="004A0DD6"/>
    <w:rsid w:val="004A10AF"/>
    <w:rsid w:val="004A2736"/>
    <w:rsid w:val="004A36C9"/>
    <w:rsid w:val="004A3BC2"/>
    <w:rsid w:val="004A5847"/>
    <w:rsid w:val="004A5D07"/>
    <w:rsid w:val="004A7025"/>
    <w:rsid w:val="004A71CC"/>
    <w:rsid w:val="004A77DA"/>
    <w:rsid w:val="004B0B9C"/>
    <w:rsid w:val="004B0D36"/>
    <w:rsid w:val="004B1FBD"/>
    <w:rsid w:val="004B2507"/>
    <w:rsid w:val="004B43AE"/>
    <w:rsid w:val="004B4816"/>
    <w:rsid w:val="004B5B40"/>
    <w:rsid w:val="004B6802"/>
    <w:rsid w:val="004B75C8"/>
    <w:rsid w:val="004C075D"/>
    <w:rsid w:val="004C11B1"/>
    <w:rsid w:val="004C1D43"/>
    <w:rsid w:val="004C2E4B"/>
    <w:rsid w:val="004C30ED"/>
    <w:rsid w:val="004C334A"/>
    <w:rsid w:val="004C39B3"/>
    <w:rsid w:val="004C42FC"/>
    <w:rsid w:val="004C4CA6"/>
    <w:rsid w:val="004C5410"/>
    <w:rsid w:val="004C583E"/>
    <w:rsid w:val="004C633F"/>
    <w:rsid w:val="004C7D28"/>
    <w:rsid w:val="004D0800"/>
    <w:rsid w:val="004D0DF3"/>
    <w:rsid w:val="004D1773"/>
    <w:rsid w:val="004D1B48"/>
    <w:rsid w:val="004D21F6"/>
    <w:rsid w:val="004D233C"/>
    <w:rsid w:val="004D2D1C"/>
    <w:rsid w:val="004D2FD6"/>
    <w:rsid w:val="004D3D6C"/>
    <w:rsid w:val="004D4D42"/>
    <w:rsid w:val="004D4DB6"/>
    <w:rsid w:val="004D4DD2"/>
    <w:rsid w:val="004D5558"/>
    <w:rsid w:val="004D5669"/>
    <w:rsid w:val="004E072D"/>
    <w:rsid w:val="004E0D19"/>
    <w:rsid w:val="004E0DC4"/>
    <w:rsid w:val="004E129E"/>
    <w:rsid w:val="004E1400"/>
    <w:rsid w:val="004E1C26"/>
    <w:rsid w:val="004E224C"/>
    <w:rsid w:val="004E274E"/>
    <w:rsid w:val="004E2E11"/>
    <w:rsid w:val="004E2FD8"/>
    <w:rsid w:val="004E667A"/>
    <w:rsid w:val="004E75CC"/>
    <w:rsid w:val="004F01B0"/>
    <w:rsid w:val="004F03F2"/>
    <w:rsid w:val="004F04C5"/>
    <w:rsid w:val="004F084A"/>
    <w:rsid w:val="004F16E0"/>
    <w:rsid w:val="004F1A69"/>
    <w:rsid w:val="004F1F5B"/>
    <w:rsid w:val="004F1FC3"/>
    <w:rsid w:val="004F28E4"/>
    <w:rsid w:val="004F2B53"/>
    <w:rsid w:val="004F38B3"/>
    <w:rsid w:val="004F47B6"/>
    <w:rsid w:val="004F4BB2"/>
    <w:rsid w:val="004F4CF4"/>
    <w:rsid w:val="004F59C2"/>
    <w:rsid w:val="004F645C"/>
    <w:rsid w:val="004F64DF"/>
    <w:rsid w:val="0050361A"/>
    <w:rsid w:val="005040ED"/>
    <w:rsid w:val="00504709"/>
    <w:rsid w:val="00504D91"/>
    <w:rsid w:val="00507772"/>
    <w:rsid w:val="00507E8C"/>
    <w:rsid w:val="00507FCD"/>
    <w:rsid w:val="00511439"/>
    <w:rsid w:val="00511BF2"/>
    <w:rsid w:val="00511DF8"/>
    <w:rsid w:val="00511F7F"/>
    <w:rsid w:val="00512B08"/>
    <w:rsid w:val="00513DEB"/>
    <w:rsid w:val="00514984"/>
    <w:rsid w:val="0051549A"/>
    <w:rsid w:val="005155A4"/>
    <w:rsid w:val="00515695"/>
    <w:rsid w:val="00516024"/>
    <w:rsid w:val="005167BE"/>
    <w:rsid w:val="005201FA"/>
    <w:rsid w:val="005206F4"/>
    <w:rsid w:val="00520DA6"/>
    <w:rsid w:val="005219C4"/>
    <w:rsid w:val="00521D74"/>
    <w:rsid w:val="00522124"/>
    <w:rsid w:val="0052287E"/>
    <w:rsid w:val="00523B52"/>
    <w:rsid w:val="00526A6B"/>
    <w:rsid w:val="005277C4"/>
    <w:rsid w:val="00527988"/>
    <w:rsid w:val="00527D74"/>
    <w:rsid w:val="005309F4"/>
    <w:rsid w:val="005314C9"/>
    <w:rsid w:val="00532FD4"/>
    <w:rsid w:val="005339D5"/>
    <w:rsid w:val="005350BF"/>
    <w:rsid w:val="00535109"/>
    <w:rsid w:val="00536992"/>
    <w:rsid w:val="00536B0F"/>
    <w:rsid w:val="0054007E"/>
    <w:rsid w:val="00540247"/>
    <w:rsid w:val="00540672"/>
    <w:rsid w:val="005407EC"/>
    <w:rsid w:val="005417A4"/>
    <w:rsid w:val="00541B4D"/>
    <w:rsid w:val="005427D6"/>
    <w:rsid w:val="005429E3"/>
    <w:rsid w:val="005444F7"/>
    <w:rsid w:val="005460AC"/>
    <w:rsid w:val="0054628F"/>
    <w:rsid w:val="00546642"/>
    <w:rsid w:val="0054697A"/>
    <w:rsid w:val="00547062"/>
    <w:rsid w:val="005472EC"/>
    <w:rsid w:val="00547952"/>
    <w:rsid w:val="00547D35"/>
    <w:rsid w:val="00547E9A"/>
    <w:rsid w:val="005507E0"/>
    <w:rsid w:val="00550F2D"/>
    <w:rsid w:val="00551B18"/>
    <w:rsid w:val="00551CB1"/>
    <w:rsid w:val="00551CBC"/>
    <w:rsid w:val="00552B2F"/>
    <w:rsid w:val="00552B8F"/>
    <w:rsid w:val="0055329A"/>
    <w:rsid w:val="0055577E"/>
    <w:rsid w:val="005564DC"/>
    <w:rsid w:val="005571B0"/>
    <w:rsid w:val="005571B3"/>
    <w:rsid w:val="005606ED"/>
    <w:rsid w:val="0056075E"/>
    <w:rsid w:val="00560CC9"/>
    <w:rsid w:val="00561B6C"/>
    <w:rsid w:val="00561C7D"/>
    <w:rsid w:val="00561CF0"/>
    <w:rsid w:val="0056238A"/>
    <w:rsid w:val="005631D2"/>
    <w:rsid w:val="00563821"/>
    <w:rsid w:val="005642C5"/>
    <w:rsid w:val="005645BE"/>
    <w:rsid w:val="00564CE1"/>
    <w:rsid w:val="00565C21"/>
    <w:rsid w:val="00565F3A"/>
    <w:rsid w:val="0056649C"/>
    <w:rsid w:val="00566BEA"/>
    <w:rsid w:val="005672D8"/>
    <w:rsid w:val="00567583"/>
    <w:rsid w:val="00567BC9"/>
    <w:rsid w:val="00567E0E"/>
    <w:rsid w:val="0057011F"/>
    <w:rsid w:val="00570918"/>
    <w:rsid w:val="00570964"/>
    <w:rsid w:val="00570CC2"/>
    <w:rsid w:val="0057273E"/>
    <w:rsid w:val="00572D79"/>
    <w:rsid w:val="00573293"/>
    <w:rsid w:val="00574723"/>
    <w:rsid w:val="005759E8"/>
    <w:rsid w:val="00575DD9"/>
    <w:rsid w:val="00577731"/>
    <w:rsid w:val="00577B9D"/>
    <w:rsid w:val="00580586"/>
    <w:rsid w:val="005810E3"/>
    <w:rsid w:val="005819E5"/>
    <w:rsid w:val="005820A9"/>
    <w:rsid w:val="00582122"/>
    <w:rsid w:val="00582499"/>
    <w:rsid w:val="00582E09"/>
    <w:rsid w:val="005839D5"/>
    <w:rsid w:val="00583C39"/>
    <w:rsid w:val="00584926"/>
    <w:rsid w:val="0058621D"/>
    <w:rsid w:val="00586637"/>
    <w:rsid w:val="005906A2"/>
    <w:rsid w:val="005909CF"/>
    <w:rsid w:val="00590BA9"/>
    <w:rsid w:val="00590DDE"/>
    <w:rsid w:val="00591BE9"/>
    <w:rsid w:val="00591E71"/>
    <w:rsid w:val="005925FC"/>
    <w:rsid w:val="00592F2E"/>
    <w:rsid w:val="005932D4"/>
    <w:rsid w:val="005934B3"/>
    <w:rsid w:val="00593F4A"/>
    <w:rsid w:val="00595A14"/>
    <w:rsid w:val="00595D31"/>
    <w:rsid w:val="00595F2F"/>
    <w:rsid w:val="00595F48"/>
    <w:rsid w:val="005963CF"/>
    <w:rsid w:val="00596FDF"/>
    <w:rsid w:val="00597697"/>
    <w:rsid w:val="00597873"/>
    <w:rsid w:val="00597EDF"/>
    <w:rsid w:val="005A090B"/>
    <w:rsid w:val="005A1265"/>
    <w:rsid w:val="005A3450"/>
    <w:rsid w:val="005A361C"/>
    <w:rsid w:val="005A3A01"/>
    <w:rsid w:val="005A3A42"/>
    <w:rsid w:val="005A5326"/>
    <w:rsid w:val="005A6280"/>
    <w:rsid w:val="005A6950"/>
    <w:rsid w:val="005A70B6"/>
    <w:rsid w:val="005A74CD"/>
    <w:rsid w:val="005A7962"/>
    <w:rsid w:val="005A79EA"/>
    <w:rsid w:val="005A7B1A"/>
    <w:rsid w:val="005A7E06"/>
    <w:rsid w:val="005B0699"/>
    <w:rsid w:val="005B0722"/>
    <w:rsid w:val="005B0EF7"/>
    <w:rsid w:val="005B11B0"/>
    <w:rsid w:val="005B1861"/>
    <w:rsid w:val="005B1FF8"/>
    <w:rsid w:val="005B23D1"/>
    <w:rsid w:val="005B25A8"/>
    <w:rsid w:val="005B2602"/>
    <w:rsid w:val="005B288D"/>
    <w:rsid w:val="005B2A57"/>
    <w:rsid w:val="005B4800"/>
    <w:rsid w:val="005B5376"/>
    <w:rsid w:val="005B606A"/>
    <w:rsid w:val="005B75F8"/>
    <w:rsid w:val="005B7660"/>
    <w:rsid w:val="005B7C22"/>
    <w:rsid w:val="005C0BD6"/>
    <w:rsid w:val="005C0F1F"/>
    <w:rsid w:val="005C1168"/>
    <w:rsid w:val="005C158E"/>
    <w:rsid w:val="005C2789"/>
    <w:rsid w:val="005C2B14"/>
    <w:rsid w:val="005C3913"/>
    <w:rsid w:val="005C3FE8"/>
    <w:rsid w:val="005C4715"/>
    <w:rsid w:val="005C5E8B"/>
    <w:rsid w:val="005C5FA9"/>
    <w:rsid w:val="005C7649"/>
    <w:rsid w:val="005C77FA"/>
    <w:rsid w:val="005D153D"/>
    <w:rsid w:val="005D1566"/>
    <w:rsid w:val="005D1BDF"/>
    <w:rsid w:val="005D20C2"/>
    <w:rsid w:val="005D2CC3"/>
    <w:rsid w:val="005D2D08"/>
    <w:rsid w:val="005D347C"/>
    <w:rsid w:val="005D3B3E"/>
    <w:rsid w:val="005D3B69"/>
    <w:rsid w:val="005D3F63"/>
    <w:rsid w:val="005D497D"/>
    <w:rsid w:val="005D506C"/>
    <w:rsid w:val="005D566D"/>
    <w:rsid w:val="005D5DBC"/>
    <w:rsid w:val="005D67DA"/>
    <w:rsid w:val="005E0DA2"/>
    <w:rsid w:val="005E161C"/>
    <w:rsid w:val="005E172B"/>
    <w:rsid w:val="005E18E3"/>
    <w:rsid w:val="005E1CB4"/>
    <w:rsid w:val="005E3B2F"/>
    <w:rsid w:val="005E49C7"/>
    <w:rsid w:val="005E523E"/>
    <w:rsid w:val="005E7078"/>
    <w:rsid w:val="005E75A8"/>
    <w:rsid w:val="005E7ECE"/>
    <w:rsid w:val="005F0695"/>
    <w:rsid w:val="005F155E"/>
    <w:rsid w:val="005F31E8"/>
    <w:rsid w:val="005F417F"/>
    <w:rsid w:val="005F5908"/>
    <w:rsid w:val="005F62DA"/>
    <w:rsid w:val="005F6527"/>
    <w:rsid w:val="00601286"/>
    <w:rsid w:val="006019A9"/>
    <w:rsid w:val="00603940"/>
    <w:rsid w:val="00606536"/>
    <w:rsid w:val="00606E47"/>
    <w:rsid w:val="00607BF1"/>
    <w:rsid w:val="00607D97"/>
    <w:rsid w:val="00610ED0"/>
    <w:rsid w:val="00611043"/>
    <w:rsid w:val="006111C3"/>
    <w:rsid w:val="006116D9"/>
    <w:rsid w:val="00611723"/>
    <w:rsid w:val="00611FF5"/>
    <w:rsid w:val="00612F24"/>
    <w:rsid w:val="00613176"/>
    <w:rsid w:val="0061400D"/>
    <w:rsid w:val="00616CA0"/>
    <w:rsid w:val="00617CC0"/>
    <w:rsid w:val="0062035D"/>
    <w:rsid w:val="00621119"/>
    <w:rsid w:val="00622128"/>
    <w:rsid w:val="00623DBA"/>
    <w:rsid w:val="00624AE3"/>
    <w:rsid w:val="00626301"/>
    <w:rsid w:val="006277E9"/>
    <w:rsid w:val="00630D4D"/>
    <w:rsid w:val="00631111"/>
    <w:rsid w:val="00631E28"/>
    <w:rsid w:val="00632136"/>
    <w:rsid w:val="00632A74"/>
    <w:rsid w:val="00633C91"/>
    <w:rsid w:val="006349DC"/>
    <w:rsid w:val="00634B39"/>
    <w:rsid w:val="006354DB"/>
    <w:rsid w:val="0063695B"/>
    <w:rsid w:val="0063699B"/>
    <w:rsid w:val="00636C31"/>
    <w:rsid w:val="0064058A"/>
    <w:rsid w:val="006406D2"/>
    <w:rsid w:val="006409FC"/>
    <w:rsid w:val="00641109"/>
    <w:rsid w:val="00641605"/>
    <w:rsid w:val="00641935"/>
    <w:rsid w:val="00641CB1"/>
    <w:rsid w:val="006446C6"/>
    <w:rsid w:val="00644ECD"/>
    <w:rsid w:val="006451F2"/>
    <w:rsid w:val="006468E0"/>
    <w:rsid w:val="00646A94"/>
    <w:rsid w:val="0064766B"/>
    <w:rsid w:val="00647F6A"/>
    <w:rsid w:val="00650A08"/>
    <w:rsid w:val="006515C6"/>
    <w:rsid w:val="00652C73"/>
    <w:rsid w:val="006536BE"/>
    <w:rsid w:val="00653B0F"/>
    <w:rsid w:val="00654035"/>
    <w:rsid w:val="0065425E"/>
    <w:rsid w:val="00654BA4"/>
    <w:rsid w:val="00654E95"/>
    <w:rsid w:val="0065615F"/>
    <w:rsid w:val="0065632E"/>
    <w:rsid w:val="00656695"/>
    <w:rsid w:val="00656AA1"/>
    <w:rsid w:val="006579A2"/>
    <w:rsid w:val="0066097B"/>
    <w:rsid w:val="006612D3"/>
    <w:rsid w:val="00661965"/>
    <w:rsid w:val="00661FD6"/>
    <w:rsid w:val="006620FA"/>
    <w:rsid w:val="00662398"/>
    <w:rsid w:val="006637BA"/>
    <w:rsid w:val="0066390C"/>
    <w:rsid w:val="0066480B"/>
    <w:rsid w:val="0066484F"/>
    <w:rsid w:val="00664C37"/>
    <w:rsid w:val="006654AE"/>
    <w:rsid w:val="00665730"/>
    <w:rsid w:val="00665E5E"/>
    <w:rsid w:val="006661F4"/>
    <w:rsid w:val="0066628A"/>
    <w:rsid w:val="00666946"/>
    <w:rsid w:val="0066695D"/>
    <w:rsid w:val="00666965"/>
    <w:rsid w:val="006674E6"/>
    <w:rsid w:val="0066760A"/>
    <w:rsid w:val="00667AED"/>
    <w:rsid w:val="00667D59"/>
    <w:rsid w:val="00667D7F"/>
    <w:rsid w:val="006703DB"/>
    <w:rsid w:val="00671E23"/>
    <w:rsid w:val="0067248F"/>
    <w:rsid w:val="00673525"/>
    <w:rsid w:val="00673887"/>
    <w:rsid w:val="0067494A"/>
    <w:rsid w:val="00675517"/>
    <w:rsid w:val="00676D5A"/>
    <w:rsid w:val="00677311"/>
    <w:rsid w:val="00677B58"/>
    <w:rsid w:val="00680178"/>
    <w:rsid w:val="0068117A"/>
    <w:rsid w:val="006838D1"/>
    <w:rsid w:val="0068464A"/>
    <w:rsid w:val="00685155"/>
    <w:rsid w:val="006852CD"/>
    <w:rsid w:val="00686B76"/>
    <w:rsid w:val="00687209"/>
    <w:rsid w:val="0069016D"/>
    <w:rsid w:val="00691C3F"/>
    <w:rsid w:val="006931B3"/>
    <w:rsid w:val="006941CB"/>
    <w:rsid w:val="00694838"/>
    <w:rsid w:val="0069486D"/>
    <w:rsid w:val="00695024"/>
    <w:rsid w:val="0069786B"/>
    <w:rsid w:val="00697B14"/>
    <w:rsid w:val="00697B91"/>
    <w:rsid w:val="006A011B"/>
    <w:rsid w:val="006A05A5"/>
    <w:rsid w:val="006A10B0"/>
    <w:rsid w:val="006A1107"/>
    <w:rsid w:val="006A1870"/>
    <w:rsid w:val="006A1D93"/>
    <w:rsid w:val="006A23FA"/>
    <w:rsid w:val="006A4655"/>
    <w:rsid w:val="006A4D75"/>
    <w:rsid w:val="006A5A9A"/>
    <w:rsid w:val="006A7334"/>
    <w:rsid w:val="006A7A3C"/>
    <w:rsid w:val="006A7C7C"/>
    <w:rsid w:val="006B030C"/>
    <w:rsid w:val="006B078E"/>
    <w:rsid w:val="006B087E"/>
    <w:rsid w:val="006B095E"/>
    <w:rsid w:val="006B0B22"/>
    <w:rsid w:val="006B0F5E"/>
    <w:rsid w:val="006B1005"/>
    <w:rsid w:val="006B111E"/>
    <w:rsid w:val="006B42C9"/>
    <w:rsid w:val="006B4A7F"/>
    <w:rsid w:val="006B5A0B"/>
    <w:rsid w:val="006B62D1"/>
    <w:rsid w:val="006B6B1C"/>
    <w:rsid w:val="006B6B4D"/>
    <w:rsid w:val="006B6C00"/>
    <w:rsid w:val="006B752D"/>
    <w:rsid w:val="006B7616"/>
    <w:rsid w:val="006C01D8"/>
    <w:rsid w:val="006C0993"/>
    <w:rsid w:val="006C21C6"/>
    <w:rsid w:val="006C244A"/>
    <w:rsid w:val="006C25B0"/>
    <w:rsid w:val="006C2A2F"/>
    <w:rsid w:val="006C2A53"/>
    <w:rsid w:val="006C302B"/>
    <w:rsid w:val="006C31CE"/>
    <w:rsid w:val="006C37A7"/>
    <w:rsid w:val="006C42B0"/>
    <w:rsid w:val="006C532F"/>
    <w:rsid w:val="006C57A6"/>
    <w:rsid w:val="006C6B27"/>
    <w:rsid w:val="006C7038"/>
    <w:rsid w:val="006D0683"/>
    <w:rsid w:val="006D088C"/>
    <w:rsid w:val="006D1337"/>
    <w:rsid w:val="006D21EB"/>
    <w:rsid w:val="006D305F"/>
    <w:rsid w:val="006D3AFC"/>
    <w:rsid w:val="006D3C14"/>
    <w:rsid w:val="006D5264"/>
    <w:rsid w:val="006D5355"/>
    <w:rsid w:val="006D5589"/>
    <w:rsid w:val="006D5AAF"/>
    <w:rsid w:val="006D5AD6"/>
    <w:rsid w:val="006D5F56"/>
    <w:rsid w:val="006D71BE"/>
    <w:rsid w:val="006D7F43"/>
    <w:rsid w:val="006E03B3"/>
    <w:rsid w:val="006E04AF"/>
    <w:rsid w:val="006E0858"/>
    <w:rsid w:val="006E14D5"/>
    <w:rsid w:val="006E15B7"/>
    <w:rsid w:val="006E173F"/>
    <w:rsid w:val="006E1F91"/>
    <w:rsid w:val="006E2BD9"/>
    <w:rsid w:val="006E3190"/>
    <w:rsid w:val="006E333E"/>
    <w:rsid w:val="006E3A65"/>
    <w:rsid w:val="006E3B08"/>
    <w:rsid w:val="006E42D4"/>
    <w:rsid w:val="006E4C15"/>
    <w:rsid w:val="006E5AFC"/>
    <w:rsid w:val="006E7109"/>
    <w:rsid w:val="006E73EF"/>
    <w:rsid w:val="006E7E68"/>
    <w:rsid w:val="006F06D5"/>
    <w:rsid w:val="006F0746"/>
    <w:rsid w:val="006F0991"/>
    <w:rsid w:val="006F2B3B"/>
    <w:rsid w:val="006F2C9C"/>
    <w:rsid w:val="006F44CC"/>
    <w:rsid w:val="006F4F84"/>
    <w:rsid w:val="006F6207"/>
    <w:rsid w:val="0070036E"/>
    <w:rsid w:val="0070071D"/>
    <w:rsid w:val="007012ED"/>
    <w:rsid w:val="007021CE"/>
    <w:rsid w:val="007023E6"/>
    <w:rsid w:val="00702757"/>
    <w:rsid w:val="00702AA0"/>
    <w:rsid w:val="00703EF5"/>
    <w:rsid w:val="00703F5A"/>
    <w:rsid w:val="00704633"/>
    <w:rsid w:val="007047F6"/>
    <w:rsid w:val="00704EA9"/>
    <w:rsid w:val="0070510F"/>
    <w:rsid w:val="00705FF0"/>
    <w:rsid w:val="00706E9C"/>
    <w:rsid w:val="00706F6A"/>
    <w:rsid w:val="00707056"/>
    <w:rsid w:val="00707365"/>
    <w:rsid w:val="00710A4B"/>
    <w:rsid w:val="0071123E"/>
    <w:rsid w:val="00711867"/>
    <w:rsid w:val="00712B94"/>
    <w:rsid w:val="007130A6"/>
    <w:rsid w:val="00713894"/>
    <w:rsid w:val="00714438"/>
    <w:rsid w:val="00716792"/>
    <w:rsid w:val="00716E0A"/>
    <w:rsid w:val="0071764D"/>
    <w:rsid w:val="00717B79"/>
    <w:rsid w:val="00717C5D"/>
    <w:rsid w:val="00720A09"/>
    <w:rsid w:val="00720A90"/>
    <w:rsid w:val="00720D15"/>
    <w:rsid w:val="00721042"/>
    <w:rsid w:val="0072172E"/>
    <w:rsid w:val="00721AA4"/>
    <w:rsid w:val="007226A5"/>
    <w:rsid w:val="007234ED"/>
    <w:rsid w:val="00724147"/>
    <w:rsid w:val="00724576"/>
    <w:rsid w:val="00724D2E"/>
    <w:rsid w:val="007250DF"/>
    <w:rsid w:val="0072579E"/>
    <w:rsid w:val="00727A3A"/>
    <w:rsid w:val="00730A5E"/>
    <w:rsid w:val="0073126D"/>
    <w:rsid w:val="00731937"/>
    <w:rsid w:val="007319BC"/>
    <w:rsid w:val="00732082"/>
    <w:rsid w:val="00732135"/>
    <w:rsid w:val="007321BD"/>
    <w:rsid w:val="00733E61"/>
    <w:rsid w:val="00734699"/>
    <w:rsid w:val="00734FFF"/>
    <w:rsid w:val="007354B5"/>
    <w:rsid w:val="007355C1"/>
    <w:rsid w:val="007369D6"/>
    <w:rsid w:val="00737BD6"/>
    <w:rsid w:val="00737CB4"/>
    <w:rsid w:val="00740412"/>
    <w:rsid w:val="007408C5"/>
    <w:rsid w:val="00741DBC"/>
    <w:rsid w:val="00743599"/>
    <w:rsid w:val="00744094"/>
    <w:rsid w:val="0074471F"/>
    <w:rsid w:val="0074586B"/>
    <w:rsid w:val="00746E4D"/>
    <w:rsid w:val="007475F8"/>
    <w:rsid w:val="00747BFD"/>
    <w:rsid w:val="00747DFC"/>
    <w:rsid w:val="00750FE7"/>
    <w:rsid w:val="00751CC8"/>
    <w:rsid w:val="00751DF2"/>
    <w:rsid w:val="00751EBC"/>
    <w:rsid w:val="00751F49"/>
    <w:rsid w:val="00753844"/>
    <w:rsid w:val="00753A91"/>
    <w:rsid w:val="007548AF"/>
    <w:rsid w:val="00756102"/>
    <w:rsid w:val="007574B1"/>
    <w:rsid w:val="007604BB"/>
    <w:rsid w:val="0076090F"/>
    <w:rsid w:val="007612E5"/>
    <w:rsid w:val="00761B86"/>
    <w:rsid w:val="00761BCB"/>
    <w:rsid w:val="0076266A"/>
    <w:rsid w:val="00763446"/>
    <w:rsid w:val="00763579"/>
    <w:rsid w:val="007637C8"/>
    <w:rsid w:val="007654DE"/>
    <w:rsid w:val="00767DAA"/>
    <w:rsid w:val="007716AF"/>
    <w:rsid w:val="0077182A"/>
    <w:rsid w:val="00775D03"/>
    <w:rsid w:val="007769AC"/>
    <w:rsid w:val="00776BB7"/>
    <w:rsid w:val="0077762E"/>
    <w:rsid w:val="00780949"/>
    <w:rsid w:val="00783AD4"/>
    <w:rsid w:val="00784898"/>
    <w:rsid w:val="00784B73"/>
    <w:rsid w:val="007859A6"/>
    <w:rsid w:val="00785EC0"/>
    <w:rsid w:val="007860DE"/>
    <w:rsid w:val="00786DE1"/>
    <w:rsid w:val="00786EDD"/>
    <w:rsid w:val="00787FD8"/>
    <w:rsid w:val="00790C0A"/>
    <w:rsid w:val="00791603"/>
    <w:rsid w:val="00793430"/>
    <w:rsid w:val="00793813"/>
    <w:rsid w:val="0079441B"/>
    <w:rsid w:val="00794AF1"/>
    <w:rsid w:val="00794FEB"/>
    <w:rsid w:val="0079593A"/>
    <w:rsid w:val="00797083"/>
    <w:rsid w:val="00797FEB"/>
    <w:rsid w:val="007A0008"/>
    <w:rsid w:val="007A0F86"/>
    <w:rsid w:val="007A0F8C"/>
    <w:rsid w:val="007A155F"/>
    <w:rsid w:val="007A1D60"/>
    <w:rsid w:val="007A21EB"/>
    <w:rsid w:val="007A2244"/>
    <w:rsid w:val="007A22A8"/>
    <w:rsid w:val="007A2C48"/>
    <w:rsid w:val="007A2FDF"/>
    <w:rsid w:val="007A3B79"/>
    <w:rsid w:val="007A5113"/>
    <w:rsid w:val="007A514E"/>
    <w:rsid w:val="007A63BF"/>
    <w:rsid w:val="007A6E51"/>
    <w:rsid w:val="007A7429"/>
    <w:rsid w:val="007B082D"/>
    <w:rsid w:val="007B09B7"/>
    <w:rsid w:val="007B0C30"/>
    <w:rsid w:val="007B1860"/>
    <w:rsid w:val="007B1909"/>
    <w:rsid w:val="007B223F"/>
    <w:rsid w:val="007B2540"/>
    <w:rsid w:val="007B28BD"/>
    <w:rsid w:val="007B2D78"/>
    <w:rsid w:val="007B33C3"/>
    <w:rsid w:val="007B3621"/>
    <w:rsid w:val="007B3ABD"/>
    <w:rsid w:val="007B4279"/>
    <w:rsid w:val="007B46F7"/>
    <w:rsid w:val="007B4EC8"/>
    <w:rsid w:val="007B5B60"/>
    <w:rsid w:val="007B6C47"/>
    <w:rsid w:val="007C0967"/>
    <w:rsid w:val="007C102E"/>
    <w:rsid w:val="007C1630"/>
    <w:rsid w:val="007C1B71"/>
    <w:rsid w:val="007C244F"/>
    <w:rsid w:val="007C2EE5"/>
    <w:rsid w:val="007C36C9"/>
    <w:rsid w:val="007C37FC"/>
    <w:rsid w:val="007C3B59"/>
    <w:rsid w:val="007C44E1"/>
    <w:rsid w:val="007C5E41"/>
    <w:rsid w:val="007C7186"/>
    <w:rsid w:val="007C76DC"/>
    <w:rsid w:val="007D0EAA"/>
    <w:rsid w:val="007D17B4"/>
    <w:rsid w:val="007D1F4E"/>
    <w:rsid w:val="007D212C"/>
    <w:rsid w:val="007D2442"/>
    <w:rsid w:val="007D259F"/>
    <w:rsid w:val="007D274F"/>
    <w:rsid w:val="007D2EC5"/>
    <w:rsid w:val="007D387D"/>
    <w:rsid w:val="007D3D91"/>
    <w:rsid w:val="007D58ED"/>
    <w:rsid w:val="007D617B"/>
    <w:rsid w:val="007D619E"/>
    <w:rsid w:val="007D7339"/>
    <w:rsid w:val="007D789A"/>
    <w:rsid w:val="007E01E4"/>
    <w:rsid w:val="007E036E"/>
    <w:rsid w:val="007E03CB"/>
    <w:rsid w:val="007E07DF"/>
    <w:rsid w:val="007E07FB"/>
    <w:rsid w:val="007E0C77"/>
    <w:rsid w:val="007E0CAC"/>
    <w:rsid w:val="007E1AE2"/>
    <w:rsid w:val="007E1B14"/>
    <w:rsid w:val="007E2085"/>
    <w:rsid w:val="007E20C1"/>
    <w:rsid w:val="007E24FC"/>
    <w:rsid w:val="007E2AFA"/>
    <w:rsid w:val="007E43DE"/>
    <w:rsid w:val="007E4FE4"/>
    <w:rsid w:val="007E54D5"/>
    <w:rsid w:val="007E5993"/>
    <w:rsid w:val="007E5EC3"/>
    <w:rsid w:val="007E6550"/>
    <w:rsid w:val="007E6C88"/>
    <w:rsid w:val="007E6FF6"/>
    <w:rsid w:val="007E74BC"/>
    <w:rsid w:val="007E7B44"/>
    <w:rsid w:val="007F0283"/>
    <w:rsid w:val="007F0347"/>
    <w:rsid w:val="007F045B"/>
    <w:rsid w:val="007F0920"/>
    <w:rsid w:val="007F1060"/>
    <w:rsid w:val="007F14CC"/>
    <w:rsid w:val="007F1B2B"/>
    <w:rsid w:val="007F1EC9"/>
    <w:rsid w:val="007F2954"/>
    <w:rsid w:val="007F3818"/>
    <w:rsid w:val="007F3BB6"/>
    <w:rsid w:val="007F3BE6"/>
    <w:rsid w:val="007F3CC9"/>
    <w:rsid w:val="007F40A0"/>
    <w:rsid w:val="007F4F3D"/>
    <w:rsid w:val="007F673B"/>
    <w:rsid w:val="007F6876"/>
    <w:rsid w:val="007F6A0F"/>
    <w:rsid w:val="007F704B"/>
    <w:rsid w:val="007F7107"/>
    <w:rsid w:val="007F72A4"/>
    <w:rsid w:val="007F72B2"/>
    <w:rsid w:val="007F758D"/>
    <w:rsid w:val="00800701"/>
    <w:rsid w:val="00801A3D"/>
    <w:rsid w:val="00803A50"/>
    <w:rsid w:val="008046B5"/>
    <w:rsid w:val="008049F3"/>
    <w:rsid w:val="008059BD"/>
    <w:rsid w:val="00805A6B"/>
    <w:rsid w:val="00806F47"/>
    <w:rsid w:val="00807AA9"/>
    <w:rsid w:val="0081030F"/>
    <w:rsid w:val="008109F5"/>
    <w:rsid w:val="00812809"/>
    <w:rsid w:val="00812A59"/>
    <w:rsid w:val="00812CC4"/>
    <w:rsid w:val="0081345A"/>
    <w:rsid w:val="0081363C"/>
    <w:rsid w:val="00813AED"/>
    <w:rsid w:val="00813C23"/>
    <w:rsid w:val="00814D1E"/>
    <w:rsid w:val="00815973"/>
    <w:rsid w:val="00815AA6"/>
    <w:rsid w:val="0082087D"/>
    <w:rsid w:val="008212DD"/>
    <w:rsid w:val="008217BD"/>
    <w:rsid w:val="00821ADB"/>
    <w:rsid w:val="00821EA1"/>
    <w:rsid w:val="00823E32"/>
    <w:rsid w:val="00824CA4"/>
    <w:rsid w:val="00825E5F"/>
    <w:rsid w:val="00826B4C"/>
    <w:rsid w:val="00826D7B"/>
    <w:rsid w:val="0082780C"/>
    <w:rsid w:val="008306F9"/>
    <w:rsid w:val="0083195E"/>
    <w:rsid w:val="00831E95"/>
    <w:rsid w:val="00832204"/>
    <w:rsid w:val="00832DC4"/>
    <w:rsid w:val="00833B6E"/>
    <w:rsid w:val="00833C8E"/>
    <w:rsid w:val="008341A7"/>
    <w:rsid w:val="008347AA"/>
    <w:rsid w:val="00834C5F"/>
    <w:rsid w:val="00835078"/>
    <w:rsid w:val="00835DB3"/>
    <w:rsid w:val="00837AF4"/>
    <w:rsid w:val="0084042C"/>
    <w:rsid w:val="0084083A"/>
    <w:rsid w:val="0084107F"/>
    <w:rsid w:val="00841B74"/>
    <w:rsid w:val="00841E21"/>
    <w:rsid w:val="008423D6"/>
    <w:rsid w:val="00842590"/>
    <w:rsid w:val="00843077"/>
    <w:rsid w:val="008431D7"/>
    <w:rsid w:val="00843FA5"/>
    <w:rsid w:val="008441A8"/>
    <w:rsid w:val="00844283"/>
    <w:rsid w:val="00844F4A"/>
    <w:rsid w:val="00845AEC"/>
    <w:rsid w:val="00845FEF"/>
    <w:rsid w:val="008462E0"/>
    <w:rsid w:val="00850DD1"/>
    <w:rsid w:val="008518E5"/>
    <w:rsid w:val="0085340F"/>
    <w:rsid w:val="00853474"/>
    <w:rsid w:val="00853A78"/>
    <w:rsid w:val="008544CC"/>
    <w:rsid w:val="00854C65"/>
    <w:rsid w:val="0085504C"/>
    <w:rsid w:val="00855090"/>
    <w:rsid w:val="00855859"/>
    <w:rsid w:val="00855AFB"/>
    <w:rsid w:val="0085677C"/>
    <w:rsid w:val="0086082C"/>
    <w:rsid w:val="00860997"/>
    <w:rsid w:val="00860C8C"/>
    <w:rsid w:val="00861411"/>
    <w:rsid w:val="00861E15"/>
    <w:rsid w:val="008625CA"/>
    <w:rsid w:val="008626A3"/>
    <w:rsid w:val="00862DBA"/>
    <w:rsid w:val="0086449E"/>
    <w:rsid w:val="0086477C"/>
    <w:rsid w:val="008649D0"/>
    <w:rsid w:val="00864ADC"/>
    <w:rsid w:val="00864CBF"/>
    <w:rsid w:val="00865285"/>
    <w:rsid w:val="008655A2"/>
    <w:rsid w:val="00865B30"/>
    <w:rsid w:val="00866129"/>
    <w:rsid w:val="00866664"/>
    <w:rsid w:val="0086694C"/>
    <w:rsid w:val="00866AE5"/>
    <w:rsid w:val="00866F31"/>
    <w:rsid w:val="00866FAD"/>
    <w:rsid w:val="00867997"/>
    <w:rsid w:val="00867F71"/>
    <w:rsid w:val="00867F83"/>
    <w:rsid w:val="0087065D"/>
    <w:rsid w:val="0087196F"/>
    <w:rsid w:val="00871A1F"/>
    <w:rsid w:val="00871CEA"/>
    <w:rsid w:val="00873E8E"/>
    <w:rsid w:val="00873EB5"/>
    <w:rsid w:val="0087449C"/>
    <w:rsid w:val="0087456E"/>
    <w:rsid w:val="008745D7"/>
    <w:rsid w:val="0087496F"/>
    <w:rsid w:val="0087498B"/>
    <w:rsid w:val="00874D29"/>
    <w:rsid w:val="00875DA4"/>
    <w:rsid w:val="008761A4"/>
    <w:rsid w:val="00877FC4"/>
    <w:rsid w:val="008800B4"/>
    <w:rsid w:val="00880153"/>
    <w:rsid w:val="00880430"/>
    <w:rsid w:val="00880F94"/>
    <w:rsid w:val="00880F97"/>
    <w:rsid w:val="0088133A"/>
    <w:rsid w:val="00881E55"/>
    <w:rsid w:val="00882B43"/>
    <w:rsid w:val="00882CDE"/>
    <w:rsid w:val="0088332F"/>
    <w:rsid w:val="008833EB"/>
    <w:rsid w:val="00884510"/>
    <w:rsid w:val="00885024"/>
    <w:rsid w:val="00885E90"/>
    <w:rsid w:val="00886820"/>
    <w:rsid w:val="00890BE1"/>
    <w:rsid w:val="00891440"/>
    <w:rsid w:val="00891480"/>
    <w:rsid w:val="008916D0"/>
    <w:rsid w:val="008926CD"/>
    <w:rsid w:val="0089285E"/>
    <w:rsid w:val="008928A2"/>
    <w:rsid w:val="00893614"/>
    <w:rsid w:val="00893681"/>
    <w:rsid w:val="00894174"/>
    <w:rsid w:val="0089436C"/>
    <w:rsid w:val="00894A29"/>
    <w:rsid w:val="00894E3F"/>
    <w:rsid w:val="008953F0"/>
    <w:rsid w:val="00896BBF"/>
    <w:rsid w:val="00896CC1"/>
    <w:rsid w:val="00897010"/>
    <w:rsid w:val="008973B1"/>
    <w:rsid w:val="008974D2"/>
    <w:rsid w:val="00897749"/>
    <w:rsid w:val="008978E8"/>
    <w:rsid w:val="00897A84"/>
    <w:rsid w:val="008A09AD"/>
    <w:rsid w:val="008A0B5C"/>
    <w:rsid w:val="008A0C86"/>
    <w:rsid w:val="008A1B7D"/>
    <w:rsid w:val="008A2A9C"/>
    <w:rsid w:val="008A3111"/>
    <w:rsid w:val="008A3566"/>
    <w:rsid w:val="008A3FB4"/>
    <w:rsid w:val="008A4229"/>
    <w:rsid w:val="008A5345"/>
    <w:rsid w:val="008A648D"/>
    <w:rsid w:val="008A67AA"/>
    <w:rsid w:val="008B0316"/>
    <w:rsid w:val="008B05C4"/>
    <w:rsid w:val="008B0CE7"/>
    <w:rsid w:val="008B0EBA"/>
    <w:rsid w:val="008B29D6"/>
    <w:rsid w:val="008B2B88"/>
    <w:rsid w:val="008B2BFC"/>
    <w:rsid w:val="008B413F"/>
    <w:rsid w:val="008B49D2"/>
    <w:rsid w:val="008B4A8C"/>
    <w:rsid w:val="008B53F3"/>
    <w:rsid w:val="008B60C3"/>
    <w:rsid w:val="008B6284"/>
    <w:rsid w:val="008B6F5F"/>
    <w:rsid w:val="008B70A2"/>
    <w:rsid w:val="008B78A4"/>
    <w:rsid w:val="008B7CCB"/>
    <w:rsid w:val="008B7FC3"/>
    <w:rsid w:val="008C1B6E"/>
    <w:rsid w:val="008C1D45"/>
    <w:rsid w:val="008C209D"/>
    <w:rsid w:val="008C2BCE"/>
    <w:rsid w:val="008C2CB9"/>
    <w:rsid w:val="008C3005"/>
    <w:rsid w:val="008C4647"/>
    <w:rsid w:val="008C47C0"/>
    <w:rsid w:val="008C499F"/>
    <w:rsid w:val="008C4E67"/>
    <w:rsid w:val="008C5E19"/>
    <w:rsid w:val="008C60F9"/>
    <w:rsid w:val="008D0944"/>
    <w:rsid w:val="008D09EB"/>
    <w:rsid w:val="008D12EF"/>
    <w:rsid w:val="008D3100"/>
    <w:rsid w:val="008D3EB5"/>
    <w:rsid w:val="008D4CDB"/>
    <w:rsid w:val="008D4EAA"/>
    <w:rsid w:val="008D601F"/>
    <w:rsid w:val="008D60E3"/>
    <w:rsid w:val="008D663B"/>
    <w:rsid w:val="008D680D"/>
    <w:rsid w:val="008D6B28"/>
    <w:rsid w:val="008D6FD6"/>
    <w:rsid w:val="008D7D96"/>
    <w:rsid w:val="008E0E6C"/>
    <w:rsid w:val="008E142E"/>
    <w:rsid w:val="008E1E9F"/>
    <w:rsid w:val="008E25AB"/>
    <w:rsid w:val="008E3509"/>
    <w:rsid w:val="008E3CF7"/>
    <w:rsid w:val="008E44CB"/>
    <w:rsid w:val="008E5647"/>
    <w:rsid w:val="008E5B36"/>
    <w:rsid w:val="008E6D47"/>
    <w:rsid w:val="008E7ACD"/>
    <w:rsid w:val="008F0129"/>
    <w:rsid w:val="008F01AF"/>
    <w:rsid w:val="008F0D87"/>
    <w:rsid w:val="008F2F28"/>
    <w:rsid w:val="008F3A8B"/>
    <w:rsid w:val="008F3C59"/>
    <w:rsid w:val="008F40DD"/>
    <w:rsid w:val="008F4C0E"/>
    <w:rsid w:val="008F4DEE"/>
    <w:rsid w:val="008F54CF"/>
    <w:rsid w:val="008F5930"/>
    <w:rsid w:val="008F5ED0"/>
    <w:rsid w:val="008F5EF8"/>
    <w:rsid w:val="008F5F79"/>
    <w:rsid w:val="008F6273"/>
    <w:rsid w:val="008F6E09"/>
    <w:rsid w:val="008F76E0"/>
    <w:rsid w:val="0090143F"/>
    <w:rsid w:val="009030BF"/>
    <w:rsid w:val="00903AA0"/>
    <w:rsid w:val="00904B9E"/>
    <w:rsid w:val="00904D8C"/>
    <w:rsid w:val="009067ED"/>
    <w:rsid w:val="009070AD"/>
    <w:rsid w:val="009071A0"/>
    <w:rsid w:val="00907A56"/>
    <w:rsid w:val="00907C74"/>
    <w:rsid w:val="0091082C"/>
    <w:rsid w:val="0091185A"/>
    <w:rsid w:val="00911A05"/>
    <w:rsid w:val="00911F24"/>
    <w:rsid w:val="00912122"/>
    <w:rsid w:val="00912EA6"/>
    <w:rsid w:val="00913C89"/>
    <w:rsid w:val="00914368"/>
    <w:rsid w:val="00914946"/>
    <w:rsid w:val="00914B69"/>
    <w:rsid w:val="00915088"/>
    <w:rsid w:val="00915BBB"/>
    <w:rsid w:val="00915E7A"/>
    <w:rsid w:val="0091610A"/>
    <w:rsid w:val="00916E1F"/>
    <w:rsid w:val="00916E2C"/>
    <w:rsid w:val="00917133"/>
    <w:rsid w:val="009172A0"/>
    <w:rsid w:val="00917B0F"/>
    <w:rsid w:val="00917FD7"/>
    <w:rsid w:val="009205A8"/>
    <w:rsid w:val="00920A14"/>
    <w:rsid w:val="00921CAF"/>
    <w:rsid w:val="009221A3"/>
    <w:rsid w:val="0092228F"/>
    <w:rsid w:val="009222D5"/>
    <w:rsid w:val="009223C4"/>
    <w:rsid w:val="00922F31"/>
    <w:rsid w:val="009234F1"/>
    <w:rsid w:val="0092362F"/>
    <w:rsid w:val="00924669"/>
    <w:rsid w:val="0092482D"/>
    <w:rsid w:val="00924FF9"/>
    <w:rsid w:val="00925AEE"/>
    <w:rsid w:val="009260AA"/>
    <w:rsid w:val="0092617E"/>
    <w:rsid w:val="00926685"/>
    <w:rsid w:val="00926D0A"/>
    <w:rsid w:val="00927843"/>
    <w:rsid w:val="00930260"/>
    <w:rsid w:val="00930FE5"/>
    <w:rsid w:val="00931076"/>
    <w:rsid w:val="009314EA"/>
    <w:rsid w:val="0093204D"/>
    <w:rsid w:val="00932417"/>
    <w:rsid w:val="00932BD4"/>
    <w:rsid w:val="00932D29"/>
    <w:rsid w:val="00933743"/>
    <w:rsid w:val="009339F3"/>
    <w:rsid w:val="0093436E"/>
    <w:rsid w:val="009343C6"/>
    <w:rsid w:val="009345D9"/>
    <w:rsid w:val="00934B15"/>
    <w:rsid w:val="00935BE5"/>
    <w:rsid w:val="00935C9B"/>
    <w:rsid w:val="009367E3"/>
    <w:rsid w:val="009370E2"/>
    <w:rsid w:val="00940B37"/>
    <w:rsid w:val="00940F6E"/>
    <w:rsid w:val="00941D09"/>
    <w:rsid w:val="0094247E"/>
    <w:rsid w:val="00942A44"/>
    <w:rsid w:val="00942B62"/>
    <w:rsid w:val="00942CE8"/>
    <w:rsid w:val="00942D28"/>
    <w:rsid w:val="00944077"/>
    <w:rsid w:val="00944382"/>
    <w:rsid w:val="00944A53"/>
    <w:rsid w:val="00945956"/>
    <w:rsid w:val="00945C0E"/>
    <w:rsid w:val="00945E3E"/>
    <w:rsid w:val="00946096"/>
    <w:rsid w:val="00946101"/>
    <w:rsid w:val="0094760E"/>
    <w:rsid w:val="00947CEC"/>
    <w:rsid w:val="00947FE1"/>
    <w:rsid w:val="00950BB5"/>
    <w:rsid w:val="00950BCA"/>
    <w:rsid w:val="009510CF"/>
    <w:rsid w:val="009526A2"/>
    <w:rsid w:val="009535F0"/>
    <w:rsid w:val="0095492C"/>
    <w:rsid w:val="00954F0A"/>
    <w:rsid w:val="0095671D"/>
    <w:rsid w:val="00956A0C"/>
    <w:rsid w:val="00956BD9"/>
    <w:rsid w:val="0095721B"/>
    <w:rsid w:val="009578C1"/>
    <w:rsid w:val="00957CAB"/>
    <w:rsid w:val="00960A48"/>
    <w:rsid w:val="00960F25"/>
    <w:rsid w:val="00961795"/>
    <w:rsid w:val="00961911"/>
    <w:rsid w:val="009619D2"/>
    <w:rsid w:val="00961C62"/>
    <w:rsid w:val="0096235E"/>
    <w:rsid w:val="00962489"/>
    <w:rsid w:val="00963785"/>
    <w:rsid w:val="00963820"/>
    <w:rsid w:val="00963C8F"/>
    <w:rsid w:val="00965146"/>
    <w:rsid w:val="009653EF"/>
    <w:rsid w:val="00965531"/>
    <w:rsid w:val="0096553D"/>
    <w:rsid w:val="00965A7B"/>
    <w:rsid w:val="00965C77"/>
    <w:rsid w:val="009664FC"/>
    <w:rsid w:val="009668CE"/>
    <w:rsid w:val="00966E8A"/>
    <w:rsid w:val="0096724A"/>
    <w:rsid w:val="00970670"/>
    <w:rsid w:val="00970FC8"/>
    <w:rsid w:val="009719D1"/>
    <w:rsid w:val="009728DE"/>
    <w:rsid w:val="0097292D"/>
    <w:rsid w:val="0097307E"/>
    <w:rsid w:val="009731E2"/>
    <w:rsid w:val="009737FB"/>
    <w:rsid w:val="00974722"/>
    <w:rsid w:val="00974A72"/>
    <w:rsid w:val="00976C8C"/>
    <w:rsid w:val="00977ECA"/>
    <w:rsid w:val="009801F2"/>
    <w:rsid w:val="0098024F"/>
    <w:rsid w:val="00980E91"/>
    <w:rsid w:val="009821AA"/>
    <w:rsid w:val="00982528"/>
    <w:rsid w:val="00982887"/>
    <w:rsid w:val="00983797"/>
    <w:rsid w:val="009837F1"/>
    <w:rsid w:val="00983919"/>
    <w:rsid w:val="009844B0"/>
    <w:rsid w:val="009856F2"/>
    <w:rsid w:val="00985A2B"/>
    <w:rsid w:val="00985CE6"/>
    <w:rsid w:val="00985FE1"/>
    <w:rsid w:val="0098729C"/>
    <w:rsid w:val="009873CE"/>
    <w:rsid w:val="0098754C"/>
    <w:rsid w:val="00987737"/>
    <w:rsid w:val="0099037E"/>
    <w:rsid w:val="009934BE"/>
    <w:rsid w:val="00993BEE"/>
    <w:rsid w:val="00994C47"/>
    <w:rsid w:val="00994D5F"/>
    <w:rsid w:val="009A09D1"/>
    <w:rsid w:val="009A0B85"/>
    <w:rsid w:val="009A116E"/>
    <w:rsid w:val="009A150C"/>
    <w:rsid w:val="009A165A"/>
    <w:rsid w:val="009A1B1E"/>
    <w:rsid w:val="009A21E3"/>
    <w:rsid w:val="009A2348"/>
    <w:rsid w:val="009A2D5D"/>
    <w:rsid w:val="009A2F30"/>
    <w:rsid w:val="009A6100"/>
    <w:rsid w:val="009A691B"/>
    <w:rsid w:val="009A7108"/>
    <w:rsid w:val="009A7B65"/>
    <w:rsid w:val="009A7FC2"/>
    <w:rsid w:val="009B0DBE"/>
    <w:rsid w:val="009B2FC9"/>
    <w:rsid w:val="009B35A0"/>
    <w:rsid w:val="009B3767"/>
    <w:rsid w:val="009B54DC"/>
    <w:rsid w:val="009B5C1C"/>
    <w:rsid w:val="009B65D6"/>
    <w:rsid w:val="009B6B53"/>
    <w:rsid w:val="009C11B7"/>
    <w:rsid w:val="009C2291"/>
    <w:rsid w:val="009C2B1E"/>
    <w:rsid w:val="009C3071"/>
    <w:rsid w:val="009C3574"/>
    <w:rsid w:val="009C38EB"/>
    <w:rsid w:val="009C45D6"/>
    <w:rsid w:val="009C5BC6"/>
    <w:rsid w:val="009C5CB8"/>
    <w:rsid w:val="009C6085"/>
    <w:rsid w:val="009C7596"/>
    <w:rsid w:val="009C7B6B"/>
    <w:rsid w:val="009D1068"/>
    <w:rsid w:val="009D1233"/>
    <w:rsid w:val="009D14DB"/>
    <w:rsid w:val="009D18FA"/>
    <w:rsid w:val="009D195A"/>
    <w:rsid w:val="009D2045"/>
    <w:rsid w:val="009D288A"/>
    <w:rsid w:val="009D3D52"/>
    <w:rsid w:val="009D4302"/>
    <w:rsid w:val="009D4D19"/>
    <w:rsid w:val="009D5C13"/>
    <w:rsid w:val="009D5CBB"/>
    <w:rsid w:val="009D5E9F"/>
    <w:rsid w:val="009D700D"/>
    <w:rsid w:val="009D78F0"/>
    <w:rsid w:val="009E0D49"/>
    <w:rsid w:val="009E0DBE"/>
    <w:rsid w:val="009E18AF"/>
    <w:rsid w:val="009E1DC0"/>
    <w:rsid w:val="009E25C3"/>
    <w:rsid w:val="009E3CC6"/>
    <w:rsid w:val="009E4351"/>
    <w:rsid w:val="009E65A5"/>
    <w:rsid w:val="009E6625"/>
    <w:rsid w:val="009E683B"/>
    <w:rsid w:val="009E79F8"/>
    <w:rsid w:val="009E7D82"/>
    <w:rsid w:val="009F02B0"/>
    <w:rsid w:val="009F058D"/>
    <w:rsid w:val="009F0C28"/>
    <w:rsid w:val="009F0CE8"/>
    <w:rsid w:val="009F11A1"/>
    <w:rsid w:val="009F1274"/>
    <w:rsid w:val="009F488D"/>
    <w:rsid w:val="009F6573"/>
    <w:rsid w:val="009F6713"/>
    <w:rsid w:val="009F696D"/>
    <w:rsid w:val="009F6B0E"/>
    <w:rsid w:val="009F6BC6"/>
    <w:rsid w:val="009F6FB8"/>
    <w:rsid w:val="009F7A7C"/>
    <w:rsid w:val="009F7C53"/>
    <w:rsid w:val="00A00147"/>
    <w:rsid w:val="00A004E9"/>
    <w:rsid w:val="00A004ED"/>
    <w:rsid w:val="00A00ED3"/>
    <w:rsid w:val="00A01705"/>
    <w:rsid w:val="00A01C45"/>
    <w:rsid w:val="00A029B0"/>
    <w:rsid w:val="00A03302"/>
    <w:rsid w:val="00A038AF"/>
    <w:rsid w:val="00A04B8E"/>
    <w:rsid w:val="00A05102"/>
    <w:rsid w:val="00A07126"/>
    <w:rsid w:val="00A079D3"/>
    <w:rsid w:val="00A12F65"/>
    <w:rsid w:val="00A12F98"/>
    <w:rsid w:val="00A1370A"/>
    <w:rsid w:val="00A13891"/>
    <w:rsid w:val="00A13D39"/>
    <w:rsid w:val="00A143A0"/>
    <w:rsid w:val="00A147EC"/>
    <w:rsid w:val="00A14B44"/>
    <w:rsid w:val="00A14F07"/>
    <w:rsid w:val="00A15037"/>
    <w:rsid w:val="00A17328"/>
    <w:rsid w:val="00A2049B"/>
    <w:rsid w:val="00A226D2"/>
    <w:rsid w:val="00A228EC"/>
    <w:rsid w:val="00A22FE5"/>
    <w:rsid w:val="00A2394B"/>
    <w:rsid w:val="00A25D48"/>
    <w:rsid w:val="00A26759"/>
    <w:rsid w:val="00A26900"/>
    <w:rsid w:val="00A26BCF"/>
    <w:rsid w:val="00A2703A"/>
    <w:rsid w:val="00A27089"/>
    <w:rsid w:val="00A272DC"/>
    <w:rsid w:val="00A27362"/>
    <w:rsid w:val="00A27600"/>
    <w:rsid w:val="00A30601"/>
    <w:rsid w:val="00A30B35"/>
    <w:rsid w:val="00A3122D"/>
    <w:rsid w:val="00A31891"/>
    <w:rsid w:val="00A32267"/>
    <w:rsid w:val="00A33DFF"/>
    <w:rsid w:val="00A34CBE"/>
    <w:rsid w:val="00A34F52"/>
    <w:rsid w:val="00A35115"/>
    <w:rsid w:val="00A35467"/>
    <w:rsid w:val="00A35A95"/>
    <w:rsid w:val="00A35C53"/>
    <w:rsid w:val="00A35CB5"/>
    <w:rsid w:val="00A361D3"/>
    <w:rsid w:val="00A367F3"/>
    <w:rsid w:val="00A37421"/>
    <w:rsid w:val="00A3763C"/>
    <w:rsid w:val="00A37AC0"/>
    <w:rsid w:val="00A40F37"/>
    <w:rsid w:val="00A41046"/>
    <w:rsid w:val="00A42EDA"/>
    <w:rsid w:val="00A43B6F"/>
    <w:rsid w:val="00A44A88"/>
    <w:rsid w:val="00A44B45"/>
    <w:rsid w:val="00A4705A"/>
    <w:rsid w:val="00A478AF"/>
    <w:rsid w:val="00A47C30"/>
    <w:rsid w:val="00A501F7"/>
    <w:rsid w:val="00A50966"/>
    <w:rsid w:val="00A50C5A"/>
    <w:rsid w:val="00A519BA"/>
    <w:rsid w:val="00A51E47"/>
    <w:rsid w:val="00A52468"/>
    <w:rsid w:val="00A5294E"/>
    <w:rsid w:val="00A5359E"/>
    <w:rsid w:val="00A54B9F"/>
    <w:rsid w:val="00A554AB"/>
    <w:rsid w:val="00A56450"/>
    <w:rsid w:val="00A568C5"/>
    <w:rsid w:val="00A56F57"/>
    <w:rsid w:val="00A57967"/>
    <w:rsid w:val="00A57DA7"/>
    <w:rsid w:val="00A602A0"/>
    <w:rsid w:val="00A6099D"/>
    <w:rsid w:val="00A61271"/>
    <w:rsid w:val="00A61339"/>
    <w:rsid w:val="00A619A9"/>
    <w:rsid w:val="00A61C90"/>
    <w:rsid w:val="00A625C4"/>
    <w:rsid w:val="00A63956"/>
    <w:rsid w:val="00A63E29"/>
    <w:rsid w:val="00A65539"/>
    <w:rsid w:val="00A65850"/>
    <w:rsid w:val="00A6595D"/>
    <w:rsid w:val="00A6596A"/>
    <w:rsid w:val="00A66560"/>
    <w:rsid w:val="00A672D5"/>
    <w:rsid w:val="00A675F4"/>
    <w:rsid w:val="00A6773E"/>
    <w:rsid w:val="00A67B4B"/>
    <w:rsid w:val="00A70830"/>
    <w:rsid w:val="00A710F2"/>
    <w:rsid w:val="00A723CD"/>
    <w:rsid w:val="00A73C1A"/>
    <w:rsid w:val="00A74430"/>
    <w:rsid w:val="00A746CB"/>
    <w:rsid w:val="00A75160"/>
    <w:rsid w:val="00A756E4"/>
    <w:rsid w:val="00A75D27"/>
    <w:rsid w:val="00A76123"/>
    <w:rsid w:val="00A76491"/>
    <w:rsid w:val="00A7654A"/>
    <w:rsid w:val="00A7744B"/>
    <w:rsid w:val="00A77EE3"/>
    <w:rsid w:val="00A8096D"/>
    <w:rsid w:val="00A826D1"/>
    <w:rsid w:val="00A82CFF"/>
    <w:rsid w:val="00A8321A"/>
    <w:rsid w:val="00A846FE"/>
    <w:rsid w:val="00A85157"/>
    <w:rsid w:val="00A8616A"/>
    <w:rsid w:val="00A86AA6"/>
    <w:rsid w:val="00A86F10"/>
    <w:rsid w:val="00A87CF1"/>
    <w:rsid w:val="00A919CB"/>
    <w:rsid w:val="00A925A0"/>
    <w:rsid w:val="00A93F3C"/>
    <w:rsid w:val="00A9408B"/>
    <w:rsid w:val="00A94A09"/>
    <w:rsid w:val="00A94FA6"/>
    <w:rsid w:val="00A9515E"/>
    <w:rsid w:val="00A954E2"/>
    <w:rsid w:val="00A97B58"/>
    <w:rsid w:val="00A97E34"/>
    <w:rsid w:val="00AA065B"/>
    <w:rsid w:val="00AA1B64"/>
    <w:rsid w:val="00AA3602"/>
    <w:rsid w:val="00AA39AB"/>
    <w:rsid w:val="00AA460C"/>
    <w:rsid w:val="00AA54B9"/>
    <w:rsid w:val="00AA574D"/>
    <w:rsid w:val="00AA58AF"/>
    <w:rsid w:val="00AA6710"/>
    <w:rsid w:val="00AA6D46"/>
    <w:rsid w:val="00AB0681"/>
    <w:rsid w:val="00AB0828"/>
    <w:rsid w:val="00AB249A"/>
    <w:rsid w:val="00AB28E7"/>
    <w:rsid w:val="00AB3D09"/>
    <w:rsid w:val="00AB56D5"/>
    <w:rsid w:val="00AB5BB8"/>
    <w:rsid w:val="00AB61DD"/>
    <w:rsid w:val="00AB7513"/>
    <w:rsid w:val="00AC002C"/>
    <w:rsid w:val="00AC18D3"/>
    <w:rsid w:val="00AC19D4"/>
    <w:rsid w:val="00AC20D2"/>
    <w:rsid w:val="00AC4147"/>
    <w:rsid w:val="00AC5347"/>
    <w:rsid w:val="00AC5366"/>
    <w:rsid w:val="00AC7DB1"/>
    <w:rsid w:val="00AD14D3"/>
    <w:rsid w:val="00AD296A"/>
    <w:rsid w:val="00AD3330"/>
    <w:rsid w:val="00AD395E"/>
    <w:rsid w:val="00AD39AC"/>
    <w:rsid w:val="00AD4CC2"/>
    <w:rsid w:val="00AD4E65"/>
    <w:rsid w:val="00AD6CBB"/>
    <w:rsid w:val="00AD7DC0"/>
    <w:rsid w:val="00AD7FF2"/>
    <w:rsid w:val="00AE3616"/>
    <w:rsid w:val="00AE3B44"/>
    <w:rsid w:val="00AE3E22"/>
    <w:rsid w:val="00AE3F7F"/>
    <w:rsid w:val="00AE510F"/>
    <w:rsid w:val="00AE5CE4"/>
    <w:rsid w:val="00AE5F58"/>
    <w:rsid w:val="00AF0054"/>
    <w:rsid w:val="00AF08B5"/>
    <w:rsid w:val="00AF0D9D"/>
    <w:rsid w:val="00AF10C2"/>
    <w:rsid w:val="00AF12CC"/>
    <w:rsid w:val="00AF1985"/>
    <w:rsid w:val="00AF2956"/>
    <w:rsid w:val="00AF32CE"/>
    <w:rsid w:val="00AF594D"/>
    <w:rsid w:val="00AF5971"/>
    <w:rsid w:val="00AF5CC7"/>
    <w:rsid w:val="00AF6721"/>
    <w:rsid w:val="00B001D0"/>
    <w:rsid w:val="00B00356"/>
    <w:rsid w:val="00B0051D"/>
    <w:rsid w:val="00B00BD6"/>
    <w:rsid w:val="00B01B05"/>
    <w:rsid w:val="00B0547E"/>
    <w:rsid w:val="00B05754"/>
    <w:rsid w:val="00B065EB"/>
    <w:rsid w:val="00B0681E"/>
    <w:rsid w:val="00B11954"/>
    <w:rsid w:val="00B12E6A"/>
    <w:rsid w:val="00B135CF"/>
    <w:rsid w:val="00B13C03"/>
    <w:rsid w:val="00B13EAA"/>
    <w:rsid w:val="00B13F5F"/>
    <w:rsid w:val="00B14CCA"/>
    <w:rsid w:val="00B1575E"/>
    <w:rsid w:val="00B1589A"/>
    <w:rsid w:val="00B15D3E"/>
    <w:rsid w:val="00B168A0"/>
    <w:rsid w:val="00B16B9B"/>
    <w:rsid w:val="00B16F51"/>
    <w:rsid w:val="00B17470"/>
    <w:rsid w:val="00B17B33"/>
    <w:rsid w:val="00B2052D"/>
    <w:rsid w:val="00B2190D"/>
    <w:rsid w:val="00B226D4"/>
    <w:rsid w:val="00B228C1"/>
    <w:rsid w:val="00B22F09"/>
    <w:rsid w:val="00B23483"/>
    <w:rsid w:val="00B2386A"/>
    <w:rsid w:val="00B23C45"/>
    <w:rsid w:val="00B25237"/>
    <w:rsid w:val="00B25966"/>
    <w:rsid w:val="00B26729"/>
    <w:rsid w:val="00B26733"/>
    <w:rsid w:val="00B272F9"/>
    <w:rsid w:val="00B27FBA"/>
    <w:rsid w:val="00B326D8"/>
    <w:rsid w:val="00B32EB6"/>
    <w:rsid w:val="00B330D4"/>
    <w:rsid w:val="00B33326"/>
    <w:rsid w:val="00B33BA5"/>
    <w:rsid w:val="00B36603"/>
    <w:rsid w:val="00B370D2"/>
    <w:rsid w:val="00B379BA"/>
    <w:rsid w:val="00B40402"/>
    <w:rsid w:val="00B407C1"/>
    <w:rsid w:val="00B411E6"/>
    <w:rsid w:val="00B41754"/>
    <w:rsid w:val="00B41E88"/>
    <w:rsid w:val="00B420AC"/>
    <w:rsid w:val="00B42326"/>
    <w:rsid w:val="00B424EC"/>
    <w:rsid w:val="00B435D9"/>
    <w:rsid w:val="00B4453E"/>
    <w:rsid w:val="00B46991"/>
    <w:rsid w:val="00B478E5"/>
    <w:rsid w:val="00B47C04"/>
    <w:rsid w:val="00B517B1"/>
    <w:rsid w:val="00B51930"/>
    <w:rsid w:val="00B53E7E"/>
    <w:rsid w:val="00B540AA"/>
    <w:rsid w:val="00B54337"/>
    <w:rsid w:val="00B54C9C"/>
    <w:rsid w:val="00B54D7F"/>
    <w:rsid w:val="00B55444"/>
    <w:rsid w:val="00B55F5D"/>
    <w:rsid w:val="00B561EA"/>
    <w:rsid w:val="00B56A08"/>
    <w:rsid w:val="00B56C49"/>
    <w:rsid w:val="00B56CE4"/>
    <w:rsid w:val="00B57A1E"/>
    <w:rsid w:val="00B61CDB"/>
    <w:rsid w:val="00B625A8"/>
    <w:rsid w:val="00B6342E"/>
    <w:rsid w:val="00B63837"/>
    <w:rsid w:val="00B6386A"/>
    <w:rsid w:val="00B63911"/>
    <w:rsid w:val="00B63D29"/>
    <w:rsid w:val="00B64147"/>
    <w:rsid w:val="00B64570"/>
    <w:rsid w:val="00B64832"/>
    <w:rsid w:val="00B64E84"/>
    <w:rsid w:val="00B65F25"/>
    <w:rsid w:val="00B66456"/>
    <w:rsid w:val="00B667F6"/>
    <w:rsid w:val="00B679DD"/>
    <w:rsid w:val="00B7005D"/>
    <w:rsid w:val="00B70352"/>
    <w:rsid w:val="00B7044A"/>
    <w:rsid w:val="00B7089E"/>
    <w:rsid w:val="00B70A8F"/>
    <w:rsid w:val="00B7113F"/>
    <w:rsid w:val="00B73412"/>
    <w:rsid w:val="00B737E7"/>
    <w:rsid w:val="00B73858"/>
    <w:rsid w:val="00B75758"/>
    <w:rsid w:val="00B764A1"/>
    <w:rsid w:val="00B76EC1"/>
    <w:rsid w:val="00B8023C"/>
    <w:rsid w:val="00B80C16"/>
    <w:rsid w:val="00B80E3C"/>
    <w:rsid w:val="00B80E75"/>
    <w:rsid w:val="00B810F9"/>
    <w:rsid w:val="00B81404"/>
    <w:rsid w:val="00B82BE3"/>
    <w:rsid w:val="00B843BF"/>
    <w:rsid w:val="00B84672"/>
    <w:rsid w:val="00B84F6A"/>
    <w:rsid w:val="00B853A3"/>
    <w:rsid w:val="00B8562A"/>
    <w:rsid w:val="00B85988"/>
    <w:rsid w:val="00B86E11"/>
    <w:rsid w:val="00B877A2"/>
    <w:rsid w:val="00B90231"/>
    <w:rsid w:val="00B90474"/>
    <w:rsid w:val="00B926B2"/>
    <w:rsid w:val="00B937E8"/>
    <w:rsid w:val="00B93BF0"/>
    <w:rsid w:val="00B94071"/>
    <w:rsid w:val="00B94FD9"/>
    <w:rsid w:val="00B95869"/>
    <w:rsid w:val="00B958D7"/>
    <w:rsid w:val="00B96FBC"/>
    <w:rsid w:val="00B9702D"/>
    <w:rsid w:val="00B97802"/>
    <w:rsid w:val="00B97D18"/>
    <w:rsid w:val="00BA13AE"/>
    <w:rsid w:val="00BA1822"/>
    <w:rsid w:val="00BA21B6"/>
    <w:rsid w:val="00BA23FD"/>
    <w:rsid w:val="00BA2F78"/>
    <w:rsid w:val="00BA3C40"/>
    <w:rsid w:val="00BA3ED7"/>
    <w:rsid w:val="00BA41A7"/>
    <w:rsid w:val="00BA4647"/>
    <w:rsid w:val="00BA557C"/>
    <w:rsid w:val="00BA57EF"/>
    <w:rsid w:val="00BA73B6"/>
    <w:rsid w:val="00BA7439"/>
    <w:rsid w:val="00BB0AFC"/>
    <w:rsid w:val="00BB1004"/>
    <w:rsid w:val="00BB13B0"/>
    <w:rsid w:val="00BB1B10"/>
    <w:rsid w:val="00BB325F"/>
    <w:rsid w:val="00BB3BFE"/>
    <w:rsid w:val="00BB44F5"/>
    <w:rsid w:val="00BB4CB7"/>
    <w:rsid w:val="00BB4FCD"/>
    <w:rsid w:val="00BB52A3"/>
    <w:rsid w:val="00BB52CD"/>
    <w:rsid w:val="00BB7001"/>
    <w:rsid w:val="00BB7E81"/>
    <w:rsid w:val="00BC0204"/>
    <w:rsid w:val="00BC0871"/>
    <w:rsid w:val="00BC0A91"/>
    <w:rsid w:val="00BC101E"/>
    <w:rsid w:val="00BC2546"/>
    <w:rsid w:val="00BC3ABD"/>
    <w:rsid w:val="00BC42B2"/>
    <w:rsid w:val="00BC4F22"/>
    <w:rsid w:val="00BC51FC"/>
    <w:rsid w:val="00BC53F9"/>
    <w:rsid w:val="00BD031F"/>
    <w:rsid w:val="00BD080F"/>
    <w:rsid w:val="00BD0DEE"/>
    <w:rsid w:val="00BD13EA"/>
    <w:rsid w:val="00BD144B"/>
    <w:rsid w:val="00BD1A97"/>
    <w:rsid w:val="00BD26AA"/>
    <w:rsid w:val="00BD3565"/>
    <w:rsid w:val="00BD494A"/>
    <w:rsid w:val="00BD6139"/>
    <w:rsid w:val="00BE0972"/>
    <w:rsid w:val="00BE1051"/>
    <w:rsid w:val="00BE13C0"/>
    <w:rsid w:val="00BE1A09"/>
    <w:rsid w:val="00BE2DC4"/>
    <w:rsid w:val="00BE2EE6"/>
    <w:rsid w:val="00BE3161"/>
    <w:rsid w:val="00BE3808"/>
    <w:rsid w:val="00BE3BC5"/>
    <w:rsid w:val="00BE3EF0"/>
    <w:rsid w:val="00BE5A9D"/>
    <w:rsid w:val="00BE7792"/>
    <w:rsid w:val="00BE7980"/>
    <w:rsid w:val="00BF0BEF"/>
    <w:rsid w:val="00BF26D1"/>
    <w:rsid w:val="00BF3552"/>
    <w:rsid w:val="00BF3F90"/>
    <w:rsid w:val="00BF4970"/>
    <w:rsid w:val="00BF4BE9"/>
    <w:rsid w:val="00BF4C90"/>
    <w:rsid w:val="00BF5142"/>
    <w:rsid w:val="00BF5497"/>
    <w:rsid w:val="00BF5633"/>
    <w:rsid w:val="00BF6A34"/>
    <w:rsid w:val="00BF6F6A"/>
    <w:rsid w:val="00BF7728"/>
    <w:rsid w:val="00C00B9C"/>
    <w:rsid w:val="00C0360E"/>
    <w:rsid w:val="00C0429E"/>
    <w:rsid w:val="00C043A8"/>
    <w:rsid w:val="00C04E96"/>
    <w:rsid w:val="00C05BEA"/>
    <w:rsid w:val="00C062E9"/>
    <w:rsid w:val="00C07AA9"/>
    <w:rsid w:val="00C11C6A"/>
    <w:rsid w:val="00C13721"/>
    <w:rsid w:val="00C137F5"/>
    <w:rsid w:val="00C13CE2"/>
    <w:rsid w:val="00C14B40"/>
    <w:rsid w:val="00C14C95"/>
    <w:rsid w:val="00C1590D"/>
    <w:rsid w:val="00C16B8E"/>
    <w:rsid w:val="00C1724D"/>
    <w:rsid w:val="00C17F74"/>
    <w:rsid w:val="00C21347"/>
    <w:rsid w:val="00C214B3"/>
    <w:rsid w:val="00C24A13"/>
    <w:rsid w:val="00C24DD7"/>
    <w:rsid w:val="00C25593"/>
    <w:rsid w:val="00C25EF3"/>
    <w:rsid w:val="00C269DC"/>
    <w:rsid w:val="00C305BD"/>
    <w:rsid w:val="00C3187F"/>
    <w:rsid w:val="00C31EED"/>
    <w:rsid w:val="00C32B6D"/>
    <w:rsid w:val="00C3523D"/>
    <w:rsid w:val="00C36378"/>
    <w:rsid w:val="00C3697A"/>
    <w:rsid w:val="00C369EF"/>
    <w:rsid w:val="00C37BBC"/>
    <w:rsid w:val="00C40363"/>
    <w:rsid w:val="00C40899"/>
    <w:rsid w:val="00C41911"/>
    <w:rsid w:val="00C42268"/>
    <w:rsid w:val="00C42303"/>
    <w:rsid w:val="00C4309D"/>
    <w:rsid w:val="00C43EF8"/>
    <w:rsid w:val="00C46542"/>
    <w:rsid w:val="00C46711"/>
    <w:rsid w:val="00C46A9C"/>
    <w:rsid w:val="00C46D0F"/>
    <w:rsid w:val="00C472DD"/>
    <w:rsid w:val="00C478C4"/>
    <w:rsid w:val="00C500BA"/>
    <w:rsid w:val="00C5049F"/>
    <w:rsid w:val="00C50E05"/>
    <w:rsid w:val="00C50E17"/>
    <w:rsid w:val="00C50FE0"/>
    <w:rsid w:val="00C51941"/>
    <w:rsid w:val="00C521B1"/>
    <w:rsid w:val="00C52442"/>
    <w:rsid w:val="00C543F4"/>
    <w:rsid w:val="00C5533F"/>
    <w:rsid w:val="00C55F8F"/>
    <w:rsid w:val="00C563E5"/>
    <w:rsid w:val="00C567DE"/>
    <w:rsid w:val="00C56A57"/>
    <w:rsid w:val="00C604DF"/>
    <w:rsid w:val="00C60725"/>
    <w:rsid w:val="00C60A41"/>
    <w:rsid w:val="00C60AA3"/>
    <w:rsid w:val="00C61C1B"/>
    <w:rsid w:val="00C62389"/>
    <w:rsid w:val="00C6291C"/>
    <w:rsid w:val="00C633CB"/>
    <w:rsid w:val="00C64AAD"/>
    <w:rsid w:val="00C65115"/>
    <w:rsid w:val="00C654A8"/>
    <w:rsid w:val="00C65A21"/>
    <w:rsid w:val="00C65BDB"/>
    <w:rsid w:val="00C66DDD"/>
    <w:rsid w:val="00C67A8A"/>
    <w:rsid w:val="00C67CF4"/>
    <w:rsid w:val="00C70474"/>
    <w:rsid w:val="00C70DF6"/>
    <w:rsid w:val="00C70EDD"/>
    <w:rsid w:val="00C70F62"/>
    <w:rsid w:val="00C719CD"/>
    <w:rsid w:val="00C72097"/>
    <w:rsid w:val="00C72321"/>
    <w:rsid w:val="00C72C55"/>
    <w:rsid w:val="00C7348D"/>
    <w:rsid w:val="00C73863"/>
    <w:rsid w:val="00C7669C"/>
    <w:rsid w:val="00C772D4"/>
    <w:rsid w:val="00C81101"/>
    <w:rsid w:val="00C81153"/>
    <w:rsid w:val="00C8141A"/>
    <w:rsid w:val="00C81AFC"/>
    <w:rsid w:val="00C82809"/>
    <w:rsid w:val="00C83AFB"/>
    <w:rsid w:val="00C83B88"/>
    <w:rsid w:val="00C8426A"/>
    <w:rsid w:val="00C8497D"/>
    <w:rsid w:val="00C84CDB"/>
    <w:rsid w:val="00C850BC"/>
    <w:rsid w:val="00C851BB"/>
    <w:rsid w:val="00C861B4"/>
    <w:rsid w:val="00C873C4"/>
    <w:rsid w:val="00C8762C"/>
    <w:rsid w:val="00C8767F"/>
    <w:rsid w:val="00C9043E"/>
    <w:rsid w:val="00C919EF"/>
    <w:rsid w:val="00C92130"/>
    <w:rsid w:val="00C92260"/>
    <w:rsid w:val="00C9256B"/>
    <w:rsid w:val="00C9403F"/>
    <w:rsid w:val="00C96283"/>
    <w:rsid w:val="00C9670A"/>
    <w:rsid w:val="00C96715"/>
    <w:rsid w:val="00C971DF"/>
    <w:rsid w:val="00CA00F9"/>
    <w:rsid w:val="00CA0193"/>
    <w:rsid w:val="00CA13FD"/>
    <w:rsid w:val="00CA178F"/>
    <w:rsid w:val="00CA241A"/>
    <w:rsid w:val="00CA2420"/>
    <w:rsid w:val="00CA2961"/>
    <w:rsid w:val="00CA3D60"/>
    <w:rsid w:val="00CA4A41"/>
    <w:rsid w:val="00CA4D27"/>
    <w:rsid w:val="00CA53B4"/>
    <w:rsid w:val="00CA5461"/>
    <w:rsid w:val="00CA6809"/>
    <w:rsid w:val="00CA6982"/>
    <w:rsid w:val="00CA6DA0"/>
    <w:rsid w:val="00CA7423"/>
    <w:rsid w:val="00CB0097"/>
    <w:rsid w:val="00CB047E"/>
    <w:rsid w:val="00CB07C3"/>
    <w:rsid w:val="00CB1ED1"/>
    <w:rsid w:val="00CB21D3"/>
    <w:rsid w:val="00CB298E"/>
    <w:rsid w:val="00CB2E43"/>
    <w:rsid w:val="00CB3979"/>
    <w:rsid w:val="00CB3A38"/>
    <w:rsid w:val="00CB3EC2"/>
    <w:rsid w:val="00CB3FCE"/>
    <w:rsid w:val="00CB4339"/>
    <w:rsid w:val="00CB50D7"/>
    <w:rsid w:val="00CB699A"/>
    <w:rsid w:val="00CB6FA6"/>
    <w:rsid w:val="00CB7177"/>
    <w:rsid w:val="00CC0993"/>
    <w:rsid w:val="00CC1998"/>
    <w:rsid w:val="00CC2634"/>
    <w:rsid w:val="00CC3BB1"/>
    <w:rsid w:val="00CC3FAE"/>
    <w:rsid w:val="00CC45DF"/>
    <w:rsid w:val="00CC4812"/>
    <w:rsid w:val="00CC4946"/>
    <w:rsid w:val="00CC4CE8"/>
    <w:rsid w:val="00CC5A91"/>
    <w:rsid w:val="00CC5E30"/>
    <w:rsid w:val="00CC65A2"/>
    <w:rsid w:val="00CC6BBE"/>
    <w:rsid w:val="00CC6DFC"/>
    <w:rsid w:val="00CC6ED6"/>
    <w:rsid w:val="00CC6F58"/>
    <w:rsid w:val="00CC7C85"/>
    <w:rsid w:val="00CD0B63"/>
    <w:rsid w:val="00CD1343"/>
    <w:rsid w:val="00CD14B7"/>
    <w:rsid w:val="00CD3797"/>
    <w:rsid w:val="00CD37EF"/>
    <w:rsid w:val="00CD4700"/>
    <w:rsid w:val="00CD5B86"/>
    <w:rsid w:val="00CD7051"/>
    <w:rsid w:val="00CD7978"/>
    <w:rsid w:val="00CE0418"/>
    <w:rsid w:val="00CE06DB"/>
    <w:rsid w:val="00CE073A"/>
    <w:rsid w:val="00CE0A47"/>
    <w:rsid w:val="00CE19E9"/>
    <w:rsid w:val="00CE1F52"/>
    <w:rsid w:val="00CE3455"/>
    <w:rsid w:val="00CE3A29"/>
    <w:rsid w:val="00CE3CD1"/>
    <w:rsid w:val="00CE4D37"/>
    <w:rsid w:val="00CE646A"/>
    <w:rsid w:val="00CE6E4A"/>
    <w:rsid w:val="00CE7781"/>
    <w:rsid w:val="00CF09FA"/>
    <w:rsid w:val="00CF0C1E"/>
    <w:rsid w:val="00CF16BA"/>
    <w:rsid w:val="00CF20C9"/>
    <w:rsid w:val="00CF23C3"/>
    <w:rsid w:val="00CF2D4B"/>
    <w:rsid w:val="00CF490A"/>
    <w:rsid w:val="00CF67C7"/>
    <w:rsid w:val="00CF68CE"/>
    <w:rsid w:val="00CF6F98"/>
    <w:rsid w:val="00CF7A29"/>
    <w:rsid w:val="00D010DB"/>
    <w:rsid w:val="00D0219F"/>
    <w:rsid w:val="00D021AD"/>
    <w:rsid w:val="00D04442"/>
    <w:rsid w:val="00D0489F"/>
    <w:rsid w:val="00D04BFD"/>
    <w:rsid w:val="00D05DED"/>
    <w:rsid w:val="00D06514"/>
    <w:rsid w:val="00D069DC"/>
    <w:rsid w:val="00D10838"/>
    <w:rsid w:val="00D109DA"/>
    <w:rsid w:val="00D118F4"/>
    <w:rsid w:val="00D11A34"/>
    <w:rsid w:val="00D11C4A"/>
    <w:rsid w:val="00D12186"/>
    <w:rsid w:val="00D12C5F"/>
    <w:rsid w:val="00D13041"/>
    <w:rsid w:val="00D137CF"/>
    <w:rsid w:val="00D13C92"/>
    <w:rsid w:val="00D13E39"/>
    <w:rsid w:val="00D15A29"/>
    <w:rsid w:val="00D15C4B"/>
    <w:rsid w:val="00D1675F"/>
    <w:rsid w:val="00D16941"/>
    <w:rsid w:val="00D1726F"/>
    <w:rsid w:val="00D175E9"/>
    <w:rsid w:val="00D17DC8"/>
    <w:rsid w:val="00D20AED"/>
    <w:rsid w:val="00D22639"/>
    <w:rsid w:val="00D22A41"/>
    <w:rsid w:val="00D23413"/>
    <w:rsid w:val="00D23597"/>
    <w:rsid w:val="00D23E9D"/>
    <w:rsid w:val="00D24429"/>
    <w:rsid w:val="00D25779"/>
    <w:rsid w:val="00D270A4"/>
    <w:rsid w:val="00D278C9"/>
    <w:rsid w:val="00D311A4"/>
    <w:rsid w:val="00D3127F"/>
    <w:rsid w:val="00D3191F"/>
    <w:rsid w:val="00D31AC2"/>
    <w:rsid w:val="00D31BD5"/>
    <w:rsid w:val="00D32652"/>
    <w:rsid w:val="00D32B83"/>
    <w:rsid w:val="00D334DE"/>
    <w:rsid w:val="00D344DF"/>
    <w:rsid w:val="00D348C7"/>
    <w:rsid w:val="00D34E1B"/>
    <w:rsid w:val="00D3531C"/>
    <w:rsid w:val="00D3548B"/>
    <w:rsid w:val="00D35A30"/>
    <w:rsid w:val="00D35D00"/>
    <w:rsid w:val="00D36B1E"/>
    <w:rsid w:val="00D37313"/>
    <w:rsid w:val="00D377AF"/>
    <w:rsid w:val="00D37958"/>
    <w:rsid w:val="00D37B84"/>
    <w:rsid w:val="00D4057F"/>
    <w:rsid w:val="00D421EA"/>
    <w:rsid w:val="00D42DB6"/>
    <w:rsid w:val="00D43402"/>
    <w:rsid w:val="00D4389E"/>
    <w:rsid w:val="00D43E2F"/>
    <w:rsid w:val="00D44A33"/>
    <w:rsid w:val="00D4563C"/>
    <w:rsid w:val="00D45E05"/>
    <w:rsid w:val="00D45FB0"/>
    <w:rsid w:val="00D463AD"/>
    <w:rsid w:val="00D46A56"/>
    <w:rsid w:val="00D46E28"/>
    <w:rsid w:val="00D47DFD"/>
    <w:rsid w:val="00D50768"/>
    <w:rsid w:val="00D5099D"/>
    <w:rsid w:val="00D509A0"/>
    <w:rsid w:val="00D51071"/>
    <w:rsid w:val="00D51917"/>
    <w:rsid w:val="00D53F6A"/>
    <w:rsid w:val="00D541ED"/>
    <w:rsid w:val="00D541FB"/>
    <w:rsid w:val="00D5429A"/>
    <w:rsid w:val="00D5475A"/>
    <w:rsid w:val="00D55441"/>
    <w:rsid w:val="00D566ED"/>
    <w:rsid w:val="00D57423"/>
    <w:rsid w:val="00D57BC5"/>
    <w:rsid w:val="00D57C32"/>
    <w:rsid w:val="00D60257"/>
    <w:rsid w:val="00D611AD"/>
    <w:rsid w:val="00D614A5"/>
    <w:rsid w:val="00D63353"/>
    <w:rsid w:val="00D63D0E"/>
    <w:rsid w:val="00D63D73"/>
    <w:rsid w:val="00D65972"/>
    <w:rsid w:val="00D65B27"/>
    <w:rsid w:val="00D66E1E"/>
    <w:rsid w:val="00D673B5"/>
    <w:rsid w:val="00D715F1"/>
    <w:rsid w:val="00D72450"/>
    <w:rsid w:val="00D7486F"/>
    <w:rsid w:val="00D74C7A"/>
    <w:rsid w:val="00D74C80"/>
    <w:rsid w:val="00D74FAC"/>
    <w:rsid w:val="00D75722"/>
    <w:rsid w:val="00D77AE6"/>
    <w:rsid w:val="00D80B91"/>
    <w:rsid w:val="00D81836"/>
    <w:rsid w:val="00D82409"/>
    <w:rsid w:val="00D8259C"/>
    <w:rsid w:val="00D8291B"/>
    <w:rsid w:val="00D82EB0"/>
    <w:rsid w:val="00D833BF"/>
    <w:rsid w:val="00D83D50"/>
    <w:rsid w:val="00D84617"/>
    <w:rsid w:val="00D84B08"/>
    <w:rsid w:val="00D85357"/>
    <w:rsid w:val="00D86953"/>
    <w:rsid w:val="00D87437"/>
    <w:rsid w:val="00D902EF"/>
    <w:rsid w:val="00D916A9"/>
    <w:rsid w:val="00D91FC7"/>
    <w:rsid w:val="00D9230B"/>
    <w:rsid w:val="00D9365E"/>
    <w:rsid w:val="00D94235"/>
    <w:rsid w:val="00D94C9C"/>
    <w:rsid w:val="00D95CAA"/>
    <w:rsid w:val="00D9630E"/>
    <w:rsid w:val="00D96347"/>
    <w:rsid w:val="00D96FFD"/>
    <w:rsid w:val="00D975EF"/>
    <w:rsid w:val="00D97DEC"/>
    <w:rsid w:val="00DA01E3"/>
    <w:rsid w:val="00DA0E36"/>
    <w:rsid w:val="00DA23FC"/>
    <w:rsid w:val="00DA262B"/>
    <w:rsid w:val="00DA2CC7"/>
    <w:rsid w:val="00DA2F6F"/>
    <w:rsid w:val="00DA3237"/>
    <w:rsid w:val="00DA4B72"/>
    <w:rsid w:val="00DA4D63"/>
    <w:rsid w:val="00DA50EF"/>
    <w:rsid w:val="00DA61F7"/>
    <w:rsid w:val="00DA681A"/>
    <w:rsid w:val="00DA6D09"/>
    <w:rsid w:val="00DA7F0D"/>
    <w:rsid w:val="00DA7FAF"/>
    <w:rsid w:val="00DB0954"/>
    <w:rsid w:val="00DB1FFA"/>
    <w:rsid w:val="00DB201A"/>
    <w:rsid w:val="00DB2B72"/>
    <w:rsid w:val="00DB2E7B"/>
    <w:rsid w:val="00DB3226"/>
    <w:rsid w:val="00DB35ED"/>
    <w:rsid w:val="00DB4F8A"/>
    <w:rsid w:val="00DB5F59"/>
    <w:rsid w:val="00DB5FB3"/>
    <w:rsid w:val="00DB67C9"/>
    <w:rsid w:val="00DB7287"/>
    <w:rsid w:val="00DB7CE3"/>
    <w:rsid w:val="00DC0C95"/>
    <w:rsid w:val="00DC146F"/>
    <w:rsid w:val="00DC1EFB"/>
    <w:rsid w:val="00DC2187"/>
    <w:rsid w:val="00DC27EE"/>
    <w:rsid w:val="00DC379A"/>
    <w:rsid w:val="00DC3D73"/>
    <w:rsid w:val="00DC4207"/>
    <w:rsid w:val="00DC4EAC"/>
    <w:rsid w:val="00DC5DC1"/>
    <w:rsid w:val="00DC641C"/>
    <w:rsid w:val="00DC6871"/>
    <w:rsid w:val="00DD09CE"/>
    <w:rsid w:val="00DD284A"/>
    <w:rsid w:val="00DD2CA4"/>
    <w:rsid w:val="00DD381F"/>
    <w:rsid w:val="00DD3B87"/>
    <w:rsid w:val="00DD473D"/>
    <w:rsid w:val="00DD4844"/>
    <w:rsid w:val="00DD5C7D"/>
    <w:rsid w:val="00DD5DE1"/>
    <w:rsid w:val="00DD6580"/>
    <w:rsid w:val="00DD6DCF"/>
    <w:rsid w:val="00DD7FF7"/>
    <w:rsid w:val="00DE12EE"/>
    <w:rsid w:val="00DE138D"/>
    <w:rsid w:val="00DE1686"/>
    <w:rsid w:val="00DE16E9"/>
    <w:rsid w:val="00DE202D"/>
    <w:rsid w:val="00DE25CD"/>
    <w:rsid w:val="00DE2844"/>
    <w:rsid w:val="00DE438A"/>
    <w:rsid w:val="00DE4864"/>
    <w:rsid w:val="00DE4DB0"/>
    <w:rsid w:val="00DE523D"/>
    <w:rsid w:val="00DE5E90"/>
    <w:rsid w:val="00DE672C"/>
    <w:rsid w:val="00DE7059"/>
    <w:rsid w:val="00DE70D7"/>
    <w:rsid w:val="00DE74C9"/>
    <w:rsid w:val="00DF0F74"/>
    <w:rsid w:val="00DF1CE0"/>
    <w:rsid w:val="00DF1D16"/>
    <w:rsid w:val="00DF3307"/>
    <w:rsid w:val="00DF39BB"/>
    <w:rsid w:val="00DF5DB3"/>
    <w:rsid w:val="00DF6506"/>
    <w:rsid w:val="00DF6D55"/>
    <w:rsid w:val="00DF7A55"/>
    <w:rsid w:val="00E003DF"/>
    <w:rsid w:val="00E00ED2"/>
    <w:rsid w:val="00E019AC"/>
    <w:rsid w:val="00E0413B"/>
    <w:rsid w:val="00E04E0D"/>
    <w:rsid w:val="00E05E92"/>
    <w:rsid w:val="00E06AD1"/>
    <w:rsid w:val="00E06C2D"/>
    <w:rsid w:val="00E074A2"/>
    <w:rsid w:val="00E104B5"/>
    <w:rsid w:val="00E10D40"/>
    <w:rsid w:val="00E10F51"/>
    <w:rsid w:val="00E114C7"/>
    <w:rsid w:val="00E11BE1"/>
    <w:rsid w:val="00E12394"/>
    <w:rsid w:val="00E13E8B"/>
    <w:rsid w:val="00E14116"/>
    <w:rsid w:val="00E1500F"/>
    <w:rsid w:val="00E15C35"/>
    <w:rsid w:val="00E163B2"/>
    <w:rsid w:val="00E16AC2"/>
    <w:rsid w:val="00E16E58"/>
    <w:rsid w:val="00E17026"/>
    <w:rsid w:val="00E175F0"/>
    <w:rsid w:val="00E177EC"/>
    <w:rsid w:val="00E17C72"/>
    <w:rsid w:val="00E17EFC"/>
    <w:rsid w:val="00E21092"/>
    <w:rsid w:val="00E21B16"/>
    <w:rsid w:val="00E22FDE"/>
    <w:rsid w:val="00E23768"/>
    <w:rsid w:val="00E25871"/>
    <w:rsid w:val="00E25FF6"/>
    <w:rsid w:val="00E26664"/>
    <w:rsid w:val="00E272D4"/>
    <w:rsid w:val="00E27BCC"/>
    <w:rsid w:val="00E30595"/>
    <w:rsid w:val="00E305F4"/>
    <w:rsid w:val="00E31252"/>
    <w:rsid w:val="00E317F0"/>
    <w:rsid w:val="00E320A7"/>
    <w:rsid w:val="00E32621"/>
    <w:rsid w:val="00E32DB4"/>
    <w:rsid w:val="00E33535"/>
    <w:rsid w:val="00E33C27"/>
    <w:rsid w:val="00E35229"/>
    <w:rsid w:val="00E377ED"/>
    <w:rsid w:val="00E37B61"/>
    <w:rsid w:val="00E37B9C"/>
    <w:rsid w:val="00E37D7D"/>
    <w:rsid w:val="00E401C0"/>
    <w:rsid w:val="00E401F6"/>
    <w:rsid w:val="00E409A9"/>
    <w:rsid w:val="00E41AA8"/>
    <w:rsid w:val="00E42709"/>
    <w:rsid w:val="00E42DA5"/>
    <w:rsid w:val="00E43C4B"/>
    <w:rsid w:val="00E43FCC"/>
    <w:rsid w:val="00E44B7B"/>
    <w:rsid w:val="00E45840"/>
    <w:rsid w:val="00E506B4"/>
    <w:rsid w:val="00E50722"/>
    <w:rsid w:val="00E51FCB"/>
    <w:rsid w:val="00E5233B"/>
    <w:rsid w:val="00E52A99"/>
    <w:rsid w:val="00E52D3B"/>
    <w:rsid w:val="00E5321F"/>
    <w:rsid w:val="00E54D1A"/>
    <w:rsid w:val="00E55178"/>
    <w:rsid w:val="00E572DE"/>
    <w:rsid w:val="00E60B5E"/>
    <w:rsid w:val="00E611D3"/>
    <w:rsid w:val="00E63133"/>
    <w:rsid w:val="00E631D1"/>
    <w:rsid w:val="00E64912"/>
    <w:rsid w:val="00E6566C"/>
    <w:rsid w:val="00E669E2"/>
    <w:rsid w:val="00E670E9"/>
    <w:rsid w:val="00E6745A"/>
    <w:rsid w:val="00E67D60"/>
    <w:rsid w:val="00E72396"/>
    <w:rsid w:val="00E723F1"/>
    <w:rsid w:val="00E731EA"/>
    <w:rsid w:val="00E744B1"/>
    <w:rsid w:val="00E74871"/>
    <w:rsid w:val="00E74FB4"/>
    <w:rsid w:val="00E754A0"/>
    <w:rsid w:val="00E758BD"/>
    <w:rsid w:val="00E76038"/>
    <w:rsid w:val="00E76135"/>
    <w:rsid w:val="00E7649F"/>
    <w:rsid w:val="00E77673"/>
    <w:rsid w:val="00E816EF"/>
    <w:rsid w:val="00E8203E"/>
    <w:rsid w:val="00E8205C"/>
    <w:rsid w:val="00E836A4"/>
    <w:rsid w:val="00E83728"/>
    <w:rsid w:val="00E84149"/>
    <w:rsid w:val="00E84635"/>
    <w:rsid w:val="00E85063"/>
    <w:rsid w:val="00E85239"/>
    <w:rsid w:val="00E85AD5"/>
    <w:rsid w:val="00E8744A"/>
    <w:rsid w:val="00E90437"/>
    <w:rsid w:val="00E90516"/>
    <w:rsid w:val="00E90BBE"/>
    <w:rsid w:val="00E91F56"/>
    <w:rsid w:val="00E92742"/>
    <w:rsid w:val="00E93300"/>
    <w:rsid w:val="00E9370D"/>
    <w:rsid w:val="00E93C9A"/>
    <w:rsid w:val="00E945C6"/>
    <w:rsid w:val="00E9582B"/>
    <w:rsid w:val="00E978E1"/>
    <w:rsid w:val="00E97F03"/>
    <w:rsid w:val="00EA1716"/>
    <w:rsid w:val="00EA1A3F"/>
    <w:rsid w:val="00EA2076"/>
    <w:rsid w:val="00EA4261"/>
    <w:rsid w:val="00EA4C70"/>
    <w:rsid w:val="00EA50F8"/>
    <w:rsid w:val="00EA6BFC"/>
    <w:rsid w:val="00EA714D"/>
    <w:rsid w:val="00EA7BD0"/>
    <w:rsid w:val="00EA7C93"/>
    <w:rsid w:val="00EB0B8E"/>
    <w:rsid w:val="00EB1E24"/>
    <w:rsid w:val="00EB2B47"/>
    <w:rsid w:val="00EB3570"/>
    <w:rsid w:val="00EB485C"/>
    <w:rsid w:val="00EB54C0"/>
    <w:rsid w:val="00EB5BA8"/>
    <w:rsid w:val="00EB5E00"/>
    <w:rsid w:val="00EC1787"/>
    <w:rsid w:val="00EC2900"/>
    <w:rsid w:val="00EC2E83"/>
    <w:rsid w:val="00EC3E63"/>
    <w:rsid w:val="00EC4156"/>
    <w:rsid w:val="00EC45AC"/>
    <w:rsid w:val="00EC4B2E"/>
    <w:rsid w:val="00EC4E5A"/>
    <w:rsid w:val="00EC4FAE"/>
    <w:rsid w:val="00EC53F4"/>
    <w:rsid w:val="00EC5D6C"/>
    <w:rsid w:val="00EC6A57"/>
    <w:rsid w:val="00EC6D2F"/>
    <w:rsid w:val="00EC7839"/>
    <w:rsid w:val="00EC7B14"/>
    <w:rsid w:val="00ED0634"/>
    <w:rsid w:val="00ED098E"/>
    <w:rsid w:val="00ED0AE2"/>
    <w:rsid w:val="00ED14EE"/>
    <w:rsid w:val="00ED1F31"/>
    <w:rsid w:val="00ED259F"/>
    <w:rsid w:val="00ED30ED"/>
    <w:rsid w:val="00ED3F3A"/>
    <w:rsid w:val="00ED4CE5"/>
    <w:rsid w:val="00ED5A63"/>
    <w:rsid w:val="00ED69A1"/>
    <w:rsid w:val="00ED7D9C"/>
    <w:rsid w:val="00EE0685"/>
    <w:rsid w:val="00EE0F0A"/>
    <w:rsid w:val="00EE2F09"/>
    <w:rsid w:val="00EE4018"/>
    <w:rsid w:val="00EE471F"/>
    <w:rsid w:val="00EE4CAC"/>
    <w:rsid w:val="00EE4E7D"/>
    <w:rsid w:val="00EE54D4"/>
    <w:rsid w:val="00EE64DC"/>
    <w:rsid w:val="00EF11C4"/>
    <w:rsid w:val="00EF1A3A"/>
    <w:rsid w:val="00EF1AB5"/>
    <w:rsid w:val="00EF1C8B"/>
    <w:rsid w:val="00EF2E36"/>
    <w:rsid w:val="00EF3595"/>
    <w:rsid w:val="00EF3A37"/>
    <w:rsid w:val="00EF3CF1"/>
    <w:rsid w:val="00EF40C4"/>
    <w:rsid w:val="00EF4384"/>
    <w:rsid w:val="00EF47B0"/>
    <w:rsid w:val="00EF5184"/>
    <w:rsid w:val="00EF5D38"/>
    <w:rsid w:val="00EF61A3"/>
    <w:rsid w:val="00EF62E5"/>
    <w:rsid w:val="00EF6CD5"/>
    <w:rsid w:val="00EF6FF7"/>
    <w:rsid w:val="00EF7199"/>
    <w:rsid w:val="00F002C6"/>
    <w:rsid w:val="00F01F25"/>
    <w:rsid w:val="00F022B6"/>
    <w:rsid w:val="00F02600"/>
    <w:rsid w:val="00F02DD4"/>
    <w:rsid w:val="00F0537C"/>
    <w:rsid w:val="00F056FC"/>
    <w:rsid w:val="00F05C81"/>
    <w:rsid w:val="00F06589"/>
    <w:rsid w:val="00F06C4E"/>
    <w:rsid w:val="00F07284"/>
    <w:rsid w:val="00F1119E"/>
    <w:rsid w:val="00F12AC3"/>
    <w:rsid w:val="00F135D8"/>
    <w:rsid w:val="00F13C04"/>
    <w:rsid w:val="00F150BD"/>
    <w:rsid w:val="00F15169"/>
    <w:rsid w:val="00F165A2"/>
    <w:rsid w:val="00F16A52"/>
    <w:rsid w:val="00F17222"/>
    <w:rsid w:val="00F176E3"/>
    <w:rsid w:val="00F17CA6"/>
    <w:rsid w:val="00F17E18"/>
    <w:rsid w:val="00F204FA"/>
    <w:rsid w:val="00F204FD"/>
    <w:rsid w:val="00F20B82"/>
    <w:rsid w:val="00F213A6"/>
    <w:rsid w:val="00F21751"/>
    <w:rsid w:val="00F224B4"/>
    <w:rsid w:val="00F227D0"/>
    <w:rsid w:val="00F22A5D"/>
    <w:rsid w:val="00F22ABB"/>
    <w:rsid w:val="00F239EF"/>
    <w:rsid w:val="00F254F3"/>
    <w:rsid w:val="00F266C2"/>
    <w:rsid w:val="00F30028"/>
    <w:rsid w:val="00F3050A"/>
    <w:rsid w:val="00F30A74"/>
    <w:rsid w:val="00F30C2B"/>
    <w:rsid w:val="00F30C61"/>
    <w:rsid w:val="00F30F88"/>
    <w:rsid w:val="00F31299"/>
    <w:rsid w:val="00F315C7"/>
    <w:rsid w:val="00F33AC2"/>
    <w:rsid w:val="00F33E2C"/>
    <w:rsid w:val="00F344B2"/>
    <w:rsid w:val="00F35269"/>
    <w:rsid w:val="00F3534A"/>
    <w:rsid w:val="00F35CAF"/>
    <w:rsid w:val="00F40D37"/>
    <w:rsid w:val="00F410E9"/>
    <w:rsid w:val="00F42D03"/>
    <w:rsid w:val="00F43679"/>
    <w:rsid w:val="00F43CAF"/>
    <w:rsid w:val="00F4566E"/>
    <w:rsid w:val="00F45672"/>
    <w:rsid w:val="00F45DEC"/>
    <w:rsid w:val="00F46AD2"/>
    <w:rsid w:val="00F50E7A"/>
    <w:rsid w:val="00F50F24"/>
    <w:rsid w:val="00F5209B"/>
    <w:rsid w:val="00F5218B"/>
    <w:rsid w:val="00F52FE4"/>
    <w:rsid w:val="00F532B0"/>
    <w:rsid w:val="00F53691"/>
    <w:rsid w:val="00F5378D"/>
    <w:rsid w:val="00F53BAC"/>
    <w:rsid w:val="00F54789"/>
    <w:rsid w:val="00F54CFD"/>
    <w:rsid w:val="00F5512F"/>
    <w:rsid w:val="00F553BD"/>
    <w:rsid w:val="00F55B7A"/>
    <w:rsid w:val="00F55C1C"/>
    <w:rsid w:val="00F569B0"/>
    <w:rsid w:val="00F56A13"/>
    <w:rsid w:val="00F572F2"/>
    <w:rsid w:val="00F600D6"/>
    <w:rsid w:val="00F606DC"/>
    <w:rsid w:val="00F608A3"/>
    <w:rsid w:val="00F60AE1"/>
    <w:rsid w:val="00F60BA2"/>
    <w:rsid w:val="00F6164C"/>
    <w:rsid w:val="00F63756"/>
    <w:rsid w:val="00F63F7A"/>
    <w:rsid w:val="00F64514"/>
    <w:rsid w:val="00F64C3F"/>
    <w:rsid w:val="00F65D31"/>
    <w:rsid w:val="00F668E2"/>
    <w:rsid w:val="00F67BBE"/>
    <w:rsid w:val="00F67FBE"/>
    <w:rsid w:val="00F7000A"/>
    <w:rsid w:val="00F70B7C"/>
    <w:rsid w:val="00F70BD9"/>
    <w:rsid w:val="00F70EDF"/>
    <w:rsid w:val="00F7107C"/>
    <w:rsid w:val="00F715C3"/>
    <w:rsid w:val="00F71ABF"/>
    <w:rsid w:val="00F71B58"/>
    <w:rsid w:val="00F72234"/>
    <w:rsid w:val="00F72AEB"/>
    <w:rsid w:val="00F72ECB"/>
    <w:rsid w:val="00F73826"/>
    <w:rsid w:val="00F73903"/>
    <w:rsid w:val="00F73C11"/>
    <w:rsid w:val="00F74673"/>
    <w:rsid w:val="00F746A7"/>
    <w:rsid w:val="00F74B5A"/>
    <w:rsid w:val="00F74B8C"/>
    <w:rsid w:val="00F77A3F"/>
    <w:rsid w:val="00F77C12"/>
    <w:rsid w:val="00F77C52"/>
    <w:rsid w:val="00F82196"/>
    <w:rsid w:val="00F821A2"/>
    <w:rsid w:val="00F8227C"/>
    <w:rsid w:val="00F82AEE"/>
    <w:rsid w:val="00F82D23"/>
    <w:rsid w:val="00F83765"/>
    <w:rsid w:val="00F839F3"/>
    <w:rsid w:val="00F83C3F"/>
    <w:rsid w:val="00F84376"/>
    <w:rsid w:val="00F846D9"/>
    <w:rsid w:val="00F84E1F"/>
    <w:rsid w:val="00F85325"/>
    <w:rsid w:val="00F8542B"/>
    <w:rsid w:val="00F85C1E"/>
    <w:rsid w:val="00F865A8"/>
    <w:rsid w:val="00F866CE"/>
    <w:rsid w:val="00F87984"/>
    <w:rsid w:val="00F879B2"/>
    <w:rsid w:val="00F90E64"/>
    <w:rsid w:val="00F91380"/>
    <w:rsid w:val="00F918CC"/>
    <w:rsid w:val="00F91E54"/>
    <w:rsid w:val="00F931A9"/>
    <w:rsid w:val="00F94261"/>
    <w:rsid w:val="00F946CD"/>
    <w:rsid w:val="00F94BD2"/>
    <w:rsid w:val="00F94D4F"/>
    <w:rsid w:val="00F961F9"/>
    <w:rsid w:val="00F96BCC"/>
    <w:rsid w:val="00F9754C"/>
    <w:rsid w:val="00FA07EA"/>
    <w:rsid w:val="00FA1474"/>
    <w:rsid w:val="00FA1BEB"/>
    <w:rsid w:val="00FA224F"/>
    <w:rsid w:val="00FA2D26"/>
    <w:rsid w:val="00FA2FE0"/>
    <w:rsid w:val="00FA30F5"/>
    <w:rsid w:val="00FA3B03"/>
    <w:rsid w:val="00FA3CFC"/>
    <w:rsid w:val="00FA4A1F"/>
    <w:rsid w:val="00FA674B"/>
    <w:rsid w:val="00FA68F2"/>
    <w:rsid w:val="00FA7319"/>
    <w:rsid w:val="00FA7684"/>
    <w:rsid w:val="00FA7C3D"/>
    <w:rsid w:val="00FA7F47"/>
    <w:rsid w:val="00FB27BD"/>
    <w:rsid w:val="00FB3E36"/>
    <w:rsid w:val="00FB41DD"/>
    <w:rsid w:val="00FB472E"/>
    <w:rsid w:val="00FC0A17"/>
    <w:rsid w:val="00FC0B19"/>
    <w:rsid w:val="00FC11C9"/>
    <w:rsid w:val="00FC11CB"/>
    <w:rsid w:val="00FC133F"/>
    <w:rsid w:val="00FC173E"/>
    <w:rsid w:val="00FC1941"/>
    <w:rsid w:val="00FC1FC0"/>
    <w:rsid w:val="00FC27D8"/>
    <w:rsid w:val="00FC332B"/>
    <w:rsid w:val="00FC34F5"/>
    <w:rsid w:val="00FC46CF"/>
    <w:rsid w:val="00FC5FA0"/>
    <w:rsid w:val="00FC6535"/>
    <w:rsid w:val="00FC6E12"/>
    <w:rsid w:val="00FC6F6D"/>
    <w:rsid w:val="00FC6FE3"/>
    <w:rsid w:val="00FD0253"/>
    <w:rsid w:val="00FD03F4"/>
    <w:rsid w:val="00FD0A8F"/>
    <w:rsid w:val="00FD22B1"/>
    <w:rsid w:val="00FD2A09"/>
    <w:rsid w:val="00FD349A"/>
    <w:rsid w:val="00FD3852"/>
    <w:rsid w:val="00FD3C16"/>
    <w:rsid w:val="00FD3CBB"/>
    <w:rsid w:val="00FD44CC"/>
    <w:rsid w:val="00FD5068"/>
    <w:rsid w:val="00FD520D"/>
    <w:rsid w:val="00FD539F"/>
    <w:rsid w:val="00FD5B52"/>
    <w:rsid w:val="00FD63DA"/>
    <w:rsid w:val="00FD6B30"/>
    <w:rsid w:val="00FE0361"/>
    <w:rsid w:val="00FE0547"/>
    <w:rsid w:val="00FE0E00"/>
    <w:rsid w:val="00FE188C"/>
    <w:rsid w:val="00FE1A89"/>
    <w:rsid w:val="00FE1F9D"/>
    <w:rsid w:val="00FE212D"/>
    <w:rsid w:val="00FE24CE"/>
    <w:rsid w:val="00FE258F"/>
    <w:rsid w:val="00FE2A7B"/>
    <w:rsid w:val="00FE2A8A"/>
    <w:rsid w:val="00FE3D02"/>
    <w:rsid w:val="00FE5E03"/>
    <w:rsid w:val="00FE7860"/>
    <w:rsid w:val="00FE7975"/>
    <w:rsid w:val="00FE7DD7"/>
    <w:rsid w:val="00FF089D"/>
    <w:rsid w:val="00FF16CF"/>
    <w:rsid w:val="00FF21D1"/>
    <w:rsid w:val="00FF29B2"/>
    <w:rsid w:val="00FF2BC8"/>
    <w:rsid w:val="00FF2BFE"/>
    <w:rsid w:val="00FF3842"/>
    <w:rsid w:val="00FF3F77"/>
    <w:rsid w:val="00FF4AF5"/>
    <w:rsid w:val="00FF56EB"/>
    <w:rsid w:val="00FF5B15"/>
    <w:rsid w:val="00FF5EC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5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6D5355"/>
    <w:rPr>
      <w:sz w:val="24"/>
      <w:szCs w:val="24"/>
    </w:rPr>
  </w:style>
  <w:style w:type="paragraph" w:styleId="Heading1">
    <w:name w:val="heading 1"/>
    <w:basedOn w:val="BodyText"/>
    <w:next w:val="BodyText"/>
    <w:rsid w:val="006D5355"/>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6D5355"/>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6D5355"/>
    <w:pPr>
      <w:spacing w:before="560" w:line="320" w:lineRule="exact"/>
      <w:ind w:left="0" w:firstLine="0"/>
      <w:outlineLvl w:val="2"/>
    </w:pPr>
    <w:rPr>
      <w:sz w:val="26"/>
    </w:rPr>
  </w:style>
  <w:style w:type="paragraph" w:styleId="Heading4">
    <w:name w:val="heading 4"/>
    <w:basedOn w:val="Heading3"/>
    <w:next w:val="BodyText"/>
    <w:qFormat/>
    <w:rsid w:val="006D5355"/>
    <w:pPr>
      <w:spacing w:before="480"/>
      <w:outlineLvl w:val="3"/>
    </w:pPr>
    <w:rPr>
      <w:b w:val="0"/>
      <w:sz w:val="24"/>
    </w:rPr>
  </w:style>
  <w:style w:type="paragraph" w:styleId="Heading5">
    <w:name w:val="heading 5"/>
    <w:basedOn w:val="Heading4"/>
    <w:next w:val="BodyText"/>
    <w:link w:val="Heading5Char"/>
    <w:qFormat/>
    <w:rsid w:val="006D5355"/>
    <w:pPr>
      <w:outlineLvl w:val="4"/>
    </w:pPr>
    <w:rPr>
      <w:i/>
      <w:sz w:val="22"/>
    </w:rPr>
  </w:style>
  <w:style w:type="paragraph" w:styleId="Heading6">
    <w:name w:val="heading 6"/>
    <w:basedOn w:val="BodyText"/>
    <w:next w:val="BodyText"/>
    <w:rsid w:val="006D5355"/>
    <w:pPr>
      <w:spacing w:after="60"/>
      <w:jc w:val="left"/>
      <w:outlineLvl w:val="5"/>
    </w:pPr>
    <w:rPr>
      <w:i/>
      <w:sz w:val="22"/>
    </w:rPr>
  </w:style>
  <w:style w:type="paragraph" w:styleId="Heading7">
    <w:name w:val="heading 7"/>
    <w:basedOn w:val="BodyText"/>
    <w:next w:val="BodyText"/>
    <w:rsid w:val="006D5355"/>
    <w:pPr>
      <w:spacing w:after="60" w:line="240" w:lineRule="auto"/>
      <w:jc w:val="left"/>
      <w:outlineLvl w:val="6"/>
    </w:pPr>
    <w:rPr>
      <w:rFonts w:ascii="Arial" w:hAnsi="Arial"/>
      <w:sz w:val="20"/>
    </w:rPr>
  </w:style>
  <w:style w:type="paragraph" w:styleId="Heading8">
    <w:name w:val="heading 8"/>
    <w:basedOn w:val="BodyText"/>
    <w:next w:val="BodyText"/>
    <w:rsid w:val="006D5355"/>
    <w:pPr>
      <w:spacing w:after="60" w:line="240" w:lineRule="auto"/>
      <w:jc w:val="left"/>
      <w:outlineLvl w:val="7"/>
    </w:pPr>
    <w:rPr>
      <w:rFonts w:ascii="Arial" w:hAnsi="Arial"/>
      <w:i/>
      <w:sz w:val="20"/>
    </w:rPr>
  </w:style>
  <w:style w:type="paragraph" w:styleId="Heading9">
    <w:name w:val="heading 9"/>
    <w:basedOn w:val="BodyText"/>
    <w:next w:val="BodyText"/>
    <w:rsid w:val="006D5355"/>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6D535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D5355"/>
  </w:style>
  <w:style w:type="paragraph" w:styleId="BodyText">
    <w:name w:val="Body Text"/>
    <w:aliases w:val="new legislation style,Body Text1,Body Text21,Body Text2,new legislation style1,Body Text Char1 Char Char,new legislation style Char Char Char Char,Body Text Char1 Char Char Char Char,Body Text Char Char Char Char Char Char,Body Text Char1 Char"/>
    <w:link w:val="BodyTextChar"/>
    <w:qFormat/>
    <w:rsid w:val="006D5355"/>
    <w:pPr>
      <w:spacing w:before="240" w:line="300" w:lineRule="atLeast"/>
      <w:jc w:val="both"/>
    </w:pPr>
    <w:rPr>
      <w:sz w:val="24"/>
    </w:rPr>
  </w:style>
  <w:style w:type="paragraph" w:customStyle="1" w:styleId="Chapter">
    <w:name w:val="Chapter"/>
    <w:basedOn w:val="Heading1"/>
    <w:next w:val="BodyText"/>
    <w:semiHidden/>
    <w:rsid w:val="006D5355"/>
    <w:pPr>
      <w:ind w:left="0" w:firstLine="0"/>
      <w:outlineLvl w:val="9"/>
    </w:pPr>
  </w:style>
  <w:style w:type="paragraph" w:styleId="Footer">
    <w:name w:val="footer"/>
    <w:basedOn w:val="BodyText"/>
    <w:link w:val="FooterChar"/>
    <w:rsid w:val="006D5355"/>
    <w:pPr>
      <w:spacing w:before="80" w:line="200" w:lineRule="exact"/>
      <w:ind w:right="6"/>
      <w:jc w:val="left"/>
    </w:pPr>
    <w:rPr>
      <w:rFonts w:ascii="Arial" w:hAnsi="Arial"/>
      <w:caps/>
      <w:spacing w:val="-4"/>
      <w:sz w:val="16"/>
    </w:rPr>
  </w:style>
  <w:style w:type="paragraph" w:customStyle="1" w:styleId="FooterEnd">
    <w:name w:val="Footer End"/>
    <w:basedOn w:val="Footer"/>
    <w:rsid w:val="006D5355"/>
    <w:pPr>
      <w:spacing w:before="0" w:line="20" w:lineRule="exact"/>
    </w:pPr>
  </w:style>
  <w:style w:type="paragraph" w:styleId="Header">
    <w:name w:val="header"/>
    <w:basedOn w:val="BodyText"/>
    <w:rsid w:val="006D5355"/>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6D5355"/>
    <w:pPr>
      <w:spacing w:line="20" w:lineRule="exact"/>
    </w:pPr>
    <w:rPr>
      <w:sz w:val="16"/>
    </w:rPr>
  </w:style>
  <w:style w:type="paragraph" w:customStyle="1" w:styleId="HeaderEven">
    <w:name w:val="Header Even"/>
    <w:basedOn w:val="Header"/>
    <w:semiHidden/>
    <w:rsid w:val="006D5355"/>
  </w:style>
  <w:style w:type="paragraph" w:customStyle="1" w:styleId="HeaderOdd">
    <w:name w:val="Header Odd"/>
    <w:basedOn w:val="Header"/>
    <w:rsid w:val="006D5355"/>
  </w:style>
  <w:style w:type="character" w:styleId="PageNumber">
    <w:name w:val="page number"/>
    <w:basedOn w:val="DefaultParagraphFont"/>
    <w:rsid w:val="006D5355"/>
    <w:rPr>
      <w:rFonts w:ascii="Arial" w:hAnsi="Arial"/>
      <w:b/>
      <w:sz w:val="16"/>
    </w:rPr>
  </w:style>
  <w:style w:type="paragraph" w:customStyle="1" w:styleId="Abbreviation">
    <w:name w:val="Abbreviation"/>
    <w:basedOn w:val="BodyText"/>
    <w:link w:val="AbbreviationChar"/>
    <w:rsid w:val="006D5355"/>
    <w:pPr>
      <w:spacing w:before="120"/>
      <w:ind w:left="2381" w:hanging="2381"/>
      <w:jc w:val="left"/>
    </w:pPr>
  </w:style>
  <w:style w:type="paragraph" w:customStyle="1" w:styleId="Box">
    <w:name w:val="Box"/>
    <w:basedOn w:val="BodyText"/>
    <w:link w:val="BoxChar"/>
    <w:qFormat/>
    <w:rsid w:val="006D5355"/>
    <w:pPr>
      <w:keepNext/>
      <w:spacing w:before="120" w:line="260" w:lineRule="atLeast"/>
    </w:pPr>
    <w:rPr>
      <w:rFonts w:ascii="Arial" w:hAnsi="Arial"/>
      <w:sz w:val="20"/>
    </w:rPr>
  </w:style>
  <w:style w:type="paragraph" w:customStyle="1" w:styleId="BoxContinued">
    <w:name w:val="Box Continued"/>
    <w:basedOn w:val="BodyText"/>
    <w:next w:val="BodyText"/>
    <w:semiHidden/>
    <w:rsid w:val="006D5355"/>
    <w:pPr>
      <w:spacing w:before="180" w:line="220" w:lineRule="exact"/>
      <w:jc w:val="right"/>
    </w:pPr>
    <w:rPr>
      <w:rFonts w:ascii="Arial" w:hAnsi="Arial"/>
      <w:sz w:val="18"/>
    </w:rPr>
  </w:style>
  <w:style w:type="paragraph" w:customStyle="1" w:styleId="BoxHeading1">
    <w:name w:val="Box Heading 1"/>
    <w:basedOn w:val="BodyText"/>
    <w:next w:val="Box"/>
    <w:rsid w:val="006D5355"/>
    <w:pPr>
      <w:keepNext/>
      <w:spacing w:before="200" w:line="280" w:lineRule="atLeast"/>
    </w:pPr>
    <w:rPr>
      <w:rFonts w:ascii="Arial" w:hAnsi="Arial"/>
      <w:b/>
      <w:sz w:val="22"/>
    </w:rPr>
  </w:style>
  <w:style w:type="paragraph" w:customStyle="1" w:styleId="BoxHeading2">
    <w:name w:val="Box Heading 2"/>
    <w:basedOn w:val="BoxHeading1"/>
    <w:next w:val="Normal"/>
    <w:rsid w:val="006D5355"/>
    <w:rPr>
      <w:b w:val="0"/>
      <w:i/>
    </w:rPr>
  </w:style>
  <w:style w:type="paragraph" w:customStyle="1" w:styleId="BoxListBullet">
    <w:name w:val="Box List Bullet"/>
    <w:basedOn w:val="BodyText"/>
    <w:link w:val="BoxListBulletChar"/>
    <w:rsid w:val="006D5355"/>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6D5355"/>
    <w:pPr>
      <w:numPr>
        <w:numId w:val="2"/>
      </w:numPr>
      <w:ind w:left="568" w:hanging="284"/>
    </w:pPr>
  </w:style>
  <w:style w:type="paragraph" w:customStyle="1" w:styleId="BoxListNumber">
    <w:name w:val="Box List Number"/>
    <w:basedOn w:val="BodyText"/>
    <w:rsid w:val="006D5355"/>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6D5355"/>
    <w:pPr>
      <w:numPr>
        <w:ilvl w:val="1"/>
      </w:numPr>
      <w:ind w:left="681" w:hanging="397"/>
    </w:pPr>
  </w:style>
  <w:style w:type="paragraph" w:customStyle="1" w:styleId="BoxQuote">
    <w:name w:val="Box Quote"/>
    <w:basedOn w:val="BodyText"/>
    <w:next w:val="Box"/>
    <w:qFormat/>
    <w:rsid w:val="006D5355"/>
    <w:pPr>
      <w:keepNext/>
      <w:spacing w:before="60" w:line="240" w:lineRule="exact"/>
      <w:ind w:left="284"/>
    </w:pPr>
    <w:rPr>
      <w:rFonts w:ascii="Arial" w:hAnsi="Arial"/>
      <w:sz w:val="18"/>
    </w:rPr>
  </w:style>
  <w:style w:type="paragraph" w:customStyle="1" w:styleId="Note">
    <w:name w:val="Note"/>
    <w:basedOn w:val="BodyText"/>
    <w:next w:val="BodyText"/>
    <w:link w:val="NoteChar"/>
    <w:rsid w:val="006D5355"/>
    <w:pPr>
      <w:keepLines/>
      <w:spacing w:before="80" w:line="220" w:lineRule="exact"/>
    </w:pPr>
    <w:rPr>
      <w:rFonts w:ascii="Arial" w:hAnsi="Arial"/>
      <w:sz w:val="18"/>
    </w:rPr>
  </w:style>
  <w:style w:type="paragraph" w:customStyle="1" w:styleId="Source">
    <w:name w:val="Source"/>
    <w:basedOn w:val="Normal"/>
    <w:next w:val="BodyText"/>
    <w:link w:val="SourceChar"/>
    <w:rsid w:val="006D5355"/>
    <w:pPr>
      <w:keepLines/>
      <w:spacing w:before="80" w:line="220" w:lineRule="exact"/>
      <w:jc w:val="both"/>
    </w:pPr>
    <w:rPr>
      <w:rFonts w:ascii="Arial" w:hAnsi="Arial"/>
      <w:sz w:val="18"/>
      <w:szCs w:val="20"/>
    </w:rPr>
  </w:style>
  <w:style w:type="paragraph" w:customStyle="1" w:styleId="BoxSource">
    <w:name w:val="Box Source"/>
    <w:basedOn w:val="Source"/>
    <w:next w:val="BodyText"/>
    <w:rsid w:val="006D5355"/>
    <w:pPr>
      <w:spacing w:before="120"/>
    </w:pPr>
  </w:style>
  <w:style w:type="paragraph" w:customStyle="1" w:styleId="BoxSpace">
    <w:name w:val="Box Space"/>
    <w:basedOn w:val="BodyText"/>
    <w:link w:val="BoxSpaceChar"/>
    <w:rsid w:val="00A03302"/>
    <w:pPr>
      <w:keepNext/>
      <w:spacing w:before="360" w:line="80" w:lineRule="exact"/>
      <w:jc w:val="left"/>
    </w:pPr>
  </w:style>
  <w:style w:type="paragraph" w:styleId="Caption">
    <w:name w:val="caption"/>
    <w:basedOn w:val="Normal"/>
    <w:next w:val="BodyText"/>
    <w:rsid w:val="006D5355"/>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6D5355"/>
    <w:pPr>
      <w:spacing w:before="120" w:after="0"/>
    </w:pPr>
  </w:style>
  <w:style w:type="paragraph" w:customStyle="1" w:styleId="BoxSubtitle">
    <w:name w:val="Box Subtitle"/>
    <w:basedOn w:val="BoxTitle"/>
    <w:next w:val="Normal"/>
    <w:rsid w:val="006D5355"/>
    <w:pPr>
      <w:spacing w:after="80" w:line="200" w:lineRule="exact"/>
      <w:ind w:firstLine="0"/>
    </w:pPr>
    <w:rPr>
      <w:b w:val="0"/>
      <w:sz w:val="20"/>
    </w:rPr>
  </w:style>
  <w:style w:type="paragraph" w:customStyle="1" w:styleId="ChapterSummary">
    <w:name w:val="Chapter Summary"/>
    <w:basedOn w:val="BodyText"/>
    <w:rsid w:val="006D5355"/>
    <w:pPr>
      <w:spacing w:line="280" w:lineRule="atLeast"/>
      <w:ind w:left="907"/>
    </w:pPr>
    <w:rPr>
      <w:rFonts w:ascii="Arial" w:hAnsi="Arial"/>
      <w:b/>
      <w:sz w:val="20"/>
    </w:rPr>
  </w:style>
  <w:style w:type="character" w:styleId="CommentReference">
    <w:name w:val="annotation reference"/>
    <w:basedOn w:val="DefaultParagraphFont"/>
    <w:semiHidden/>
    <w:rsid w:val="006D5355"/>
    <w:rPr>
      <w:b/>
      <w:vanish/>
      <w:color w:val="FF00FF"/>
      <w:sz w:val="20"/>
    </w:rPr>
  </w:style>
  <w:style w:type="paragraph" w:styleId="CommentText">
    <w:name w:val="annotation text"/>
    <w:basedOn w:val="Normal"/>
    <w:semiHidden/>
    <w:rsid w:val="006D5355"/>
    <w:pPr>
      <w:spacing w:before="120" w:line="240" w:lineRule="atLeast"/>
      <w:ind w:left="567" w:hanging="567"/>
    </w:pPr>
    <w:rPr>
      <w:sz w:val="20"/>
    </w:rPr>
  </w:style>
  <w:style w:type="paragraph" w:customStyle="1" w:styleId="Continued">
    <w:name w:val="Continued"/>
    <w:basedOn w:val="BoxContinued"/>
    <w:next w:val="BodyText"/>
    <w:rsid w:val="006D5355"/>
  </w:style>
  <w:style w:type="character" w:customStyle="1" w:styleId="DocumentInfo">
    <w:name w:val="Document Info"/>
    <w:basedOn w:val="DefaultParagraphFont"/>
    <w:semiHidden/>
    <w:rsid w:val="006D5355"/>
    <w:rPr>
      <w:rFonts w:ascii="Arial" w:hAnsi="Arial"/>
      <w:sz w:val="14"/>
    </w:rPr>
  </w:style>
  <w:style w:type="character" w:customStyle="1" w:styleId="DraftingNote">
    <w:name w:val="Drafting Note"/>
    <w:basedOn w:val="DefaultParagraphFont"/>
    <w:rsid w:val="006D5355"/>
    <w:rPr>
      <w:b/>
      <w:color w:val="FF0000"/>
      <w:sz w:val="24"/>
      <w:u w:val="dotted"/>
    </w:rPr>
  </w:style>
  <w:style w:type="paragraph" w:customStyle="1" w:styleId="Figure">
    <w:name w:val="Figure"/>
    <w:basedOn w:val="BodyText"/>
    <w:link w:val="FigureChar"/>
    <w:rsid w:val="006D5355"/>
    <w:pPr>
      <w:keepNext/>
      <w:spacing w:before="120" w:after="120" w:line="240" w:lineRule="atLeast"/>
      <w:jc w:val="center"/>
    </w:pPr>
  </w:style>
  <w:style w:type="paragraph" w:customStyle="1" w:styleId="FigureTitle">
    <w:name w:val="Figure Title"/>
    <w:basedOn w:val="Caption"/>
    <w:next w:val="Subtitle"/>
    <w:link w:val="FigureTitleChar"/>
    <w:rsid w:val="006D5355"/>
    <w:pPr>
      <w:spacing w:before="120"/>
    </w:pPr>
  </w:style>
  <w:style w:type="paragraph" w:styleId="Subtitle">
    <w:name w:val="Subtitle"/>
    <w:basedOn w:val="Caption"/>
    <w:link w:val="SubtitleChar"/>
    <w:qFormat/>
    <w:rsid w:val="006D5355"/>
    <w:pPr>
      <w:spacing w:before="0" w:line="200" w:lineRule="exact"/>
      <w:ind w:firstLine="0"/>
    </w:pPr>
    <w:rPr>
      <w:b w:val="0"/>
      <w:sz w:val="20"/>
    </w:rPr>
  </w:style>
  <w:style w:type="paragraph" w:customStyle="1" w:styleId="Finding">
    <w:name w:val="Finding"/>
    <w:basedOn w:val="BodyText"/>
    <w:rsid w:val="006D5355"/>
    <w:pPr>
      <w:keepLines/>
      <w:spacing w:before="120" w:line="280" w:lineRule="atLeast"/>
    </w:pPr>
    <w:rPr>
      <w:rFonts w:ascii="Arial" w:hAnsi="Arial"/>
      <w:sz w:val="22"/>
    </w:rPr>
  </w:style>
  <w:style w:type="paragraph" w:customStyle="1" w:styleId="FindingBullet">
    <w:name w:val="Finding Bullet"/>
    <w:basedOn w:val="Finding"/>
    <w:rsid w:val="006D5355"/>
    <w:pPr>
      <w:numPr>
        <w:numId w:val="3"/>
      </w:numPr>
      <w:spacing w:before="80"/>
    </w:pPr>
  </w:style>
  <w:style w:type="paragraph" w:customStyle="1" w:styleId="FindingNoTitle">
    <w:name w:val="Finding NoTitle"/>
    <w:basedOn w:val="Finding"/>
    <w:rsid w:val="006D5355"/>
    <w:pPr>
      <w:spacing w:before="240"/>
    </w:pPr>
  </w:style>
  <w:style w:type="paragraph" w:customStyle="1" w:styleId="RecTitle">
    <w:name w:val="Rec Title"/>
    <w:basedOn w:val="BodyText"/>
    <w:next w:val="Rec"/>
    <w:qFormat/>
    <w:rsid w:val="006D5355"/>
    <w:pPr>
      <w:keepNext/>
      <w:keepLines/>
      <w:spacing w:line="280" w:lineRule="atLeast"/>
    </w:pPr>
    <w:rPr>
      <w:rFonts w:ascii="Arial" w:hAnsi="Arial"/>
      <w:caps/>
      <w:sz w:val="18"/>
    </w:rPr>
  </w:style>
  <w:style w:type="paragraph" w:customStyle="1" w:styleId="FindingTitle">
    <w:name w:val="Finding Title"/>
    <w:basedOn w:val="RecTitle"/>
    <w:next w:val="Finding"/>
    <w:rsid w:val="006D5355"/>
  </w:style>
  <w:style w:type="character" w:styleId="FootnoteReference">
    <w:name w:val="footnote reference"/>
    <w:basedOn w:val="DefaultParagraphFont"/>
    <w:semiHidden/>
    <w:rsid w:val="006D5355"/>
    <w:rPr>
      <w:rFonts w:ascii="Times New Roman" w:hAnsi="Times New Roman"/>
      <w:position w:val="6"/>
      <w:sz w:val="20"/>
      <w:vertAlign w:val="baseline"/>
    </w:rPr>
  </w:style>
  <w:style w:type="paragraph" w:styleId="FootnoteText">
    <w:name w:val="footnote text"/>
    <w:basedOn w:val="BodyText"/>
    <w:rsid w:val="006D5355"/>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6D5355"/>
    <w:rPr>
      <w:i/>
    </w:rPr>
  </w:style>
  <w:style w:type="paragraph" w:customStyle="1" w:styleId="Jurisdictioncommentsbodytext">
    <w:name w:val="Jurisdiction comments body text"/>
    <w:rsid w:val="006D5355"/>
    <w:pPr>
      <w:spacing w:after="140"/>
      <w:jc w:val="both"/>
    </w:pPr>
    <w:rPr>
      <w:rFonts w:ascii="Arial" w:hAnsi="Arial"/>
      <w:sz w:val="24"/>
      <w:lang w:eastAsia="en-US"/>
    </w:rPr>
  </w:style>
  <w:style w:type="paragraph" w:customStyle="1" w:styleId="Jurisdictioncommentsheading">
    <w:name w:val="Jurisdiction comments heading"/>
    <w:rsid w:val="006D5355"/>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6D5355"/>
    <w:pPr>
      <w:numPr>
        <w:numId w:val="4"/>
      </w:numPr>
      <w:spacing w:after="140"/>
      <w:jc w:val="both"/>
    </w:pPr>
    <w:rPr>
      <w:rFonts w:ascii="Arial" w:hAnsi="Arial"/>
      <w:sz w:val="24"/>
      <w:lang w:eastAsia="en-US"/>
    </w:rPr>
  </w:style>
  <w:style w:type="paragraph" w:styleId="ListBullet">
    <w:name w:val="List Bullet"/>
    <w:aliases w:val="List Bullet Char1,List Bullet Char Char,List Bullet Char1 Char Char"/>
    <w:basedOn w:val="BodyText"/>
    <w:link w:val="ListBulletChar"/>
    <w:rsid w:val="006D5355"/>
    <w:pPr>
      <w:numPr>
        <w:numId w:val="5"/>
      </w:numPr>
      <w:spacing w:before="120"/>
    </w:pPr>
  </w:style>
  <w:style w:type="paragraph" w:styleId="ListBullet2">
    <w:name w:val="List Bullet 2"/>
    <w:basedOn w:val="BodyText"/>
    <w:rsid w:val="006D5355"/>
    <w:pPr>
      <w:numPr>
        <w:numId w:val="6"/>
      </w:numPr>
      <w:spacing w:before="120"/>
    </w:pPr>
  </w:style>
  <w:style w:type="paragraph" w:styleId="ListBullet3">
    <w:name w:val="List Bullet 3"/>
    <w:basedOn w:val="BodyText"/>
    <w:rsid w:val="006D5355"/>
    <w:pPr>
      <w:numPr>
        <w:numId w:val="7"/>
      </w:numPr>
      <w:spacing w:before="120"/>
      <w:ind w:left="1020" w:hanging="340"/>
    </w:pPr>
  </w:style>
  <w:style w:type="paragraph" w:styleId="ListNumber">
    <w:name w:val="List Number"/>
    <w:basedOn w:val="BodyText"/>
    <w:rsid w:val="006D5355"/>
    <w:pPr>
      <w:numPr>
        <w:numId w:val="13"/>
      </w:numPr>
      <w:spacing w:before="120"/>
    </w:pPr>
  </w:style>
  <w:style w:type="paragraph" w:styleId="ListNumber2">
    <w:name w:val="List Number 2"/>
    <w:basedOn w:val="ListNumber"/>
    <w:rsid w:val="006D5355"/>
    <w:pPr>
      <w:numPr>
        <w:ilvl w:val="1"/>
      </w:numPr>
    </w:pPr>
  </w:style>
  <w:style w:type="paragraph" w:styleId="ListNumber3">
    <w:name w:val="List Number 3"/>
    <w:basedOn w:val="ListNumber2"/>
    <w:rsid w:val="006D5355"/>
    <w:pPr>
      <w:numPr>
        <w:ilvl w:val="2"/>
      </w:numPr>
    </w:pPr>
  </w:style>
  <w:style w:type="character" w:customStyle="1" w:styleId="NoteLabel">
    <w:name w:val="Note Label"/>
    <w:basedOn w:val="DefaultParagraphFont"/>
    <w:rsid w:val="006D5355"/>
    <w:rPr>
      <w:rFonts w:ascii="Arial" w:hAnsi="Arial"/>
      <w:b/>
      <w:position w:val="6"/>
      <w:sz w:val="18"/>
    </w:rPr>
  </w:style>
  <w:style w:type="paragraph" w:customStyle="1" w:styleId="PartDivider">
    <w:name w:val="Part Divider"/>
    <w:basedOn w:val="BodyText"/>
    <w:next w:val="BodyText"/>
    <w:semiHidden/>
    <w:rsid w:val="006D5355"/>
    <w:pPr>
      <w:spacing w:before="0" w:line="40" w:lineRule="exact"/>
      <w:jc w:val="right"/>
    </w:pPr>
    <w:rPr>
      <w:smallCaps/>
      <w:sz w:val="16"/>
    </w:rPr>
  </w:style>
  <w:style w:type="paragraph" w:customStyle="1" w:styleId="PartNumber">
    <w:name w:val="Part Number"/>
    <w:basedOn w:val="BodyText"/>
    <w:next w:val="BodyText"/>
    <w:semiHidden/>
    <w:rsid w:val="006D5355"/>
    <w:pPr>
      <w:spacing w:before="4000" w:line="320" w:lineRule="exact"/>
      <w:ind w:left="6634"/>
      <w:jc w:val="right"/>
    </w:pPr>
    <w:rPr>
      <w:smallCaps/>
      <w:spacing w:val="60"/>
      <w:sz w:val="32"/>
    </w:rPr>
  </w:style>
  <w:style w:type="paragraph" w:customStyle="1" w:styleId="PartTitle">
    <w:name w:val="Part Title"/>
    <w:basedOn w:val="BodyText"/>
    <w:semiHidden/>
    <w:rsid w:val="006D5355"/>
    <w:pPr>
      <w:spacing w:before="160" w:after="1360" w:line="520" w:lineRule="exact"/>
      <w:ind w:right="2381"/>
      <w:jc w:val="right"/>
    </w:pPr>
    <w:rPr>
      <w:smallCaps/>
      <w:sz w:val="52"/>
    </w:rPr>
  </w:style>
  <w:style w:type="paragraph" w:styleId="Quote">
    <w:name w:val="Quote"/>
    <w:basedOn w:val="BodyText"/>
    <w:next w:val="BodyText"/>
    <w:qFormat/>
    <w:rsid w:val="006D5355"/>
    <w:pPr>
      <w:spacing w:before="120" w:line="280" w:lineRule="exact"/>
      <w:ind w:left="340"/>
    </w:pPr>
    <w:rPr>
      <w:sz w:val="22"/>
    </w:rPr>
  </w:style>
  <w:style w:type="paragraph" w:customStyle="1" w:styleId="QuoteBullet">
    <w:name w:val="Quote Bullet"/>
    <w:basedOn w:val="Quote"/>
    <w:rsid w:val="006D5355"/>
    <w:pPr>
      <w:numPr>
        <w:numId w:val="8"/>
      </w:numPr>
    </w:pPr>
  </w:style>
  <w:style w:type="paragraph" w:customStyle="1" w:styleId="Rec">
    <w:name w:val="Rec"/>
    <w:basedOn w:val="BodyText"/>
    <w:qFormat/>
    <w:rsid w:val="006D5355"/>
    <w:pPr>
      <w:keepLines/>
      <w:spacing w:before="120" w:line="280" w:lineRule="atLeast"/>
    </w:pPr>
    <w:rPr>
      <w:rFonts w:ascii="Arial" w:hAnsi="Arial"/>
      <w:sz w:val="22"/>
    </w:rPr>
  </w:style>
  <w:style w:type="paragraph" w:customStyle="1" w:styleId="RecBullet">
    <w:name w:val="Rec Bullet"/>
    <w:basedOn w:val="Rec"/>
    <w:rsid w:val="006D5355"/>
    <w:pPr>
      <w:numPr>
        <w:numId w:val="9"/>
      </w:numPr>
      <w:spacing w:before="80"/>
    </w:pPr>
  </w:style>
  <w:style w:type="paragraph" w:customStyle="1" w:styleId="RecB">
    <w:name w:val="RecB"/>
    <w:basedOn w:val="Normal"/>
    <w:rsid w:val="006D535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6D5355"/>
    <w:pPr>
      <w:numPr>
        <w:numId w:val="10"/>
      </w:numPr>
      <w:spacing w:before="80"/>
    </w:pPr>
  </w:style>
  <w:style w:type="paragraph" w:customStyle="1" w:styleId="RecBNoTitle">
    <w:name w:val="RecB NoTitle"/>
    <w:basedOn w:val="RecB"/>
    <w:rsid w:val="006D5355"/>
    <w:pPr>
      <w:spacing w:before="240"/>
    </w:pPr>
  </w:style>
  <w:style w:type="paragraph" w:customStyle="1" w:styleId="Reference">
    <w:name w:val="Reference"/>
    <w:basedOn w:val="BodyText"/>
    <w:link w:val="ReferenceChar"/>
    <w:rsid w:val="006D5355"/>
    <w:pPr>
      <w:spacing w:before="120"/>
      <w:ind w:left="340" w:hanging="340"/>
    </w:pPr>
  </w:style>
  <w:style w:type="paragraph" w:customStyle="1" w:styleId="SequenceInfo">
    <w:name w:val="Sequence Info"/>
    <w:basedOn w:val="BodyText"/>
    <w:semiHidden/>
    <w:rsid w:val="006D5355"/>
    <w:rPr>
      <w:vanish/>
      <w:sz w:val="16"/>
    </w:rPr>
  </w:style>
  <w:style w:type="paragraph" w:customStyle="1" w:styleId="SideNote">
    <w:name w:val="Side Note"/>
    <w:basedOn w:val="BodyText"/>
    <w:next w:val="BodyText"/>
    <w:semiHidden/>
    <w:rsid w:val="006D5355"/>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6D5355"/>
    <w:pPr>
      <w:framePr w:wrap="around"/>
      <w:numPr>
        <w:numId w:val="11"/>
      </w:numPr>
      <w:tabs>
        <w:tab w:val="left" w:pos="227"/>
      </w:tabs>
    </w:pPr>
  </w:style>
  <w:style w:type="paragraph" w:customStyle="1" w:styleId="SideNoteGraphic">
    <w:name w:val="Side Note Graphic"/>
    <w:basedOn w:val="SideNote"/>
    <w:next w:val="BodyText"/>
    <w:semiHidden/>
    <w:rsid w:val="006D5355"/>
    <w:pPr>
      <w:framePr w:wrap="around"/>
    </w:pPr>
  </w:style>
  <w:style w:type="paragraph" w:customStyle="1" w:styleId="TableBodyText">
    <w:name w:val="Table Body Text"/>
    <w:basedOn w:val="BodyText"/>
    <w:link w:val="TableBodyTextChar"/>
    <w:rsid w:val="006D5355"/>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6D5355"/>
    <w:pPr>
      <w:numPr>
        <w:numId w:val="12"/>
      </w:numPr>
      <w:jc w:val="left"/>
    </w:pPr>
  </w:style>
  <w:style w:type="paragraph" w:customStyle="1" w:styleId="TableColumnHeading">
    <w:name w:val="Table Column Heading"/>
    <w:basedOn w:val="TableBodyText"/>
    <w:link w:val="TableColumnHeadingChar"/>
    <w:rsid w:val="006D5355"/>
    <w:pPr>
      <w:spacing w:before="80" w:after="80"/>
    </w:pPr>
    <w:rPr>
      <w:i/>
    </w:rPr>
  </w:style>
  <w:style w:type="paragraph" w:styleId="TOC2">
    <w:name w:val="toc 2"/>
    <w:basedOn w:val="TOC1"/>
    <w:rsid w:val="006D5355"/>
    <w:pPr>
      <w:ind w:left="1134" w:hanging="624"/>
    </w:pPr>
    <w:rPr>
      <w:b w:val="0"/>
    </w:rPr>
  </w:style>
  <w:style w:type="paragraph" w:styleId="TOC3">
    <w:name w:val="toc 3"/>
    <w:basedOn w:val="TOC2"/>
    <w:rsid w:val="006D5355"/>
    <w:pPr>
      <w:spacing w:before="60"/>
      <w:ind w:left="1190" w:hanging="680"/>
    </w:pPr>
  </w:style>
  <w:style w:type="paragraph" w:styleId="TableofFigures">
    <w:name w:val="table of figures"/>
    <w:basedOn w:val="TOC3"/>
    <w:next w:val="BodyText"/>
    <w:semiHidden/>
    <w:rsid w:val="006D5355"/>
    <w:pPr>
      <w:ind w:left="737" w:hanging="737"/>
    </w:pPr>
  </w:style>
  <w:style w:type="paragraph" w:customStyle="1" w:styleId="TableTitle">
    <w:name w:val="Table Title"/>
    <w:basedOn w:val="Caption"/>
    <w:next w:val="Subtitle"/>
    <w:link w:val="TableTitleChar"/>
    <w:qFormat/>
    <w:rsid w:val="006D5355"/>
    <w:pPr>
      <w:spacing w:before="120"/>
    </w:pPr>
  </w:style>
  <w:style w:type="paragraph" w:customStyle="1" w:styleId="TableUnitsRow">
    <w:name w:val="Table Units Row"/>
    <w:basedOn w:val="TableBodyText"/>
    <w:rsid w:val="006D5355"/>
    <w:pPr>
      <w:spacing w:before="40"/>
    </w:pPr>
  </w:style>
  <w:style w:type="paragraph" w:styleId="TOC1">
    <w:name w:val="toc 1"/>
    <w:basedOn w:val="Normal"/>
    <w:next w:val="TOC2"/>
    <w:link w:val="TOC1Char"/>
    <w:rsid w:val="006D5355"/>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6D5355"/>
    <w:pPr>
      <w:ind w:left="1191" w:firstLine="0"/>
    </w:pPr>
  </w:style>
  <w:style w:type="character" w:styleId="Hyperlink">
    <w:name w:val="Hyperlink"/>
    <w:uiPriority w:val="99"/>
    <w:rsid w:val="00C851BB"/>
    <w:rPr>
      <w:color w:val="0000FF"/>
      <w:u w:val="single"/>
    </w:rPr>
  </w:style>
  <w:style w:type="paragraph" w:styleId="BalloonText">
    <w:name w:val="Balloon Text"/>
    <w:basedOn w:val="Normal"/>
    <w:link w:val="BalloonTextChar"/>
    <w:rsid w:val="006D5355"/>
    <w:rPr>
      <w:rFonts w:ascii="Tahoma" w:hAnsi="Tahoma" w:cs="Tahoma"/>
      <w:sz w:val="16"/>
      <w:szCs w:val="16"/>
    </w:rPr>
  </w:style>
  <w:style w:type="table" w:styleId="TableGrid">
    <w:name w:val="Table Grid"/>
    <w:basedOn w:val="TableNormal"/>
    <w:rsid w:val="006D53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DA262B"/>
    <w:rPr>
      <w:color w:val="800080"/>
      <w:u w:val="single"/>
    </w:rPr>
  </w:style>
  <w:style w:type="character" w:customStyle="1" w:styleId="BodyTextChar">
    <w:name w:val="Body Text Char"/>
    <w:aliases w:val="new legislation style Char,Body Text1 Char,Body Text21 Char,Body Text2 Char,new legislation style1 Char,Body Text Char1 Char Char Char,new legislation style Char Char Char Char Char,Body Text Char1 Char Char Char Char Char"/>
    <w:basedOn w:val="DefaultParagraphFont"/>
    <w:link w:val="BodyText"/>
    <w:rsid w:val="006D5355"/>
    <w:rPr>
      <w:sz w:val="24"/>
    </w:rPr>
  </w:style>
  <w:style w:type="character" w:customStyle="1" w:styleId="AbbreviationChar">
    <w:name w:val="Abbreviation Char"/>
    <w:basedOn w:val="BodyTextChar"/>
    <w:link w:val="Abbreviation"/>
    <w:rsid w:val="00D8291B"/>
    <w:rPr>
      <w:sz w:val="24"/>
    </w:rPr>
  </w:style>
  <w:style w:type="character" w:customStyle="1" w:styleId="TableBodyTextChar">
    <w:name w:val="Table Body Text Char"/>
    <w:link w:val="TableBodyText"/>
    <w:rsid w:val="00156731"/>
    <w:rPr>
      <w:rFonts w:ascii="Arial" w:hAnsi="Arial"/>
      <w:sz w:val="18"/>
    </w:rPr>
  </w:style>
  <w:style w:type="character" w:customStyle="1" w:styleId="TableColumnHeadingChar">
    <w:name w:val="Table Column Heading Char"/>
    <w:link w:val="TableColumnHeading"/>
    <w:rsid w:val="00156731"/>
    <w:rPr>
      <w:rFonts w:ascii="Arial" w:hAnsi="Arial"/>
      <w:i/>
      <w:sz w:val="18"/>
    </w:rPr>
  </w:style>
  <w:style w:type="character" w:customStyle="1" w:styleId="ListBulletChar">
    <w:name w:val="List Bullet Char"/>
    <w:aliases w:val="List Bullet Char1 Char,List Bullet Char Char Char,List Bullet Char1 Char Char Char"/>
    <w:link w:val="ListBullet"/>
    <w:rsid w:val="00BA1822"/>
    <w:rPr>
      <w:sz w:val="24"/>
    </w:rPr>
  </w:style>
  <w:style w:type="character" w:customStyle="1" w:styleId="BoxChar">
    <w:name w:val="Box Char"/>
    <w:link w:val="Box"/>
    <w:rsid w:val="00BA1822"/>
    <w:rPr>
      <w:rFonts w:ascii="Arial" w:hAnsi="Arial"/>
    </w:rPr>
  </w:style>
  <w:style w:type="character" w:customStyle="1" w:styleId="BoxListBulletChar">
    <w:name w:val="Box List Bullet Char"/>
    <w:basedOn w:val="BoxChar"/>
    <w:link w:val="BoxListBullet"/>
    <w:rsid w:val="007F4F3D"/>
    <w:rPr>
      <w:rFonts w:ascii="Arial" w:hAnsi="Arial"/>
    </w:rPr>
  </w:style>
  <w:style w:type="character" w:customStyle="1" w:styleId="NoteChar">
    <w:name w:val="Note Char"/>
    <w:link w:val="Note"/>
    <w:rsid w:val="006C42B0"/>
    <w:rPr>
      <w:rFonts w:ascii="Arial" w:hAnsi="Arial"/>
      <w:sz w:val="18"/>
    </w:rPr>
  </w:style>
  <w:style w:type="character" w:customStyle="1" w:styleId="SourceChar">
    <w:name w:val="Source Char"/>
    <w:basedOn w:val="NoteChar"/>
    <w:link w:val="Source"/>
    <w:rsid w:val="006C42B0"/>
    <w:rPr>
      <w:rFonts w:ascii="Arial" w:hAnsi="Arial"/>
      <w:sz w:val="18"/>
    </w:rPr>
  </w:style>
  <w:style w:type="character" w:customStyle="1" w:styleId="BoxSpaceChar">
    <w:name w:val="Box Space Char"/>
    <w:link w:val="BoxSpace"/>
    <w:rsid w:val="006C42B0"/>
    <w:rPr>
      <w:sz w:val="26"/>
    </w:rPr>
  </w:style>
  <w:style w:type="character" w:customStyle="1" w:styleId="BoxTitleChar">
    <w:name w:val="Box Title Char"/>
    <w:link w:val="BoxTitle"/>
    <w:rsid w:val="006C42B0"/>
    <w:rPr>
      <w:rFonts w:ascii="Arial" w:hAnsi="Arial"/>
      <w:b/>
      <w:sz w:val="24"/>
      <w:szCs w:val="24"/>
    </w:rPr>
  </w:style>
  <w:style w:type="character" w:customStyle="1" w:styleId="FigureTitleChar">
    <w:name w:val="Figure Title Char"/>
    <w:link w:val="FigureTitle"/>
    <w:rsid w:val="00546642"/>
    <w:rPr>
      <w:rFonts w:ascii="Arial" w:hAnsi="Arial"/>
      <w:b/>
      <w:sz w:val="24"/>
      <w:szCs w:val="24"/>
    </w:rPr>
  </w:style>
  <w:style w:type="character" w:customStyle="1" w:styleId="TableTitleChar">
    <w:name w:val="Table Title Char"/>
    <w:link w:val="TableTitle"/>
    <w:rsid w:val="00B54D7F"/>
    <w:rPr>
      <w:rFonts w:ascii="Arial" w:hAnsi="Arial"/>
      <w:b/>
      <w:sz w:val="24"/>
      <w:szCs w:val="24"/>
    </w:rPr>
  </w:style>
  <w:style w:type="character" w:customStyle="1" w:styleId="FigureChar">
    <w:name w:val="Figure Char"/>
    <w:link w:val="Figure"/>
    <w:rsid w:val="00B54D7F"/>
    <w:rPr>
      <w:sz w:val="24"/>
    </w:rPr>
  </w:style>
  <w:style w:type="paragraph" w:styleId="CommentSubject">
    <w:name w:val="annotation subject"/>
    <w:basedOn w:val="CommentText"/>
    <w:next w:val="CommentText"/>
    <w:semiHidden/>
    <w:rsid w:val="004407DE"/>
    <w:pPr>
      <w:spacing w:before="0" w:line="240" w:lineRule="auto"/>
      <w:ind w:left="0" w:firstLine="0"/>
    </w:pPr>
    <w:rPr>
      <w:b/>
      <w:bCs/>
      <w:szCs w:val="20"/>
    </w:rPr>
  </w:style>
  <w:style w:type="paragraph" w:customStyle="1" w:styleId="D">
    <w:name w:val="D"/>
    <w:basedOn w:val="BodyText"/>
    <w:rsid w:val="00845AEC"/>
  </w:style>
  <w:style w:type="character" w:customStyle="1" w:styleId="ReferenceChar">
    <w:name w:val="Reference Char"/>
    <w:link w:val="Reference"/>
    <w:rsid w:val="00FE7DD7"/>
    <w:rPr>
      <w:sz w:val="24"/>
    </w:rPr>
  </w:style>
  <w:style w:type="paragraph" w:styleId="NormalWeb">
    <w:name w:val="Normal (Web)"/>
    <w:basedOn w:val="Normal"/>
    <w:uiPriority w:val="99"/>
    <w:unhideWhenUsed/>
    <w:rsid w:val="00A42EDA"/>
    <w:pPr>
      <w:spacing w:before="240" w:after="240"/>
    </w:pPr>
  </w:style>
  <w:style w:type="character" w:customStyle="1" w:styleId="SubtitleChar">
    <w:name w:val="Subtitle Char"/>
    <w:basedOn w:val="DefaultParagraphFont"/>
    <w:link w:val="Subtitle"/>
    <w:rsid w:val="006D5355"/>
    <w:rPr>
      <w:rFonts w:ascii="Arial" w:hAnsi="Arial"/>
      <w:szCs w:val="24"/>
    </w:rPr>
  </w:style>
  <w:style w:type="paragraph" w:styleId="Revision">
    <w:name w:val="Revision"/>
    <w:hidden/>
    <w:uiPriority w:val="99"/>
    <w:semiHidden/>
    <w:rsid w:val="00B63911"/>
    <w:rPr>
      <w:sz w:val="24"/>
      <w:szCs w:val="24"/>
    </w:rPr>
  </w:style>
  <w:style w:type="character" w:styleId="Emphasis">
    <w:name w:val="Emphasis"/>
    <w:basedOn w:val="DefaultParagraphFont"/>
    <w:rsid w:val="006D5355"/>
    <w:rPr>
      <w:i/>
      <w:iCs/>
    </w:rPr>
  </w:style>
  <w:style w:type="paragraph" w:customStyle="1" w:styleId="RecBBullet2">
    <w:name w:val="RecB Bullet 2"/>
    <w:basedOn w:val="ListBullet2"/>
    <w:semiHidden/>
    <w:rsid w:val="006D5355"/>
    <w:pPr>
      <w:pBdr>
        <w:left w:val="single" w:sz="24" w:space="29" w:color="C0C0C0"/>
      </w:pBdr>
    </w:pPr>
    <w:rPr>
      <w:b/>
      <w:i/>
    </w:rPr>
  </w:style>
  <w:style w:type="character" w:customStyle="1" w:styleId="BalloonTextChar">
    <w:name w:val="Balloon Text Char"/>
    <w:basedOn w:val="DefaultParagraphFont"/>
    <w:link w:val="BalloonText"/>
    <w:rsid w:val="006D5355"/>
    <w:rPr>
      <w:rFonts w:ascii="Tahoma" w:hAnsi="Tahoma" w:cs="Tahoma"/>
      <w:sz w:val="16"/>
      <w:szCs w:val="16"/>
    </w:rPr>
  </w:style>
  <w:style w:type="paragraph" w:customStyle="1" w:styleId="BoxListBullet3">
    <w:name w:val="Box List Bullet 3"/>
    <w:basedOn w:val="ListBullet3"/>
    <w:rsid w:val="006D5355"/>
    <w:pPr>
      <w:numPr>
        <w:numId w:val="18"/>
      </w:numPr>
      <w:tabs>
        <w:tab w:val="left" w:pos="907"/>
      </w:tabs>
      <w:spacing w:before="60" w:line="260" w:lineRule="atLeast"/>
      <w:ind w:left="907" w:hanging="340"/>
    </w:pPr>
    <w:rPr>
      <w:rFonts w:ascii="Arial" w:hAnsi="Arial"/>
      <w:sz w:val="20"/>
    </w:rPr>
  </w:style>
  <w:style w:type="paragraph" w:customStyle="1" w:styleId="BoxQuoteBullet">
    <w:name w:val="Box Quote Bullet"/>
    <w:basedOn w:val="BoxQuote"/>
    <w:next w:val="Box"/>
    <w:rsid w:val="006D5355"/>
    <w:pPr>
      <w:numPr>
        <w:numId w:val="16"/>
      </w:numPr>
      <w:ind w:left="568" w:hanging="284"/>
    </w:pPr>
  </w:style>
  <w:style w:type="paragraph" w:customStyle="1" w:styleId="InformationRequestBullet">
    <w:name w:val="Information Request Bullet"/>
    <w:basedOn w:val="ListBullet"/>
    <w:next w:val="BodyText"/>
    <w:rsid w:val="006D5355"/>
    <w:pPr>
      <w:numPr>
        <w:numId w:val="17"/>
      </w:numPr>
      <w:spacing w:before="80" w:line="280" w:lineRule="atLeast"/>
      <w:ind w:left="357" w:hanging="357"/>
    </w:pPr>
    <w:rPr>
      <w:rFonts w:ascii="Arial" w:hAnsi="Arial"/>
      <w:i/>
      <w:sz w:val="22"/>
    </w:rPr>
  </w:style>
  <w:style w:type="paragraph" w:customStyle="1" w:styleId="BoxSpaceAbove">
    <w:name w:val="Box Space Above"/>
    <w:basedOn w:val="BodyText"/>
    <w:rsid w:val="006D5355"/>
    <w:pPr>
      <w:keepNext/>
      <w:spacing w:before="360" w:line="80" w:lineRule="exact"/>
      <w:jc w:val="left"/>
    </w:pPr>
  </w:style>
  <w:style w:type="paragraph" w:customStyle="1" w:styleId="BoxSpaceBelow">
    <w:name w:val="Box Space Below"/>
    <w:basedOn w:val="Box"/>
    <w:rsid w:val="006D5355"/>
    <w:pPr>
      <w:keepNext w:val="0"/>
      <w:spacing w:before="60" w:after="60" w:line="80" w:lineRule="exact"/>
    </w:pPr>
    <w:rPr>
      <w:sz w:val="14"/>
    </w:rPr>
  </w:style>
  <w:style w:type="paragraph" w:styleId="PlainText">
    <w:name w:val="Plain Text"/>
    <w:basedOn w:val="Normal"/>
    <w:link w:val="PlainTextChar"/>
    <w:uiPriority w:val="99"/>
    <w:unhideWhenUsed/>
    <w:rsid w:val="004420D6"/>
    <w:rPr>
      <w:rFonts w:ascii="Calibri" w:hAnsi="Calibri"/>
      <w:sz w:val="22"/>
      <w:szCs w:val="21"/>
    </w:rPr>
  </w:style>
  <w:style w:type="character" w:customStyle="1" w:styleId="PlainTextChar">
    <w:name w:val="Plain Text Char"/>
    <w:basedOn w:val="DefaultParagraphFont"/>
    <w:link w:val="PlainText"/>
    <w:uiPriority w:val="99"/>
    <w:rsid w:val="004420D6"/>
    <w:rPr>
      <w:rFonts w:ascii="Calibri" w:hAnsi="Calibri"/>
      <w:sz w:val="22"/>
      <w:szCs w:val="21"/>
    </w:rPr>
  </w:style>
  <w:style w:type="paragraph" w:customStyle="1" w:styleId="KeyPointsListBullet">
    <w:name w:val="Key Points List Bullet"/>
    <w:basedOn w:val="Normal"/>
    <w:qFormat/>
    <w:rsid w:val="006D5355"/>
    <w:pPr>
      <w:keepNext/>
      <w:numPr>
        <w:numId w:val="19"/>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6D5355"/>
    <w:pPr>
      <w:numPr>
        <w:numId w:val="20"/>
      </w:numPr>
      <w:ind w:left="568" w:hanging="284"/>
    </w:pPr>
  </w:style>
  <w:style w:type="paragraph" w:customStyle="1" w:styleId="InformationRequestTitle">
    <w:name w:val="Information Request Title"/>
    <w:basedOn w:val="FindingTitle"/>
    <w:next w:val="InformationRequest"/>
    <w:rsid w:val="006D5355"/>
    <w:rPr>
      <w:i/>
    </w:rPr>
  </w:style>
  <w:style w:type="paragraph" w:customStyle="1" w:styleId="Space">
    <w:name w:val="Space"/>
    <w:basedOn w:val="Normal"/>
    <w:rsid w:val="006D5355"/>
    <w:pPr>
      <w:keepNext/>
      <w:spacing w:line="120" w:lineRule="exact"/>
      <w:jc w:val="both"/>
    </w:pPr>
    <w:rPr>
      <w:rFonts w:ascii="Arial" w:hAnsi="Arial"/>
      <w:sz w:val="20"/>
      <w:szCs w:val="20"/>
    </w:rPr>
  </w:style>
  <w:style w:type="paragraph" w:customStyle="1" w:styleId="Heading1nochapterno">
    <w:name w:val="Heading 1 (no chapter no.)"/>
    <w:basedOn w:val="Heading1"/>
    <w:rsid w:val="006D5355"/>
    <w:pPr>
      <w:spacing w:before="0"/>
      <w:ind w:left="0" w:firstLine="0"/>
    </w:pPr>
  </w:style>
  <w:style w:type="paragraph" w:customStyle="1" w:styleId="Heading2nosectionno">
    <w:name w:val="Heading 2 (no section no.)"/>
    <w:basedOn w:val="Heading2"/>
    <w:rsid w:val="006D5355"/>
    <w:pPr>
      <w:ind w:left="0" w:firstLine="0"/>
    </w:pPr>
  </w:style>
  <w:style w:type="character" w:customStyle="1" w:styleId="Heading5Char">
    <w:name w:val="Heading 5 Char"/>
    <w:basedOn w:val="DefaultParagraphFont"/>
    <w:link w:val="Heading5"/>
    <w:rsid w:val="006D5355"/>
    <w:rPr>
      <w:rFonts w:ascii="Arial" w:hAnsi="Arial"/>
      <w:i/>
      <w:sz w:val="22"/>
    </w:rPr>
  </w:style>
  <w:style w:type="paragraph" w:customStyle="1" w:styleId="Figurespace">
    <w:name w:val="Figure space"/>
    <w:basedOn w:val="Box"/>
    <w:rsid w:val="006D5355"/>
    <w:pPr>
      <w:spacing w:before="0" w:line="120" w:lineRule="exact"/>
    </w:pPr>
  </w:style>
  <w:style w:type="paragraph" w:customStyle="1" w:styleId="FooterDraftReport">
    <w:name w:val="FooterDraftReport"/>
    <w:basedOn w:val="Footer"/>
    <w:link w:val="FooterDraftReportChar"/>
    <w:rsid w:val="006D5355"/>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6D5355"/>
    <w:rPr>
      <w:rFonts w:ascii="Arial" w:hAnsi="Arial"/>
      <w:caps/>
      <w:spacing w:val="-4"/>
      <w:sz w:val="16"/>
    </w:rPr>
  </w:style>
  <w:style w:type="character" w:customStyle="1" w:styleId="FooterDraftReportChar">
    <w:name w:val="FooterDraftReport Char"/>
    <w:basedOn w:val="FooterChar"/>
    <w:link w:val="FooterDraftReport"/>
    <w:rsid w:val="006D5355"/>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6D5355"/>
    <w:rPr>
      <w:rFonts w:ascii="Arial" w:hAnsi="Arial"/>
      <w:b/>
      <w:sz w:val="26"/>
      <w:szCs w:val="26"/>
      <w:lang w:eastAsia="en-US"/>
    </w:rPr>
  </w:style>
  <w:style w:type="paragraph" w:customStyle="1" w:styleId="Heading1NotTOC">
    <w:name w:val="Heading 1 Not TOC"/>
    <w:basedOn w:val="Heading1"/>
    <w:next w:val="BodyText"/>
    <w:rsid w:val="00C25EF3"/>
    <w:rPr>
      <w:kern w:val="28"/>
      <w:szCs w:val="26"/>
      <w:lang w:eastAsia="en-US"/>
    </w:rPr>
  </w:style>
  <w:style w:type="character" w:customStyle="1" w:styleId="Continuedintitle">
    <w:name w:val="Continued (in title)"/>
    <w:basedOn w:val="DefaultParagraphFont"/>
    <w:rsid w:val="00F33AC2"/>
    <w:rPr>
      <w:rFonts w:ascii="Arial" w:hAnsi="Arial"/>
      <w:b/>
      <w:sz w:val="18"/>
    </w:rPr>
  </w:style>
  <w:style w:type="paragraph" w:customStyle="1" w:styleId="BoxSpaceAboveElement">
    <w:name w:val="Box Space Above Element"/>
    <w:basedOn w:val="BoxSpaceAbove"/>
    <w:link w:val="BoxSpaceAboveElementChar"/>
    <w:qFormat/>
    <w:rsid w:val="00C40363"/>
    <w:pPr>
      <w:spacing w:before="240"/>
    </w:pPr>
    <w:rPr>
      <w:b/>
      <w:vanish/>
      <w:color w:val="FF00FF"/>
      <w:sz w:val="14"/>
    </w:rPr>
  </w:style>
  <w:style w:type="character" w:customStyle="1" w:styleId="BoxSpaceAboveElementChar">
    <w:name w:val="Box Space Above Element Char"/>
    <w:basedOn w:val="DefaultParagraphFont"/>
    <w:link w:val="BoxSpaceAboveElement"/>
    <w:rsid w:val="00C40363"/>
    <w:rPr>
      <w:b/>
      <w:vanish/>
      <w:color w:val="FF00FF"/>
      <w:sz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6D5355"/>
    <w:rPr>
      <w:sz w:val="24"/>
      <w:szCs w:val="24"/>
    </w:rPr>
  </w:style>
  <w:style w:type="paragraph" w:styleId="Heading1">
    <w:name w:val="heading 1"/>
    <w:basedOn w:val="BodyText"/>
    <w:next w:val="BodyText"/>
    <w:rsid w:val="006D5355"/>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6D5355"/>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6D5355"/>
    <w:pPr>
      <w:spacing w:before="560" w:line="320" w:lineRule="exact"/>
      <w:ind w:left="0" w:firstLine="0"/>
      <w:outlineLvl w:val="2"/>
    </w:pPr>
    <w:rPr>
      <w:sz w:val="26"/>
    </w:rPr>
  </w:style>
  <w:style w:type="paragraph" w:styleId="Heading4">
    <w:name w:val="heading 4"/>
    <w:basedOn w:val="Heading3"/>
    <w:next w:val="BodyText"/>
    <w:qFormat/>
    <w:rsid w:val="006D5355"/>
    <w:pPr>
      <w:spacing w:before="480"/>
      <w:outlineLvl w:val="3"/>
    </w:pPr>
    <w:rPr>
      <w:b w:val="0"/>
      <w:sz w:val="24"/>
    </w:rPr>
  </w:style>
  <w:style w:type="paragraph" w:styleId="Heading5">
    <w:name w:val="heading 5"/>
    <w:basedOn w:val="Heading4"/>
    <w:next w:val="BodyText"/>
    <w:link w:val="Heading5Char"/>
    <w:qFormat/>
    <w:rsid w:val="006D5355"/>
    <w:pPr>
      <w:outlineLvl w:val="4"/>
    </w:pPr>
    <w:rPr>
      <w:i/>
      <w:sz w:val="22"/>
    </w:rPr>
  </w:style>
  <w:style w:type="paragraph" w:styleId="Heading6">
    <w:name w:val="heading 6"/>
    <w:basedOn w:val="BodyText"/>
    <w:next w:val="BodyText"/>
    <w:rsid w:val="006D5355"/>
    <w:pPr>
      <w:spacing w:after="60"/>
      <w:jc w:val="left"/>
      <w:outlineLvl w:val="5"/>
    </w:pPr>
    <w:rPr>
      <w:i/>
      <w:sz w:val="22"/>
    </w:rPr>
  </w:style>
  <w:style w:type="paragraph" w:styleId="Heading7">
    <w:name w:val="heading 7"/>
    <w:basedOn w:val="BodyText"/>
    <w:next w:val="BodyText"/>
    <w:rsid w:val="006D5355"/>
    <w:pPr>
      <w:spacing w:after="60" w:line="240" w:lineRule="auto"/>
      <w:jc w:val="left"/>
      <w:outlineLvl w:val="6"/>
    </w:pPr>
    <w:rPr>
      <w:rFonts w:ascii="Arial" w:hAnsi="Arial"/>
      <w:sz w:val="20"/>
    </w:rPr>
  </w:style>
  <w:style w:type="paragraph" w:styleId="Heading8">
    <w:name w:val="heading 8"/>
    <w:basedOn w:val="BodyText"/>
    <w:next w:val="BodyText"/>
    <w:rsid w:val="006D5355"/>
    <w:pPr>
      <w:spacing w:after="60" w:line="240" w:lineRule="auto"/>
      <w:jc w:val="left"/>
      <w:outlineLvl w:val="7"/>
    </w:pPr>
    <w:rPr>
      <w:rFonts w:ascii="Arial" w:hAnsi="Arial"/>
      <w:i/>
      <w:sz w:val="20"/>
    </w:rPr>
  </w:style>
  <w:style w:type="paragraph" w:styleId="Heading9">
    <w:name w:val="heading 9"/>
    <w:basedOn w:val="BodyText"/>
    <w:next w:val="BodyText"/>
    <w:rsid w:val="006D5355"/>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6D535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D5355"/>
  </w:style>
  <w:style w:type="paragraph" w:styleId="BodyText">
    <w:name w:val="Body Text"/>
    <w:aliases w:val="new legislation style,Body Text1,Body Text21,Body Text2,new legislation style1,Body Text Char1 Char Char,new legislation style Char Char Char Char,Body Text Char1 Char Char Char Char,Body Text Char Char Char Char Char Char,Body Text Char1 Char"/>
    <w:link w:val="BodyTextChar"/>
    <w:qFormat/>
    <w:rsid w:val="006D5355"/>
    <w:pPr>
      <w:spacing w:before="240" w:line="300" w:lineRule="atLeast"/>
      <w:jc w:val="both"/>
    </w:pPr>
    <w:rPr>
      <w:sz w:val="24"/>
    </w:rPr>
  </w:style>
  <w:style w:type="paragraph" w:customStyle="1" w:styleId="Chapter">
    <w:name w:val="Chapter"/>
    <w:basedOn w:val="Heading1"/>
    <w:next w:val="BodyText"/>
    <w:semiHidden/>
    <w:rsid w:val="006D5355"/>
    <w:pPr>
      <w:ind w:left="0" w:firstLine="0"/>
      <w:outlineLvl w:val="9"/>
    </w:pPr>
  </w:style>
  <w:style w:type="paragraph" w:styleId="Footer">
    <w:name w:val="footer"/>
    <w:basedOn w:val="BodyText"/>
    <w:link w:val="FooterChar"/>
    <w:rsid w:val="006D5355"/>
    <w:pPr>
      <w:spacing w:before="80" w:line="200" w:lineRule="exact"/>
      <w:ind w:right="6"/>
      <w:jc w:val="left"/>
    </w:pPr>
    <w:rPr>
      <w:rFonts w:ascii="Arial" w:hAnsi="Arial"/>
      <w:caps/>
      <w:spacing w:val="-4"/>
      <w:sz w:val="16"/>
    </w:rPr>
  </w:style>
  <w:style w:type="paragraph" w:customStyle="1" w:styleId="FooterEnd">
    <w:name w:val="Footer End"/>
    <w:basedOn w:val="Footer"/>
    <w:rsid w:val="006D5355"/>
    <w:pPr>
      <w:spacing w:before="0" w:line="20" w:lineRule="exact"/>
    </w:pPr>
  </w:style>
  <w:style w:type="paragraph" w:styleId="Header">
    <w:name w:val="header"/>
    <w:basedOn w:val="BodyText"/>
    <w:rsid w:val="006D5355"/>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6D5355"/>
    <w:pPr>
      <w:spacing w:line="20" w:lineRule="exact"/>
    </w:pPr>
    <w:rPr>
      <w:sz w:val="16"/>
    </w:rPr>
  </w:style>
  <w:style w:type="paragraph" w:customStyle="1" w:styleId="HeaderEven">
    <w:name w:val="Header Even"/>
    <w:basedOn w:val="Header"/>
    <w:semiHidden/>
    <w:rsid w:val="006D5355"/>
  </w:style>
  <w:style w:type="paragraph" w:customStyle="1" w:styleId="HeaderOdd">
    <w:name w:val="Header Odd"/>
    <w:basedOn w:val="Header"/>
    <w:rsid w:val="006D5355"/>
  </w:style>
  <w:style w:type="character" w:styleId="PageNumber">
    <w:name w:val="page number"/>
    <w:basedOn w:val="DefaultParagraphFont"/>
    <w:rsid w:val="006D5355"/>
    <w:rPr>
      <w:rFonts w:ascii="Arial" w:hAnsi="Arial"/>
      <w:b/>
      <w:sz w:val="16"/>
    </w:rPr>
  </w:style>
  <w:style w:type="paragraph" w:customStyle="1" w:styleId="Abbreviation">
    <w:name w:val="Abbreviation"/>
    <w:basedOn w:val="BodyText"/>
    <w:link w:val="AbbreviationChar"/>
    <w:rsid w:val="006D5355"/>
    <w:pPr>
      <w:spacing w:before="120"/>
      <w:ind w:left="2381" w:hanging="2381"/>
      <w:jc w:val="left"/>
    </w:pPr>
  </w:style>
  <w:style w:type="paragraph" w:customStyle="1" w:styleId="Box">
    <w:name w:val="Box"/>
    <w:basedOn w:val="BodyText"/>
    <w:link w:val="BoxChar"/>
    <w:qFormat/>
    <w:rsid w:val="006D5355"/>
    <w:pPr>
      <w:keepNext/>
      <w:spacing w:before="120" w:line="260" w:lineRule="atLeast"/>
    </w:pPr>
    <w:rPr>
      <w:rFonts w:ascii="Arial" w:hAnsi="Arial"/>
      <w:sz w:val="20"/>
    </w:rPr>
  </w:style>
  <w:style w:type="paragraph" w:customStyle="1" w:styleId="BoxContinued">
    <w:name w:val="Box Continued"/>
    <w:basedOn w:val="BodyText"/>
    <w:next w:val="BodyText"/>
    <w:semiHidden/>
    <w:rsid w:val="006D5355"/>
    <w:pPr>
      <w:spacing w:before="180" w:line="220" w:lineRule="exact"/>
      <w:jc w:val="right"/>
    </w:pPr>
    <w:rPr>
      <w:rFonts w:ascii="Arial" w:hAnsi="Arial"/>
      <w:sz w:val="18"/>
    </w:rPr>
  </w:style>
  <w:style w:type="paragraph" w:customStyle="1" w:styleId="BoxHeading1">
    <w:name w:val="Box Heading 1"/>
    <w:basedOn w:val="BodyText"/>
    <w:next w:val="Box"/>
    <w:rsid w:val="006D5355"/>
    <w:pPr>
      <w:keepNext/>
      <w:spacing w:before="200" w:line="280" w:lineRule="atLeast"/>
    </w:pPr>
    <w:rPr>
      <w:rFonts w:ascii="Arial" w:hAnsi="Arial"/>
      <w:b/>
      <w:sz w:val="22"/>
    </w:rPr>
  </w:style>
  <w:style w:type="paragraph" w:customStyle="1" w:styleId="BoxHeading2">
    <w:name w:val="Box Heading 2"/>
    <w:basedOn w:val="BoxHeading1"/>
    <w:next w:val="Normal"/>
    <w:rsid w:val="006D5355"/>
    <w:rPr>
      <w:b w:val="0"/>
      <w:i/>
    </w:rPr>
  </w:style>
  <w:style w:type="paragraph" w:customStyle="1" w:styleId="BoxListBullet">
    <w:name w:val="Box List Bullet"/>
    <w:basedOn w:val="BodyText"/>
    <w:link w:val="BoxListBulletChar"/>
    <w:rsid w:val="006D5355"/>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6D5355"/>
    <w:pPr>
      <w:numPr>
        <w:numId w:val="2"/>
      </w:numPr>
      <w:ind w:left="568" w:hanging="284"/>
    </w:pPr>
  </w:style>
  <w:style w:type="paragraph" w:customStyle="1" w:styleId="BoxListNumber">
    <w:name w:val="Box List Number"/>
    <w:basedOn w:val="BodyText"/>
    <w:rsid w:val="006D5355"/>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6D5355"/>
    <w:pPr>
      <w:numPr>
        <w:ilvl w:val="1"/>
      </w:numPr>
      <w:ind w:left="681" w:hanging="397"/>
    </w:pPr>
  </w:style>
  <w:style w:type="paragraph" w:customStyle="1" w:styleId="BoxQuote">
    <w:name w:val="Box Quote"/>
    <w:basedOn w:val="BodyText"/>
    <w:next w:val="Box"/>
    <w:qFormat/>
    <w:rsid w:val="006D5355"/>
    <w:pPr>
      <w:keepNext/>
      <w:spacing w:before="60" w:line="240" w:lineRule="exact"/>
      <w:ind w:left="284"/>
    </w:pPr>
    <w:rPr>
      <w:rFonts w:ascii="Arial" w:hAnsi="Arial"/>
      <w:sz w:val="18"/>
    </w:rPr>
  </w:style>
  <w:style w:type="paragraph" w:customStyle="1" w:styleId="Note">
    <w:name w:val="Note"/>
    <w:basedOn w:val="BodyText"/>
    <w:next w:val="BodyText"/>
    <w:link w:val="NoteChar"/>
    <w:rsid w:val="006D5355"/>
    <w:pPr>
      <w:keepLines/>
      <w:spacing w:before="80" w:line="220" w:lineRule="exact"/>
    </w:pPr>
    <w:rPr>
      <w:rFonts w:ascii="Arial" w:hAnsi="Arial"/>
      <w:sz w:val="18"/>
    </w:rPr>
  </w:style>
  <w:style w:type="paragraph" w:customStyle="1" w:styleId="Source">
    <w:name w:val="Source"/>
    <w:basedOn w:val="Normal"/>
    <w:next w:val="BodyText"/>
    <w:link w:val="SourceChar"/>
    <w:rsid w:val="006D5355"/>
    <w:pPr>
      <w:keepLines/>
      <w:spacing w:before="80" w:line="220" w:lineRule="exact"/>
      <w:jc w:val="both"/>
    </w:pPr>
    <w:rPr>
      <w:rFonts w:ascii="Arial" w:hAnsi="Arial"/>
      <w:sz w:val="18"/>
      <w:szCs w:val="20"/>
    </w:rPr>
  </w:style>
  <w:style w:type="paragraph" w:customStyle="1" w:styleId="BoxSource">
    <w:name w:val="Box Source"/>
    <w:basedOn w:val="Source"/>
    <w:next w:val="BodyText"/>
    <w:rsid w:val="006D5355"/>
    <w:pPr>
      <w:spacing w:before="120"/>
    </w:pPr>
  </w:style>
  <w:style w:type="paragraph" w:customStyle="1" w:styleId="BoxSpace">
    <w:name w:val="Box Space"/>
    <w:basedOn w:val="BodyText"/>
    <w:link w:val="BoxSpaceChar"/>
    <w:rsid w:val="00A03302"/>
    <w:pPr>
      <w:keepNext/>
      <w:spacing w:before="360" w:line="80" w:lineRule="exact"/>
      <w:jc w:val="left"/>
    </w:pPr>
  </w:style>
  <w:style w:type="paragraph" w:styleId="Caption">
    <w:name w:val="caption"/>
    <w:basedOn w:val="Normal"/>
    <w:next w:val="BodyText"/>
    <w:rsid w:val="006D5355"/>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6D5355"/>
    <w:pPr>
      <w:spacing w:before="120" w:after="0"/>
    </w:pPr>
  </w:style>
  <w:style w:type="paragraph" w:customStyle="1" w:styleId="BoxSubtitle">
    <w:name w:val="Box Subtitle"/>
    <w:basedOn w:val="BoxTitle"/>
    <w:next w:val="Normal"/>
    <w:rsid w:val="006D5355"/>
    <w:pPr>
      <w:spacing w:after="80" w:line="200" w:lineRule="exact"/>
      <w:ind w:firstLine="0"/>
    </w:pPr>
    <w:rPr>
      <w:b w:val="0"/>
      <w:sz w:val="20"/>
    </w:rPr>
  </w:style>
  <w:style w:type="paragraph" w:customStyle="1" w:styleId="ChapterSummary">
    <w:name w:val="Chapter Summary"/>
    <w:basedOn w:val="BodyText"/>
    <w:rsid w:val="006D5355"/>
    <w:pPr>
      <w:spacing w:line="280" w:lineRule="atLeast"/>
      <w:ind w:left="907"/>
    </w:pPr>
    <w:rPr>
      <w:rFonts w:ascii="Arial" w:hAnsi="Arial"/>
      <w:b/>
      <w:sz w:val="20"/>
    </w:rPr>
  </w:style>
  <w:style w:type="character" w:styleId="CommentReference">
    <w:name w:val="annotation reference"/>
    <w:basedOn w:val="DefaultParagraphFont"/>
    <w:semiHidden/>
    <w:rsid w:val="006D5355"/>
    <w:rPr>
      <w:b/>
      <w:vanish/>
      <w:color w:val="FF00FF"/>
      <w:sz w:val="20"/>
    </w:rPr>
  </w:style>
  <w:style w:type="paragraph" w:styleId="CommentText">
    <w:name w:val="annotation text"/>
    <w:basedOn w:val="Normal"/>
    <w:semiHidden/>
    <w:rsid w:val="006D5355"/>
    <w:pPr>
      <w:spacing w:before="120" w:line="240" w:lineRule="atLeast"/>
      <w:ind w:left="567" w:hanging="567"/>
    </w:pPr>
    <w:rPr>
      <w:sz w:val="20"/>
    </w:rPr>
  </w:style>
  <w:style w:type="paragraph" w:customStyle="1" w:styleId="Continued">
    <w:name w:val="Continued"/>
    <w:basedOn w:val="BoxContinued"/>
    <w:next w:val="BodyText"/>
    <w:rsid w:val="006D5355"/>
  </w:style>
  <w:style w:type="character" w:customStyle="1" w:styleId="DocumentInfo">
    <w:name w:val="Document Info"/>
    <w:basedOn w:val="DefaultParagraphFont"/>
    <w:semiHidden/>
    <w:rsid w:val="006D5355"/>
    <w:rPr>
      <w:rFonts w:ascii="Arial" w:hAnsi="Arial"/>
      <w:sz w:val="14"/>
    </w:rPr>
  </w:style>
  <w:style w:type="character" w:customStyle="1" w:styleId="DraftingNote">
    <w:name w:val="Drafting Note"/>
    <w:basedOn w:val="DefaultParagraphFont"/>
    <w:rsid w:val="006D5355"/>
    <w:rPr>
      <w:b/>
      <w:color w:val="FF0000"/>
      <w:sz w:val="24"/>
      <w:u w:val="dotted"/>
    </w:rPr>
  </w:style>
  <w:style w:type="paragraph" w:customStyle="1" w:styleId="Figure">
    <w:name w:val="Figure"/>
    <w:basedOn w:val="BodyText"/>
    <w:link w:val="FigureChar"/>
    <w:rsid w:val="006D5355"/>
    <w:pPr>
      <w:keepNext/>
      <w:spacing w:before="120" w:after="120" w:line="240" w:lineRule="atLeast"/>
      <w:jc w:val="center"/>
    </w:pPr>
  </w:style>
  <w:style w:type="paragraph" w:customStyle="1" w:styleId="FigureTitle">
    <w:name w:val="Figure Title"/>
    <w:basedOn w:val="Caption"/>
    <w:next w:val="Subtitle"/>
    <w:link w:val="FigureTitleChar"/>
    <w:rsid w:val="006D5355"/>
    <w:pPr>
      <w:spacing w:before="120"/>
    </w:pPr>
  </w:style>
  <w:style w:type="paragraph" w:styleId="Subtitle">
    <w:name w:val="Subtitle"/>
    <w:basedOn w:val="Caption"/>
    <w:link w:val="SubtitleChar"/>
    <w:qFormat/>
    <w:rsid w:val="006D5355"/>
    <w:pPr>
      <w:spacing w:before="0" w:line="200" w:lineRule="exact"/>
      <w:ind w:firstLine="0"/>
    </w:pPr>
    <w:rPr>
      <w:b w:val="0"/>
      <w:sz w:val="20"/>
    </w:rPr>
  </w:style>
  <w:style w:type="paragraph" w:customStyle="1" w:styleId="Finding">
    <w:name w:val="Finding"/>
    <w:basedOn w:val="BodyText"/>
    <w:rsid w:val="006D5355"/>
    <w:pPr>
      <w:keepLines/>
      <w:spacing w:before="120" w:line="280" w:lineRule="atLeast"/>
    </w:pPr>
    <w:rPr>
      <w:rFonts w:ascii="Arial" w:hAnsi="Arial"/>
      <w:sz w:val="22"/>
    </w:rPr>
  </w:style>
  <w:style w:type="paragraph" w:customStyle="1" w:styleId="FindingBullet">
    <w:name w:val="Finding Bullet"/>
    <w:basedOn w:val="Finding"/>
    <w:rsid w:val="006D5355"/>
    <w:pPr>
      <w:numPr>
        <w:numId w:val="3"/>
      </w:numPr>
      <w:spacing w:before="80"/>
    </w:pPr>
  </w:style>
  <w:style w:type="paragraph" w:customStyle="1" w:styleId="FindingNoTitle">
    <w:name w:val="Finding NoTitle"/>
    <w:basedOn w:val="Finding"/>
    <w:rsid w:val="006D5355"/>
    <w:pPr>
      <w:spacing w:before="240"/>
    </w:pPr>
  </w:style>
  <w:style w:type="paragraph" w:customStyle="1" w:styleId="RecTitle">
    <w:name w:val="Rec Title"/>
    <w:basedOn w:val="BodyText"/>
    <w:next w:val="Rec"/>
    <w:qFormat/>
    <w:rsid w:val="006D5355"/>
    <w:pPr>
      <w:keepNext/>
      <w:keepLines/>
      <w:spacing w:line="280" w:lineRule="atLeast"/>
    </w:pPr>
    <w:rPr>
      <w:rFonts w:ascii="Arial" w:hAnsi="Arial"/>
      <w:caps/>
      <w:sz w:val="18"/>
    </w:rPr>
  </w:style>
  <w:style w:type="paragraph" w:customStyle="1" w:styleId="FindingTitle">
    <w:name w:val="Finding Title"/>
    <w:basedOn w:val="RecTitle"/>
    <w:next w:val="Finding"/>
    <w:rsid w:val="006D5355"/>
  </w:style>
  <w:style w:type="character" w:styleId="FootnoteReference">
    <w:name w:val="footnote reference"/>
    <w:basedOn w:val="DefaultParagraphFont"/>
    <w:semiHidden/>
    <w:rsid w:val="006D5355"/>
    <w:rPr>
      <w:rFonts w:ascii="Times New Roman" w:hAnsi="Times New Roman"/>
      <w:position w:val="6"/>
      <w:sz w:val="20"/>
      <w:vertAlign w:val="baseline"/>
    </w:rPr>
  </w:style>
  <w:style w:type="paragraph" w:styleId="FootnoteText">
    <w:name w:val="footnote text"/>
    <w:basedOn w:val="BodyText"/>
    <w:rsid w:val="006D5355"/>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6D5355"/>
    <w:rPr>
      <w:i/>
    </w:rPr>
  </w:style>
  <w:style w:type="paragraph" w:customStyle="1" w:styleId="Jurisdictioncommentsbodytext">
    <w:name w:val="Jurisdiction comments body text"/>
    <w:rsid w:val="006D5355"/>
    <w:pPr>
      <w:spacing w:after="140"/>
      <w:jc w:val="both"/>
    </w:pPr>
    <w:rPr>
      <w:rFonts w:ascii="Arial" w:hAnsi="Arial"/>
      <w:sz w:val="24"/>
      <w:lang w:eastAsia="en-US"/>
    </w:rPr>
  </w:style>
  <w:style w:type="paragraph" w:customStyle="1" w:styleId="Jurisdictioncommentsheading">
    <w:name w:val="Jurisdiction comments heading"/>
    <w:rsid w:val="006D5355"/>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6D5355"/>
    <w:pPr>
      <w:numPr>
        <w:numId w:val="4"/>
      </w:numPr>
      <w:spacing w:after="140"/>
      <w:jc w:val="both"/>
    </w:pPr>
    <w:rPr>
      <w:rFonts w:ascii="Arial" w:hAnsi="Arial"/>
      <w:sz w:val="24"/>
      <w:lang w:eastAsia="en-US"/>
    </w:rPr>
  </w:style>
  <w:style w:type="paragraph" w:styleId="ListBullet">
    <w:name w:val="List Bullet"/>
    <w:aliases w:val="List Bullet Char1,List Bullet Char Char,List Bullet Char1 Char Char"/>
    <w:basedOn w:val="BodyText"/>
    <w:link w:val="ListBulletChar"/>
    <w:rsid w:val="006D5355"/>
    <w:pPr>
      <w:numPr>
        <w:numId w:val="5"/>
      </w:numPr>
      <w:spacing w:before="120"/>
    </w:pPr>
  </w:style>
  <w:style w:type="paragraph" w:styleId="ListBullet2">
    <w:name w:val="List Bullet 2"/>
    <w:basedOn w:val="BodyText"/>
    <w:rsid w:val="006D5355"/>
    <w:pPr>
      <w:numPr>
        <w:numId w:val="6"/>
      </w:numPr>
      <w:spacing w:before="120"/>
    </w:pPr>
  </w:style>
  <w:style w:type="paragraph" w:styleId="ListBullet3">
    <w:name w:val="List Bullet 3"/>
    <w:basedOn w:val="BodyText"/>
    <w:rsid w:val="006D5355"/>
    <w:pPr>
      <w:numPr>
        <w:numId w:val="7"/>
      </w:numPr>
      <w:spacing w:before="120"/>
      <w:ind w:left="1020" w:hanging="340"/>
    </w:pPr>
  </w:style>
  <w:style w:type="paragraph" w:styleId="ListNumber">
    <w:name w:val="List Number"/>
    <w:basedOn w:val="BodyText"/>
    <w:rsid w:val="006D5355"/>
    <w:pPr>
      <w:numPr>
        <w:numId w:val="13"/>
      </w:numPr>
      <w:spacing w:before="120"/>
    </w:pPr>
  </w:style>
  <w:style w:type="paragraph" w:styleId="ListNumber2">
    <w:name w:val="List Number 2"/>
    <w:basedOn w:val="ListNumber"/>
    <w:rsid w:val="006D5355"/>
    <w:pPr>
      <w:numPr>
        <w:ilvl w:val="1"/>
      </w:numPr>
    </w:pPr>
  </w:style>
  <w:style w:type="paragraph" w:styleId="ListNumber3">
    <w:name w:val="List Number 3"/>
    <w:basedOn w:val="ListNumber2"/>
    <w:rsid w:val="006D5355"/>
    <w:pPr>
      <w:numPr>
        <w:ilvl w:val="2"/>
      </w:numPr>
    </w:pPr>
  </w:style>
  <w:style w:type="character" w:customStyle="1" w:styleId="NoteLabel">
    <w:name w:val="Note Label"/>
    <w:basedOn w:val="DefaultParagraphFont"/>
    <w:rsid w:val="006D5355"/>
    <w:rPr>
      <w:rFonts w:ascii="Arial" w:hAnsi="Arial"/>
      <w:b/>
      <w:position w:val="6"/>
      <w:sz w:val="18"/>
    </w:rPr>
  </w:style>
  <w:style w:type="paragraph" w:customStyle="1" w:styleId="PartDivider">
    <w:name w:val="Part Divider"/>
    <w:basedOn w:val="BodyText"/>
    <w:next w:val="BodyText"/>
    <w:semiHidden/>
    <w:rsid w:val="006D5355"/>
    <w:pPr>
      <w:spacing w:before="0" w:line="40" w:lineRule="exact"/>
      <w:jc w:val="right"/>
    </w:pPr>
    <w:rPr>
      <w:smallCaps/>
      <w:sz w:val="16"/>
    </w:rPr>
  </w:style>
  <w:style w:type="paragraph" w:customStyle="1" w:styleId="PartNumber">
    <w:name w:val="Part Number"/>
    <w:basedOn w:val="BodyText"/>
    <w:next w:val="BodyText"/>
    <w:semiHidden/>
    <w:rsid w:val="006D5355"/>
    <w:pPr>
      <w:spacing w:before="4000" w:line="320" w:lineRule="exact"/>
      <w:ind w:left="6634"/>
      <w:jc w:val="right"/>
    </w:pPr>
    <w:rPr>
      <w:smallCaps/>
      <w:spacing w:val="60"/>
      <w:sz w:val="32"/>
    </w:rPr>
  </w:style>
  <w:style w:type="paragraph" w:customStyle="1" w:styleId="PartTitle">
    <w:name w:val="Part Title"/>
    <w:basedOn w:val="BodyText"/>
    <w:semiHidden/>
    <w:rsid w:val="006D5355"/>
    <w:pPr>
      <w:spacing w:before="160" w:after="1360" w:line="520" w:lineRule="exact"/>
      <w:ind w:right="2381"/>
      <w:jc w:val="right"/>
    </w:pPr>
    <w:rPr>
      <w:smallCaps/>
      <w:sz w:val="52"/>
    </w:rPr>
  </w:style>
  <w:style w:type="paragraph" w:styleId="Quote">
    <w:name w:val="Quote"/>
    <w:basedOn w:val="BodyText"/>
    <w:next w:val="BodyText"/>
    <w:qFormat/>
    <w:rsid w:val="006D5355"/>
    <w:pPr>
      <w:spacing w:before="120" w:line="280" w:lineRule="exact"/>
      <w:ind w:left="340"/>
    </w:pPr>
    <w:rPr>
      <w:sz w:val="22"/>
    </w:rPr>
  </w:style>
  <w:style w:type="paragraph" w:customStyle="1" w:styleId="QuoteBullet">
    <w:name w:val="Quote Bullet"/>
    <w:basedOn w:val="Quote"/>
    <w:rsid w:val="006D5355"/>
    <w:pPr>
      <w:numPr>
        <w:numId w:val="8"/>
      </w:numPr>
    </w:pPr>
  </w:style>
  <w:style w:type="paragraph" w:customStyle="1" w:styleId="Rec">
    <w:name w:val="Rec"/>
    <w:basedOn w:val="BodyText"/>
    <w:qFormat/>
    <w:rsid w:val="006D5355"/>
    <w:pPr>
      <w:keepLines/>
      <w:spacing w:before="120" w:line="280" w:lineRule="atLeast"/>
    </w:pPr>
    <w:rPr>
      <w:rFonts w:ascii="Arial" w:hAnsi="Arial"/>
      <w:sz w:val="22"/>
    </w:rPr>
  </w:style>
  <w:style w:type="paragraph" w:customStyle="1" w:styleId="RecBullet">
    <w:name w:val="Rec Bullet"/>
    <w:basedOn w:val="Rec"/>
    <w:rsid w:val="006D5355"/>
    <w:pPr>
      <w:numPr>
        <w:numId w:val="9"/>
      </w:numPr>
      <w:spacing w:before="80"/>
    </w:pPr>
  </w:style>
  <w:style w:type="paragraph" w:customStyle="1" w:styleId="RecB">
    <w:name w:val="RecB"/>
    <w:basedOn w:val="Normal"/>
    <w:rsid w:val="006D535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6D5355"/>
    <w:pPr>
      <w:numPr>
        <w:numId w:val="10"/>
      </w:numPr>
      <w:spacing w:before="80"/>
    </w:pPr>
  </w:style>
  <w:style w:type="paragraph" w:customStyle="1" w:styleId="RecBNoTitle">
    <w:name w:val="RecB NoTitle"/>
    <w:basedOn w:val="RecB"/>
    <w:rsid w:val="006D5355"/>
    <w:pPr>
      <w:spacing w:before="240"/>
    </w:pPr>
  </w:style>
  <w:style w:type="paragraph" w:customStyle="1" w:styleId="Reference">
    <w:name w:val="Reference"/>
    <w:basedOn w:val="BodyText"/>
    <w:link w:val="ReferenceChar"/>
    <w:rsid w:val="006D5355"/>
    <w:pPr>
      <w:spacing w:before="120"/>
      <w:ind w:left="340" w:hanging="340"/>
    </w:pPr>
  </w:style>
  <w:style w:type="paragraph" w:customStyle="1" w:styleId="SequenceInfo">
    <w:name w:val="Sequence Info"/>
    <w:basedOn w:val="BodyText"/>
    <w:semiHidden/>
    <w:rsid w:val="006D5355"/>
    <w:rPr>
      <w:vanish/>
      <w:sz w:val="16"/>
    </w:rPr>
  </w:style>
  <w:style w:type="paragraph" w:customStyle="1" w:styleId="SideNote">
    <w:name w:val="Side Note"/>
    <w:basedOn w:val="BodyText"/>
    <w:next w:val="BodyText"/>
    <w:semiHidden/>
    <w:rsid w:val="006D5355"/>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6D5355"/>
    <w:pPr>
      <w:framePr w:wrap="around"/>
      <w:numPr>
        <w:numId w:val="11"/>
      </w:numPr>
      <w:tabs>
        <w:tab w:val="left" w:pos="227"/>
      </w:tabs>
    </w:pPr>
  </w:style>
  <w:style w:type="paragraph" w:customStyle="1" w:styleId="SideNoteGraphic">
    <w:name w:val="Side Note Graphic"/>
    <w:basedOn w:val="SideNote"/>
    <w:next w:val="BodyText"/>
    <w:semiHidden/>
    <w:rsid w:val="006D5355"/>
    <w:pPr>
      <w:framePr w:wrap="around"/>
    </w:pPr>
  </w:style>
  <w:style w:type="paragraph" w:customStyle="1" w:styleId="TableBodyText">
    <w:name w:val="Table Body Text"/>
    <w:basedOn w:val="BodyText"/>
    <w:link w:val="TableBodyTextChar"/>
    <w:rsid w:val="006D5355"/>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6D5355"/>
    <w:pPr>
      <w:numPr>
        <w:numId w:val="12"/>
      </w:numPr>
      <w:jc w:val="left"/>
    </w:pPr>
  </w:style>
  <w:style w:type="paragraph" w:customStyle="1" w:styleId="TableColumnHeading">
    <w:name w:val="Table Column Heading"/>
    <w:basedOn w:val="TableBodyText"/>
    <w:link w:val="TableColumnHeadingChar"/>
    <w:rsid w:val="006D5355"/>
    <w:pPr>
      <w:spacing w:before="80" w:after="80"/>
    </w:pPr>
    <w:rPr>
      <w:i/>
    </w:rPr>
  </w:style>
  <w:style w:type="paragraph" w:styleId="TOC2">
    <w:name w:val="toc 2"/>
    <w:basedOn w:val="TOC1"/>
    <w:rsid w:val="006D5355"/>
    <w:pPr>
      <w:ind w:left="1134" w:hanging="624"/>
    </w:pPr>
    <w:rPr>
      <w:b w:val="0"/>
    </w:rPr>
  </w:style>
  <w:style w:type="paragraph" w:styleId="TOC3">
    <w:name w:val="toc 3"/>
    <w:basedOn w:val="TOC2"/>
    <w:rsid w:val="006D5355"/>
    <w:pPr>
      <w:spacing w:before="60"/>
      <w:ind w:left="1190" w:hanging="680"/>
    </w:pPr>
  </w:style>
  <w:style w:type="paragraph" w:styleId="TableofFigures">
    <w:name w:val="table of figures"/>
    <w:basedOn w:val="TOC3"/>
    <w:next w:val="BodyText"/>
    <w:semiHidden/>
    <w:rsid w:val="006D5355"/>
    <w:pPr>
      <w:ind w:left="737" w:hanging="737"/>
    </w:pPr>
  </w:style>
  <w:style w:type="paragraph" w:customStyle="1" w:styleId="TableTitle">
    <w:name w:val="Table Title"/>
    <w:basedOn w:val="Caption"/>
    <w:next w:val="Subtitle"/>
    <w:link w:val="TableTitleChar"/>
    <w:qFormat/>
    <w:rsid w:val="006D5355"/>
    <w:pPr>
      <w:spacing w:before="120"/>
    </w:pPr>
  </w:style>
  <w:style w:type="paragraph" w:customStyle="1" w:styleId="TableUnitsRow">
    <w:name w:val="Table Units Row"/>
    <w:basedOn w:val="TableBodyText"/>
    <w:rsid w:val="006D5355"/>
    <w:pPr>
      <w:spacing w:before="40"/>
    </w:pPr>
  </w:style>
  <w:style w:type="paragraph" w:styleId="TOC1">
    <w:name w:val="toc 1"/>
    <w:basedOn w:val="Normal"/>
    <w:next w:val="TOC2"/>
    <w:link w:val="TOC1Char"/>
    <w:rsid w:val="006D5355"/>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6D5355"/>
    <w:pPr>
      <w:ind w:left="1191" w:firstLine="0"/>
    </w:pPr>
  </w:style>
  <w:style w:type="character" w:styleId="Hyperlink">
    <w:name w:val="Hyperlink"/>
    <w:uiPriority w:val="99"/>
    <w:rsid w:val="00C851BB"/>
    <w:rPr>
      <w:color w:val="0000FF"/>
      <w:u w:val="single"/>
    </w:rPr>
  </w:style>
  <w:style w:type="paragraph" w:styleId="BalloonText">
    <w:name w:val="Balloon Text"/>
    <w:basedOn w:val="Normal"/>
    <w:link w:val="BalloonTextChar"/>
    <w:rsid w:val="006D5355"/>
    <w:rPr>
      <w:rFonts w:ascii="Tahoma" w:hAnsi="Tahoma" w:cs="Tahoma"/>
      <w:sz w:val="16"/>
      <w:szCs w:val="16"/>
    </w:rPr>
  </w:style>
  <w:style w:type="table" w:styleId="TableGrid">
    <w:name w:val="Table Grid"/>
    <w:basedOn w:val="TableNormal"/>
    <w:rsid w:val="006D53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DA262B"/>
    <w:rPr>
      <w:color w:val="800080"/>
      <w:u w:val="single"/>
    </w:rPr>
  </w:style>
  <w:style w:type="character" w:customStyle="1" w:styleId="BodyTextChar">
    <w:name w:val="Body Text Char"/>
    <w:aliases w:val="new legislation style Char,Body Text1 Char,Body Text21 Char,Body Text2 Char,new legislation style1 Char,Body Text Char1 Char Char Char,new legislation style Char Char Char Char Char,Body Text Char1 Char Char Char Char Char"/>
    <w:basedOn w:val="DefaultParagraphFont"/>
    <w:link w:val="BodyText"/>
    <w:rsid w:val="006D5355"/>
    <w:rPr>
      <w:sz w:val="24"/>
    </w:rPr>
  </w:style>
  <w:style w:type="character" w:customStyle="1" w:styleId="AbbreviationChar">
    <w:name w:val="Abbreviation Char"/>
    <w:basedOn w:val="BodyTextChar"/>
    <w:link w:val="Abbreviation"/>
    <w:rsid w:val="00D8291B"/>
    <w:rPr>
      <w:sz w:val="24"/>
    </w:rPr>
  </w:style>
  <w:style w:type="character" w:customStyle="1" w:styleId="TableBodyTextChar">
    <w:name w:val="Table Body Text Char"/>
    <w:link w:val="TableBodyText"/>
    <w:rsid w:val="00156731"/>
    <w:rPr>
      <w:rFonts w:ascii="Arial" w:hAnsi="Arial"/>
      <w:sz w:val="18"/>
    </w:rPr>
  </w:style>
  <w:style w:type="character" w:customStyle="1" w:styleId="TableColumnHeadingChar">
    <w:name w:val="Table Column Heading Char"/>
    <w:link w:val="TableColumnHeading"/>
    <w:rsid w:val="00156731"/>
    <w:rPr>
      <w:rFonts w:ascii="Arial" w:hAnsi="Arial"/>
      <w:i/>
      <w:sz w:val="18"/>
    </w:rPr>
  </w:style>
  <w:style w:type="character" w:customStyle="1" w:styleId="ListBulletChar">
    <w:name w:val="List Bullet Char"/>
    <w:aliases w:val="List Bullet Char1 Char,List Bullet Char Char Char,List Bullet Char1 Char Char Char"/>
    <w:link w:val="ListBullet"/>
    <w:rsid w:val="00BA1822"/>
    <w:rPr>
      <w:sz w:val="24"/>
    </w:rPr>
  </w:style>
  <w:style w:type="character" w:customStyle="1" w:styleId="BoxChar">
    <w:name w:val="Box Char"/>
    <w:link w:val="Box"/>
    <w:rsid w:val="00BA1822"/>
    <w:rPr>
      <w:rFonts w:ascii="Arial" w:hAnsi="Arial"/>
    </w:rPr>
  </w:style>
  <w:style w:type="character" w:customStyle="1" w:styleId="BoxListBulletChar">
    <w:name w:val="Box List Bullet Char"/>
    <w:basedOn w:val="BoxChar"/>
    <w:link w:val="BoxListBullet"/>
    <w:rsid w:val="007F4F3D"/>
    <w:rPr>
      <w:rFonts w:ascii="Arial" w:hAnsi="Arial"/>
    </w:rPr>
  </w:style>
  <w:style w:type="character" w:customStyle="1" w:styleId="NoteChar">
    <w:name w:val="Note Char"/>
    <w:link w:val="Note"/>
    <w:rsid w:val="006C42B0"/>
    <w:rPr>
      <w:rFonts w:ascii="Arial" w:hAnsi="Arial"/>
      <w:sz w:val="18"/>
    </w:rPr>
  </w:style>
  <w:style w:type="character" w:customStyle="1" w:styleId="SourceChar">
    <w:name w:val="Source Char"/>
    <w:basedOn w:val="NoteChar"/>
    <w:link w:val="Source"/>
    <w:rsid w:val="006C42B0"/>
    <w:rPr>
      <w:rFonts w:ascii="Arial" w:hAnsi="Arial"/>
      <w:sz w:val="18"/>
    </w:rPr>
  </w:style>
  <w:style w:type="character" w:customStyle="1" w:styleId="BoxSpaceChar">
    <w:name w:val="Box Space Char"/>
    <w:link w:val="BoxSpace"/>
    <w:rsid w:val="006C42B0"/>
    <w:rPr>
      <w:sz w:val="26"/>
    </w:rPr>
  </w:style>
  <w:style w:type="character" w:customStyle="1" w:styleId="BoxTitleChar">
    <w:name w:val="Box Title Char"/>
    <w:link w:val="BoxTitle"/>
    <w:rsid w:val="006C42B0"/>
    <w:rPr>
      <w:rFonts w:ascii="Arial" w:hAnsi="Arial"/>
      <w:b/>
      <w:sz w:val="24"/>
      <w:szCs w:val="24"/>
    </w:rPr>
  </w:style>
  <w:style w:type="character" w:customStyle="1" w:styleId="FigureTitleChar">
    <w:name w:val="Figure Title Char"/>
    <w:link w:val="FigureTitle"/>
    <w:rsid w:val="00546642"/>
    <w:rPr>
      <w:rFonts w:ascii="Arial" w:hAnsi="Arial"/>
      <w:b/>
      <w:sz w:val="24"/>
      <w:szCs w:val="24"/>
    </w:rPr>
  </w:style>
  <w:style w:type="character" w:customStyle="1" w:styleId="TableTitleChar">
    <w:name w:val="Table Title Char"/>
    <w:link w:val="TableTitle"/>
    <w:rsid w:val="00B54D7F"/>
    <w:rPr>
      <w:rFonts w:ascii="Arial" w:hAnsi="Arial"/>
      <w:b/>
      <w:sz w:val="24"/>
      <w:szCs w:val="24"/>
    </w:rPr>
  </w:style>
  <w:style w:type="character" w:customStyle="1" w:styleId="FigureChar">
    <w:name w:val="Figure Char"/>
    <w:link w:val="Figure"/>
    <w:rsid w:val="00B54D7F"/>
    <w:rPr>
      <w:sz w:val="24"/>
    </w:rPr>
  </w:style>
  <w:style w:type="paragraph" w:styleId="CommentSubject">
    <w:name w:val="annotation subject"/>
    <w:basedOn w:val="CommentText"/>
    <w:next w:val="CommentText"/>
    <w:semiHidden/>
    <w:rsid w:val="004407DE"/>
    <w:pPr>
      <w:spacing w:before="0" w:line="240" w:lineRule="auto"/>
      <w:ind w:left="0" w:firstLine="0"/>
    </w:pPr>
    <w:rPr>
      <w:b/>
      <w:bCs/>
      <w:szCs w:val="20"/>
    </w:rPr>
  </w:style>
  <w:style w:type="paragraph" w:customStyle="1" w:styleId="D">
    <w:name w:val="D"/>
    <w:basedOn w:val="BodyText"/>
    <w:rsid w:val="00845AEC"/>
  </w:style>
  <w:style w:type="character" w:customStyle="1" w:styleId="ReferenceChar">
    <w:name w:val="Reference Char"/>
    <w:link w:val="Reference"/>
    <w:rsid w:val="00FE7DD7"/>
    <w:rPr>
      <w:sz w:val="24"/>
    </w:rPr>
  </w:style>
  <w:style w:type="paragraph" w:styleId="NormalWeb">
    <w:name w:val="Normal (Web)"/>
    <w:basedOn w:val="Normal"/>
    <w:uiPriority w:val="99"/>
    <w:unhideWhenUsed/>
    <w:rsid w:val="00A42EDA"/>
    <w:pPr>
      <w:spacing w:before="240" w:after="240"/>
    </w:pPr>
  </w:style>
  <w:style w:type="character" w:customStyle="1" w:styleId="SubtitleChar">
    <w:name w:val="Subtitle Char"/>
    <w:basedOn w:val="DefaultParagraphFont"/>
    <w:link w:val="Subtitle"/>
    <w:rsid w:val="006D5355"/>
    <w:rPr>
      <w:rFonts w:ascii="Arial" w:hAnsi="Arial"/>
      <w:szCs w:val="24"/>
    </w:rPr>
  </w:style>
  <w:style w:type="paragraph" w:styleId="Revision">
    <w:name w:val="Revision"/>
    <w:hidden/>
    <w:uiPriority w:val="99"/>
    <w:semiHidden/>
    <w:rsid w:val="00B63911"/>
    <w:rPr>
      <w:sz w:val="24"/>
      <w:szCs w:val="24"/>
    </w:rPr>
  </w:style>
  <w:style w:type="character" w:styleId="Emphasis">
    <w:name w:val="Emphasis"/>
    <w:basedOn w:val="DefaultParagraphFont"/>
    <w:rsid w:val="006D5355"/>
    <w:rPr>
      <w:i/>
      <w:iCs/>
    </w:rPr>
  </w:style>
  <w:style w:type="paragraph" w:customStyle="1" w:styleId="RecBBullet2">
    <w:name w:val="RecB Bullet 2"/>
    <w:basedOn w:val="ListBullet2"/>
    <w:semiHidden/>
    <w:rsid w:val="006D5355"/>
    <w:pPr>
      <w:pBdr>
        <w:left w:val="single" w:sz="24" w:space="29" w:color="C0C0C0"/>
      </w:pBdr>
    </w:pPr>
    <w:rPr>
      <w:b/>
      <w:i/>
    </w:rPr>
  </w:style>
  <w:style w:type="character" w:customStyle="1" w:styleId="BalloonTextChar">
    <w:name w:val="Balloon Text Char"/>
    <w:basedOn w:val="DefaultParagraphFont"/>
    <w:link w:val="BalloonText"/>
    <w:rsid w:val="006D5355"/>
    <w:rPr>
      <w:rFonts w:ascii="Tahoma" w:hAnsi="Tahoma" w:cs="Tahoma"/>
      <w:sz w:val="16"/>
      <w:szCs w:val="16"/>
    </w:rPr>
  </w:style>
  <w:style w:type="paragraph" w:customStyle="1" w:styleId="BoxListBullet3">
    <w:name w:val="Box List Bullet 3"/>
    <w:basedOn w:val="ListBullet3"/>
    <w:rsid w:val="006D5355"/>
    <w:pPr>
      <w:numPr>
        <w:numId w:val="18"/>
      </w:numPr>
      <w:tabs>
        <w:tab w:val="left" w:pos="907"/>
      </w:tabs>
      <w:spacing w:before="60" w:line="260" w:lineRule="atLeast"/>
      <w:ind w:left="907" w:hanging="340"/>
    </w:pPr>
    <w:rPr>
      <w:rFonts w:ascii="Arial" w:hAnsi="Arial"/>
      <w:sz w:val="20"/>
    </w:rPr>
  </w:style>
  <w:style w:type="paragraph" w:customStyle="1" w:styleId="BoxQuoteBullet">
    <w:name w:val="Box Quote Bullet"/>
    <w:basedOn w:val="BoxQuote"/>
    <w:next w:val="Box"/>
    <w:rsid w:val="006D5355"/>
    <w:pPr>
      <w:numPr>
        <w:numId w:val="16"/>
      </w:numPr>
      <w:ind w:left="568" w:hanging="284"/>
    </w:pPr>
  </w:style>
  <w:style w:type="paragraph" w:customStyle="1" w:styleId="InformationRequestBullet">
    <w:name w:val="Information Request Bullet"/>
    <w:basedOn w:val="ListBullet"/>
    <w:next w:val="BodyText"/>
    <w:rsid w:val="006D5355"/>
    <w:pPr>
      <w:numPr>
        <w:numId w:val="17"/>
      </w:numPr>
      <w:spacing w:before="80" w:line="280" w:lineRule="atLeast"/>
      <w:ind w:left="357" w:hanging="357"/>
    </w:pPr>
    <w:rPr>
      <w:rFonts w:ascii="Arial" w:hAnsi="Arial"/>
      <w:i/>
      <w:sz w:val="22"/>
    </w:rPr>
  </w:style>
  <w:style w:type="paragraph" w:customStyle="1" w:styleId="BoxSpaceAbove">
    <w:name w:val="Box Space Above"/>
    <w:basedOn w:val="BodyText"/>
    <w:rsid w:val="006D5355"/>
    <w:pPr>
      <w:keepNext/>
      <w:spacing w:before="360" w:line="80" w:lineRule="exact"/>
      <w:jc w:val="left"/>
    </w:pPr>
  </w:style>
  <w:style w:type="paragraph" w:customStyle="1" w:styleId="BoxSpaceBelow">
    <w:name w:val="Box Space Below"/>
    <w:basedOn w:val="Box"/>
    <w:rsid w:val="006D5355"/>
    <w:pPr>
      <w:keepNext w:val="0"/>
      <w:spacing w:before="60" w:after="60" w:line="80" w:lineRule="exact"/>
    </w:pPr>
    <w:rPr>
      <w:sz w:val="14"/>
    </w:rPr>
  </w:style>
  <w:style w:type="paragraph" w:styleId="PlainText">
    <w:name w:val="Plain Text"/>
    <w:basedOn w:val="Normal"/>
    <w:link w:val="PlainTextChar"/>
    <w:uiPriority w:val="99"/>
    <w:unhideWhenUsed/>
    <w:rsid w:val="004420D6"/>
    <w:rPr>
      <w:rFonts w:ascii="Calibri" w:hAnsi="Calibri"/>
      <w:sz w:val="22"/>
      <w:szCs w:val="21"/>
    </w:rPr>
  </w:style>
  <w:style w:type="character" w:customStyle="1" w:styleId="PlainTextChar">
    <w:name w:val="Plain Text Char"/>
    <w:basedOn w:val="DefaultParagraphFont"/>
    <w:link w:val="PlainText"/>
    <w:uiPriority w:val="99"/>
    <w:rsid w:val="004420D6"/>
    <w:rPr>
      <w:rFonts w:ascii="Calibri" w:hAnsi="Calibri"/>
      <w:sz w:val="22"/>
      <w:szCs w:val="21"/>
    </w:rPr>
  </w:style>
  <w:style w:type="paragraph" w:customStyle="1" w:styleId="KeyPointsListBullet">
    <w:name w:val="Key Points List Bullet"/>
    <w:basedOn w:val="Normal"/>
    <w:qFormat/>
    <w:rsid w:val="006D5355"/>
    <w:pPr>
      <w:keepNext/>
      <w:numPr>
        <w:numId w:val="19"/>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6D5355"/>
    <w:pPr>
      <w:numPr>
        <w:numId w:val="20"/>
      </w:numPr>
      <w:ind w:left="568" w:hanging="284"/>
    </w:pPr>
  </w:style>
  <w:style w:type="paragraph" w:customStyle="1" w:styleId="InformationRequestTitle">
    <w:name w:val="Information Request Title"/>
    <w:basedOn w:val="FindingTitle"/>
    <w:next w:val="InformationRequest"/>
    <w:rsid w:val="006D5355"/>
    <w:rPr>
      <w:i/>
    </w:rPr>
  </w:style>
  <w:style w:type="paragraph" w:customStyle="1" w:styleId="Space">
    <w:name w:val="Space"/>
    <w:basedOn w:val="Normal"/>
    <w:rsid w:val="006D5355"/>
    <w:pPr>
      <w:keepNext/>
      <w:spacing w:line="120" w:lineRule="exact"/>
      <w:jc w:val="both"/>
    </w:pPr>
    <w:rPr>
      <w:rFonts w:ascii="Arial" w:hAnsi="Arial"/>
      <w:sz w:val="20"/>
      <w:szCs w:val="20"/>
    </w:rPr>
  </w:style>
  <w:style w:type="paragraph" w:customStyle="1" w:styleId="Heading1nochapterno">
    <w:name w:val="Heading 1 (no chapter no.)"/>
    <w:basedOn w:val="Heading1"/>
    <w:rsid w:val="006D5355"/>
    <w:pPr>
      <w:spacing w:before="0"/>
      <w:ind w:left="0" w:firstLine="0"/>
    </w:pPr>
  </w:style>
  <w:style w:type="paragraph" w:customStyle="1" w:styleId="Heading2nosectionno">
    <w:name w:val="Heading 2 (no section no.)"/>
    <w:basedOn w:val="Heading2"/>
    <w:rsid w:val="006D5355"/>
    <w:pPr>
      <w:ind w:left="0" w:firstLine="0"/>
    </w:pPr>
  </w:style>
  <w:style w:type="character" w:customStyle="1" w:styleId="Heading5Char">
    <w:name w:val="Heading 5 Char"/>
    <w:basedOn w:val="DefaultParagraphFont"/>
    <w:link w:val="Heading5"/>
    <w:rsid w:val="006D5355"/>
    <w:rPr>
      <w:rFonts w:ascii="Arial" w:hAnsi="Arial"/>
      <w:i/>
      <w:sz w:val="22"/>
    </w:rPr>
  </w:style>
  <w:style w:type="paragraph" w:customStyle="1" w:styleId="Figurespace">
    <w:name w:val="Figure space"/>
    <w:basedOn w:val="Box"/>
    <w:rsid w:val="006D5355"/>
    <w:pPr>
      <w:spacing w:before="0" w:line="120" w:lineRule="exact"/>
    </w:pPr>
  </w:style>
  <w:style w:type="paragraph" w:customStyle="1" w:styleId="FooterDraftReport">
    <w:name w:val="FooterDraftReport"/>
    <w:basedOn w:val="Footer"/>
    <w:link w:val="FooterDraftReportChar"/>
    <w:rsid w:val="006D5355"/>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6D5355"/>
    <w:rPr>
      <w:rFonts w:ascii="Arial" w:hAnsi="Arial"/>
      <w:caps/>
      <w:spacing w:val="-4"/>
      <w:sz w:val="16"/>
    </w:rPr>
  </w:style>
  <w:style w:type="character" w:customStyle="1" w:styleId="FooterDraftReportChar">
    <w:name w:val="FooterDraftReport Char"/>
    <w:basedOn w:val="FooterChar"/>
    <w:link w:val="FooterDraftReport"/>
    <w:rsid w:val="006D5355"/>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6D5355"/>
    <w:rPr>
      <w:rFonts w:ascii="Arial" w:hAnsi="Arial"/>
      <w:b/>
      <w:sz w:val="26"/>
      <w:szCs w:val="26"/>
      <w:lang w:eastAsia="en-US"/>
    </w:rPr>
  </w:style>
  <w:style w:type="paragraph" w:customStyle="1" w:styleId="Heading1NotTOC">
    <w:name w:val="Heading 1 Not TOC"/>
    <w:basedOn w:val="Heading1"/>
    <w:next w:val="BodyText"/>
    <w:rsid w:val="00C25EF3"/>
    <w:rPr>
      <w:kern w:val="28"/>
      <w:szCs w:val="26"/>
      <w:lang w:eastAsia="en-US"/>
    </w:rPr>
  </w:style>
  <w:style w:type="character" w:customStyle="1" w:styleId="Continuedintitle">
    <w:name w:val="Continued (in title)"/>
    <w:basedOn w:val="DefaultParagraphFont"/>
    <w:rsid w:val="00F33AC2"/>
    <w:rPr>
      <w:rFonts w:ascii="Arial" w:hAnsi="Arial"/>
      <w:b/>
      <w:sz w:val="18"/>
    </w:rPr>
  </w:style>
  <w:style w:type="paragraph" w:customStyle="1" w:styleId="BoxSpaceAboveElement">
    <w:name w:val="Box Space Above Element"/>
    <w:basedOn w:val="BoxSpaceAbove"/>
    <w:link w:val="BoxSpaceAboveElementChar"/>
    <w:qFormat/>
    <w:rsid w:val="00C40363"/>
    <w:pPr>
      <w:spacing w:before="240"/>
    </w:pPr>
    <w:rPr>
      <w:b/>
      <w:vanish/>
      <w:color w:val="FF00FF"/>
      <w:sz w:val="14"/>
    </w:rPr>
  </w:style>
  <w:style w:type="character" w:customStyle="1" w:styleId="BoxSpaceAboveElementChar">
    <w:name w:val="Box Space Above Element Char"/>
    <w:basedOn w:val="DefaultParagraphFont"/>
    <w:link w:val="BoxSpaceAboveElement"/>
    <w:rsid w:val="00C40363"/>
    <w:rPr>
      <w:b/>
      <w:vanish/>
      <w:color w:val="FF00FF"/>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064521">
      <w:bodyDiv w:val="1"/>
      <w:marLeft w:val="0"/>
      <w:marRight w:val="0"/>
      <w:marTop w:val="0"/>
      <w:marBottom w:val="0"/>
      <w:divBdr>
        <w:top w:val="none" w:sz="0" w:space="0" w:color="auto"/>
        <w:left w:val="none" w:sz="0" w:space="0" w:color="auto"/>
        <w:bottom w:val="none" w:sz="0" w:space="0" w:color="auto"/>
        <w:right w:val="none" w:sz="0" w:space="0" w:color="auto"/>
      </w:divBdr>
    </w:div>
    <w:div w:id="87121304">
      <w:bodyDiv w:val="1"/>
      <w:marLeft w:val="0"/>
      <w:marRight w:val="0"/>
      <w:marTop w:val="0"/>
      <w:marBottom w:val="0"/>
      <w:divBdr>
        <w:top w:val="none" w:sz="0" w:space="0" w:color="auto"/>
        <w:left w:val="none" w:sz="0" w:space="0" w:color="auto"/>
        <w:bottom w:val="none" w:sz="0" w:space="0" w:color="auto"/>
        <w:right w:val="none" w:sz="0" w:space="0" w:color="auto"/>
      </w:divBdr>
    </w:div>
    <w:div w:id="90011828">
      <w:bodyDiv w:val="1"/>
      <w:marLeft w:val="0"/>
      <w:marRight w:val="0"/>
      <w:marTop w:val="0"/>
      <w:marBottom w:val="0"/>
      <w:divBdr>
        <w:top w:val="none" w:sz="0" w:space="0" w:color="auto"/>
        <w:left w:val="none" w:sz="0" w:space="0" w:color="auto"/>
        <w:bottom w:val="none" w:sz="0" w:space="0" w:color="auto"/>
        <w:right w:val="none" w:sz="0" w:space="0" w:color="auto"/>
      </w:divBdr>
      <w:divsChild>
        <w:div w:id="65499591">
          <w:marLeft w:val="0"/>
          <w:marRight w:val="0"/>
          <w:marTop w:val="0"/>
          <w:marBottom w:val="0"/>
          <w:divBdr>
            <w:top w:val="none" w:sz="0" w:space="0" w:color="auto"/>
            <w:left w:val="none" w:sz="0" w:space="0" w:color="auto"/>
            <w:bottom w:val="none" w:sz="0" w:space="0" w:color="auto"/>
            <w:right w:val="none" w:sz="0" w:space="0" w:color="auto"/>
          </w:divBdr>
          <w:divsChild>
            <w:div w:id="1852834746">
              <w:marLeft w:val="0"/>
              <w:marRight w:val="0"/>
              <w:marTop w:val="0"/>
              <w:marBottom w:val="0"/>
              <w:divBdr>
                <w:top w:val="none" w:sz="0" w:space="0" w:color="auto"/>
                <w:left w:val="none" w:sz="0" w:space="0" w:color="auto"/>
                <w:bottom w:val="none" w:sz="0" w:space="0" w:color="auto"/>
                <w:right w:val="none" w:sz="0" w:space="0" w:color="auto"/>
              </w:divBdr>
              <w:divsChild>
                <w:div w:id="1694303362">
                  <w:marLeft w:val="0"/>
                  <w:marRight w:val="0"/>
                  <w:marTop w:val="0"/>
                  <w:marBottom w:val="0"/>
                  <w:divBdr>
                    <w:top w:val="none" w:sz="0" w:space="0" w:color="auto"/>
                    <w:left w:val="none" w:sz="0" w:space="0" w:color="auto"/>
                    <w:bottom w:val="none" w:sz="0" w:space="0" w:color="auto"/>
                    <w:right w:val="none" w:sz="0" w:space="0" w:color="auto"/>
                  </w:divBdr>
                  <w:divsChild>
                    <w:div w:id="2082216674">
                      <w:marLeft w:val="0"/>
                      <w:marRight w:val="0"/>
                      <w:marTop w:val="0"/>
                      <w:marBottom w:val="0"/>
                      <w:divBdr>
                        <w:top w:val="none" w:sz="0" w:space="0" w:color="auto"/>
                        <w:left w:val="none" w:sz="0" w:space="0" w:color="auto"/>
                        <w:bottom w:val="none" w:sz="0" w:space="0" w:color="auto"/>
                        <w:right w:val="none" w:sz="0" w:space="0" w:color="auto"/>
                      </w:divBdr>
                      <w:divsChild>
                        <w:div w:id="1551990376">
                          <w:marLeft w:val="0"/>
                          <w:marRight w:val="0"/>
                          <w:marTop w:val="0"/>
                          <w:marBottom w:val="0"/>
                          <w:divBdr>
                            <w:top w:val="none" w:sz="0" w:space="0" w:color="auto"/>
                            <w:left w:val="none" w:sz="0" w:space="0" w:color="auto"/>
                            <w:bottom w:val="none" w:sz="0" w:space="0" w:color="auto"/>
                            <w:right w:val="none" w:sz="0" w:space="0" w:color="auto"/>
                          </w:divBdr>
                          <w:divsChild>
                            <w:div w:id="1882130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987968">
      <w:bodyDiv w:val="1"/>
      <w:marLeft w:val="0"/>
      <w:marRight w:val="0"/>
      <w:marTop w:val="0"/>
      <w:marBottom w:val="0"/>
      <w:divBdr>
        <w:top w:val="none" w:sz="0" w:space="0" w:color="auto"/>
        <w:left w:val="none" w:sz="0" w:space="0" w:color="auto"/>
        <w:bottom w:val="none" w:sz="0" w:space="0" w:color="auto"/>
        <w:right w:val="none" w:sz="0" w:space="0" w:color="auto"/>
      </w:divBdr>
    </w:div>
    <w:div w:id="126243144">
      <w:bodyDiv w:val="1"/>
      <w:marLeft w:val="0"/>
      <w:marRight w:val="0"/>
      <w:marTop w:val="0"/>
      <w:marBottom w:val="0"/>
      <w:divBdr>
        <w:top w:val="none" w:sz="0" w:space="0" w:color="auto"/>
        <w:left w:val="none" w:sz="0" w:space="0" w:color="auto"/>
        <w:bottom w:val="none" w:sz="0" w:space="0" w:color="auto"/>
        <w:right w:val="none" w:sz="0" w:space="0" w:color="auto"/>
      </w:divBdr>
    </w:div>
    <w:div w:id="128405223">
      <w:bodyDiv w:val="1"/>
      <w:marLeft w:val="0"/>
      <w:marRight w:val="0"/>
      <w:marTop w:val="0"/>
      <w:marBottom w:val="0"/>
      <w:divBdr>
        <w:top w:val="none" w:sz="0" w:space="0" w:color="auto"/>
        <w:left w:val="none" w:sz="0" w:space="0" w:color="auto"/>
        <w:bottom w:val="none" w:sz="0" w:space="0" w:color="auto"/>
        <w:right w:val="none" w:sz="0" w:space="0" w:color="auto"/>
      </w:divBdr>
    </w:div>
    <w:div w:id="160001166">
      <w:bodyDiv w:val="1"/>
      <w:marLeft w:val="0"/>
      <w:marRight w:val="0"/>
      <w:marTop w:val="0"/>
      <w:marBottom w:val="0"/>
      <w:divBdr>
        <w:top w:val="none" w:sz="0" w:space="0" w:color="auto"/>
        <w:left w:val="none" w:sz="0" w:space="0" w:color="auto"/>
        <w:bottom w:val="none" w:sz="0" w:space="0" w:color="auto"/>
        <w:right w:val="none" w:sz="0" w:space="0" w:color="auto"/>
      </w:divBdr>
    </w:div>
    <w:div w:id="297415443">
      <w:bodyDiv w:val="1"/>
      <w:marLeft w:val="0"/>
      <w:marRight w:val="0"/>
      <w:marTop w:val="0"/>
      <w:marBottom w:val="0"/>
      <w:divBdr>
        <w:top w:val="none" w:sz="0" w:space="0" w:color="auto"/>
        <w:left w:val="none" w:sz="0" w:space="0" w:color="auto"/>
        <w:bottom w:val="none" w:sz="0" w:space="0" w:color="auto"/>
        <w:right w:val="none" w:sz="0" w:space="0" w:color="auto"/>
      </w:divBdr>
      <w:divsChild>
        <w:div w:id="107967243">
          <w:marLeft w:val="0"/>
          <w:marRight w:val="0"/>
          <w:marTop w:val="0"/>
          <w:marBottom w:val="0"/>
          <w:divBdr>
            <w:top w:val="none" w:sz="0" w:space="0" w:color="auto"/>
            <w:left w:val="none" w:sz="0" w:space="0" w:color="auto"/>
            <w:bottom w:val="none" w:sz="0" w:space="0" w:color="auto"/>
            <w:right w:val="none" w:sz="0" w:space="0" w:color="auto"/>
          </w:divBdr>
          <w:divsChild>
            <w:div w:id="183520962">
              <w:marLeft w:val="0"/>
              <w:marRight w:val="0"/>
              <w:marTop w:val="0"/>
              <w:marBottom w:val="0"/>
              <w:divBdr>
                <w:top w:val="none" w:sz="0" w:space="0" w:color="auto"/>
                <w:left w:val="none" w:sz="0" w:space="0" w:color="auto"/>
                <w:bottom w:val="none" w:sz="0" w:space="0" w:color="auto"/>
                <w:right w:val="none" w:sz="0" w:space="0" w:color="auto"/>
              </w:divBdr>
              <w:divsChild>
                <w:div w:id="631060080">
                  <w:marLeft w:val="0"/>
                  <w:marRight w:val="0"/>
                  <w:marTop w:val="0"/>
                  <w:marBottom w:val="0"/>
                  <w:divBdr>
                    <w:top w:val="none" w:sz="0" w:space="0" w:color="auto"/>
                    <w:left w:val="none" w:sz="0" w:space="0" w:color="auto"/>
                    <w:bottom w:val="none" w:sz="0" w:space="0" w:color="auto"/>
                    <w:right w:val="none" w:sz="0" w:space="0" w:color="auto"/>
                  </w:divBdr>
                  <w:divsChild>
                    <w:div w:id="572812707">
                      <w:marLeft w:val="0"/>
                      <w:marRight w:val="0"/>
                      <w:marTop w:val="0"/>
                      <w:marBottom w:val="600"/>
                      <w:divBdr>
                        <w:top w:val="none" w:sz="0" w:space="0" w:color="auto"/>
                        <w:left w:val="none" w:sz="0" w:space="0" w:color="auto"/>
                        <w:bottom w:val="none" w:sz="0" w:space="0" w:color="auto"/>
                        <w:right w:val="none" w:sz="0" w:space="0" w:color="auto"/>
                      </w:divBdr>
                      <w:divsChild>
                        <w:div w:id="2105687315">
                          <w:marLeft w:val="0"/>
                          <w:marRight w:val="0"/>
                          <w:marTop w:val="0"/>
                          <w:marBottom w:val="0"/>
                          <w:divBdr>
                            <w:top w:val="none" w:sz="0" w:space="0" w:color="auto"/>
                            <w:left w:val="none" w:sz="0" w:space="0" w:color="auto"/>
                            <w:bottom w:val="none" w:sz="0" w:space="0" w:color="auto"/>
                            <w:right w:val="none" w:sz="0" w:space="0" w:color="auto"/>
                          </w:divBdr>
                          <w:divsChild>
                            <w:div w:id="535317889">
                              <w:marLeft w:val="0"/>
                              <w:marRight w:val="0"/>
                              <w:marTop w:val="0"/>
                              <w:marBottom w:val="0"/>
                              <w:divBdr>
                                <w:top w:val="none" w:sz="0" w:space="0" w:color="auto"/>
                                <w:left w:val="none" w:sz="0" w:space="0" w:color="auto"/>
                                <w:bottom w:val="none" w:sz="0" w:space="0" w:color="auto"/>
                                <w:right w:val="none" w:sz="0" w:space="0" w:color="auto"/>
                              </w:divBdr>
                              <w:divsChild>
                                <w:div w:id="1821120371">
                                  <w:marLeft w:val="0"/>
                                  <w:marRight w:val="0"/>
                                  <w:marTop w:val="0"/>
                                  <w:marBottom w:val="0"/>
                                  <w:divBdr>
                                    <w:top w:val="none" w:sz="0" w:space="0" w:color="auto"/>
                                    <w:left w:val="none" w:sz="0" w:space="0" w:color="auto"/>
                                    <w:bottom w:val="none" w:sz="0" w:space="0" w:color="auto"/>
                                    <w:right w:val="none" w:sz="0" w:space="0" w:color="auto"/>
                                  </w:divBdr>
                                  <w:divsChild>
                                    <w:div w:id="1684822138">
                                      <w:marLeft w:val="0"/>
                                      <w:marRight w:val="0"/>
                                      <w:marTop w:val="0"/>
                                      <w:marBottom w:val="0"/>
                                      <w:divBdr>
                                        <w:top w:val="none" w:sz="0" w:space="0" w:color="auto"/>
                                        <w:left w:val="none" w:sz="0" w:space="0" w:color="auto"/>
                                        <w:bottom w:val="none" w:sz="0" w:space="0" w:color="auto"/>
                                        <w:right w:val="none" w:sz="0" w:space="0" w:color="auto"/>
                                      </w:divBdr>
                                      <w:divsChild>
                                        <w:div w:id="784351412">
                                          <w:marLeft w:val="0"/>
                                          <w:marRight w:val="0"/>
                                          <w:marTop w:val="0"/>
                                          <w:marBottom w:val="0"/>
                                          <w:divBdr>
                                            <w:top w:val="none" w:sz="0" w:space="0" w:color="auto"/>
                                            <w:left w:val="none" w:sz="0" w:space="0" w:color="auto"/>
                                            <w:bottom w:val="none" w:sz="0" w:space="0" w:color="auto"/>
                                            <w:right w:val="none" w:sz="0" w:space="0" w:color="auto"/>
                                          </w:divBdr>
                                          <w:divsChild>
                                            <w:div w:id="2118213613">
                                              <w:marLeft w:val="0"/>
                                              <w:marRight w:val="0"/>
                                              <w:marTop w:val="0"/>
                                              <w:marBottom w:val="0"/>
                                              <w:divBdr>
                                                <w:top w:val="none" w:sz="0" w:space="0" w:color="auto"/>
                                                <w:left w:val="none" w:sz="0" w:space="0" w:color="auto"/>
                                                <w:bottom w:val="none" w:sz="0" w:space="0" w:color="auto"/>
                                                <w:right w:val="none" w:sz="0" w:space="0" w:color="auto"/>
                                              </w:divBdr>
                                              <w:divsChild>
                                                <w:div w:id="758061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49271887">
      <w:bodyDiv w:val="1"/>
      <w:marLeft w:val="0"/>
      <w:marRight w:val="0"/>
      <w:marTop w:val="0"/>
      <w:marBottom w:val="0"/>
      <w:divBdr>
        <w:top w:val="none" w:sz="0" w:space="0" w:color="auto"/>
        <w:left w:val="none" w:sz="0" w:space="0" w:color="auto"/>
        <w:bottom w:val="none" w:sz="0" w:space="0" w:color="auto"/>
        <w:right w:val="none" w:sz="0" w:space="0" w:color="auto"/>
      </w:divBdr>
    </w:div>
    <w:div w:id="578565770">
      <w:bodyDiv w:val="1"/>
      <w:marLeft w:val="0"/>
      <w:marRight w:val="0"/>
      <w:marTop w:val="0"/>
      <w:marBottom w:val="0"/>
      <w:divBdr>
        <w:top w:val="none" w:sz="0" w:space="0" w:color="auto"/>
        <w:left w:val="none" w:sz="0" w:space="0" w:color="auto"/>
        <w:bottom w:val="none" w:sz="0" w:space="0" w:color="auto"/>
        <w:right w:val="none" w:sz="0" w:space="0" w:color="auto"/>
      </w:divBdr>
    </w:div>
    <w:div w:id="654183177">
      <w:bodyDiv w:val="1"/>
      <w:marLeft w:val="0"/>
      <w:marRight w:val="0"/>
      <w:marTop w:val="0"/>
      <w:marBottom w:val="0"/>
      <w:divBdr>
        <w:top w:val="none" w:sz="0" w:space="0" w:color="auto"/>
        <w:left w:val="none" w:sz="0" w:space="0" w:color="auto"/>
        <w:bottom w:val="none" w:sz="0" w:space="0" w:color="auto"/>
        <w:right w:val="none" w:sz="0" w:space="0" w:color="auto"/>
      </w:divBdr>
      <w:divsChild>
        <w:div w:id="2062436071">
          <w:marLeft w:val="0"/>
          <w:marRight w:val="0"/>
          <w:marTop w:val="0"/>
          <w:marBottom w:val="0"/>
          <w:divBdr>
            <w:top w:val="none" w:sz="0" w:space="0" w:color="auto"/>
            <w:left w:val="none" w:sz="0" w:space="0" w:color="auto"/>
            <w:bottom w:val="none" w:sz="0" w:space="0" w:color="auto"/>
            <w:right w:val="none" w:sz="0" w:space="0" w:color="auto"/>
          </w:divBdr>
          <w:divsChild>
            <w:div w:id="1663502480">
              <w:marLeft w:val="0"/>
              <w:marRight w:val="0"/>
              <w:marTop w:val="0"/>
              <w:marBottom w:val="0"/>
              <w:divBdr>
                <w:top w:val="none" w:sz="0" w:space="0" w:color="auto"/>
                <w:left w:val="none" w:sz="0" w:space="0" w:color="auto"/>
                <w:bottom w:val="none" w:sz="0" w:space="0" w:color="auto"/>
                <w:right w:val="none" w:sz="0" w:space="0" w:color="auto"/>
              </w:divBdr>
              <w:divsChild>
                <w:div w:id="121198497">
                  <w:marLeft w:val="0"/>
                  <w:marRight w:val="3600"/>
                  <w:marTop w:val="0"/>
                  <w:marBottom w:val="0"/>
                  <w:divBdr>
                    <w:top w:val="none" w:sz="0" w:space="0" w:color="auto"/>
                    <w:left w:val="none" w:sz="0" w:space="0" w:color="auto"/>
                    <w:bottom w:val="none" w:sz="0" w:space="0" w:color="auto"/>
                    <w:right w:val="none" w:sz="0" w:space="0" w:color="auto"/>
                  </w:divBdr>
                </w:div>
              </w:divsChild>
            </w:div>
          </w:divsChild>
        </w:div>
      </w:divsChild>
    </w:div>
    <w:div w:id="752167430">
      <w:bodyDiv w:val="1"/>
      <w:marLeft w:val="0"/>
      <w:marRight w:val="0"/>
      <w:marTop w:val="0"/>
      <w:marBottom w:val="0"/>
      <w:divBdr>
        <w:top w:val="none" w:sz="0" w:space="0" w:color="auto"/>
        <w:left w:val="none" w:sz="0" w:space="0" w:color="auto"/>
        <w:bottom w:val="none" w:sz="0" w:space="0" w:color="auto"/>
        <w:right w:val="none" w:sz="0" w:space="0" w:color="auto"/>
      </w:divBdr>
    </w:div>
    <w:div w:id="766535135">
      <w:bodyDiv w:val="1"/>
      <w:marLeft w:val="0"/>
      <w:marRight w:val="0"/>
      <w:marTop w:val="0"/>
      <w:marBottom w:val="0"/>
      <w:divBdr>
        <w:top w:val="none" w:sz="0" w:space="0" w:color="auto"/>
        <w:left w:val="none" w:sz="0" w:space="0" w:color="auto"/>
        <w:bottom w:val="none" w:sz="0" w:space="0" w:color="auto"/>
        <w:right w:val="none" w:sz="0" w:space="0" w:color="auto"/>
      </w:divBdr>
    </w:div>
    <w:div w:id="783302670">
      <w:bodyDiv w:val="1"/>
      <w:marLeft w:val="0"/>
      <w:marRight w:val="0"/>
      <w:marTop w:val="0"/>
      <w:marBottom w:val="0"/>
      <w:divBdr>
        <w:top w:val="none" w:sz="0" w:space="0" w:color="auto"/>
        <w:left w:val="none" w:sz="0" w:space="0" w:color="auto"/>
        <w:bottom w:val="none" w:sz="0" w:space="0" w:color="auto"/>
        <w:right w:val="none" w:sz="0" w:space="0" w:color="auto"/>
      </w:divBdr>
    </w:div>
    <w:div w:id="791557707">
      <w:bodyDiv w:val="1"/>
      <w:marLeft w:val="0"/>
      <w:marRight w:val="0"/>
      <w:marTop w:val="0"/>
      <w:marBottom w:val="0"/>
      <w:divBdr>
        <w:top w:val="none" w:sz="0" w:space="0" w:color="auto"/>
        <w:left w:val="none" w:sz="0" w:space="0" w:color="auto"/>
        <w:bottom w:val="none" w:sz="0" w:space="0" w:color="auto"/>
        <w:right w:val="none" w:sz="0" w:space="0" w:color="auto"/>
      </w:divBdr>
    </w:div>
    <w:div w:id="840587044">
      <w:bodyDiv w:val="1"/>
      <w:marLeft w:val="0"/>
      <w:marRight w:val="0"/>
      <w:marTop w:val="0"/>
      <w:marBottom w:val="0"/>
      <w:divBdr>
        <w:top w:val="none" w:sz="0" w:space="0" w:color="auto"/>
        <w:left w:val="none" w:sz="0" w:space="0" w:color="auto"/>
        <w:bottom w:val="none" w:sz="0" w:space="0" w:color="auto"/>
        <w:right w:val="none" w:sz="0" w:space="0" w:color="auto"/>
      </w:divBdr>
    </w:div>
    <w:div w:id="926303771">
      <w:bodyDiv w:val="1"/>
      <w:marLeft w:val="0"/>
      <w:marRight w:val="0"/>
      <w:marTop w:val="0"/>
      <w:marBottom w:val="0"/>
      <w:divBdr>
        <w:top w:val="none" w:sz="0" w:space="0" w:color="auto"/>
        <w:left w:val="none" w:sz="0" w:space="0" w:color="auto"/>
        <w:bottom w:val="none" w:sz="0" w:space="0" w:color="auto"/>
        <w:right w:val="none" w:sz="0" w:space="0" w:color="auto"/>
      </w:divBdr>
    </w:div>
    <w:div w:id="1012418365">
      <w:bodyDiv w:val="1"/>
      <w:marLeft w:val="0"/>
      <w:marRight w:val="0"/>
      <w:marTop w:val="0"/>
      <w:marBottom w:val="0"/>
      <w:divBdr>
        <w:top w:val="none" w:sz="0" w:space="0" w:color="auto"/>
        <w:left w:val="none" w:sz="0" w:space="0" w:color="auto"/>
        <w:bottom w:val="none" w:sz="0" w:space="0" w:color="auto"/>
        <w:right w:val="none" w:sz="0" w:space="0" w:color="auto"/>
      </w:divBdr>
    </w:div>
    <w:div w:id="1094519956">
      <w:bodyDiv w:val="1"/>
      <w:marLeft w:val="0"/>
      <w:marRight w:val="0"/>
      <w:marTop w:val="0"/>
      <w:marBottom w:val="0"/>
      <w:divBdr>
        <w:top w:val="none" w:sz="0" w:space="0" w:color="auto"/>
        <w:left w:val="none" w:sz="0" w:space="0" w:color="auto"/>
        <w:bottom w:val="none" w:sz="0" w:space="0" w:color="auto"/>
        <w:right w:val="none" w:sz="0" w:space="0" w:color="auto"/>
      </w:divBdr>
    </w:div>
    <w:div w:id="1113789781">
      <w:bodyDiv w:val="1"/>
      <w:marLeft w:val="0"/>
      <w:marRight w:val="0"/>
      <w:marTop w:val="0"/>
      <w:marBottom w:val="0"/>
      <w:divBdr>
        <w:top w:val="none" w:sz="0" w:space="0" w:color="auto"/>
        <w:left w:val="none" w:sz="0" w:space="0" w:color="auto"/>
        <w:bottom w:val="none" w:sz="0" w:space="0" w:color="auto"/>
        <w:right w:val="none" w:sz="0" w:space="0" w:color="auto"/>
      </w:divBdr>
    </w:div>
    <w:div w:id="1145197586">
      <w:bodyDiv w:val="1"/>
      <w:marLeft w:val="0"/>
      <w:marRight w:val="0"/>
      <w:marTop w:val="0"/>
      <w:marBottom w:val="0"/>
      <w:divBdr>
        <w:top w:val="none" w:sz="0" w:space="0" w:color="auto"/>
        <w:left w:val="none" w:sz="0" w:space="0" w:color="auto"/>
        <w:bottom w:val="none" w:sz="0" w:space="0" w:color="auto"/>
        <w:right w:val="none" w:sz="0" w:space="0" w:color="auto"/>
      </w:divBdr>
    </w:div>
    <w:div w:id="1190070340">
      <w:bodyDiv w:val="1"/>
      <w:marLeft w:val="0"/>
      <w:marRight w:val="0"/>
      <w:marTop w:val="0"/>
      <w:marBottom w:val="0"/>
      <w:divBdr>
        <w:top w:val="none" w:sz="0" w:space="0" w:color="auto"/>
        <w:left w:val="none" w:sz="0" w:space="0" w:color="auto"/>
        <w:bottom w:val="none" w:sz="0" w:space="0" w:color="auto"/>
        <w:right w:val="none" w:sz="0" w:space="0" w:color="auto"/>
      </w:divBdr>
    </w:div>
    <w:div w:id="1227909559">
      <w:bodyDiv w:val="1"/>
      <w:marLeft w:val="0"/>
      <w:marRight w:val="0"/>
      <w:marTop w:val="0"/>
      <w:marBottom w:val="0"/>
      <w:divBdr>
        <w:top w:val="none" w:sz="0" w:space="0" w:color="auto"/>
        <w:left w:val="none" w:sz="0" w:space="0" w:color="auto"/>
        <w:bottom w:val="none" w:sz="0" w:space="0" w:color="auto"/>
        <w:right w:val="none" w:sz="0" w:space="0" w:color="auto"/>
      </w:divBdr>
    </w:div>
    <w:div w:id="1289821846">
      <w:bodyDiv w:val="1"/>
      <w:marLeft w:val="0"/>
      <w:marRight w:val="0"/>
      <w:marTop w:val="0"/>
      <w:marBottom w:val="0"/>
      <w:divBdr>
        <w:top w:val="none" w:sz="0" w:space="0" w:color="auto"/>
        <w:left w:val="none" w:sz="0" w:space="0" w:color="auto"/>
        <w:bottom w:val="none" w:sz="0" w:space="0" w:color="auto"/>
        <w:right w:val="none" w:sz="0" w:space="0" w:color="auto"/>
      </w:divBdr>
    </w:div>
    <w:div w:id="1394502078">
      <w:bodyDiv w:val="1"/>
      <w:marLeft w:val="0"/>
      <w:marRight w:val="0"/>
      <w:marTop w:val="0"/>
      <w:marBottom w:val="0"/>
      <w:divBdr>
        <w:top w:val="none" w:sz="0" w:space="0" w:color="auto"/>
        <w:left w:val="none" w:sz="0" w:space="0" w:color="auto"/>
        <w:bottom w:val="none" w:sz="0" w:space="0" w:color="auto"/>
        <w:right w:val="none" w:sz="0" w:space="0" w:color="auto"/>
      </w:divBdr>
      <w:divsChild>
        <w:div w:id="1335188313">
          <w:marLeft w:val="0"/>
          <w:marRight w:val="0"/>
          <w:marTop w:val="0"/>
          <w:marBottom w:val="0"/>
          <w:divBdr>
            <w:top w:val="none" w:sz="0" w:space="0" w:color="auto"/>
            <w:left w:val="none" w:sz="0" w:space="0" w:color="auto"/>
            <w:bottom w:val="none" w:sz="0" w:space="0" w:color="auto"/>
            <w:right w:val="none" w:sz="0" w:space="0" w:color="auto"/>
          </w:divBdr>
        </w:div>
      </w:divsChild>
    </w:div>
    <w:div w:id="1406368355">
      <w:bodyDiv w:val="1"/>
      <w:marLeft w:val="0"/>
      <w:marRight w:val="0"/>
      <w:marTop w:val="0"/>
      <w:marBottom w:val="0"/>
      <w:divBdr>
        <w:top w:val="none" w:sz="0" w:space="0" w:color="auto"/>
        <w:left w:val="none" w:sz="0" w:space="0" w:color="auto"/>
        <w:bottom w:val="none" w:sz="0" w:space="0" w:color="auto"/>
        <w:right w:val="none" w:sz="0" w:space="0" w:color="auto"/>
      </w:divBdr>
    </w:div>
    <w:div w:id="1444886726">
      <w:bodyDiv w:val="1"/>
      <w:marLeft w:val="0"/>
      <w:marRight w:val="0"/>
      <w:marTop w:val="0"/>
      <w:marBottom w:val="0"/>
      <w:divBdr>
        <w:top w:val="none" w:sz="0" w:space="0" w:color="auto"/>
        <w:left w:val="none" w:sz="0" w:space="0" w:color="auto"/>
        <w:bottom w:val="none" w:sz="0" w:space="0" w:color="auto"/>
        <w:right w:val="none" w:sz="0" w:space="0" w:color="auto"/>
      </w:divBdr>
    </w:div>
    <w:div w:id="1499690941">
      <w:bodyDiv w:val="1"/>
      <w:marLeft w:val="0"/>
      <w:marRight w:val="0"/>
      <w:marTop w:val="0"/>
      <w:marBottom w:val="0"/>
      <w:divBdr>
        <w:top w:val="none" w:sz="0" w:space="0" w:color="auto"/>
        <w:left w:val="none" w:sz="0" w:space="0" w:color="auto"/>
        <w:bottom w:val="none" w:sz="0" w:space="0" w:color="auto"/>
        <w:right w:val="none" w:sz="0" w:space="0" w:color="auto"/>
      </w:divBdr>
    </w:div>
    <w:div w:id="1537040578">
      <w:bodyDiv w:val="1"/>
      <w:marLeft w:val="0"/>
      <w:marRight w:val="0"/>
      <w:marTop w:val="0"/>
      <w:marBottom w:val="0"/>
      <w:divBdr>
        <w:top w:val="none" w:sz="0" w:space="0" w:color="auto"/>
        <w:left w:val="none" w:sz="0" w:space="0" w:color="auto"/>
        <w:bottom w:val="none" w:sz="0" w:space="0" w:color="auto"/>
        <w:right w:val="none" w:sz="0" w:space="0" w:color="auto"/>
      </w:divBdr>
      <w:divsChild>
        <w:div w:id="1803647554">
          <w:marLeft w:val="0"/>
          <w:marRight w:val="0"/>
          <w:marTop w:val="0"/>
          <w:marBottom w:val="0"/>
          <w:divBdr>
            <w:top w:val="none" w:sz="0" w:space="0" w:color="auto"/>
            <w:left w:val="none" w:sz="0" w:space="0" w:color="auto"/>
            <w:bottom w:val="none" w:sz="0" w:space="0" w:color="auto"/>
            <w:right w:val="none" w:sz="0" w:space="0" w:color="auto"/>
          </w:divBdr>
          <w:divsChild>
            <w:div w:id="491603418">
              <w:marLeft w:val="0"/>
              <w:marRight w:val="0"/>
              <w:marTop w:val="0"/>
              <w:marBottom w:val="0"/>
              <w:divBdr>
                <w:top w:val="none" w:sz="0" w:space="0" w:color="auto"/>
                <w:left w:val="none" w:sz="0" w:space="0" w:color="auto"/>
                <w:bottom w:val="none" w:sz="0" w:space="0" w:color="auto"/>
                <w:right w:val="none" w:sz="0" w:space="0" w:color="auto"/>
              </w:divBdr>
              <w:divsChild>
                <w:div w:id="1625114510">
                  <w:marLeft w:val="0"/>
                  <w:marRight w:val="3600"/>
                  <w:marTop w:val="0"/>
                  <w:marBottom w:val="0"/>
                  <w:divBdr>
                    <w:top w:val="none" w:sz="0" w:space="0" w:color="auto"/>
                    <w:left w:val="none" w:sz="0" w:space="0" w:color="auto"/>
                    <w:bottom w:val="none" w:sz="0" w:space="0" w:color="auto"/>
                    <w:right w:val="none" w:sz="0" w:space="0" w:color="auto"/>
                  </w:divBdr>
                </w:div>
              </w:divsChild>
            </w:div>
          </w:divsChild>
        </w:div>
      </w:divsChild>
    </w:div>
    <w:div w:id="1569924576">
      <w:bodyDiv w:val="1"/>
      <w:marLeft w:val="0"/>
      <w:marRight w:val="0"/>
      <w:marTop w:val="0"/>
      <w:marBottom w:val="0"/>
      <w:divBdr>
        <w:top w:val="none" w:sz="0" w:space="0" w:color="auto"/>
        <w:left w:val="none" w:sz="0" w:space="0" w:color="auto"/>
        <w:bottom w:val="none" w:sz="0" w:space="0" w:color="auto"/>
        <w:right w:val="none" w:sz="0" w:space="0" w:color="auto"/>
      </w:divBdr>
    </w:div>
    <w:div w:id="1756587116">
      <w:bodyDiv w:val="1"/>
      <w:marLeft w:val="0"/>
      <w:marRight w:val="0"/>
      <w:marTop w:val="0"/>
      <w:marBottom w:val="0"/>
      <w:divBdr>
        <w:top w:val="none" w:sz="0" w:space="0" w:color="auto"/>
        <w:left w:val="none" w:sz="0" w:space="0" w:color="auto"/>
        <w:bottom w:val="none" w:sz="0" w:space="0" w:color="auto"/>
        <w:right w:val="none" w:sz="0" w:space="0" w:color="auto"/>
      </w:divBdr>
    </w:div>
    <w:div w:id="1816338842">
      <w:bodyDiv w:val="1"/>
      <w:marLeft w:val="0"/>
      <w:marRight w:val="0"/>
      <w:marTop w:val="0"/>
      <w:marBottom w:val="0"/>
      <w:divBdr>
        <w:top w:val="none" w:sz="0" w:space="0" w:color="auto"/>
        <w:left w:val="none" w:sz="0" w:space="0" w:color="auto"/>
        <w:bottom w:val="none" w:sz="0" w:space="0" w:color="auto"/>
        <w:right w:val="none" w:sz="0" w:space="0" w:color="auto"/>
      </w:divBdr>
    </w:div>
    <w:div w:id="1832330086">
      <w:bodyDiv w:val="1"/>
      <w:marLeft w:val="0"/>
      <w:marRight w:val="0"/>
      <w:marTop w:val="0"/>
      <w:marBottom w:val="0"/>
      <w:divBdr>
        <w:top w:val="none" w:sz="0" w:space="0" w:color="auto"/>
        <w:left w:val="none" w:sz="0" w:space="0" w:color="auto"/>
        <w:bottom w:val="none" w:sz="0" w:space="0" w:color="auto"/>
        <w:right w:val="none" w:sz="0" w:space="0" w:color="auto"/>
      </w:divBdr>
    </w:div>
    <w:div w:id="1977025163">
      <w:bodyDiv w:val="1"/>
      <w:marLeft w:val="0"/>
      <w:marRight w:val="0"/>
      <w:marTop w:val="0"/>
      <w:marBottom w:val="0"/>
      <w:divBdr>
        <w:top w:val="none" w:sz="0" w:space="0" w:color="auto"/>
        <w:left w:val="none" w:sz="0" w:space="0" w:color="auto"/>
        <w:bottom w:val="none" w:sz="0" w:space="0" w:color="auto"/>
        <w:right w:val="none" w:sz="0" w:space="0" w:color="auto"/>
      </w:divBdr>
    </w:div>
    <w:div w:id="2008358349">
      <w:bodyDiv w:val="1"/>
      <w:marLeft w:val="0"/>
      <w:marRight w:val="0"/>
      <w:marTop w:val="0"/>
      <w:marBottom w:val="0"/>
      <w:divBdr>
        <w:top w:val="none" w:sz="0" w:space="0" w:color="auto"/>
        <w:left w:val="none" w:sz="0" w:space="0" w:color="auto"/>
        <w:bottom w:val="none" w:sz="0" w:space="0" w:color="auto"/>
        <w:right w:val="none" w:sz="0" w:space="0" w:color="auto"/>
      </w:divBdr>
    </w:div>
    <w:div w:id="2083942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E7C59F-7C76-40A0-8BCE-40CE7E28D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119</TotalTime>
  <Pages>15</Pages>
  <Words>4659</Words>
  <Characters>26349</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Sector Overview F Community Services - Report on Government Services 2017</vt:lpstr>
    </vt:vector>
  </TitlesOfParts>
  <Company>Productivity Commission</Company>
  <LinksUpToDate>false</LinksUpToDate>
  <CharactersWithSpaces>30947</CharactersWithSpaces>
  <SharedDoc>false</SharedDoc>
  <HLinks>
    <vt:vector size="30" baseType="variant">
      <vt:variant>
        <vt:i4>1966128</vt:i4>
      </vt:variant>
      <vt:variant>
        <vt:i4>26</vt:i4>
      </vt:variant>
      <vt:variant>
        <vt:i4>0</vt:i4>
      </vt:variant>
      <vt:variant>
        <vt:i4>5</vt:i4>
      </vt:variant>
      <vt:variant>
        <vt:lpwstr/>
      </vt:variant>
      <vt:variant>
        <vt:lpwstr>_Toc306118404</vt:lpwstr>
      </vt:variant>
      <vt:variant>
        <vt:i4>1966128</vt:i4>
      </vt:variant>
      <vt:variant>
        <vt:i4>20</vt:i4>
      </vt:variant>
      <vt:variant>
        <vt:i4>0</vt:i4>
      </vt:variant>
      <vt:variant>
        <vt:i4>5</vt:i4>
      </vt:variant>
      <vt:variant>
        <vt:lpwstr/>
      </vt:variant>
      <vt:variant>
        <vt:lpwstr>_Toc306118403</vt:lpwstr>
      </vt:variant>
      <vt:variant>
        <vt:i4>1966128</vt:i4>
      </vt:variant>
      <vt:variant>
        <vt:i4>14</vt:i4>
      </vt:variant>
      <vt:variant>
        <vt:i4>0</vt:i4>
      </vt:variant>
      <vt:variant>
        <vt:i4>5</vt:i4>
      </vt:variant>
      <vt:variant>
        <vt:lpwstr/>
      </vt:variant>
      <vt:variant>
        <vt:lpwstr>_Toc306118402</vt:lpwstr>
      </vt:variant>
      <vt:variant>
        <vt:i4>1966128</vt:i4>
      </vt:variant>
      <vt:variant>
        <vt:i4>8</vt:i4>
      </vt:variant>
      <vt:variant>
        <vt:i4>0</vt:i4>
      </vt:variant>
      <vt:variant>
        <vt:i4>5</vt:i4>
      </vt:variant>
      <vt:variant>
        <vt:lpwstr/>
      </vt:variant>
      <vt:variant>
        <vt:lpwstr>_Toc306118401</vt:lpwstr>
      </vt:variant>
      <vt:variant>
        <vt:i4>1966128</vt:i4>
      </vt:variant>
      <vt:variant>
        <vt:i4>2</vt:i4>
      </vt:variant>
      <vt:variant>
        <vt:i4>0</vt:i4>
      </vt:variant>
      <vt:variant>
        <vt:i4>5</vt:i4>
      </vt:variant>
      <vt:variant>
        <vt:lpwstr/>
      </vt:variant>
      <vt:variant>
        <vt:lpwstr>_Toc306118400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Sector Overview F Community Services - Report on Government Services 2017</dc:title>
  <dc:subject/>
  <dc:creator>Steering Committee for the Review of Government Service Provision</dc:creator>
  <dc:description/>
  <cp:lastModifiedBy>Frech, Tanya</cp:lastModifiedBy>
  <cp:revision>11</cp:revision>
  <cp:lastPrinted>2016-12-19T04:55:00Z</cp:lastPrinted>
  <dcterms:created xsi:type="dcterms:W3CDTF">2016-12-15T23:17:00Z</dcterms:created>
  <dcterms:modified xsi:type="dcterms:W3CDTF">2017-01-05T23:36:00Z</dcterms:modified>
</cp:coreProperties>
</file>