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137DE" w:rsidP="003341B0">
      <w:pPr>
        <w:pStyle w:val="Heading1"/>
      </w:pPr>
      <w:bookmarkStart w:id="0" w:name="ChapterTitle"/>
      <w:bookmarkStart w:id="1" w:name="_Toc396142801"/>
      <w:bookmarkStart w:id="2" w:name="_Toc401736866"/>
      <w:bookmarkStart w:id="3" w:name="_Toc432603285"/>
      <w:bookmarkStart w:id="4" w:name="_Toc439927309"/>
      <w:bookmarkStart w:id="5" w:name="_Toc464468437"/>
      <w:r w:rsidRPr="003341B0">
        <w:t xml:space="preserve">G </w:t>
      </w:r>
      <w:r w:rsidRPr="003341B0">
        <w:tab/>
      </w:r>
      <w:r w:rsidR="00EE2A5B" w:rsidRPr="003341B0">
        <w:t>Housing an</w:t>
      </w:r>
      <w:r w:rsidR="00F87662" w:rsidRPr="003341B0">
        <w:t>d homelessness sector overvie</w:t>
      </w:r>
      <w:bookmarkEnd w:id="0"/>
      <w:r w:rsidR="002D4480" w:rsidRPr="003341B0">
        <w:t>w</w:t>
      </w:r>
      <w:bookmarkStart w:id="6" w:name="_GoBack"/>
      <w:bookmarkEnd w:id="1"/>
      <w:bookmarkEnd w:id="2"/>
      <w:bookmarkEnd w:id="3"/>
      <w:bookmarkEnd w:id="4"/>
      <w:bookmarkEnd w:id="5"/>
      <w:bookmarkEnd w:id="6"/>
    </w:p>
    <w:p w:rsidR="00EB5EF8" w:rsidRPr="00443CA1" w:rsidRDefault="00EB5EF8" w:rsidP="00EB5EF8">
      <w:pPr>
        <w:pStyle w:val="Heading4"/>
      </w:pPr>
      <w:r w:rsidRPr="00443CA1">
        <w:t>CONTENTS</w:t>
      </w:r>
    </w:p>
    <w:sdt>
      <w:sdtPr>
        <w:rPr>
          <w:b w:val="0"/>
          <w:noProof/>
        </w:rPr>
        <w:id w:val="-1076048352"/>
        <w:docPartObj>
          <w:docPartGallery w:val="Table of Contents"/>
          <w:docPartUnique/>
        </w:docPartObj>
      </w:sdtPr>
      <w:sdtEndPr>
        <w:rPr>
          <w:noProof w:val="0"/>
        </w:rPr>
      </w:sdtEndPr>
      <w:sdtContent>
        <w:p w:rsidR="00094BD0" w:rsidRDefault="00094BD0">
          <w:pPr>
            <w:pStyle w:val="TOC1"/>
            <w:rPr>
              <w:rFonts w:asciiTheme="minorHAnsi" w:eastAsiaTheme="minorEastAsia" w:hAnsiTheme="minorHAnsi" w:cstheme="minorBidi"/>
              <w:b w:val="0"/>
              <w:noProof/>
              <w:sz w:val="22"/>
              <w:szCs w:val="22"/>
              <w:lang w:eastAsia="en-AU"/>
            </w:rPr>
          </w:pPr>
        </w:p>
        <w:p w:rsidR="00094BD0" w:rsidRDefault="00094BD0">
          <w:pPr>
            <w:pStyle w:val="TOC2"/>
            <w:tabs>
              <w:tab w:val="left" w:pos="1190"/>
            </w:tabs>
            <w:rPr>
              <w:rFonts w:asciiTheme="minorHAnsi" w:eastAsiaTheme="minorEastAsia" w:hAnsiTheme="minorHAnsi" w:cstheme="minorBidi"/>
              <w:noProof/>
              <w:sz w:val="22"/>
              <w:szCs w:val="22"/>
              <w:lang w:eastAsia="en-AU"/>
            </w:rPr>
          </w:pPr>
          <w:r>
            <w:rPr>
              <w:noProof/>
            </w:rPr>
            <w:t>G.1</w:t>
          </w:r>
          <w:r>
            <w:rPr>
              <w:rFonts w:asciiTheme="minorHAnsi" w:eastAsiaTheme="minorEastAsia" w:hAnsiTheme="minorHAnsi" w:cstheme="minorBidi"/>
              <w:noProof/>
              <w:sz w:val="22"/>
              <w:szCs w:val="22"/>
              <w:lang w:eastAsia="en-AU"/>
            </w:rPr>
            <w:tab/>
          </w:r>
          <w:r>
            <w:rPr>
              <w:noProof/>
            </w:rPr>
            <w:t>Introduction</w:t>
          </w:r>
          <w:r>
            <w:rPr>
              <w:noProof/>
            </w:rPr>
            <w:tab/>
          </w:r>
          <w:r w:rsidR="00E57845">
            <w:rPr>
              <w:noProof/>
            </w:rPr>
            <w:t>G.</w:t>
          </w:r>
          <w:r w:rsidR="00FD5259">
            <w:rPr>
              <w:noProof/>
            </w:rPr>
            <w:t>1</w:t>
          </w:r>
        </w:p>
        <w:p w:rsidR="00094BD0" w:rsidRDefault="00094BD0">
          <w:pPr>
            <w:pStyle w:val="TOC2"/>
            <w:tabs>
              <w:tab w:val="left" w:pos="1190"/>
            </w:tabs>
            <w:rPr>
              <w:rFonts w:asciiTheme="minorHAnsi" w:eastAsiaTheme="minorEastAsia" w:hAnsiTheme="minorHAnsi" w:cstheme="minorBidi"/>
              <w:noProof/>
              <w:sz w:val="22"/>
              <w:szCs w:val="22"/>
              <w:lang w:eastAsia="en-AU"/>
            </w:rPr>
          </w:pPr>
          <w:r>
            <w:rPr>
              <w:noProof/>
            </w:rPr>
            <w:t>G.2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E57845">
            <w:rPr>
              <w:noProof/>
            </w:rPr>
            <w:t>G.</w:t>
          </w:r>
          <w:r w:rsidR="00FD5259">
            <w:rPr>
              <w:noProof/>
            </w:rPr>
            <w:t>6</w:t>
          </w:r>
        </w:p>
        <w:p w:rsidR="00094BD0" w:rsidRDefault="00094BD0">
          <w:pPr>
            <w:pStyle w:val="TOC2"/>
            <w:tabs>
              <w:tab w:val="left" w:pos="1190"/>
            </w:tabs>
            <w:rPr>
              <w:rFonts w:asciiTheme="minorHAnsi" w:eastAsiaTheme="minorEastAsia" w:hAnsiTheme="minorHAnsi" w:cstheme="minorBidi"/>
              <w:noProof/>
              <w:sz w:val="22"/>
              <w:szCs w:val="22"/>
              <w:lang w:eastAsia="en-AU"/>
            </w:rPr>
          </w:pPr>
          <w:r>
            <w:rPr>
              <w:noProof/>
            </w:rPr>
            <w:t>G.3</w:t>
          </w:r>
          <w:r>
            <w:rPr>
              <w:rFonts w:asciiTheme="minorHAnsi" w:eastAsiaTheme="minorEastAsia" w:hAnsiTheme="minorHAnsi" w:cstheme="minorBidi"/>
              <w:noProof/>
              <w:sz w:val="22"/>
              <w:szCs w:val="22"/>
              <w:lang w:eastAsia="en-AU"/>
            </w:rPr>
            <w:tab/>
          </w:r>
          <w:r>
            <w:rPr>
              <w:noProof/>
            </w:rPr>
            <w:t>Cross</w:t>
          </w:r>
          <w:r>
            <w:rPr>
              <w:noProof/>
            </w:rPr>
            <w:noBreakHyphen/>
            <w:t>cutting and interface issues</w:t>
          </w:r>
          <w:r>
            <w:rPr>
              <w:noProof/>
            </w:rPr>
            <w:tab/>
          </w:r>
          <w:r w:rsidR="00E57845">
            <w:rPr>
              <w:noProof/>
            </w:rPr>
            <w:t>G.</w:t>
          </w:r>
          <w:r w:rsidR="00FD5259">
            <w:rPr>
              <w:noProof/>
            </w:rPr>
            <w:t>11</w:t>
          </w:r>
        </w:p>
        <w:p w:rsidR="00094BD0" w:rsidRDefault="00094BD0">
          <w:pPr>
            <w:pStyle w:val="TOC2"/>
            <w:tabs>
              <w:tab w:val="left" w:pos="1320"/>
            </w:tabs>
            <w:rPr>
              <w:rFonts w:asciiTheme="minorHAnsi" w:eastAsiaTheme="minorEastAsia" w:hAnsiTheme="minorHAnsi" w:cstheme="minorBidi"/>
              <w:noProof/>
              <w:sz w:val="22"/>
              <w:szCs w:val="22"/>
              <w:lang w:eastAsia="en-AU"/>
            </w:rPr>
          </w:pPr>
          <w:r>
            <w:rPr>
              <w:noProof/>
            </w:rPr>
            <w:t xml:space="preserve">G.4 </w:t>
          </w:r>
          <w:r>
            <w:rPr>
              <w:rFonts w:asciiTheme="minorHAnsi" w:eastAsiaTheme="minorEastAsia" w:hAnsiTheme="minorHAnsi" w:cstheme="minorBidi"/>
              <w:noProof/>
              <w:sz w:val="22"/>
              <w:szCs w:val="22"/>
              <w:lang w:eastAsia="en-AU"/>
            </w:rPr>
            <w:tab/>
          </w:r>
          <w:r>
            <w:rPr>
              <w:noProof/>
            </w:rPr>
            <w:t>Definitions of key terms</w:t>
          </w:r>
          <w:r>
            <w:rPr>
              <w:noProof/>
            </w:rPr>
            <w:tab/>
          </w:r>
          <w:r w:rsidR="00E57845">
            <w:rPr>
              <w:noProof/>
            </w:rPr>
            <w:t>G.</w:t>
          </w:r>
          <w:r w:rsidR="00FD5259">
            <w:rPr>
              <w:noProof/>
            </w:rPr>
            <w:t>13</w:t>
          </w:r>
        </w:p>
        <w:p w:rsidR="00094BD0" w:rsidRDefault="00094BD0">
          <w:pPr>
            <w:pStyle w:val="TOC2"/>
            <w:tabs>
              <w:tab w:val="left" w:pos="1190"/>
            </w:tabs>
            <w:rPr>
              <w:rFonts w:asciiTheme="minorHAnsi" w:eastAsiaTheme="minorEastAsia" w:hAnsiTheme="minorHAnsi" w:cstheme="minorBidi"/>
              <w:noProof/>
              <w:sz w:val="22"/>
              <w:szCs w:val="22"/>
              <w:lang w:eastAsia="en-AU"/>
            </w:rPr>
          </w:pPr>
          <w:r>
            <w:rPr>
              <w:noProof/>
            </w:rPr>
            <w:t>G.5</w:t>
          </w:r>
          <w:r>
            <w:rPr>
              <w:rFonts w:asciiTheme="minorHAnsi" w:eastAsiaTheme="minorEastAsia" w:hAnsiTheme="minorHAnsi" w:cstheme="minorBidi"/>
              <w:noProof/>
              <w:sz w:val="22"/>
              <w:szCs w:val="22"/>
              <w:lang w:eastAsia="en-AU"/>
            </w:rPr>
            <w:tab/>
          </w:r>
          <w:r>
            <w:rPr>
              <w:noProof/>
            </w:rPr>
            <w:t>Appendix – Private housing market contextual information</w:t>
          </w:r>
          <w:r>
            <w:rPr>
              <w:noProof/>
            </w:rPr>
            <w:tab/>
          </w:r>
          <w:r w:rsidR="00E57845">
            <w:rPr>
              <w:noProof/>
            </w:rPr>
            <w:t>G.</w:t>
          </w:r>
          <w:r w:rsidR="00FD5259">
            <w:rPr>
              <w:noProof/>
            </w:rPr>
            <w:t>15</w:t>
          </w:r>
        </w:p>
        <w:p w:rsidR="00094BD0" w:rsidRDefault="00094BD0">
          <w:pPr>
            <w:pStyle w:val="TOC2"/>
            <w:tabs>
              <w:tab w:val="left" w:pos="1190"/>
            </w:tabs>
            <w:rPr>
              <w:rFonts w:asciiTheme="minorHAnsi" w:eastAsiaTheme="minorEastAsia" w:hAnsiTheme="minorHAnsi" w:cstheme="minorBidi"/>
              <w:noProof/>
              <w:sz w:val="22"/>
              <w:szCs w:val="22"/>
              <w:lang w:eastAsia="en-AU"/>
            </w:rPr>
          </w:pPr>
          <w:r>
            <w:rPr>
              <w:noProof/>
            </w:rPr>
            <w:t>G.6</w:t>
          </w:r>
          <w:r>
            <w:rPr>
              <w:rFonts w:asciiTheme="minorHAnsi" w:eastAsiaTheme="minorEastAsia" w:hAnsiTheme="minorHAnsi" w:cstheme="minorBidi"/>
              <w:noProof/>
              <w:sz w:val="22"/>
              <w:szCs w:val="22"/>
              <w:lang w:eastAsia="en-AU"/>
            </w:rPr>
            <w:tab/>
          </w:r>
          <w:r>
            <w:rPr>
              <w:noProof/>
            </w:rPr>
            <w:t>References</w:t>
          </w:r>
          <w:r>
            <w:rPr>
              <w:noProof/>
            </w:rPr>
            <w:tab/>
          </w:r>
          <w:r w:rsidR="00E57845">
            <w:rPr>
              <w:noProof/>
            </w:rPr>
            <w:t>G.</w:t>
          </w:r>
          <w:r w:rsidR="00FD5259">
            <w:rPr>
              <w:noProof/>
            </w:rPr>
            <w:t>16</w:t>
          </w:r>
        </w:p>
        <w:p w:rsidR="00094BD0" w:rsidRPr="000D6755" w:rsidRDefault="00B659B3" w:rsidP="00094BD0">
          <w:pPr>
            <w:pStyle w:val="TOC2"/>
            <w:tabs>
              <w:tab w:val="left" w:pos="1190"/>
            </w:tabs>
            <w:ind w:left="0" w:firstLine="0"/>
          </w:pPr>
        </w:p>
      </w:sdtContent>
    </w:sdt>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3E69" w:rsidTr="00AB5A61">
        <w:tc>
          <w:tcPr>
            <w:tcW w:w="8771" w:type="dxa"/>
            <w:tcBorders>
              <w:top w:val="single" w:sz="6" w:space="0" w:color="78A22F"/>
              <w:left w:val="nil"/>
              <w:bottom w:val="nil"/>
              <w:right w:val="nil"/>
            </w:tcBorders>
            <w:shd w:val="clear" w:color="auto" w:fill="F2F2F2" w:themeFill="background1" w:themeFillShade="F2"/>
          </w:tcPr>
          <w:p w:rsidR="00123E69" w:rsidRDefault="00123E69" w:rsidP="00123E69">
            <w:pPr>
              <w:pStyle w:val="BoxTitle"/>
            </w:pPr>
            <w:r>
              <w:t>Attachment tables</w:t>
            </w:r>
          </w:p>
        </w:tc>
      </w:tr>
      <w:tr w:rsidR="00123E69" w:rsidTr="00AB5A61">
        <w:trPr>
          <w:cantSplit/>
        </w:trPr>
        <w:tc>
          <w:tcPr>
            <w:tcW w:w="8771" w:type="dxa"/>
            <w:tcBorders>
              <w:top w:val="nil"/>
              <w:left w:val="nil"/>
              <w:bottom w:val="nil"/>
              <w:right w:val="nil"/>
            </w:tcBorders>
            <w:shd w:val="clear" w:color="auto" w:fill="F2F2F2" w:themeFill="background1" w:themeFillShade="F2"/>
          </w:tcPr>
          <w:p w:rsidR="00123E69" w:rsidRPr="00C85EE8" w:rsidRDefault="00123E69" w:rsidP="00E65B0B">
            <w:pPr>
              <w:pStyle w:val="Box"/>
            </w:pPr>
            <w:r w:rsidRPr="00C85EE8">
              <w:t>Attachment tables are identified in references throughout this sector overview by a ‘GA’ prefix (for example, table GA.1</w:t>
            </w:r>
            <w:r w:rsidR="004E4ED6">
              <w:t>)</w:t>
            </w:r>
            <w:r w:rsidRPr="00C85EE8">
              <w:t xml:space="preserve"> </w:t>
            </w:r>
            <w:r w:rsidR="004E4ED6">
              <w:t>and</w:t>
            </w:r>
            <w:r w:rsidR="00F054D7">
              <w:t xml:space="preserve"> are available </w:t>
            </w:r>
            <w:r w:rsidR="00E65B0B">
              <w:t xml:space="preserve">from </w:t>
            </w:r>
            <w:r w:rsidR="00F054D7">
              <w:t>the</w:t>
            </w:r>
            <w:r w:rsidR="006C596A">
              <w:t xml:space="preserve"> website at www.pc.gov.au</w:t>
            </w:r>
            <w:r w:rsidR="00A57889">
              <w:t>/rogs/201</w:t>
            </w:r>
            <w:r w:rsidR="0041099E">
              <w:t>7</w:t>
            </w:r>
            <w:r w:rsidR="00CF4AA7" w:rsidRPr="00C85EE8">
              <w:t>.</w:t>
            </w:r>
          </w:p>
        </w:tc>
      </w:tr>
      <w:tr w:rsidR="00123E69" w:rsidTr="00AB5A61">
        <w:trPr>
          <w:cantSplit/>
        </w:trPr>
        <w:tc>
          <w:tcPr>
            <w:tcW w:w="8771" w:type="dxa"/>
            <w:tcBorders>
              <w:top w:val="nil"/>
              <w:left w:val="nil"/>
              <w:bottom w:val="single" w:sz="6" w:space="0" w:color="78A22F"/>
              <w:right w:val="nil"/>
            </w:tcBorders>
            <w:shd w:val="clear" w:color="auto" w:fill="F2F2F2" w:themeFill="background1" w:themeFillShade="F2"/>
          </w:tcPr>
          <w:p w:rsidR="00123E69" w:rsidRDefault="00123E69">
            <w:pPr>
              <w:pStyle w:val="Box"/>
              <w:spacing w:before="0" w:line="120" w:lineRule="exact"/>
            </w:pPr>
          </w:p>
        </w:tc>
      </w:tr>
      <w:tr w:rsidR="00123E69" w:rsidRPr="000863A5" w:rsidTr="00AB5A61">
        <w:tc>
          <w:tcPr>
            <w:tcW w:w="8771" w:type="dxa"/>
            <w:tcBorders>
              <w:top w:val="single" w:sz="6" w:space="0" w:color="78A22F"/>
              <w:left w:val="nil"/>
              <w:bottom w:val="nil"/>
              <w:right w:val="nil"/>
            </w:tcBorders>
          </w:tcPr>
          <w:p w:rsidR="00123E69" w:rsidRPr="000D6755" w:rsidRDefault="00123E69" w:rsidP="00AB5A61">
            <w:pPr>
              <w:pStyle w:val="BoxSpaceBelow"/>
            </w:pPr>
          </w:p>
        </w:tc>
      </w:tr>
    </w:tbl>
    <w:p w:rsidR="00EE2A5B" w:rsidRPr="00E86F55" w:rsidRDefault="00C066DD" w:rsidP="00E86F55">
      <w:pPr>
        <w:pStyle w:val="Heading2"/>
      </w:pPr>
      <w:bookmarkStart w:id="7" w:name="_Toc306106365"/>
      <w:bookmarkStart w:id="8" w:name="_Toc401736867"/>
      <w:bookmarkStart w:id="9" w:name="_Toc464468438"/>
      <w:proofErr w:type="spellStart"/>
      <w:r w:rsidRPr="00C2463A">
        <w:t>G.</w:t>
      </w:r>
      <w:r w:rsidR="00561A56" w:rsidRPr="00C2463A">
        <w:t>1</w:t>
      </w:r>
      <w:proofErr w:type="spellEnd"/>
      <w:r w:rsidRPr="00C2463A">
        <w:tab/>
      </w:r>
      <w:r w:rsidR="00EE2A5B" w:rsidRPr="00C2463A">
        <w:t>Introduction</w:t>
      </w:r>
      <w:bookmarkEnd w:id="7"/>
      <w:bookmarkEnd w:id="8"/>
      <w:bookmarkEnd w:id="9"/>
    </w:p>
    <w:p w:rsidR="00EE2A5B" w:rsidRPr="002D55DA" w:rsidRDefault="00F054D7" w:rsidP="002D55DA">
      <w:pPr>
        <w:pStyle w:val="BodyText"/>
      </w:pPr>
      <w:r>
        <w:t>This</w:t>
      </w:r>
      <w:r w:rsidR="004B0507">
        <w:t xml:space="preserve"> sector </w:t>
      </w:r>
      <w:r w:rsidR="00BB2E89" w:rsidRPr="002D55DA">
        <w:t>overview</w:t>
      </w:r>
      <w:r w:rsidR="004B0507">
        <w:t xml:space="preserve"> provides an introduction to the</w:t>
      </w:r>
      <w:r w:rsidR="00415D93">
        <w:t xml:space="preserve"> </w:t>
      </w:r>
      <w:r w:rsidR="00C0734D" w:rsidRPr="002D55DA">
        <w:t>Housing</w:t>
      </w:r>
      <w:r w:rsidR="00C0734D">
        <w:t xml:space="preserve"> </w:t>
      </w:r>
      <w:r w:rsidR="00D85035">
        <w:t>(</w:t>
      </w:r>
      <w:r>
        <w:t>chapter</w:t>
      </w:r>
      <w:r w:rsidR="00690AAC">
        <w:t> </w:t>
      </w:r>
      <w:r w:rsidR="00D85035">
        <w:t>1</w:t>
      </w:r>
      <w:r w:rsidR="00637303">
        <w:t>8</w:t>
      </w:r>
      <w:r w:rsidR="00D85035">
        <w:t xml:space="preserve">) and </w:t>
      </w:r>
      <w:r w:rsidR="00C0734D">
        <w:t xml:space="preserve">Homelessness </w:t>
      </w:r>
      <w:r w:rsidR="009A31AE">
        <w:t xml:space="preserve">services </w:t>
      </w:r>
      <w:r w:rsidR="00D85035">
        <w:t>(</w:t>
      </w:r>
      <w:r>
        <w:t>chapter</w:t>
      </w:r>
      <w:r w:rsidR="00690AAC">
        <w:t> </w:t>
      </w:r>
      <w:r>
        <w:t>1</w:t>
      </w:r>
      <w:r w:rsidR="00637303">
        <w:t>9</w:t>
      </w:r>
      <w:r>
        <w:t>) chapters of this Report</w:t>
      </w:r>
      <w:r w:rsidR="00D85035">
        <w:t xml:space="preserve"> and provides </w:t>
      </w:r>
      <w:r w:rsidR="00D85035" w:rsidRPr="002D55DA">
        <w:t xml:space="preserve">contextual information </w:t>
      </w:r>
      <w:r w:rsidR="00D85035">
        <w:t>along with</w:t>
      </w:r>
      <w:r w:rsidR="00D85035" w:rsidRPr="002D55DA">
        <w:t xml:space="preserve"> high level performance information</w:t>
      </w:r>
      <w:r w:rsidR="00EE2A5B" w:rsidRPr="002D55DA">
        <w:t>.</w:t>
      </w:r>
    </w:p>
    <w:p w:rsidR="00691CCA" w:rsidRDefault="00DF477F" w:rsidP="008143CC">
      <w:pPr>
        <w:pStyle w:val="BodyText"/>
      </w:pPr>
      <w:r w:rsidRPr="00A0768F">
        <w:t>All abbreviations used in this Report are available in a complete list in volume A: Approach to performance reporting.</w:t>
      </w:r>
    </w:p>
    <w:p w:rsidR="00583679" w:rsidRDefault="00583679" w:rsidP="002354A5">
      <w:pPr>
        <w:pStyle w:val="Heading3"/>
      </w:pPr>
      <w:r>
        <w:t>Profile</w:t>
      </w:r>
      <w:r w:rsidR="00107A71">
        <w:t xml:space="preserve"> of the h</w:t>
      </w:r>
      <w:r w:rsidR="005D7553">
        <w:t>ousing and homelessness sector</w:t>
      </w:r>
    </w:p>
    <w:p w:rsidR="00EE0660" w:rsidRDefault="009423CF" w:rsidP="00927989">
      <w:pPr>
        <w:pStyle w:val="BodyText"/>
      </w:pPr>
      <w:r>
        <w:t xml:space="preserve">Detailed profiles for </w:t>
      </w:r>
      <w:r w:rsidR="00BF6E7F">
        <w:t xml:space="preserve">social housing and specialist homelessness </w:t>
      </w:r>
      <w:r>
        <w:t>services are reported in chapters</w:t>
      </w:r>
      <w:r w:rsidR="00690AAC">
        <w:t> </w:t>
      </w:r>
      <w:r>
        <w:t>1</w:t>
      </w:r>
      <w:r w:rsidR="00BF6E7F">
        <w:t>8 and 19</w:t>
      </w:r>
      <w:r>
        <w:t>.</w:t>
      </w:r>
      <w:r w:rsidR="00A26D80">
        <w:t xml:space="preserve"> In summary, s</w:t>
      </w:r>
      <w:r w:rsidR="00710BC1" w:rsidRPr="004D08A9">
        <w:t>ocial housing is rental housing</w:t>
      </w:r>
      <w:r w:rsidR="00710BC1" w:rsidRPr="00A04F35">
        <w:t xml:space="preserve"> </w:t>
      </w:r>
      <w:r w:rsidR="00710BC1">
        <w:t>provided by not</w:t>
      </w:r>
      <w:r w:rsidR="00710BC1">
        <w:noBreakHyphen/>
        <w:t>for</w:t>
      </w:r>
      <w:r w:rsidR="00710BC1">
        <w:noBreakHyphen/>
        <w:t>profit, non</w:t>
      </w:r>
      <w:r w:rsidR="00710BC1">
        <w:noBreakHyphen/>
      </w:r>
      <w:r w:rsidR="00710BC1" w:rsidRPr="00A04F35">
        <w:t xml:space="preserve">government or government organisations to assist people who are unable to access suitable accommodation </w:t>
      </w:r>
      <w:r w:rsidR="00710BC1">
        <w:t xml:space="preserve">through </w:t>
      </w:r>
      <w:r w:rsidR="00710BC1" w:rsidRPr="00A04F35">
        <w:t xml:space="preserve">the private market. </w:t>
      </w:r>
      <w:r w:rsidR="00710BC1">
        <w:t xml:space="preserve">Specialist </w:t>
      </w:r>
      <w:r w:rsidR="00710BC1">
        <w:lastRenderedPageBreak/>
        <w:t xml:space="preserve">homelessness services are services to assist people who are homeless or at risk of homelessness. </w:t>
      </w:r>
      <w:r w:rsidR="00581167" w:rsidRPr="00581167">
        <w:t>Housing assistance and services to people who are homeless or at risk of homelessness are closely interconnected.</w:t>
      </w:r>
      <w:r w:rsidR="00581167">
        <w:t xml:space="preserve"> </w:t>
      </w:r>
      <w:r w:rsidR="00710BC1">
        <w:t>This sector overview provides contextual information about the broader sector in which those services operate.</w:t>
      </w:r>
    </w:p>
    <w:p w:rsidR="00DC6346" w:rsidRDefault="00DC6346" w:rsidP="00DC6346">
      <w:pPr>
        <w:pStyle w:val="Heading4"/>
      </w:pPr>
      <w:r>
        <w:t>Roles and responsibilities</w:t>
      </w:r>
    </w:p>
    <w:p w:rsidR="003970A6" w:rsidRPr="00CC52ED" w:rsidRDefault="003970A6" w:rsidP="00CC52ED">
      <w:pPr>
        <w:pStyle w:val="BodyText"/>
      </w:pPr>
      <w:r>
        <w:t xml:space="preserve">The National Affordable Housing Agreement (NAHA) provides the framework for the Australian, State and Territory governments to work together to </w:t>
      </w:r>
      <w:r w:rsidRPr="00BF3FDB">
        <w:t>improve housing and homelessness outcomes</w:t>
      </w:r>
      <w:r>
        <w:t xml:space="preserve"> (box G.1).</w:t>
      </w:r>
    </w:p>
    <w:p w:rsidR="003970A6" w:rsidRPr="009734B9" w:rsidRDefault="003970A6" w:rsidP="003970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970A6" w:rsidTr="00FF248A">
        <w:tc>
          <w:tcPr>
            <w:tcW w:w="8771" w:type="dxa"/>
            <w:tcBorders>
              <w:top w:val="single" w:sz="6" w:space="0" w:color="78A22F"/>
              <w:left w:val="nil"/>
              <w:bottom w:val="nil"/>
              <w:right w:val="nil"/>
            </w:tcBorders>
            <w:shd w:val="clear" w:color="auto" w:fill="F2F2F2"/>
          </w:tcPr>
          <w:p w:rsidR="003970A6" w:rsidRDefault="003970A6" w:rsidP="00FF248A">
            <w:pPr>
              <w:pStyle w:val="BoxTitle"/>
            </w:pPr>
            <w:r>
              <w:rPr>
                <w:b w:val="0"/>
              </w:rPr>
              <w:t xml:space="preserve">Box </w:t>
            </w:r>
            <w:proofErr w:type="spellStart"/>
            <w:r>
              <w:rPr>
                <w:b w:val="0"/>
              </w:rPr>
              <w:t>G.1</w:t>
            </w:r>
            <w:proofErr w:type="spellEnd"/>
            <w:r>
              <w:tab/>
              <w:t>National Affordable Housing Agreement and related National Partnerships</w:t>
            </w:r>
          </w:p>
        </w:tc>
      </w:tr>
      <w:tr w:rsidR="003970A6" w:rsidTr="00FF248A">
        <w:trPr>
          <w:cantSplit/>
        </w:trPr>
        <w:tc>
          <w:tcPr>
            <w:tcW w:w="8771" w:type="dxa"/>
            <w:tcBorders>
              <w:top w:val="nil"/>
              <w:left w:val="nil"/>
              <w:bottom w:val="nil"/>
              <w:right w:val="nil"/>
            </w:tcBorders>
            <w:shd w:val="clear" w:color="auto" w:fill="F2F2F2"/>
          </w:tcPr>
          <w:p w:rsidR="003970A6" w:rsidRDefault="003970A6" w:rsidP="00FF248A">
            <w:pPr>
              <w:pStyle w:val="Box"/>
            </w:pPr>
            <w:r>
              <w:t xml:space="preserve">Under the NAHA, </w:t>
            </w:r>
            <w:r w:rsidR="00E65B0B">
              <w:t>which commenced on 1</w:t>
            </w:r>
            <w:r w:rsidR="00690AAC">
              <w:t> </w:t>
            </w:r>
            <w:r w:rsidR="00E65B0B">
              <w:t xml:space="preserve">January 2009, </w:t>
            </w:r>
            <w:r>
              <w:t>governments have committed to undertake reforms in the housing sector to improve integration between homelessness services and mainstream services, and reduce the rate of homelessness. The NAHA intended outcomes include:</w:t>
            </w:r>
          </w:p>
          <w:p w:rsidR="003970A6" w:rsidRPr="00614922" w:rsidRDefault="003970A6" w:rsidP="00FF248A">
            <w:pPr>
              <w:pStyle w:val="Box"/>
              <w:numPr>
                <w:ilvl w:val="0"/>
                <w:numId w:val="12"/>
              </w:numPr>
              <w:tabs>
                <w:tab w:val="clear" w:pos="170"/>
                <w:tab w:val="num" w:pos="284"/>
              </w:tabs>
              <w:ind w:left="284" w:hanging="284"/>
            </w:pPr>
            <w:r w:rsidRPr="00614922">
              <w:t>people who are homeless or at risk of homelessness achieve sustainable housing and social inclusion (supported by the National Partnership Agreement on Homelessness, due to expire on 30</w:t>
            </w:r>
            <w:r w:rsidR="00690AAC">
              <w:t> </w:t>
            </w:r>
            <w:r w:rsidRPr="00614922">
              <w:t>June 2017)</w:t>
            </w:r>
          </w:p>
          <w:p w:rsidR="003970A6" w:rsidRPr="00614922" w:rsidRDefault="003970A6" w:rsidP="00FF248A">
            <w:pPr>
              <w:pStyle w:val="Box"/>
              <w:numPr>
                <w:ilvl w:val="0"/>
                <w:numId w:val="12"/>
              </w:numPr>
              <w:tabs>
                <w:tab w:val="clear" w:pos="170"/>
                <w:tab w:val="num" w:pos="284"/>
              </w:tabs>
              <w:ind w:left="284" w:hanging="284"/>
            </w:pPr>
            <w:r w:rsidRPr="00614922">
              <w:t>people are able to rent housing that meets their needs</w:t>
            </w:r>
          </w:p>
          <w:p w:rsidR="003970A6" w:rsidRPr="00614922" w:rsidRDefault="003970A6" w:rsidP="00FF248A">
            <w:pPr>
              <w:pStyle w:val="Box"/>
              <w:numPr>
                <w:ilvl w:val="0"/>
                <w:numId w:val="12"/>
              </w:numPr>
              <w:tabs>
                <w:tab w:val="clear" w:pos="170"/>
                <w:tab w:val="num" w:pos="284"/>
              </w:tabs>
              <w:ind w:left="284" w:hanging="284"/>
            </w:pPr>
            <w:r w:rsidRPr="00614922">
              <w:t>people can purchase affordable housing</w:t>
            </w:r>
          </w:p>
          <w:p w:rsidR="003970A6" w:rsidRPr="00614922" w:rsidRDefault="003970A6" w:rsidP="00FF248A">
            <w:pPr>
              <w:pStyle w:val="Box"/>
              <w:numPr>
                <w:ilvl w:val="0"/>
                <w:numId w:val="12"/>
              </w:numPr>
              <w:tabs>
                <w:tab w:val="clear" w:pos="170"/>
                <w:tab w:val="num" w:pos="284"/>
              </w:tabs>
              <w:ind w:left="284" w:hanging="284"/>
            </w:pPr>
            <w:r w:rsidRPr="00614922">
              <w:t>people have access to housing through an</w:t>
            </w:r>
            <w:r>
              <w:t xml:space="preserve"> efficient and responsive</w:t>
            </w:r>
            <w:r w:rsidRPr="00614922">
              <w:t xml:space="preserve"> housing market</w:t>
            </w:r>
          </w:p>
          <w:p w:rsidR="003970A6" w:rsidRPr="00614922" w:rsidRDefault="003970A6" w:rsidP="00FF248A">
            <w:pPr>
              <w:pStyle w:val="Box"/>
              <w:numPr>
                <w:ilvl w:val="0"/>
                <w:numId w:val="12"/>
              </w:numPr>
              <w:tabs>
                <w:tab w:val="clear" w:pos="170"/>
                <w:tab w:val="num" w:pos="284"/>
              </w:tabs>
              <w:ind w:left="284" w:hanging="284"/>
            </w:pPr>
            <w:r w:rsidRPr="00614922">
              <w:t>Aboriginal and Torres Strait Islander people have the same housing opportunities (in relation to homelessness services, housing rental, housing purchase and access to housing through an efficient and responsive housing market) as other Australians</w:t>
            </w:r>
          </w:p>
          <w:p w:rsidR="003970A6" w:rsidRDefault="003970A6" w:rsidP="007044B1">
            <w:pPr>
              <w:pStyle w:val="Box"/>
              <w:numPr>
                <w:ilvl w:val="0"/>
                <w:numId w:val="12"/>
              </w:numPr>
              <w:tabs>
                <w:tab w:val="clear" w:pos="170"/>
                <w:tab w:val="num" w:pos="284"/>
              </w:tabs>
              <w:ind w:left="284" w:hanging="284"/>
            </w:pPr>
            <w:r w:rsidRPr="00614922">
              <w:t xml:space="preserve">Aboriginal and Torres Strait Islander people have improved housing amenity and reduced overcrowding, particularly in remote areas and discrete communities (supported by the National Partnership Agreement on Remote Indigenous Housing, due to expire on </w:t>
            </w:r>
            <w:r w:rsidR="007044B1">
              <w:t>30 </w:t>
            </w:r>
            <w:r w:rsidRPr="00614922">
              <w:t>June</w:t>
            </w:r>
            <w:r w:rsidR="00690AAC">
              <w:t xml:space="preserve"> </w:t>
            </w:r>
            <w:r w:rsidRPr="00614922">
              <w:t>2018).</w:t>
            </w:r>
          </w:p>
        </w:tc>
      </w:tr>
      <w:tr w:rsidR="003970A6" w:rsidTr="00FF248A">
        <w:trPr>
          <w:cantSplit/>
        </w:trPr>
        <w:tc>
          <w:tcPr>
            <w:tcW w:w="8771" w:type="dxa"/>
            <w:tcBorders>
              <w:top w:val="nil"/>
              <w:left w:val="nil"/>
              <w:bottom w:val="nil"/>
              <w:right w:val="nil"/>
            </w:tcBorders>
            <w:shd w:val="clear" w:color="auto" w:fill="F2F2F2"/>
          </w:tcPr>
          <w:p w:rsidR="003970A6" w:rsidRDefault="003970A6" w:rsidP="00FF248A">
            <w:pPr>
              <w:pStyle w:val="BoxSource"/>
            </w:pPr>
            <w:r>
              <w:rPr>
                <w:i/>
              </w:rPr>
              <w:t>Source</w:t>
            </w:r>
            <w:r>
              <w:t>: COAG Intergovernmental Agreement on Federal Financial Relations (2015).</w:t>
            </w:r>
          </w:p>
        </w:tc>
      </w:tr>
      <w:tr w:rsidR="003970A6" w:rsidTr="00FF248A">
        <w:trPr>
          <w:cantSplit/>
        </w:trPr>
        <w:tc>
          <w:tcPr>
            <w:tcW w:w="8771" w:type="dxa"/>
            <w:tcBorders>
              <w:top w:val="nil"/>
              <w:left w:val="nil"/>
              <w:bottom w:val="single" w:sz="6" w:space="0" w:color="78A22F"/>
              <w:right w:val="nil"/>
            </w:tcBorders>
            <w:shd w:val="clear" w:color="auto" w:fill="F2F2F2"/>
          </w:tcPr>
          <w:p w:rsidR="003970A6" w:rsidRDefault="003970A6" w:rsidP="00FF248A">
            <w:pPr>
              <w:pStyle w:val="Box"/>
              <w:spacing w:before="0" w:line="120" w:lineRule="exact"/>
            </w:pPr>
          </w:p>
        </w:tc>
      </w:tr>
      <w:tr w:rsidR="003970A6" w:rsidRPr="000863A5" w:rsidTr="00FF248A">
        <w:tc>
          <w:tcPr>
            <w:tcW w:w="8771" w:type="dxa"/>
            <w:tcBorders>
              <w:top w:val="single" w:sz="6" w:space="0" w:color="78A22F"/>
              <w:left w:val="nil"/>
              <w:bottom w:val="nil"/>
              <w:right w:val="nil"/>
            </w:tcBorders>
          </w:tcPr>
          <w:p w:rsidR="003970A6" w:rsidRPr="00626D32" w:rsidRDefault="003970A6" w:rsidP="00FF248A">
            <w:pPr>
              <w:pStyle w:val="BoxSpaceBelow"/>
            </w:pPr>
          </w:p>
        </w:tc>
      </w:tr>
    </w:tbl>
    <w:p w:rsidR="003970A6" w:rsidRDefault="003970A6" w:rsidP="003970A6">
      <w:pPr>
        <w:pStyle w:val="BodyText"/>
      </w:pPr>
      <w:r>
        <w:t>Under the NAHA and associated National Partnership Agreements, t</w:t>
      </w:r>
      <w:r w:rsidRPr="00352D73">
        <w:t xml:space="preserve">he Australian Government provides funding to assist with the achievement of housing and homelessness related outcomes for which states and territories have primary responsibility. </w:t>
      </w:r>
      <w:r>
        <w:t>The NAHA is associated with the National Affordable Housing Specific Purpose Payment (NAH SPP), which is an indexed payment to the states and territories to be spent in the housing and homelessness sector.</w:t>
      </w:r>
    </w:p>
    <w:p w:rsidR="003970A6" w:rsidRDefault="003970A6" w:rsidP="003970A6">
      <w:pPr>
        <w:pStyle w:val="BodyText"/>
      </w:pPr>
      <w:r>
        <w:t xml:space="preserve">Governments </w:t>
      </w:r>
      <w:r w:rsidR="00001849">
        <w:t xml:space="preserve">also </w:t>
      </w:r>
      <w:r w:rsidR="004A125F" w:rsidRPr="002C4597">
        <w:t>provide other forms of suppo</w:t>
      </w:r>
      <w:r w:rsidR="004A125F">
        <w:t>rt for housing and homelessness</w:t>
      </w:r>
      <w:r w:rsidR="00001849">
        <w:t>, i</w:t>
      </w:r>
      <w:r w:rsidRPr="002C4597">
        <w:t>ncluding home purchase assistance</w:t>
      </w:r>
      <w:r>
        <w:t xml:space="preserve"> and private rental assistance. </w:t>
      </w:r>
      <w:r w:rsidR="004A125F" w:rsidRPr="004A125F">
        <w:t xml:space="preserve">Each level of government has </w:t>
      </w:r>
      <w:r w:rsidR="004A125F" w:rsidRPr="004A125F">
        <w:lastRenderedPageBreak/>
        <w:t>different roles and responsibilities.</w:t>
      </w:r>
      <w:r w:rsidR="004A125F">
        <w:t xml:space="preserve"> </w:t>
      </w:r>
      <w:r>
        <w:t>Section G.5 provides c</w:t>
      </w:r>
      <w:r w:rsidRPr="009734B9">
        <w:t xml:space="preserve">ontextual information </w:t>
      </w:r>
      <w:r w:rsidR="00001849">
        <w:t>about</w:t>
      </w:r>
      <w:r w:rsidRPr="009734B9">
        <w:t xml:space="preserve"> factors</w:t>
      </w:r>
      <w:r>
        <w:t xml:space="preserve"> affecting the sector</w:t>
      </w:r>
      <w:r w:rsidRPr="009734B9">
        <w:t>, including housing afforda</w:t>
      </w:r>
      <w:r>
        <w:t>bility</w:t>
      </w:r>
      <w:r w:rsidRPr="009734B9">
        <w:t xml:space="preserve"> </w:t>
      </w:r>
      <w:r>
        <w:t xml:space="preserve">and </w:t>
      </w:r>
      <w:r w:rsidRPr="009734B9">
        <w:t>private rental markets.</w:t>
      </w:r>
    </w:p>
    <w:p w:rsidR="000B212E" w:rsidRPr="00CC52ED" w:rsidRDefault="003970A6" w:rsidP="00CC52ED">
      <w:pPr>
        <w:pStyle w:val="BodyText"/>
      </w:pPr>
      <w:r w:rsidRPr="00352D73">
        <w:t xml:space="preserve">The Australian Government influences the housing market through direct and indirect means, including </w:t>
      </w:r>
      <w:r>
        <w:t xml:space="preserve">the provision of </w:t>
      </w:r>
      <w:r w:rsidRPr="004B72B6">
        <w:t>Commonwealth Rent Assistance (CRA) —</w:t>
      </w:r>
      <w:r>
        <w:t xml:space="preserve"> </w:t>
      </w:r>
      <w:r w:rsidRPr="004B72B6">
        <w:t xml:space="preserve">financial assistance for people who pay </w:t>
      </w:r>
      <w:r w:rsidRPr="004677E9">
        <w:t xml:space="preserve">rent </w:t>
      </w:r>
      <w:r w:rsidR="004677E9" w:rsidRPr="004677E9">
        <w:t xml:space="preserve">in the private rental market </w:t>
      </w:r>
      <w:r w:rsidRPr="004B72B6">
        <w:t>and receive a Centrelink payment</w:t>
      </w:r>
      <w:r>
        <w:t>.</w:t>
      </w:r>
    </w:p>
    <w:p w:rsidR="00800683" w:rsidRDefault="003970A6" w:rsidP="003970A6">
      <w:pPr>
        <w:pStyle w:val="BodyText"/>
      </w:pPr>
      <w:r w:rsidRPr="00A0483A">
        <w:t>State and Territory governments</w:t>
      </w:r>
      <w:r>
        <w:t xml:space="preserve"> administer and deliver the social housing services reported in chapter</w:t>
      </w:r>
      <w:r w:rsidR="00690AAC">
        <w:t> </w:t>
      </w:r>
      <w:r>
        <w:t>18.</w:t>
      </w:r>
      <w:r w:rsidRPr="00352D73">
        <w:t xml:space="preserve"> They also provide financial support to renters through private rental assistance and to buyers through home purchase assistance. Some jurisdictions provide home finance lending programs. </w:t>
      </w:r>
      <w:r w:rsidR="00800683" w:rsidRPr="00352D73">
        <w:t>State and Territory governments are also responsible for land use and supply policy, urban planning and development policy, housing–related taxes and charges (such as land taxes and stamp duties) and residential tenancy legislation and regulation</w:t>
      </w:r>
      <w:r w:rsidR="00800683">
        <w:t>.</w:t>
      </w:r>
    </w:p>
    <w:p w:rsidR="00E613DD" w:rsidRPr="00CC52ED" w:rsidRDefault="003970A6" w:rsidP="00CC52ED">
      <w:pPr>
        <w:pStyle w:val="BodyText"/>
      </w:pPr>
      <w:r w:rsidRPr="002976F0">
        <w:t>Local governments are responsible for building approval, urban planning and development processes and may be involved in providing community housing</w:t>
      </w:r>
      <w:r>
        <w:t>.</w:t>
      </w:r>
    </w:p>
    <w:p w:rsidR="002354A5" w:rsidRDefault="008C44AD" w:rsidP="005D7553">
      <w:pPr>
        <w:pStyle w:val="Heading4"/>
      </w:pPr>
      <w:r>
        <w:t>Funding</w:t>
      </w:r>
    </w:p>
    <w:p w:rsidR="00A26D80" w:rsidRDefault="00D41D85" w:rsidP="00A26D80">
      <w:pPr>
        <w:pStyle w:val="BodyText"/>
        <w:rPr>
          <w:color w:val="000000" w:themeColor="text1"/>
        </w:rPr>
      </w:pPr>
      <w:r w:rsidRPr="00D41D85">
        <w:rPr>
          <w:color w:val="000000" w:themeColor="text1"/>
        </w:rPr>
        <w:t>The Aus</w:t>
      </w:r>
      <w:r w:rsidR="00E776C0">
        <w:rPr>
          <w:color w:val="000000" w:themeColor="text1"/>
        </w:rPr>
        <w:t xml:space="preserve">tralian Government </w:t>
      </w:r>
      <w:r w:rsidR="00E776C0" w:rsidRPr="00A4632F">
        <w:rPr>
          <w:color w:val="000000" w:themeColor="text1"/>
        </w:rPr>
        <w:t>provided $1.</w:t>
      </w:r>
      <w:r w:rsidR="00A4632F" w:rsidRPr="00A4632F">
        <w:rPr>
          <w:color w:val="000000" w:themeColor="text1"/>
        </w:rPr>
        <w:t>8</w:t>
      </w:r>
      <w:r w:rsidRPr="00A4632F">
        <w:rPr>
          <w:color w:val="000000" w:themeColor="text1"/>
        </w:rPr>
        <w:t xml:space="preserve"> billion in 201</w:t>
      </w:r>
      <w:r w:rsidR="00A4632F" w:rsidRPr="00A4632F">
        <w:rPr>
          <w:color w:val="000000" w:themeColor="text1"/>
        </w:rPr>
        <w:t>5</w:t>
      </w:r>
      <w:r w:rsidR="00080F6D" w:rsidRPr="00A4632F">
        <w:rPr>
          <w:color w:val="000000" w:themeColor="text1"/>
        </w:rPr>
        <w:noBreakHyphen/>
      </w:r>
      <w:r w:rsidRPr="00A4632F">
        <w:rPr>
          <w:color w:val="000000" w:themeColor="text1"/>
        </w:rPr>
        <w:t>1</w:t>
      </w:r>
      <w:r w:rsidR="00A4632F" w:rsidRPr="00A4632F">
        <w:rPr>
          <w:color w:val="000000" w:themeColor="text1"/>
        </w:rPr>
        <w:t>6</w:t>
      </w:r>
      <w:r w:rsidRPr="00A4632F">
        <w:rPr>
          <w:color w:val="000000" w:themeColor="text1"/>
        </w:rPr>
        <w:t xml:space="preserve"> to State and Territory governments for housing assistance</w:t>
      </w:r>
      <w:r w:rsidR="00F72246" w:rsidRPr="00A4632F">
        <w:rPr>
          <w:color w:val="000000" w:themeColor="text1"/>
        </w:rPr>
        <w:t xml:space="preserve"> and homelessness services</w:t>
      </w:r>
      <w:r w:rsidRPr="00A4632F">
        <w:rPr>
          <w:color w:val="000000" w:themeColor="text1"/>
        </w:rPr>
        <w:t xml:space="preserve"> through the</w:t>
      </w:r>
      <w:r w:rsidRPr="00D41D85">
        <w:rPr>
          <w:color w:val="000000" w:themeColor="text1"/>
        </w:rPr>
        <w:t xml:space="preserve"> NAH SPP and related National Partnership agreements (table GA.1)</w:t>
      </w:r>
      <w:r w:rsidR="00A26D80">
        <w:rPr>
          <w:color w:val="000000" w:themeColor="text1"/>
        </w:rPr>
        <w:t xml:space="preserve"> — the mechanisms through which </w:t>
      </w:r>
      <w:r w:rsidR="00A26D80">
        <w:t>most Australian Government funding for housing and hom</w:t>
      </w:r>
      <w:r w:rsidR="00F76FEA">
        <w:t>elessness services is provided.</w:t>
      </w:r>
    </w:p>
    <w:p w:rsidR="00555120" w:rsidRDefault="00555120" w:rsidP="00C364CE">
      <w:pPr>
        <w:pStyle w:val="BoxSpaceAbove"/>
        <w:spacing w:before="240"/>
      </w:pPr>
    </w:p>
    <w:tbl>
      <w:tblPr>
        <w:tblW w:w="4843" w:type="pct"/>
        <w:tblInd w:w="142"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9"/>
      </w:tblGrid>
      <w:tr w:rsidR="00555120" w:rsidTr="00C85EE8">
        <w:tc>
          <w:tcPr>
            <w:tcW w:w="5000" w:type="pct"/>
            <w:tcBorders>
              <w:top w:val="single" w:sz="6" w:space="0" w:color="78A22F" w:themeColor="accent1"/>
              <w:left w:val="nil"/>
              <w:bottom w:val="nil"/>
              <w:right w:val="nil"/>
            </w:tcBorders>
            <w:shd w:val="clear" w:color="auto" w:fill="auto"/>
          </w:tcPr>
          <w:p w:rsidR="00555120" w:rsidRPr="00323C5B" w:rsidRDefault="00555120" w:rsidP="000D5ADE">
            <w:pPr>
              <w:pStyle w:val="TableTitle"/>
              <w:rPr>
                <w:b w:val="0"/>
                <w:position w:val="6"/>
                <w:sz w:val="18"/>
              </w:rPr>
            </w:pPr>
            <w:r>
              <w:rPr>
                <w:b w:val="0"/>
              </w:rPr>
              <w:t xml:space="preserve">Table </w:t>
            </w:r>
            <w:r w:rsidR="0068269E">
              <w:rPr>
                <w:b w:val="0"/>
              </w:rPr>
              <w:t>G.</w:t>
            </w:r>
            <w:r w:rsidR="003E73FF">
              <w:rPr>
                <w:b w:val="0"/>
                <w:noProof/>
              </w:rPr>
              <w:t>1</w:t>
            </w:r>
            <w:r>
              <w:tab/>
            </w:r>
            <w:r w:rsidR="00323C5B" w:rsidRPr="00323C5B">
              <w:t xml:space="preserve">Housing and homelessness services sector, selected descriptive statistics, Australia, </w:t>
            </w:r>
            <w:r w:rsidR="00323C5B" w:rsidRPr="000D5ADE">
              <w:t>201</w:t>
            </w:r>
            <w:r w:rsidR="000D5ADE" w:rsidRPr="000D5ADE">
              <w:t>5</w:t>
            </w:r>
            <w:r w:rsidR="00C9055F" w:rsidRPr="000D5ADE">
              <w:noBreakHyphen/>
            </w:r>
            <w:r w:rsidR="00205496" w:rsidRPr="000D5ADE">
              <w:t>1</w:t>
            </w:r>
            <w:r w:rsidR="000D5ADE" w:rsidRPr="000D5ADE">
              <w:t>6</w:t>
            </w:r>
            <w:r w:rsidR="00323C5B" w:rsidRPr="000D5ADE">
              <w:rPr>
                <w:rStyle w:val="NoteLabel"/>
                <w:b/>
              </w:rPr>
              <w:t>a</w:t>
            </w:r>
          </w:p>
        </w:tc>
      </w:tr>
      <w:tr w:rsidR="00555120" w:rsidTr="00C85EE8">
        <w:trPr>
          <w:cantSplit/>
        </w:trPr>
        <w:tc>
          <w:tcPr>
            <w:tcW w:w="5000" w:type="pct"/>
            <w:tcBorders>
              <w:top w:val="nil"/>
              <w:left w:val="nil"/>
              <w:bottom w:val="nil"/>
              <w:right w:val="nil"/>
            </w:tcBorders>
            <w:shd w:val="clear" w:color="auto" w:fill="auto"/>
          </w:tcPr>
          <w:tbl>
            <w:tblPr>
              <w:tblW w:w="8505" w:type="dxa"/>
              <w:tblCellMar>
                <w:top w:w="28" w:type="dxa"/>
                <w:left w:w="0" w:type="dxa"/>
                <w:bottom w:w="28" w:type="dxa"/>
                <w:right w:w="0" w:type="dxa"/>
              </w:tblCellMar>
              <w:tblLook w:val="0000" w:firstRow="0" w:lastRow="0" w:firstColumn="0" w:lastColumn="0" w:noHBand="0" w:noVBand="0"/>
            </w:tblPr>
            <w:tblGrid>
              <w:gridCol w:w="306"/>
              <w:gridCol w:w="2955"/>
              <w:gridCol w:w="1562"/>
              <w:gridCol w:w="1180"/>
              <w:gridCol w:w="1252"/>
              <w:gridCol w:w="1250"/>
            </w:tblGrid>
            <w:tr w:rsidR="00FF60CA" w:rsidRPr="00B672BB" w:rsidTr="00C364CE">
              <w:trPr>
                <w:trHeight w:val="541"/>
              </w:trPr>
              <w:tc>
                <w:tcPr>
                  <w:tcW w:w="180" w:type="pct"/>
                  <w:tcBorders>
                    <w:top w:val="single" w:sz="4" w:space="0" w:color="BFBFBF" w:themeColor="background2"/>
                    <w:bottom w:val="single" w:sz="4" w:space="0" w:color="BFBFBF" w:themeColor="background2"/>
                  </w:tcBorders>
                  <w:shd w:val="clear" w:color="auto" w:fill="auto"/>
                </w:tcPr>
                <w:p w:rsidR="00FF60CA" w:rsidRPr="00555120" w:rsidRDefault="00FF60CA" w:rsidP="00AB5A61">
                  <w:pPr>
                    <w:pStyle w:val="TableColumnHeading"/>
                    <w:jc w:val="left"/>
                    <w:rPr>
                      <w:rFonts w:cs="Arial"/>
                      <w:color w:val="000000" w:themeColor="text1"/>
                      <w:sz w:val="20"/>
                    </w:rPr>
                  </w:pPr>
                </w:p>
              </w:tc>
              <w:tc>
                <w:tcPr>
                  <w:tcW w:w="1737" w:type="pct"/>
                  <w:tcBorders>
                    <w:top w:val="single" w:sz="4" w:space="0" w:color="BFBFBF" w:themeColor="background2"/>
                    <w:bottom w:val="single" w:sz="4" w:space="0" w:color="BFBFBF" w:themeColor="background2"/>
                  </w:tcBorders>
                  <w:shd w:val="clear" w:color="auto" w:fill="auto"/>
                </w:tcPr>
                <w:p w:rsidR="00FF60CA" w:rsidRPr="00555120" w:rsidRDefault="00FF60CA" w:rsidP="00AB5A61">
                  <w:pPr>
                    <w:pStyle w:val="TableColumnHeading"/>
                    <w:rPr>
                      <w:rFonts w:cs="Arial"/>
                      <w:color w:val="000000" w:themeColor="text1"/>
                      <w:sz w:val="20"/>
                    </w:rPr>
                  </w:pPr>
                </w:p>
              </w:tc>
              <w:tc>
                <w:tcPr>
                  <w:tcW w:w="918" w:type="pct"/>
                  <w:tcBorders>
                    <w:top w:val="single" w:sz="4" w:space="0" w:color="BFBFBF" w:themeColor="background2"/>
                    <w:bottom w:val="single" w:sz="4" w:space="0" w:color="BFBFBF" w:themeColor="background2"/>
                  </w:tcBorders>
                  <w:shd w:val="clear" w:color="auto" w:fill="auto"/>
                </w:tcPr>
                <w:p w:rsidR="00FF60CA" w:rsidRPr="00555120" w:rsidRDefault="00FF60CA" w:rsidP="00C364CE">
                  <w:pPr>
                    <w:pStyle w:val="TableColumnHeading"/>
                    <w:spacing w:after="40"/>
                    <w:rPr>
                      <w:rFonts w:cs="Arial"/>
                      <w:color w:val="000000" w:themeColor="text1"/>
                      <w:sz w:val="20"/>
                    </w:rPr>
                  </w:pPr>
                  <w:r w:rsidRPr="00555120">
                    <w:rPr>
                      <w:rFonts w:cs="Arial"/>
                      <w:color w:val="000000" w:themeColor="text1"/>
                      <w:sz w:val="20"/>
                    </w:rPr>
                    <w:t>Net recurrent expenditure</w:t>
                  </w:r>
                  <w:r w:rsidR="00642B99" w:rsidRPr="000B7C25">
                    <w:rPr>
                      <w:rStyle w:val="NoteLabel"/>
                      <w:i w:val="0"/>
                    </w:rPr>
                    <w:t>b</w:t>
                  </w:r>
                </w:p>
              </w:tc>
              <w:tc>
                <w:tcPr>
                  <w:tcW w:w="694" w:type="pct"/>
                  <w:tcBorders>
                    <w:top w:val="single" w:sz="4" w:space="0" w:color="BFBFBF" w:themeColor="background2"/>
                    <w:bottom w:val="single" w:sz="4" w:space="0" w:color="BFBFBF" w:themeColor="background2"/>
                  </w:tcBorders>
                  <w:shd w:val="clear" w:color="auto" w:fill="auto"/>
                </w:tcPr>
                <w:p w:rsidR="00FF60CA" w:rsidRPr="00555120" w:rsidRDefault="00FF60CA" w:rsidP="00642B99">
                  <w:pPr>
                    <w:pStyle w:val="TableColumnHeading"/>
                    <w:rPr>
                      <w:rStyle w:val="NoteLabel"/>
                      <w:rFonts w:cs="Arial"/>
                      <w:sz w:val="20"/>
                    </w:rPr>
                  </w:pPr>
                  <w:r>
                    <w:rPr>
                      <w:rFonts w:cs="Arial"/>
                      <w:color w:val="000000" w:themeColor="text1"/>
                      <w:sz w:val="20"/>
                    </w:rPr>
                    <w:br/>
                  </w:r>
                  <w:r w:rsidRPr="00555120">
                    <w:rPr>
                      <w:rFonts w:cs="Arial"/>
                      <w:color w:val="000000" w:themeColor="text1"/>
                      <w:sz w:val="20"/>
                    </w:rPr>
                    <w:t>Dwellings</w:t>
                  </w:r>
                  <w:r w:rsidR="00642B99">
                    <w:rPr>
                      <w:rStyle w:val="NoteLabel"/>
                      <w:i w:val="0"/>
                    </w:rPr>
                    <w:t>c</w:t>
                  </w:r>
                </w:p>
              </w:tc>
              <w:tc>
                <w:tcPr>
                  <w:tcW w:w="736" w:type="pct"/>
                  <w:tcBorders>
                    <w:top w:val="single" w:sz="4" w:space="0" w:color="BFBFBF" w:themeColor="background2"/>
                    <w:bottom w:val="single" w:sz="4" w:space="0" w:color="BFBFBF" w:themeColor="background2"/>
                  </w:tcBorders>
                  <w:shd w:val="clear" w:color="auto" w:fill="auto"/>
                </w:tcPr>
                <w:p w:rsidR="00FF60CA" w:rsidRPr="00555120" w:rsidRDefault="00FF60CA" w:rsidP="00C85EE8">
                  <w:pPr>
                    <w:pStyle w:val="TableColumnHeading"/>
                    <w:spacing w:before="120"/>
                    <w:rPr>
                      <w:rFonts w:cs="Arial"/>
                      <w:color w:val="000000" w:themeColor="text1"/>
                      <w:sz w:val="20"/>
                    </w:rPr>
                  </w:pPr>
                  <w:r>
                    <w:rPr>
                      <w:rFonts w:cs="Arial"/>
                      <w:color w:val="000000" w:themeColor="text1"/>
                      <w:sz w:val="20"/>
                    </w:rPr>
                    <w:br/>
                  </w:r>
                  <w:r w:rsidRPr="00555120">
                    <w:rPr>
                      <w:rFonts w:cs="Arial"/>
                      <w:color w:val="000000" w:themeColor="text1"/>
                      <w:sz w:val="20"/>
                    </w:rPr>
                    <w:t>Households</w:t>
                  </w:r>
                </w:p>
              </w:tc>
              <w:tc>
                <w:tcPr>
                  <w:tcW w:w="735" w:type="pct"/>
                  <w:tcBorders>
                    <w:top w:val="single" w:sz="4" w:space="0" w:color="BFBFBF" w:themeColor="background2"/>
                    <w:bottom w:val="single" w:sz="4" w:space="0" w:color="BFBFBF" w:themeColor="background2"/>
                  </w:tcBorders>
                  <w:shd w:val="clear" w:color="auto" w:fill="auto"/>
                </w:tcPr>
                <w:p w:rsidR="00FF60CA" w:rsidRDefault="00132BD1" w:rsidP="00C85EE8">
                  <w:pPr>
                    <w:pStyle w:val="TableColumnHeading"/>
                    <w:spacing w:before="120"/>
                    <w:rPr>
                      <w:rFonts w:cs="Arial"/>
                      <w:color w:val="000000" w:themeColor="text1"/>
                      <w:sz w:val="20"/>
                    </w:rPr>
                  </w:pPr>
                  <w:r>
                    <w:rPr>
                      <w:rFonts w:cs="Arial"/>
                      <w:color w:val="000000" w:themeColor="text1"/>
                      <w:sz w:val="20"/>
                    </w:rPr>
                    <w:br/>
                  </w:r>
                  <w:r w:rsidR="00FF60CA">
                    <w:rPr>
                      <w:rFonts w:cs="Arial"/>
                      <w:color w:val="000000" w:themeColor="text1"/>
                      <w:sz w:val="20"/>
                    </w:rPr>
                    <w:t>Clients</w:t>
                  </w:r>
                </w:p>
              </w:tc>
            </w:tr>
            <w:tr w:rsidR="00FF60CA" w:rsidRPr="00030B46" w:rsidTr="00A4632F">
              <w:tc>
                <w:tcPr>
                  <w:tcW w:w="180" w:type="pct"/>
                  <w:tcBorders>
                    <w:top w:val="single" w:sz="4" w:space="0" w:color="BFBFBF" w:themeColor="background2"/>
                  </w:tcBorders>
                </w:tcPr>
                <w:p w:rsidR="00FF60CA" w:rsidRPr="00555120" w:rsidRDefault="00FF60CA" w:rsidP="00AB5A61">
                  <w:pPr>
                    <w:pStyle w:val="TableUnitsRow"/>
                    <w:jc w:val="left"/>
                    <w:rPr>
                      <w:rFonts w:cs="Arial"/>
                      <w:color w:val="000000" w:themeColor="text1"/>
                      <w:sz w:val="20"/>
                    </w:rPr>
                  </w:pPr>
                </w:p>
              </w:tc>
              <w:tc>
                <w:tcPr>
                  <w:tcW w:w="1737" w:type="pct"/>
                  <w:tcBorders>
                    <w:top w:val="single" w:sz="4" w:space="0" w:color="BFBFBF" w:themeColor="background2"/>
                  </w:tcBorders>
                </w:tcPr>
                <w:p w:rsidR="00FF60CA" w:rsidRPr="00555120" w:rsidRDefault="00FF60CA" w:rsidP="00AB5A61">
                  <w:pPr>
                    <w:pStyle w:val="TableUnitsRow"/>
                    <w:rPr>
                      <w:rFonts w:cs="Arial"/>
                      <w:color w:val="000000" w:themeColor="text1"/>
                      <w:sz w:val="20"/>
                    </w:rPr>
                  </w:pPr>
                </w:p>
              </w:tc>
              <w:tc>
                <w:tcPr>
                  <w:tcW w:w="918" w:type="pct"/>
                  <w:tcBorders>
                    <w:top w:val="single" w:sz="4" w:space="0" w:color="BFBFBF" w:themeColor="background2"/>
                    <w:bottom w:val="single" w:sz="4" w:space="0" w:color="BFBFBF" w:themeColor="background2"/>
                  </w:tcBorders>
                  <w:shd w:val="clear" w:color="auto" w:fill="auto"/>
                </w:tcPr>
                <w:p w:rsidR="00FF60CA" w:rsidRPr="00555120" w:rsidRDefault="00FF60CA" w:rsidP="00AB5A61">
                  <w:pPr>
                    <w:pStyle w:val="TableUnitsRow"/>
                    <w:rPr>
                      <w:rFonts w:cs="Arial"/>
                      <w:i/>
                      <w:color w:val="000000" w:themeColor="text1"/>
                      <w:sz w:val="20"/>
                    </w:rPr>
                  </w:pPr>
                  <w:r w:rsidRPr="00555120">
                    <w:rPr>
                      <w:rFonts w:cs="Arial"/>
                      <w:i/>
                      <w:color w:val="000000" w:themeColor="text1"/>
                      <w:sz w:val="20"/>
                    </w:rPr>
                    <w:t>$m</w:t>
                  </w:r>
                </w:p>
              </w:tc>
              <w:tc>
                <w:tcPr>
                  <w:tcW w:w="694" w:type="pct"/>
                  <w:tcBorders>
                    <w:top w:val="single" w:sz="4" w:space="0" w:color="BFBFBF" w:themeColor="background2"/>
                    <w:bottom w:val="single" w:sz="4" w:space="0" w:color="BFBFBF" w:themeColor="background2"/>
                  </w:tcBorders>
                  <w:shd w:val="clear" w:color="auto" w:fill="auto"/>
                </w:tcPr>
                <w:p w:rsidR="00FF60CA" w:rsidRPr="00555120" w:rsidRDefault="00FF60CA" w:rsidP="00AB5A61">
                  <w:pPr>
                    <w:pStyle w:val="TableUnitsRow"/>
                    <w:rPr>
                      <w:rFonts w:cs="Arial"/>
                      <w:i/>
                      <w:color w:val="000000" w:themeColor="text1"/>
                      <w:sz w:val="20"/>
                    </w:rPr>
                  </w:pPr>
                  <w:r>
                    <w:rPr>
                      <w:rFonts w:cs="Arial"/>
                      <w:i/>
                      <w:color w:val="000000" w:themeColor="text1"/>
                      <w:sz w:val="20"/>
                    </w:rPr>
                    <w:t>n</w:t>
                  </w:r>
                  <w:r w:rsidRPr="00555120">
                    <w:rPr>
                      <w:rFonts w:cs="Arial"/>
                      <w:i/>
                      <w:color w:val="000000" w:themeColor="text1"/>
                      <w:sz w:val="20"/>
                    </w:rPr>
                    <w:t>o.</w:t>
                  </w:r>
                </w:p>
              </w:tc>
              <w:tc>
                <w:tcPr>
                  <w:tcW w:w="736" w:type="pct"/>
                  <w:tcBorders>
                    <w:top w:val="single" w:sz="4" w:space="0" w:color="BFBFBF" w:themeColor="background2"/>
                    <w:bottom w:val="single" w:sz="4" w:space="0" w:color="BFBFBF" w:themeColor="background2"/>
                  </w:tcBorders>
                  <w:shd w:val="clear" w:color="auto" w:fill="auto"/>
                </w:tcPr>
                <w:p w:rsidR="00FF60CA" w:rsidRPr="00555120" w:rsidRDefault="00FF60CA" w:rsidP="00AB5A61">
                  <w:pPr>
                    <w:pStyle w:val="TableUnitsRow"/>
                    <w:ind w:right="28"/>
                    <w:rPr>
                      <w:rFonts w:cs="Arial"/>
                      <w:i/>
                      <w:color w:val="000000" w:themeColor="text1"/>
                      <w:sz w:val="20"/>
                    </w:rPr>
                  </w:pPr>
                  <w:r>
                    <w:rPr>
                      <w:rFonts w:cs="Arial"/>
                      <w:i/>
                      <w:color w:val="000000" w:themeColor="text1"/>
                      <w:sz w:val="20"/>
                    </w:rPr>
                    <w:t>n</w:t>
                  </w:r>
                  <w:r w:rsidRPr="00555120">
                    <w:rPr>
                      <w:rFonts w:cs="Arial"/>
                      <w:i/>
                      <w:color w:val="000000" w:themeColor="text1"/>
                      <w:sz w:val="20"/>
                    </w:rPr>
                    <w:t>o.</w:t>
                  </w:r>
                </w:p>
              </w:tc>
              <w:tc>
                <w:tcPr>
                  <w:tcW w:w="735" w:type="pct"/>
                  <w:tcBorders>
                    <w:top w:val="single" w:sz="4" w:space="0" w:color="BFBFBF" w:themeColor="background2"/>
                    <w:bottom w:val="single" w:sz="4" w:space="0" w:color="BFBFBF" w:themeColor="background2"/>
                  </w:tcBorders>
                  <w:shd w:val="clear" w:color="auto" w:fill="auto"/>
                </w:tcPr>
                <w:p w:rsidR="00FF60CA" w:rsidRDefault="00132BD1" w:rsidP="00AB5A61">
                  <w:pPr>
                    <w:pStyle w:val="TableUnitsRow"/>
                    <w:ind w:right="28"/>
                    <w:rPr>
                      <w:rFonts w:cs="Arial"/>
                      <w:i/>
                      <w:color w:val="000000" w:themeColor="text1"/>
                      <w:sz w:val="20"/>
                    </w:rPr>
                  </w:pPr>
                  <w:r>
                    <w:rPr>
                      <w:rFonts w:cs="Arial"/>
                      <w:i/>
                      <w:color w:val="000000" w:themeColor="text1"/>
                      <w:sz w:val="20"/>
                    </w:rPr>
                    <w:t>n</w:t>
                  </w:r>
                  <w:r w:rsidRPr="00555120">
                    <w:rPr>
                      <w:rFonts w:cs="Arial"/>
                      <w:i/>
                      <w:color w:val="000000" w:themeColor="text1"/>
                      <w:sz w:val="20"/>
                    </w:rPr>
                    <w:t>o</w:t>
                  </w:r>
                  <w:r>
                    <w:rPr>
                      <w:rFonts w:cs="Arial"/>
                      <w:i/>
                      <w:color w:val="000000" w:themeColor="text1"/>
                      <w:sz w:val="20"/>
                    </w:rPr>
                    <w:t xml:space="preserve">. </w:t>
                  </w:r>
                </w:p>
              </w:tc>
            </w:tr>
            <w:tr w:rsidR="00FF60CA" w:rsidRPr="00030B46" w:rsidTr="00A4632F">
              <w:tc>
                <w:tcPr>
                  <w:tcW w:w="1917" w:type="pct"/>
                  <w:gridSpan w:val="2"/>
                  <w:vAlign w:val="center"/>
                </w:tcPr>
                <w:p w:rsidR="00FF60CA" w:rsidRPr="00555120" w:rsidRDefault="00FF60CA" w:rsidP="00132BD1">
                  <w:pPr>
                    <w:pStyle w:val="TableBodyText"/>
                    <w:spacing w:before="60"/>
                    <w:jc w:val="left"/>
                    <w:rPr>
                      <w:rFonts w:cs="Arial"/>
                      <w:i/>
                      <w:color w:val="000000" w:themeColor="text1"/>
                      <w:sz w:val="20"/>
                    </w:rPr>
                  </w:pPr>
                  <w:r w:rsidRPr="00555120">
                    <w:rPr>
                      <w:rFonts w:cs="Arial"/>
                      <w:i/>
                      <w:color w:val="000000" w:themeColor="text1"/>
                      <w:sz w:val="20"/>
                    </w:rPr>
                    <w:t>Social housing</w:t>
                  </w:r>
                </w:p>
              </w:tc>
              <w:tc>
                <w:tcPr>
                  <w:tcW w:w="918" w:type="pct"/>
                  <w:tcBorders>
                    <w:top w:val="single" w:sz="4" w:space="0" w:color="BFBFBF" w:themeColor="background2"/>
                  </w:tcBorders>
                  <w:shd w:val="clear" w:color="auto" w:fill="auto"/>
                </w:tcPr>
                <w:p w:rsidR="00FF60CA" w:rsidRPr="00555120" w:rsidRDefault="00FF60CA" w:rsidP="00C85EE8">
                  <w:pPr>
                    <w:pStyle w:val="TableBodyText"/>
                    <w:spacing w:before="60"/>
                    <w:rPr>
                      <w:rFonts w:cs="Arial"/>
                      <w:color w:val="000000" w:themeColor="text1"/>
                      <w:sz w:val="20"/>
                    </w:rPr>
                  </w:pPr>
                </w:p>
              </w:tc>
              <w:tc>
                <w:tcPr>
                  <w:tcW w:w="694" w:type="pct"/>
                  <w:tcBorders>
                    <w:top w:val="single" w:sz="4" w:space="0" w:color="BFBFBF" w:themeColor="background2"/>
                  </w:tcBorders>
                  <w:shd w:val="clear" w:color="auto" w:fill="auto"/>
                </w:tcPr>
                <w:p w:rsidR="00FF60CA" w:rsidRPr="00555120" w:rsidRDefault="00FF60CA" w:rsidP="00C85EE8">
                  <w:pPr>
                    <w:pStyle w:val="TableBodyText"/>
                    <w:spacing w:before="60"/>
                    <w:rPr>
                      <w:rFonts w:cs="Arial"/>
                      <w:color w:val="000000" w:themeColor="text1"/>
                      <w:sz w:val="20"/>
                    </w:rPr>
                  </w:pPr>
                </w:p>
              </w:tc>
              <w:tc>
                <w:tcPr>
                  <w:tcW w:w="736" w:type="pct"/>
                  <w:tcBorders>
                    <w:top w:val="single" w:sz="4" w:space="0" w:color="BFBFBF" w:themeColor="background2"/>
                  </w:tcBorders>
                  <w:shd w:val="clear" w:color="auto" w:fill="auto"/>
                </w:tcPr>
                <w:p w:rsidR="00FF60CA" w:rsidRPr="00555120" w:rsidRDefault="00FF60CA" w:rsidP="00C85EE8">
                  <w:pPr>
                    <w:pStyle w:val="TableBodyText"/>
                    <w:spacing w:before="60"/>
                    <w:ind w:right="28"/>
                    <w:rPr>
                      <w:rFonts w:cs="Arial"/>
                      <w:color w:val="000000" w:themeColor="text1"/>
                      <w:sz w:val="20"/>
                    </w:rPr>
                  </w:pPr>
                </w:p>
              </w:tc>
              <w:tc>
                <w:tcPr>
                  <w:tcW w:w="735" w:type="pct"/>
                  <w:tcBorders>
                    <w:top w:val="single" w:sz="4" w:space="0" w:color="BFBFBF" w:themeColor="background2"/>
                  </w:tcBorders>
                  <w:shd w:val="clear" w:color="auto" w:fill="auto"/>
                </w:tcPr>
                <w:p w:rsidR="00FF60CA" w:rsidRPr="00555120" w:rsidRDefault="00FF60CA" w:rsidP="00C85EE8">
                  <w:pPr>
                    <w:pStyle w:val="TableBodyText"/>
                    <w:spacing w:before="60"/>
                    <w:ind w:right="28"/>
                    <w:rPr>
                      <w:rFonts w:cs="Arial"/>
                      <w:color w:val="000000" w:themeColor="text1"/>
                      <w:sz w:val="20"/>
                    </w:rPr>
                  </w:pPr>
                </w:p>
              </w:tc>
            </w:tr>
            <w:tr w:rsidR="00A4632F" w:rsidRPr="00C62538" w:rsidTr="00A4632F">
              <w:tc>
                <w:tcPr>
                  <w:tcW w:w="180" w:type="pct"/>
                </w:tcPr>
                <w:p w:rsidR="00A4632F" w:rsidRPr="00555120" w:rsidRDefault="00A4632F" w:rsidP="00AB5A61">
                  <w:pPr>
                    <w:pStyle w:val="TableBodyText"/>
                    <w:jc w:val="left"/>
                    <w:rPr>
                      <w:rFonts w:cs="Arial"/>
                      <w:color w:val="000000" w:themeColor="text1"/>
                      <w:sz w:val="20"/>
                    </w:rPr>
                  </w:pPr>
                </w:p>
              </w:tc>
              <w:tc>
                <w:tcPr>
                  <w:tcW w:w="1737" w:type="pct"/>
                  <w:vAlign w:val="center"/>
                </w:tcPr>
                <w:p w:rsidR="00A4632F" w:rsidRPr="00555120" w:rsidRDefault="00A4632F" w:rsidP="00132BD1">
                  <w:pPr>
                    <w:pStyle w:val="TableBodyText"/>
                    <w:jc w:val="left"/>
                    <w:rPr>
                      <w:rFonts w:cs="Arial"/>
                      <w:color w:val="000000" w:themeColor="text1"/>
                      <w:sz w:val="20"/>
                    </w:rPr>
                  </w:pPr>
                  <w:r w:rsidRPr="00555120">
                    <w:rPr>
                      <w:rFonts w:cs="Arial"/>
                      <w:color w:val="000000" w:themeColor="text1"/>
                      <w:sz w:val="20"/>
                    </w:rPr>
                    <w:t>Public housing</w:t>
                  </w:r>
                </w:p>
              </w:tc>
              <w:tc>
                <w:tcPr>
                  <w:tcW w:w="918" w:type="pct"/>
                  <w:shd w:val="clear" w:color="auto" w:fill="auto"/>
                  <w:vAlign w:val="center"/>
                </w:tcPr>
                <w:p w:rsidR="00A4632F" w:rsidRPr="00A4632F" w:rsidRDefault="00A4632F" w:rsidP="00A4632F">
                  <w:pPr>
                    <w:pStyle w:val="TableBodyText"/>
                    <w:rPr>
                      <w:rFonts w:cs="Arial"/>
                      <w:color w:val="000000" w:themeColor="text1"/>
                      <w:sz w:val="20"/>
                    </w:rPr>
                  </w:pPr>
                  <w:r w:rsidRPr="00A4632F">
                    <w:rPr>
                      <w:rFonts w:cs="Arial"/>
                      <w:color w:val="000000" w:themeColor="text1"/>
                      <w:sz w:val="20"/>
                    </w:rPr>
                    <w:t xml:space="preserve"> 2 814.5</w:t>
                  </w:r>
                </w:p>
              </w:tc>
              <w:tc>
                <w:tcPr>
                  <w:tcW w:w="694" w:type="pct"/>
                  <w:shd w:val="clear" w:color="auto" w:fill="auto"/>
                  <w:vAlign w:val="center"/>
                </w:tcPr>
                <w:p w:rsidR="00A4632F" w:rsidRPr="00A4632F" w:rsidRDefault="00A4632F" w:rsidP="00A4632F">
                  <w:pPr>
                    <w:pStyle w:val="TableBodyText"/>
                    <w:rPr>
                      <w:rFonts w:cs="Arial"/>
                      <w:color w:val="000000" w:themeColor="text1"/>
                      <w:sz w:val="20"/>
                    </w:rPr>
                  </w:pPr>
                  <w:r w:rsidRPr="00A4632F">
                    <w:rPr>
                      <w:rFonts w:cs="Arial"/>
                      <w:color w:val="000000" w:themeColor="text1"/>
                      <w:sz w:val="20"/>
                    </w:rPr>
                    <w:t xml:space="preserve"> 320 041</w:t>
                  </w:r>
                </w:p>
              </w:tc>
              <w:tc>
                <w:tcPr>
                  <w:tcW w:w="736" w:type="pct"/>
                  <w:shd w:val="clear" w:color="auto" w:fill="auto"/>
                  <w:vAlign w:val="center"/>
                </w:tcPr>
                <w:p w:rsidR="00A4632F" w:rsidRPr="00A4632F" w:rsidRDefault="00A4632F" w:rsidP="00A4632F">
                  <w:pPr>
                    <w:pStyle w:val="TableBodyText"/>
                    <w:rPr>
                      <w:rFonts w:cs="Arial"/>
                      <w:color w:val="000000" w:themeColor="text1"/>
                      <w:sz w:val="20"/>
                    </w:rPr>
                  </w:pPr>
                  <w:r w:rsidRPr="00A4632F">
                    <w:rPr>
                      <w:rFonts w:cs="Arial"/>
                      <w:color w:val="000000" w:themeColor="text1"/>
                      <w:sz w:val="20"/>
                    </w:rPr>
                    <w:t xml:space="preserve"> 312 219</w:t>
                  </w:r>
                </w:p>
              </w:tc>
              <w:tc>
                <w:tcPr>
                  <w:tcW w:w="735" w:type="pct"/>
                  <w:shd w:val="clear" w:color="auto" w:fill="auto"/>
                  <w:vAlign w:val="center"/>
                </w:tcPr>
                <w:p w:rsidR="00A4632F" w:rsidRDefault="00A4632F" w:rsidP="00132BD1">
                  <w:pPr>
                    <w:pStyle w:val="TableBodyText"/>
                    <w:rPr>
                      <w:rFonts w:cs="Arial"/>
                      <w:color w:val="000000" w:themeColor="text1"/>
                      <w:sz w:val="20"/>
                    </w:rPr>
                  </w:pPr>
                  <w:r>
                    <w:rPr>
                      <w:rFonts w:cs="Arial"/>
                      <w:color w:val="000000" w:themeColor="text1"/>
                      <w:sz w:val="20"/>
                    </w:rPr>
                    <w:t>..</w:t>
                  </w:r>
                </w:p>
              </w:tc>
            </w:tr>
            <w:tr w:rsidR="00A4632F" w:rsidRPr="00C62538" w:rsidTr="00BD782C">
              <w:tc>
                <w:tcPr>
                  <w:tcW w:w="180" w:type="pct"/>
                </w:tcPr>
                <w:p w:rsidR="00A4632F" w:rsidRPr="00555120" w:rsidRDefault="00A4632F" w:rsidP="00AB5A61">
                  <w:pPr>
                    <w:pStyle w:val="TableBodyText"/>
                    <w:jc w:val="left"/>
                    <w:rPr>
                      <w:rFonts w:cs="Arial"/>
                      <w:sz w:val="20"/>
                    </w:rPr>
                  </w:pPr>
                </w:p>
              </w:tc>
              <w:tc>
                <w:tcPr>
                  <w:tcW w:w="1737" w:type="pct"/>
                  <w:shd w:val="clear" w:color="auto" w:fill="auto"/>
                  <w:vAlign w:val="center"/>
                </w:tcPr>
                <w:p w:rsidR="00A4632F" w:rsidRPr="00555120" w:rsidRDefault="00A4632F" w:rsidP="00132BD1">
                  <w:pPr>
                    <w:pStyle w:val="TableBodyText"/>
                    <w:jc w:val="left"/>
                    <w:rPr>
                      <w:rFonts w:cs="Arial"/>
                      <w:sz w:val="20"/>
                    </w:rPr>
                  </w:pPr>
                  <w:r w:rsidRPr="00555120">
                    <w:rPr>
                      <w:rFonts w:cs="Arial"/>
                      <w:sz w:val="20"/>
                    </w:rPr>
                    <w:t>SOMIH</w:t>
                  </w:r>
                </w:p>
              </w:tc>
              <w:tc>
                <w:tcPr>
                  <w:tcW w:w="918" w:type="pct"/>
                  <w:shd w:val="clear" w:color="auto" w:fill="auto"/>
                  <w:vAlign w:val="center"/>
                </w:tcPr>
                <w:p w:rsidR="00A4632F" w:rsidRPr="00A4632F" w:rsidRDefault="00A4632F" w:rsidP="007D2FED">
                  <w:pPr>
                    <w:pStyle w:val="TableBodyText"/>
                    <w:rPr>
                      <w:rFonts w:cs="Arial"/>
                      <w:color w:val="000000" w:themeColor="text1"/>
                      <w:sz w:val="20"/>
                    </w:rPr>
                  </w:pPr>
                  <w:r w:rsidRPr="00A4632F">
                    <w:rPr>
                      <w:rFonts w:cs="Arial"/>
                      <w:color w:val="000000" w:themeColor="text1"/>
                      <w:sz w:val="20"/>
                    </w:rPr>
                    <w:t>114</w:t>
                  </w:r>
                  <w:r w:rsidR="007D2FED">
                    <w:rPr>
                      <w:rFonts w:cs="Arial"/>
                      <w:color w:val="000000" w:themeColor="text1"/>
                      <w:sz w:val="20"/>
                    </w:rPr>
                    <w:t>.</w:t>
                  </w:r>
                  <w:r w:rsidRPr="00A4632F">
                    <w:rPr>
                      <w:rFonts w:cs="Arial"/>
                      <w:color w:val="000000" w:themeColor="text1"/>
                      <w:sz w:val="20"/>
                    </w:rPr>
                    <w:t xml:space="preserve">6 </w:t>
                  </w:r>
                </w:p>
              </w:tc>
              <w:tc>
                <w:tcPr>
                  <w:tcW w:w="694" w:type="pct"/>
                  <w:shd w:val="clear" w:color="auto" w:fill="auto"/>
                  <w:vAlign w:val="center"/>
                </w:tcPr>
                <w:p w:rsidR="00A4632F" w:rsidRPr="00A4632F" w:rsidRDefault="00A4632F" w:rsidP="00A4632F">
                  <w:pPr>
                    <w:pStyle w:val="TableBodyText"/>
                    <w:rPr>
                      <w:rFonts w:cs="Arial"/>
                      <w:color w:val="000000" w:themeColor="text1"/>
                      <w:sz w:val="20"/>
                    </w:rPr>
                  </w:pPr>
                  <w:r w:rsidRPr="00A4632F">
                    <w:rPr>
                      <w:rFonts w:cs="Arial"/>
                      <w:color w:val="000000" w:themeColor="text1"/>
                      <w:sz w:val="20"/>
                    </w:rPr>
                    <w:t xml:space="preserve"> 9 949</w:t>
                  </w:r>
                </w:p>
              </w:tc>
              <w:tc>
                <w:tcPr>
                  <w:tcW w:w="736" w:type="pct"/>
                  <w:shd w:val="clear" w:color="auto" w:fill="auto"/>
                  <w:vAlign w:val="center"/>
                </w:tcPr>
                <w:p w:rsidR="00A4632F" w:rsidRPr="00A4632F" w:rsidRDefault="00A4632F" w:rsidP="00A4632F">
                  <w:pPr>
                    <w:pStyle w:val="TableBodyText"/>
                    <w:rPr>
                      <w:rFonts w:cs="Arial"/>
                      <w:color w:val="000000" w:themeColor="text1"/>
                      <w:sz w:val="20"/>
                    </w:rPr>
                  </w:pPr>
                  <w:r w:rsidRPr="00A4632F">
                    <w:rPr>
                      <w:rFonts w:cs="Arial"/>
                      <w:color w:val="000000" w:themeColor="text1"/>
                      <w:sz w:val="20"/>
                    </w:rPr>
                    <w:t xml:space="preserve"> 9 660</w:t>
                  </w:r>
                </w:p>
              </w:tc>
              <w:tc>
                <w:tcPr>
                  <w:tcW w:w="735" w:type="pct"/>
                  <w:shd w:val="clear" w:color="auto" w:fill="auto"/>
                  <w:vAlign w:val="center"/>
                </w:tcPr>
                <w:p w:rsidR="00A4632F" w:rsidRDefault="00A4632F" w:rsidP="00132BD1">
                  <w:pPr>
                    <w:pStyle w:val="TableBodyText"/>
                    <w:rPr>
                      <w:rFonts w:cs="Arial"/>
                      <w:color w:val="000000" w:themeColor="text1"/>
                      <w:sz w:val="20"/>
                    </w:rPr>
                  </w:pPr>
                  <w:r>
                    <w:rPr>
                      <w:rFonts w:cs="Arial"/>
                      <w:color w:val="000000" w:themeColor="text1"/>
                      <w:sz w:val="20"/>
                    </w:rPr>
                    <w:t>..</w:t>
                  </w:r>
                </w:p>
              </w:tc>
            </w:tr>
            <w:tr w:rsidR="00A4632F" w:rsidRPr="00C62538" w:rsidTr="00817D9F">
              <w:tc>
                <w:tcPr>
                  <w:tcW w:w="180" w:type="pct"/>
                </w:tcPr>
                <w:p w:rsidR="00A4632F" w:rsidRPr="00555120" w:rsidRDefault="00A4632F" w:rsidP="00AB5A61">
                  <w:pPr>
                    <w:pStyle w:val="TableBodyText"/>
                    <w:jc w:val="left"/>
                    <w:rPr>
                      <w:rFonts w:cs="Arial"/>
                      <w:sz w:val="20"/>
                    </w:rPr>
                  </w:pPr>
                </w:p>
              </w:tc>
              <w:tc>
                <w:tcPr>
                  <w:tcW w:w="1737" w:type="pct"/>
                  <w:shd w:val="clear" w:color="auto" w:fill="auto"/>
                  <w:vAlign w:val="center"/>
                </w:tcPr>
                <w:p w:rsidR="00A4632F" w:rsidRPr="00555120" w:rsidRDefault="00A4632F" w:rsidP="00A97742">
                  <w:pPr>
                    <w:pStyle w:val="TableBodyText"/>
                    <w:jc w:val="left"/>
                    <w:rPr>
                      <w:rFonts w:cs="Arial"/>
                      <w:sz w:val="20"/>
                    </w:rPr>
                  </w:pPr>
                  <w:r>
                    <w:rPr>
                      <w:rFonts w:cs="Arial"/>
                      <w:sz w:val="20"/>
                    </w:rPr>
                    <w:t>Community housing</w:t>
                  </w:r>
                </w:p>
              </w:tc>
              <w:tc>
                <w:tcPr>
                  <w:tcW w:w="918" w:type="pct"/>
                  <w:shd w:val="clear" w:color="auto" w:fill="auto"/>
                  <w:vAlign w:val="center"/>
                </w:tcPr>
                <w:p w:rsidR="00A4632F" w:rsidRPr="00DE4B34" w:rsidRDefault="00A97742" w:rsidP="00132BD1">
                  <w:pPr>
                    <w:pStyle w:val="TableBodyText"/>
                    <w:rPr>
                      <w:rFonts w:cs="Arial"/>
                      <w:sz w:val="20"/>
                    </w:rPr>
                  </w:pPr>
                  <w:r w:rsidRPr="00A97742">
                    <w:rPr>
                      <w:rFonts w:cs="Arial"/>
                      <w:sz w:val="20"/>
                    </w:rPr>
                    <w:t>885.6</w:t>
                  </w:r>
                </w:p>
              </w:tc>
              <w:tc>
                <w:tcPr>
                  <w:tcW w:w="694" w:type="pct"/>
                  <w:shd w:val="clear" w:color="auto" w:fill="auto"/>
                  <w:vAlign w:val="center"/>
                </w:tcPr>
                <w:p w:rsidR="00A4632F" w:rsidRPr="00BD782C" w:rsidRDefault="00950061" w:rsidP="00BD782C">
                  <w:pPr>
                    <w:pStyle w:val="TableBodyText"/>
                    <w:rPr>
                      <w:rFonts w:cs="Arial"/>
                      <w:color w:val="000000" w:themeColor="text1"/>
                      <w:sz w:val="20"/>
                    </w:rPr>
                  </w:pPr>
                  <w:r w:rsidRPr="00950061">
                    <w:rPr>
                      <w:rFonts w:cs="Arial"/>
                      <w:color w:val="000000" w:themeColor="text1"/>
                      <w:sz w:val="20"/>
                    </w:rPr>
                    <w:t>80 225</w:t>
                  </w:r>
                </w:p>
              </w:tc>
              <w:tc>
                <w:tcPr>
                  <w:tcW w:w="736" w:type="pct"/>
                  <w:shd w:val="clear" w:color="auto" w:fill="auto"/>
                  <w:vAlign w:val="center"/>
                </w:tcPr>
                <w:p w:rsidR="00A4632F" w:rsidRPr="00A97742" w:rsidRDefault="00A97742" w:rsidP="00A4632F">
                  <w:pPr>
                    <w:pStyle w:val="TableBodyText"/>
                    <w:rPr>
                      <w:rFonts w:cs="Arial"/>
                      <w:sz w:val="20"/>
                    </w:rPr>
                  </w:pPr>
                  <w:r w:rsidRPr="00A97742">
                    <w:rPr>
                      <w:rFonts w:cs="Arial"/>
                      <w:sz w:val="20"/>
                    </w:rPr>
                    <w:t>72 410</w:t>
                  </w:r>
                </w:p>
              </w:tc>
              <w:tc>
                <w:tcPr>
                  <w:tcW w:w="735" w:type="pct"/>
                  <w:shd w:val="clear" w:color="auto" w:fill="auto"/>
                  <w:vAlign w:val="center"/>
                </w:tcPr>
                <w:p w:rsidR="00A4632F" w:rsidRDefault="00A4632F" w:rsidP="00132BD1">
                  <w:pPr>
                    <w:pStyle w:val="TableBodyText"/>
                    <w:rPr>
                      <w:rFonts w:cs="Arial"/>
                      <w:color w:val="000000" w:themeColor="text1"/>
                      <w:sz w:val="20"/>
                    </w:rPr>
                  </w:pPr>
                  <w:r>
                    <w:rPr>
                      <w:rFonts w:cs="Arial"/>
                      <w:color w:val="000000" w:themeColor="text1"/>
                      <w:sz w:val="20"/>
                    </w:rPr>
                    <w:t>..</w:t>
                  </w:r>
                </w:p>
              </w:tc>
            </w:tr>
            <w:tr w:rsidR="00FF60CA" w:rsidRPr="00C62538" w:rsidTr="00A4632F">
              <w:tc>
                <w:tcPr>
                  <w:tcW w:w="180" w:type="pct"/>
                </w:tcPr>
                <w:p w:rsidR="00FF60CA" w:rsidRPr="00555120" w:rsidRDefault="00FF60CA" w:rsidP="00AB5A61">
                  <w:pPr>
                    <w:pStyle w:val="TableBodyText"/>
                    <w:jc w:val="left"/>
                    <w:rPr>
                      <w:rFonts w:cs="Arial"/>
                      <w:sz w:val="20"/>
                    </w:rPr>
                  </w:pPr>
                </w:p>
              </w:tc>
              <w:tc>
                <w:tcPr>
                  <w:tcW w:w="1737" w:type="pct"/>
                  <w:shd w:val="clear" w:color="auto" w:fill="auto"/>
                  <w:vAlign w:val="center"/>
                </w:tcPr>
                <w:p w:rsidR="00FF60CA" w:rsidRPr="00555120" w:rsidRDefault="000701D5" w:rsidP="00A4632F">
                  <w:pPr>
                    <w:pStyle w:val="TableBodyText"/>
                    <w:jc w:val="left"/>
                    <w:rPr>
                      <w:rFonts w:cs="Arial"/>
                      <w:sz w:val="20"/>
                    </w:rPr>
                  </w:pPr>
                  <w:r>
                    <w:rPr>
                      <w:rFonts w:cs="Arial"/>
                      <w:sz w:val="20"/>
                    </w:rPr>
                    <w:t>ICH</w:t>
                  </w:r>
                  <w:r w:rsidR="00FF60CA">
                    <w:rPr>
                      <w:rFonts w:cs="Arial"/>
                      <w:sz w:val="20"/>
                    </w:rPr>
                    <w:t xml:space="preserve"> (201</w:t>
                  </w:r>
                  <w:r w:rsidR="00A4632F">
                    <w:rPr>
                      <w:rFonts w:cs="Arial"/>
                      <w:sz w:val="20"/>
                    </w:rPr>
                    <w:t>4</w:t>
                  </w:r>
                  <w:r w:rsidR="00080F6D">
                    <w:rPr>
                      <w:rFonts w:cs="Arial"/>
                      <w:sz w:val="20"/>
                    </w:rPr>
                    <w:noBreakHyphen/>
                  </w:r>
                  <w:r w:rsidR="00FF60CA">
                    <w:rPr>
                      <w:rFonts w:cs="Arial"/>
                      <w:sz w:val="20"/>
                    </w:rPr>
                    <w:t>1</w:t>
                  </w:r>
                  <w:r w:rsidR="00A4632F">
                    <w:rPr>
                      <w:rFonts w:cs="Arial"/>
                      <w:sz w:val="20"/>
                    </w:rPr>
                    <w:t>5</w:t>
                  </w:r>
                  <w:r w:rsidR="00FF60CA">
                    <w:rPr>
                      <w:rFonts w:cs="Arial"/>
                      <w:sz w:val="20"/>
                    </w:rPr>
                    <w:t>)</w:t>
                  </w:r>
                </w:p>
              </w:tc>
              <w:tc>
                <w:tcPr>
                  <w:tcW w:w="918" w:type="pct"/>
                  <w:shd w:val="clear" w:color="auto" w:fill="auto"/>
                  <w:vAlign w:val="center"/>
                </w:tcPr>
                <w:p w:rsidR="00FF60CA" w:rsidRPr="00C62538" w:rsidRDefault="00A4632F" w:rsidP="00132BD1">
                  <w:pPr>
                    <w:pStyle w:val="TableBodyText"/>
                    <w:rPr>
                      <w:rFonts w:cs="Arial"/>
                      <w:color w:val="000000" w:themeColor="text1"/>
                      <w:sz w:val="20"/>
                    </w:rPr>
                  </w:pPr>
                  <w:r>
                    <w:rPr>
                      <w:rFonts w:cs="Arial"/>
                      <w:color w:val="000000" w:themeColor="text1"/>
                      <w:sz w:val="20"/>
                    </w:rPr>
                    <w:t>117.2</w:t>
                  </w:r>
                </w:p>
              </w:tc>
              <w:tc>
                <w:tcPr>
                  <w:tcW w:w="694" w:type="pct"/>
                  <w:shd w:val="clear" w:color="auto" w:fill="auto"/>
                  <w:vAlign w:val="center"/>
                </w:tcPr>
                <w:p w:rsidR="00FF60CA" w:rsidRPr="00C62538" w:rsidRDefault="00FF60CA" w:rsidP="00A4632F">
                  <w:pPr>
                    <w:pStyle w:val="TableBodyText"/>
                    <w:rPr>
                      <w:rFonts w:cs="Arial"/>
                      <w:color w:val="000000" w:themeColor="text1"/>
                      <w:sz w:val="20"/>
                    </w:rPr>
                  </w:pPr>
                  <w:r>
                    <w:rPr>
                      <w:rFonts w:cs="Arial"/>
                      <w:color w:val="000000" w:themeColor="text1"/>
                      <w:sz w:val="20"/>
                    </w:rPr>
                    <w:t>15</w:t>
                  </w:r>
                  <w:r w:rsidR="00597067">
                    <w:rPr>
                      <w:rFonts w:cs="Arial"/>
                      <w:color w:val="000000" w:themeColor="text1"/>
                      <w:sz w:val="20"/>
                    </w:rPr>
                    <w:t> </w:t>
                  </w:r>
                  <w:r w:rsidR="00A4632F">
                    <w:rPr>
                      <w:rFonts w:cs="Arial"/>
                      <w:color w:val="000000" w:themeColor="text1"/>
                      <w:sz w:val="20"/>
                    </w:rPr>
                    <w:t>643</w:t>
                  </w:r>
                </w:p>
              </w:tc>
              <w:tc>
                <w:tcPr>
                  <w:tcW w:w="736" w:type="pct"/>
                  <w:shd w:val="clear" w:color="auto" w:fill="auto"/>
                  <w:vAlign w:val="center"/>
                </w:tcPr>
                <w:p w:rsidR="00FF60CA" w:rsidRPr="00FF60CA" w:rsidRDefault="00A4632F" w:rsidP="00597067">
                  <w:pPr>
                    <w:pStyle w:val="TableBodyText"/>
                    <w:rPr>
                      <w:rFonts w:cs="Arial"/>
                      <w:color w:val="000000" w:themeColor="text1"/>
                      <w:sz w:val="20"/>
                    </w:rPr>
                  </w:pPr>
                  <w:r w:rsidRPr="00A4632F">
                    <w:rPr>
                      <w:rFonts w:cs="Arial"/>
                      <w:color w:val="000000" w:themeColor="text1"/>
                      <w:sz w:val="20"/>
                    </w:rPr>
                    <w:t>13 088</w:t>
                  </w:r>
                </w:p>
              </w:tc>
              <w:tc>
                <w:tcPr>
                  <w:tcW w:w="735" w:type="pct"/>
                  <w:shd w:val="clear" w:color="auto" w:fill="auto"/>
                  <w:vAlign w:val="center"/>
                </w:tcPr>
                <w:p w:rsidR="00FF60CA" w:rsidRPr="00FF60CA" w:rsidRDefault="00132BD1" w:rsidP="00132BD1">
                  <w:pPr>
                    <w:pStyle w:val="TableBodyText"/>
                    <w:rPr>
                      <w:rFonts w:cs="Arial"/>
                      <w:color w:val="000000" w:themeColor="text1"/>
                      <w:sz w:val="20"/>
                    </w:rPr>
                  </w:pPr>
                  <w:r>
                    <w:rPr>
                      <w:rFonts w:cs="Arial"/>
                      <w:color w:val="000000" w:themeColor="text1"/>
                      <w:sz w:val="20"/>
                    </w:rPr>
                    <w:t>..</w:t>
                  </w:r>
                </w:p>
              </w:tc>
            </w:tr>
            <w:tr w:rsidR="00FF60CA" w:rsidRPr="00642B99" w:rsidTr="00A4632F">
              <w:tc>
                <w:tcPr>
                  <w:tcW w:w="180" w:type="pct"/>
                </w:tcPr>
                <w:p w:rsidR="00FF60CA" w:rsidRPr="00642B99" w:rsidRDefault="00FF60CA" w:rsidP="00642B99">
                  <w:pPr>
                    <w:pStyle w:val="TableBodyText"/>
                    <w:spacing w:after="0" w:line="120" w:lineRule="atLeast"/>
                    <w:jc w:val="left"/>
                    <w:rPr>
                      <w:rFonts w:cs="Arial"/>
                      <w:sz w:val="12"/>
                    </w:rPr>
                  </w:pPr>
                </w:p>
              </w:tc>
              <w:tc>
                <w:tcPr>
                  <w:tcW w:w="1737" w:type="pct"/>
                  <w:shd w:val="clear" w:color="auto" w:fill="auto"/>
                </w:tcPr>
                <w:p w:rsidR="00FF60CA" w:rsidRPr="00642B99" w:rsidRDefault="00FF60CA" w:rsidP="00642B99">
                  <w:pPr>
                    <w:pStyle w:val="TableBodyText"/>
                    <w:spacing w:after="0" w:line="120" w:lineRule="atLeast"/>
                    <w:rPr>
                      <w:rFonts w:cs="Arial"/>
                      <w:color w:val="000000" w:themeColor="text1"/>
                      <w:sz w:val="12"/>
                    </w:rPr>
                  </w:pPr>
                </w:p>
              </w:tc>
              <w:tc>
                <w:tcPr>
                  <w:tcW w:w="918" w:type="pct"/>
                  <w:shd w:val="clear" w:color="auto" w:fill="auto"/>
                </w:tcPr>
                <w:p w:rsidR="00FF60CA" w:rsidRPr="00642B99" w:rsidRDefault="00FF60CA" w:rsidP="00642B99">
                  <w:pPr>
                    <w:pStyle w:val="TableBodyText"/>
                    <w:spacing w:after="0" w:line="120" w:lineRule="atLeast"/>
                    <w:rPr>
                      <w:rFonts w:cs="Arial"/>
                      <w:i/>
                      <w:color w:val="000000" w:themeColor="text1"/>
                      <w:sz w:val="12"/>
                    </w:rPr>
                  </w:pPr>
                </w:p>
              </w:tc>
              <w:tc>
                <w:tcPr>
                  <w:tcW w:w="694" w:type="pct"/>
                  <w:shd w:val="clear" w:color="auto" w:fill="auto"/>
                </w:tcPr>
                <w:p w:rsidR="00FF60CA" w:rsidRPr="00642B99" w:rsidRDefault="00FF60CA" w:rsidP="00642B99">
                  <w:pPr>
                    <w:pStyle w:val="TableBodyText"/>
                    <w:spacing w:after="0" w:line="120" w:lineRule="atLeast"/>
                    <w:rPr>
                      <w:rFonts w:cs="Arial"/>
                      <w:i/>
                      <w:color w:val="000000" w:themeColor="text1"/>
                      <w:sz w:val="12"/>
                    </w:rPr>
                  </w:pPr>
                </w:p>
              </w:tc>
              <w:tc>
                <w:tcPr>
                  <w:tcW w:w="736" w:type="pct"/>
                  <w:shd w:val="clear" w:color="auto" w:fill="auto"/>
                </w:tcPr>
                <w:p w:rsidR="00FF60CA" w:rsidRPr="00642B99" w:rsidRDefault="00FF60CA" w:rsidP="00642B99">
                  <w:pPr>
                    <w:pStyle w:val="TableBodyText"/>
                    <w:spacing w:after="0" w:line="120" w:lineRule="atLeast"/>
                    <w:rPr>
                      <w:rFonts w:cs="Arial"/>
                      <w:i/>
                      <w:color w:val="000000" w:themeColor="text1"/>
                      <w:sz w:val="12"/>
                    </w:rPr>
                  </w:pPr>
                </w:p>
              </w:tc>
              <w:tc>
                <w:tcPr>
                  <w:tcW w:w="735" w:type="pct"/>
                </w:tcPr>
                <w:p w:rsidR="00FF60CA" w:rsidRPr="00642B99" w:rsidRDefault="00FF60CA" w:rsidP="00642B99">
                  <w:pPr>
                    <w:pStyle w:val="TableBodyText"/>
                    <w:spacing w:after="0" w:line="120" w:lineRule="atLeast"/>
                    <w:rPr>
                      <w:rFonts w:cs="Arial"/>
                      <w:i/>
                      <w:color w:val="000000" w:themeColor="text1"/>
                      <w:sz w:val="12"/>
                    </w:rPr>
                  </w:pPr>
                </w:p>
              </w:tc>
            </w:tr>
            <w:tr w:rsidR="00FF60CA" w:rsidRPr="00C62538" w:rsidTr="00BD782C">
              <w:tc>
                <w:tcPr>
                  <w:tcW w:w="1917" w:type="pct"/>
                  <w:gridSpan w:val="2"/>
                  <w:tcBorders>
                    <w:bottom w:val="single" w:sz="4" w:space="0" w:color="D9D9D9" w:themeColor="background1" w:themeShade="D9"/>
                  </w:tcBorders>
                  <w:vAlign w:val="center"/>
                </w:tcPr>
                <w:p w:rsidR="00FF60CA" w:rsidRPr="00555120" w:rsidRDefault="00FF60CA" w:rsidP="00132BD1">
                  <w:pPr>
                    <w:pStyle w:val="TableBodyText"/>
                    <w:jc w:val="left"/>
                    <w:rPr>
                      <w:rFonts w:cs="Arial"/>
                      <w:i/>
                      <w:sz w:val="20"/>
                    </w:rPr>
                  </w:pPr>
                  <w:r w:rsidRPr="00555120">
                    <w:rPr>
                      <w:rFonts w:cs="Arial"/>
                      <w:i/>
                      <w:sz w:val="20"/>
                    </w:rPr>
                    <w:t>Homelessness services</w:t>
                  </w:r>
                </w:p>
              </w:tc>
              <w:tc>
                <w:tcPr>
                  <w:tcW w:w="918" w:type="pct"/>
                  <w:tcBorders>
                    <w:bottom w:val="single" w:sz="4" w:space="0" w:color="D9D9D9" w:themeColor="background1" w:themeShade="D9"/>
                  </w:tcBorders>
                  <w:shd w:val="clear" w:color="auto" w:fill="auto"/>
                  <w:vAlign w:val="center"/>
                </w:tcPr>
                <w:p w:rsidR="00FF60CA" w:rsidRPr="009B7CC7" w:rsidRDefault="00690AAC" w:rsidP="00132BD1">
                  <w:pPr>
                    <w:pStyle w:val="TableBodyText"/>
                    <w:rPr>
                      <w:rFonts w:cs="Arial"/>
                      <w:color w:val="000000" w:themeColor="text1"/>
                      <w:sz w:val="20"/>
                    </w:rPr>
                  </w:pPr>
                  <w:r>
                    <w:rPr>
                      <w:rFonts w:cs="Arial"/>
                      <w:color w:val="000000" w:themeColor="text1"/>
                      <w:sz w:val="20"/>
                    </w:rPr>
                    <w:t xml:space="preserve"> </w:t>
                  </w:r>
                  <w:r w:rsidR="00203368" w:rsidRPr="00203368">
                    <w:rPr>
                      <w:rFonts w:cs="Arial"/>
                      <w:color w:val="000000" w:themeColor="text1"/>
                      <w:sz w:val="20"/>
                    </w:rPr>
                    <w:t>763.6</w:t>
                  </w:r>
                </w:p>
              </w:tc>
              <w:tc>
                <w:tcPr>
                  <w:tcW w:w="694" w:type="pct"/>
                  <w:tcBorders>
                    <w:bottom w:val="single" w:sz="4" w:space="0" w:color="D9D9D9" w:themeColor="background1" w:themeShade="D9"/>
                  </w:tcBorders>
                  <w:shd w:val="clear" w:color="auto" w:fill="auto"/>
                  <w:vAlign w:val="center"/>
                </w:tcPr>
                <w:p w:rsidR="00FF60CA" w:rsidRPr="00C62538" w:rsidRDefault="00132BD1" w:rsidP="00132BD1">
                  <w:pPr>
                    <w:pStyle w:val="TableBodyText"/>
                    <w:rPr>
                      <w:rFonts w:cs="Arial"/>
                      <w:color w:val="000000" w:themeColor="text1"/>
                      <w:sz w:val="20"/>
                    </w:rPr>
                  </w:pPr>
                  <w:r>
                    <w:rPr>
                      <w:rFonts w:cs="Arial"/>
                      <w:color w:val="000000" w:themeColor="text1"/>
                      <w:sz w:val="20"/>
                    </w:rPr>
                    <w:t>..</w:t>
                  </w:r>
                </w:p>
              </w:tc>
              <w:tc>
                <w:tcPr>
                  <w:tcW w:w="736" w:type="pct"/>
                  <w:tcBorders>
                    <w:bottom w:val="single" w:sz="4" w:space="0" w:color="D9D9D9" w:themeColor="background1" w:themeShade="D9"/>
                  </w:tcBorders>
                  <w:shd w:val="clear" w:color="auto" w:fill="auto"/>
                  <w:vAlign w:val="center"/>
                </w:tcPr>
                <w:p w:rsidR="00FF60CA" w:rsidRPr="00C62538" w:rsidRDefault="00FF60CA" w:rsidP="00132BD1">
                  <w:pPr>
                    <w:pStyle w:val="TableBodyText"/>
                    <w:rPr>
                      <w:rFonts w:cs="Arial"/>
                      <w:color w:val="000000" w:themeColor="text1"/>
                      <w:sz w:val="20"/>
                    </w:rPr>
                  </w:pPr>
                  <w:r>
                    <w:rPr>
                      <w:rFonts w:cs="Arial"/>
                      <w:color w:val="000000" w:themeColor="text1"/>
                      <w:sz w:val="20"/>
                    </w:rPr>
                    <w:t>..</w:t>
                  </w:r>
                </w:p>
              </w:tc>
              <w:tc>
                <w:tcPr>
                  <w:tcW w:w="735" w:type="pct"/>
                  <w:tcBorders>
                    <w:bottom w:val="single" w:sz="4" w:space="0" w:color="D9D9D9" w:themeColor="background1" w:themeShade="D9"/>
                  </w:tcBorders>
                  <w:vAlign w:val="center"/>
                </w:tcPr>
                <w:p w:rsidR="00FF60CA" w:rsidRDefault="00A4632F" w:rsidP="00A4632F">
                  <w:pPr>
                    <w:pStyle w:val="TableBodyText"/>
                    <w:rPr>
                      <w:rFonts w:cs="Arial"/>
                      <w:color w:val="000000" w:themeColor="text1"/>
                      <w:sz w:val="20"/>
                    </w:rPr>
                  </w:pPr>
                  <w:r>
                    <w:rPr>
                      <w:rFonts w:cs="Arial"/>
                      <w:color w:val="000000" w:themeColor="text1"/>
                      <w:sz w:val="20"/>
                    </w:rPr>
                    <w:t>279</w:t>
                  </w:r>
                  <w:r w:rsidR="00132BD1">
                    <w:rPr>
                      <w:rFonts w:cs="Arial"/>
                      <w:color w:val="000000" w:themeColor="text1"/>
                      <w:sz w:val="20"/>
                    </w:rPr>
                    <w:t xml:space="preserve"> </w:t>
                  </w:r>
                  <w:r>
                    <w:rPr>
                      <w:rFonts w:cs="Arial"/>
                      <w:color w:val="000000" w:themeColor="text1"/>
                      <w:sz w:val="20"/>
                    </w:rPr>
                    <w:t>196</w:t>
                  </w:r>
                </w:p>
              </w:tc>
            </w:tr>
          </w:tbl>
          <w:p w:rsidR="00555120" w:rsidRDefault="00555120" w:rsidP="00AB5A61">
            <w:pPr>
              <w:pStyle w:val="Box"/>
            </w:pPr>
          </w:p>
        </w:tc>
      </w:tr>
      <w:tr w:rsidR="00642B99" w:rsidTr="00B5765E">
        <w:trPr>
          <w:cantSplit/>
        </w:trPr>
        <w:tc>
          <w:tcPr>
            <w:tcW w:w="5000" w:type="pct"/>
            <w:tcBorders>
              <w:top w:val="nil"/>
              <w:left w:val="nil"/>
              <w:bottom w:val="nil"/>
              <w:right w:val="nil"/>
            </w:tcBorders>
            <w:shd w:val="clear" w:color="auto" w:fill="auto"/>
          </w:tcPr>
          <w:p w:rsidR="00642B99" w:rsidRPr="00C85EE8" w:rsidRDefault="00642B99" w:rsidP="007403E3">
            <w:pPr>
              <w:pStyle w:val="Note"/>
            </w:pPr>
            <w:r w:rsidRPr="008E77FE">
              <w:rPr>
                <w:rStyle w:val="NoteLabel"/>
              </w:rPr>
              <w:t>a</w:t>
            </w:r>
            <w:r>
              <w:rPr>
                <w:rStyle w:val="NoteLabel"/>
              </w:rPr>
              <w:t> </w:t>
            </w:r>
            <w:r>
              <w:t xml:space="preserve">See </w:t>
            </w:r>
            <w:r w:rsidR="000D5ADE" w:rsidRPr="00472FA1">
              <w:t>table</w:t>
            </w:r>
            <w:r w:rsidR="000D5ADE">
              <w:t>s</w:t>
            </w:r>
            <w:r w:rsidR="000D5ADE" w:rsidRPr="00472FA1">
              <w:t xml:space="preserve"> GA.</w:t>
            </w:r>
            <w:r w:rsidR="007403E3">
              <w:t>2</w:t>
            </w:r>
            <w:r w:rsidR="000D5ADE">
              <w:t xml:space="preserve"> and GA.</w:t>
            </w:r>
            <w:r w:rsidR="007403E3">
              <w:t>3</w:t>
            </w:r>
            <w:r w:rsidR="005C041A">
              <w:t xml:space="preserve"> </w:t>
            </w:r>
            <w:r>
              <w:t xml:space="preserve">for detailed </w:t>
            </w:r>
            <w:r w:rsidR="00B763A6">
              <w:t xml:space="preserve">definitions </w:t>
            </w:r>
            <w:r w:rsidR="00B42683" w:rsidRPr="00B42683">
              <w:t xml:space="preserve">and </w:t>
            </w:r>
            <w:r>
              <w:t>caveats</w:t>
            </w:r>
            <w:r w:rsidRPr="00C85EE8">
              <w:t>.</w:t>
            </w:r>
            <w:r>
              <w:t xml:space="preserve"> </w:t>
            </w:r>
            <w:r w:rsidRPr="000B7C25">
              <w:rPr>
                <w:rStyle w:val="NoteLabel"/>
              </w:rPr>
              <w:t>b</w:t>
            </w:r>
            <w:r>
              <w:rPr>
                <w:rStyle w:val="NoteLabel"/>
              </w:rPr>
              <w:t> </w:t>
            </w:r>
            <w:r>
              <w:t xml:space="preserve">Net recurrent expenditure is for </w:t>
            </w:r>
            <w:r w:rsidRPr="000D5ADE">
              <w:t>201</w:t>
            </w:r>
            <w:r w:rsidR="000D5ADE" w:rsidRPr="000D5ADE">
              <w:t>4</w:t>
            </w:r>
            <w:r w:rsidR="002B18D7">
              <w:noBreakHyphen/>
            </w:r>
            <w:r w:rsidRPr="000D5ADE">
              <w:t>1</w:t>
            </w:r>
            <w:r w:rsidR="000D5ADE">
              <w:t xml:space="preserve">5 </w:t>
            </w:r>
            <w:r>
              <w:t xml:space="preserve">for Community housing and ICH. </w:t>
            </w:r>
            <w:r>
              <w:rPr>
                <w:rStyle w:val="NoteLabel"/>
              </w:rPr>
              <w:t>c </w:t>
            </w:r>
            <w:r>
              <w:t>For Community housing</w:t>
            </w:r>
            <w:r w:rsidR="000D5ADE">
              <w:t>,</w:t>
            </w:r>
            <w:r>
              <w:t xml:space="preserve"> dwelling is total tenancy rental units at 30</w:t>
            </w:r>
            <w:r w:rsidR="00690AAC">
              <w:t> </w:t>
            </w:r>
            <w:r>
              <w:t xml:space="preserve">June </w:t>
            </w:r>
            <w:r w:rsidRPr="000D5ADE">
              <w:t>201</w:t>
            </w:r>
            <w:r w:rsidR="000D5ADE" w:rsidRPr="000D5ADE">
              <w:t>6</w:t>
            </w:r>
            <w:r>
              <w:t>. For ICH, dwelling is number of permanent dwellings as at 30</w:t>
            </w:r>
            <w:r w:rsidR="00690AAC">
              <w:t> </w:t>
            </w:r>
            <w:r>
              <w:t xml:space="preserve">June </w:t>
            </w:r>
            <w:r w:rsidR="000D5ADE" w:rsidRPr="000D5ADE">
              <w:t>2015</w:t>
            </w:r>
            <w:r w:rsidRPr="00C85EE8">
              <w:t>.</w:t>
            </w:r>
            <w:r>
              <w:t xml:space="preserve"> </w:t>
            </w:r>
            <w:r w:rsidRPr="00C85EE8">
              <w:t>.. Not applicable.</w:t>
            </w:r>
          </w:p>
        </w:tc>
      </w:tr>
      <w:tr w:rsidR="00555120" w:rsidTr="00C85EE8">
        <w:trPr>
          <w:cantSplit/>
        </w:trPr>
        <w:tc>
          <w:tcPr>
            <w:tcW w:w="5000" w:type="pct"/>
            <w:tcBorders>
              <w:top w:val="nil"/>
              <w:left w:val="nil"/>
              <w:bottom w:val="nil"/>
              <w:right w:val="nil"/>
            </w:tcBorders>
            <w:shd w:val="clear" w:color="auto" w:fill="auto"/>
          </w:tcPr>
          <w:p w:rsidR="00555120" w:rsidRPr="00CC52ED" w:rsidRDefault="00555120" w:rsidP="00CC52ED">
            <w:pPr>
              <w:pStyle w:val="Source"/>
              <w:rPr>
                <w:rStyle w:val="DraftingNote"/>
                <w:color w:val="auto"/>
              </w:rPr>
            </w:pPr>
            <w:r>
              <w:rPr>
                <w:i/>
              </w:rPr>
              <w:t>Source</w:t>
            </w:r>
            <w:r w:rsidRPr="00167F06">
              <w:t xml:space="preserve">: </w:t>
            </w:r>
            <w:r w:rsidRPr="00555120">
              <w:t>Chapters</w:t>
            </w:r>
            <w:r w:rsidR="00690AAC">
              <w:t> </w:t>
            </w:r>
            <w:r w:rsidRPr="00555120">
              <w:t>1</w:t>
            </w:r>
            <w:r w:rsidR="007D2FED">
              <w:t>8 and 19</w:t>
            </w:r>
            <w:r w:rsidRPr="00555120">
              <w:t>;</w:t>
            </w:r>
            <w:r w:rsidR="00FF60CA">
              <w:t xml:space="preserve"> </w:t>
            </w:r>
            <w:r w:rsidR="00FF60CA" w:rsidRPr="00472FA1">
              <w:t>table</w:t>
            </w:r>
            <w:r w:rsidR="000D5ADE">
              <w:t>s</w:t>
            </w:r>
            <w:r w:rsidR="00FF60CA" w:rsidRPr="00472FA1">
              <w:t xml:space="preserve"> GA.</w:t>
            </w:r>
            <w:r w:rsidR="007403E3">
              <w:t>2</w:t>
            </w:r>
            <w:r w:rsidR="000D5ADE">
              <w:t xml:space="preserve"> and GA.</w:t>
            </w:r>
            <w:r w:rsidR="007403E3">
              <w:t>3</w:t>
            </w:r>
            <w:r w:rsidR="00FF60CA">
              <w:t>.</w:t>
            </w:r>
          </w:p>
        </w:tc>
      </w:tr>
      <w:tr w:rsidR="00555120" w:rsidTr="00C85EE8">
        <w:trPr>
          <w:cantSplit/>
        </w:trPr>
        <w:tc>
          <w:tcPr>
            <w:tcW w:w="5000" w:type="pct"/>
            <w:tcBorders>
              <w:top w:val="nil"/>
              <w:left w:val="nil"/>
              <w:bottom w:val="single" w:sz="6" w:space="0" w:color="78A22F" w:themeColor="accent1"/>
              <w:right w:val="nil"/>
            </w:tcBorders>
            <w:shd w:val="clear" w:color="auto" w:fill="auto"/>
          </w:tcPr>
          <w:p w:rsidR="00555120" w:rsidRDefault="00555120" w:rsidP="00AB5A61">
            <w:pPr>
              <w:pStyle w:val="Box"/>
              <w:spacing w:before="0" w:line="120" w:lineRule="exact"/>
            </w:pPr>
          </w:p>
        </w:tc>
      </w:tr>
      <w:tr w:rsidR="00555120" w:rsidRPr="000863A5" w:rsidTr="00C85EE8">
        <w:tc>
          <w:tcPr>
            <w:tcW w:w="5000" w:type="pct"/>
            <w:tcBorders>
              <w:top w:val="single" w:sz="6" w:space="0" w:color="78A22F" w:themeColor="accent1"/>
              <w:left w:val="nil"/>
              <w:bottom w:val="nil"/>
              <w:right w:val="nil"/>
            </w:tcBorders>
          </w:tcPr>
          <w:p w:rsidR="00555120" w:rsidRPr="00626D32" w:rsidRDefault="00555120" w:rsidP="00AB5A61">
            <w:pPr>
              <w:pStyle w:val="BoxSpaceBelow"/>
            </w:pPr>
          </w:p>
        </w:tc>
      </w:tr>
    </w:tbl>
    <w:p w:rsidR="00A26D80" w:rsidRDefault="00A26D80" w:rsidP="009E0B0E">
      <w:pPr>
        <w:pStyle w:val="BodyText"/>
      </w:pPr>
      <w:r>
        <w:lastRenderedPageBreak/>
        <w:t>Net recurrent e</w:t>
      </w:r>
      <w:r w:rsidRPr="00D274EC">
        <w:t xml:space="preserve">xpenditure </w:t>
      </w:r>
      <w:r>
        <w:t xml:space="preserve">on </w:t>
      </w:r>
      <w:r w:rsidRPr="00D274EC">
        <w:t xml:space="preserve">housing and </w:t>
      </w:r>
      <w:r>
        <w:t xml:space="preserve">specialist </w:t>
      </w:r>
      <w:r w:rsidRPr="00D274EC">
        <w:t xml:space="preserve">homelessness services </w:t>
      </w:r>
      <w:r>
        <w:t xml:space="preserve">for the most recent reporting year </w:t>
      </w:r>
      <w:r>
        <w:rPr>
          <w:color w:val="000000" w:themeColor="text1"/>
        </w:rPr>
        <w:t xml:space="preserve">is reported in </w:t>
      </w:r>
      <w:r>
        <w:t>table G.1 and summary d</w:t>
      </w:r>
      <w:r w:rsidRPr="00C31869">
        <w:rPr>
          <w:color w:val="000000" w:themeColor="text1"/>
        </w:rPr>
        <w:t>ata for ea</w:t>
      </w:r>
      <w:r w:rsidRPr="00C2143C">
        <w:t>ch jurisdiction in tables GA.</w:t>
      </w:r>
      <w:r w:rsidR="007403E3">
        <w:t>2 and GA.3</w:t>
      </w:r>
      <w:r w:rsidRPr="00C2143C">
        <w:t>.</w:t>
      </w:r>
    </w:p>
    <w:p w:rsidR="00AE64CE" w:rsidRPr="00DE33B0" w:rsidRDefault="00AE64CE" w:rsidP="005D7553">
      <w:pPr>
        <w:pStyle w:val="Heading4"/>
      </w:pPr>
      <w:r w:rsidRPr="00DE33B0">
        <w:t>Commonwealth Rent Assistance</w:t>
      </w:r>
    </w:p>
    <w:p w:rsidR="00872329" w:rsidRDefault="00E22F73" w:rsidP="005E160B">
      <w:pPr>
        <w:pStyle w:val="BodyText"/>
      </w:pPr>
      <w:r>
        <w:t>CRA</w:t>
      </w:r>
      <w:r w:rsidR="000701D5">
        <w:t xml:space="preserve"> </w:t>
      </w:r>
      <w:r w:rsidR="0020330F">
        <w:t xml:space="preserve">helps </w:t>
      </w:r>
      <w:r w:rsidR="002A226C">
        <w:t>eligible people</w:t>
      </w:r>
      <w:r w:rsidR="0020330F">
        <w:t xml:space="preserve"> meet the cost of</w:t>
      </w:r>
      <w:r w:rsidR="00F72246">
        <w:t xml:space="preserve"> rental</w:t>
      </w:r>
      <w:r w:rsidR="0020330F">
        <w:t xml:space="preserve"> housing</w:t>
      </w:r>
      <w:r w:rsidR="00F72246">
        <w:t xml:space="preserve"> in the private market</w:t>
      </w:r>
      <w:r w:rsidR="004C1A26">
        <w:t xml:space="preserve">, aiming to </w:t>
      </w:r>
      <w:r w:rsidR="004C1A26" w:rsidRPr="004C1A26">
        <w:t>reduce the incidence of rental stress</w:t>
      </w:r>
      <w:r w:rsidR="0020330F">
        <w:t xml:space="preserve">. It </w:t>
      </w:r>
      <w:r w:rsidR="0039690B" w:rsidRPr="0039690B">
        <w:t>is an Australian Government non</w:t>
      </w:r>
      <w:r w:rsidR="00C9055F">
        <w:noBreakHyphen/>
      </w:r>
      <w:r w:rsidR="0039690B" w:rsidRPr="0039690B">
        <w:t xml:space="preserve">taxable income supplement, paid to </w:t>
      </w:r>
      <w:r w:rsidR="00E91CB3" w:rsidRPr="00E91CB3">
        <w:t>recipients of income support payment, ABSTUDY, Family Tax Benefit Part A, or a Veteran’s service pension or income support supplement</w:t>
      </w:r>
      <w:r w:rsidR="00B27684">
        <w:t>.</w:t>
      </w:r>
    </w:p>
    <w:p w:rsidR="0039690B" w:rsidRPr="0039690B" w:rsidRDefault="0039690B" w:rsidP="005E160B">
      <w:pPr>
        <w:pStyle w:val="BodyText"/>
      </w:pPr>
      <w:r w:rsidRPr="0039690B">
        <w:t xml:space="preserve">Australian Government </w:t>
      </w:r>
      <w:r w:rsidRPr="00FE625B">
        <w:t>expenditure on CRA was $</w:t>
      </w:r>
      <w:r w:rsidR="001A715E" w:rsidRPr="00FE625B">
        <w:t>4</w:t>
      </w:r>
      <w:r w:rsidR="00445D02" w:rsidRPr="00FE625B">
        <w:t>.</w:t>
      </w:r>
      <w:r w:rsidR="00FE625B" w:rsidRPr="00FE625B">
        <w:t>4</w:t>
      </w:r>
      <w:r w:rsidR="001A715E" w:rsidRPr="00FE625B">
        <w:t> </w:t>
      </w:r>
      <w:r w:rsidR="007A6287" w:rsidRPr="00FE625B">
        <w:t>billion in 201</w:t>
      </w:r>
      <w:r w:rsidR="00FE625B" w:rsidRPr="00FE625B">
        <w:t>5</w:t>
      </w:r>
      <w:r w:rsidR="00080F6D" w:rsidRPr="00FE625B">
        <w:noBreakHyphen/>
      </w:r>
      <w:r w:rsidRPr="00FE625B">
        <w:t>1</w:t>
      </w:r>
      <w:r w:rsidR="00FE625B" w:rsidRPr="00FE625B">
        <w:t>6</w:t>
      </w:r>
      <w:r w:rsidRPr="00FE625B">
        <w:t xml:space="preserve">, </w:t>
      </w:r>
      <w:r w:rsidR="00A26D80" w:rsidRPr="00FE625B">
        <w:t xml:space="preserve">increasing </w:t>
      </w:r>
      <w:r w:rsidR="00A26D80">
        <w:t xml:space="preserve">in real terms </w:t>
      </w:r>
      <w:r w:rsidRPr="00D9390E">
        <w:t>from $</w:t>
      </w:r>
      <w:r w:rsidR="00E776C0" w:rsidRPr="00D9390E">
        <w:t>3.</w:t>
      </w:r>
      <w:r w:rsidR="00255C8C" w:rsidRPr="00D9390E">
        <w:t>6</w:t>
      </w:r>
      <w:r w:rsidR="00445D02" w:rsidRPr="00D9390E">
        <w:t xml:space="preserve"> </w:t>
      </w:r>
      <w:r w:rsidR="00A41A90" w:rsidRPr="00D9390E">
        <w:t>billion in 201</w:t>
      </w:r>
      <w:r w:rsidR="008623B7" w:rsidRPr="00D9390E">
        <w:t>1</w:t>
      </w:r>
      <w:r w:rsidR="00080F6D" w:rsidRPr="00D9390E">
        <w:noBreakHyphen/>
      </w:r>
      <w:r w:rsidR="00A41A90" w:rsidRPr="00D9390E">
        <w:t>1</w:t>
      </w:r>
      <w:r w:rsidR="008623B7" w:rsidRPr="00D9390E">
        <w:t>2</w:t>
      </w:r>
      <w:r w:rsidRPr="00FE625B">
        <w:t xml:space="preserve"> (table </w:t>
      </w:r>
      <w:r w:rsidR="007A6287" w:rsidRPr="00FE625B">
        <w:t>GA.1</w:t>
      </w:r>
      <w:r w:rsidR="00CB4876">
        <w:t>2</w:t>
      </w:r>
      <w:r w:rsidRPr="00FE625B">
        <w:t xml:space="preserve">). The </w:t>
      </w:r>
      <w:r w:rsidR="0093447A" w:rsidRPr="0093447A">
        <w:t xml:space="preserve">average government CRA expenditure per eligible income unit </w:t>
      </w:r>
      <w:r w:rsidRPr="00FE625B">
        <w:t>was $</w:t>
      </w:r>
      <w:r w:rsidR="00FE625B" w:rsidRPr="00FE625B">
        <w:t>3251</w:t>
      </w:r>
      <w:r w:rsidR="00445D02" w:rsidRPr="00FE625B">
        <w:t xml:space="preserve"> i</w:t>
      </w:r>
      <w:r w:rsidRPr="00FE625B">
        <w:t>n 201</w:t>
      </w:r>
      <w:r w:rsidR="00FE625B" w:rsidRPr="00FE625B">
        <w:t>5</w:t>
      </w:r>
      <w:r w:rsidR="00080F6D" w:rsidRPr="00FE625B">
        <w:noBreakHyphen/>
      </w:r>
      <w:r w:rsidRPr="00FE625B">
        <w:t>1</w:t>
      </w:r>
      <w:r w:rsidR="00FE625B" w:rsidRPr="00FE625B">
        <w:t>6</w:t>
      </w:r>
      <w:r w:rsidRPr="00FE625B">
        <w:t xml:space="preserve"> (table </w:t>
      </w:r>
      <w:r w:rsidR="007A6287" w:rsidRPr="00FE625B">
        <w:t>GA</w:t>
      </w:r>
      <w:r w:rsidRPr="00FE625B">
        <w:t>.</w:t>
      </w:r>
      <w:r w:rsidR="007A6287" w:rsidRPr="00FE625B">
        <w:t>1</w:t>
      </w:r>
      <w:r w:rsidR="003058E3">
        <w:t>3</w:t>
      </w:r>
      <w:r w:rsidR="007A6287">
        <w:t>)</w:t>
      </w:r>
      <w:r w:rsidRPr="0039690B">
        <w:t>.</w:t>
      </w:r>
    </w:p>
    <w:p w:rsidR="003B5F82" w:rsidRPr="005E160B" w:rsidRDefault="00445D02" w:rsidP="006F4EC9">
      <w:pPr>
        <w:pStyle w:val="BodyText"/>
      </w:pPr>
      <w:r>
        <w:t xml:space="preserve">Nationally </w:t>
      </w:r>
      <w:r w:rsidR="00B95A21">
        <w:rPr>
          <w:color w:val="000000" w:themeColor="text1"/>
        </w:rPr>
        <w:t xml:space="preserve">in </w:t>
      </w:r>
      <w:r w:rsidR="0039690B" w:rsidRPr="00FE625B">
        <w:rPr>
          <w:color w:val="000000" w:themeColor="text1"/>
        </w:rPr>
        <w:t xml:space="preserve">June </w:t>
      </w:r>
      <w:r w:rsidR="0039690B" w:rsidRPr="00FE625B">
        <w:t>201</w:t>
      </w:r>
      <w:r w:rsidR="00FE625B" w:rsidRPr="00FE625B">
        <w:t>6</w:t>
      </w:r>
      <w:r w:rsidR="003B5F82" w:rsidRPr="00FE625B">
        <w:t xml:space="preserve">, </w:t>
      </w:r>
      <w:r w:rsidR="0039690B" w:rsidRPr="00FE625B">
        <w:t>there were</w:t>
      </w:r>
      <w:r w:rsidR="00FE625B">
        <w:t xml:space="preserve"> </w:t>
      </w:r>
      <w:r w:rsidR="00FE625B" w:rsidRPr="00FE625B">
        <w:t>1 345 983</w:t>
      </w:r>
      <w:r w:rsidR="00FE625B">
        <w:t xml:space="preserve"> </w:t>
      </w:r>
      <w:r w:rsidR="0039690B" w:rsidRPr="005E160B">
        <w:t>inco</w:t>
      </w:r>
      <w:r w:rsidR="007A6287" w:rsidRPr="005E160B">
        <w:t>me units receiving CRA (table GA</w:t>
      </w:r>
      <w:r w:rsidR="0039690B" w:rsidRPr="005E160B">
        <w:t>.</w:t>
      </w:r>
      <w:r w:rsidR="007A6287" w:rsidRPr="005E160B">
        <w:t>1</w:t>
      </w:r>
      <w:r w:rsidR="003058E3">
        <w:t>5</w:t>
      </w:r>
      <w:r w:rsidR="0039690B" w:rsidRPr="005E160B">
        <w:t>)</w:t>
      </w:r>
      <w:r w:rsidR="00D865F2">
        <w:t>. Of these,</w:t>
      </w:r>
      <w:r w:rsidR="003B5F82" w:rsidRPr="00FE625B">
        <w:t xml:space="preserve"> </w:t>
      </w:r>
      <w:r w:rsidR="00FE625B" w:rsidRPr="00FE625B">
        <w:t>79</w:t>
      </w:r>
      <w:r w:rsidR="003B5F82" w:rsidRPr="00FE625B">
        <w:t>.</w:t>
      </w:r>
      <w:r w:rsidR="00FE625B" w:rsidRPr="00FE625B">
        <w:t>4</w:t>
      </w:r>
      <w:r w:rsidR="003B5F82" w:rsidRPr="00FE625B">
        <w:t xml:space="preserve"> per cent</w:t>
      </w:r>
      <w:r w:rsidR="003B5F82">
        <w:t xml:space="preserve"> pa</w:t>
      </w:r>
      <w:r w:rsidR="00E91CB3">
        <w:t>id</w:t>
      </w:r>
      <w:r w:rsidR="003B5F82">
        <w:t xml:space="preserve"> enough rent to be eligible to receive the maximum rate of CRA (an increase </w:t>
      </w:r>
      <w:r w:rsidR="003B5F82" w:rsidRPr="00D9390E">
        <w:t>from 75</w:t>
      </w:r>
      <w:r w:rsidR="008623B7" w:rsidRPr="00D9390E">
        <w:t>.0</w:t>
      </w:r>
      <w:r w:rsidR="003B5F82" w:rsidRPr="00D9390E">
        <w:t xml:space="preserve"> per cent in 201</w:t>
      </w:r>
      <w:r w:rsidR="008623B7" w:rsidRPr="00D9390E">
        <w:t>2</w:t>
      </w:r>
      <w:r w:rsidR="003B5F82" w:rsidRPr="00D9390E">
        <w:t>)</w:t>
      </w:r>
      <w:r w:rsidR="003B5F82">
        <w:t xml:space="preserve"> (table GA.2</w:t>
      </w:r>
      <w:r w:rsidR="003058E3">
        <w:t>6</w:t>
      </w:r>
      <w:r w:rsidR="00271966">
        <w:t>).</w:t>
      </w:r>
    </w:p>
    <w:p w:rsidR="0039690B" w:rsidRPr="005E160B" w:rsidRDefault="003B5F82" w:rsidP="004A5AEA">
      <w:pPr>
        <w:pStyle w:val="BodyText"/>
      </w:pPr>
      <w:r>
        <w:t>T</w:t>
      </w:r>
      <w:r w:rsidR="0039690B" w:rsidRPr="005E160B">
        <w:t>he median CRA payment</w:t>
      </w:r>
      <w:r>
        <w:t xml:space="preserve"> </w:t>
      </w:r>
      <w:r w:rsidR="00EB2879">
        <w:t>at June</w:t>
      </w:r>
      <w:r w:rsidRPr="002D7911">
        <w:t xml:space="preserve"> 201</w:t>
      </w:r>
      <w:r w:rsidR="002D7911" w:rsidRPr="002D7911">
        <w:t>6</w:t>
      </w:r>
      <w:r w:rsidR="0039690B" w:rsidRPr="002D7911">
        <w:t xml:space="preserve"> was $</w:t>
      </w:r>
      <w:r w:rsidR="00445D02" w:rsidRPr="002D7911">
        <w:t>1</w:t>
      </w:r>
      <w:r w:rsidR="002D7911" w:rsidRPr="002D7911">
        <w:t>30</w:t>
      </w:r>
      <w:r w:rsidR="007A6287" w:rsidRPr="002D7911">
        <w:t xml:space="preserve"> per</w:t>
      </w:r>
      <w:r w:rsidR="007A6287" w:rsidRPr="005E160B">
        <w:t xml:space="preserve"> fortnight</w:t>
      </w:r>
      <w:r w:rsidR="00181EFA">
        <w:t xml:space="preserve">, with median rent being </w:t>
      </w:r>
      <w:r w:rsidR="00271966">
        <w:br/>
      </w:r>
      <w:r w:rsidR="00181EFA" w:rsidRPr="002D7911">
        <w:t>$4</w:t>
      </w:r>
      <w:r w:rsidR="002D7911" w:rsidRPr="002D7911">
        <w:t>37</w:t>
      </w:r>
      <w:r w:rsidR="00765538" w:rsidRPr="002D7911">
        <w:t xml:space="preserve"> </w:t>
      </w:r>
      <w:r w:rsidR="00EE4C8C" w:rsidRPr="002D7911">
        <w:t>per</w:t>
      </w:r>
      <w:r w:rsidR="00EE4C8C" w:rsidRPr="005E160B">
        <w:t xml:space="preserve"> fortnight</w:t>
      </w:r>
      <w:r w:rsidR="00EE4C8C">
        <w:t xml:space="preserve"> </w:t>
      </w:r>
      <w:r w:rsidR="00765538">
        <w:t>(table </w:t>
      </w:r>
      <w:r w:rsidR="007A6287" w:rsidRPr="005E160B">
        <w:t>G</w:t>
      </w:r>
      <w:r w:rsidR="0039690B" w:rsidRPr="005E160B">
        <w:t>A.</w:t>
      </w:r>
      <w:r w:rsidR="007A6287" w:rsidRPr="005E160B">
        <w:t>2</w:t>
      </w:r>
      <w:r w:rsidR="001F07C0">
        <w:t>5</w:t>
      </w:r>
      <w:r w:rsidR="0039690B" w:rsidRPr="005E160B">
        <w:t>)</w:t>
      </w:r>
      <w:r>
        <w:t>.</w:t>
      </w:r>
    </w:p>
    <w:p w:rsidR="00DE33B0" w:rsidRDefault="00DE33B0" w:rsidP="00DE33B0">
      <w:pPr>
        <w:pStyle w:val="Heading5"/>
      </w:pPr>
      <w:r>
        <w:t>CRA and rental stress</w:t>
      </w:r>
    </w:p>
    <w:p w:rsidR="00A41A90" w:rsidRDefault="00A41A90" w:rsidP="005E160B">
      <w:pPr>
        <w:pStyle w:val="BodyText"/>
      </w:pPr>
      <w:r>
        <w:t xml:space="preserve">Rental stress is </w:t>
      </w:r>
      <w:r w:rsidR="001F017D">
        <w:t>defined as more than 30 </w:t>
      </w:r>
      <w:r w:rsidRPr="0039690B">
        <w:t>per cent of household income being spent on r</w:t>
      </w:r>
      <w:r>
        <w:t xml:space="preserve">ent, and is a </w:t>
      </w:r>
      <w:r w:rsidR="00181EFA">
        <w:t xml:space="preserve">separate </w:t>
      </w:r>
      <w:r>
        <w:t>sector</w:t>
      </w:r>
      <w:r w:rsidR="00C9055F">
        <w:noBreakHyphen/>
      </w:r>
      <w:r>
        <w:t>wide indicator reported in section G.2. CRA is indexed to t</w:t>
      </w:r>
      <w:r w:rsidR="00765538">
        <w:t>he Consumer Price Index</w:t>
      </w:r>
      <w:r w:rsidR="001F017D">
        <w:t xml:space="preserve"> (CPI)</w:t>
      </w:r>
      <w:r w:rsidR="00BD6E2A">
        <w:t xml:space="preserve"> but</w:t>
      </w:r>
      <w:r w:rsidR="001F017D">
        <w:t xml:space="preserve"> </w:t>
      </w:r>
      <w:r>
        <w:t>rental costs have increas</w:t>
      </w:r>
      <w:r w:rsidR="00754BD5">
        <w:t>ed</w:t>
      </w:r>
      <w:r>
        <w:t xml:space="preserve"> </w:t>
      </w:r>
      <w:r w:rsidR="001F017D">
        <w:t xml:space="preserve">at a </w:t>
      </w:r>
      <w:r>
        <w:t xml:space="preserve">faster </w:t>
      </w:r>
      <w:r w:rsidR="001F017D">
        <w:t xml:space="preserve">rate </w:t>
      </w:r>
      <w:r>
        <w:t>than the</w:t>
      </w:r>
      <w:r w:rsidR="001F017D">
        <w:t xml:space="preserve"> CPI</w:t>
      </w:r>
      <w:r w:rsidR="003B5752" w:rsidRPr="003B5752">
        <w:t xml:space="preserve"> since 2008 (ABS </w:t>
      </w:r>
      <w:r w:rsidR="003B5752">
        <w:t>2016)</w:t>
      </w:r>
      <w:r>
        <w:t>,</w:t>
      </w:r>
      <w:r w:rsidR="004C1A26">
        <w:t xml:space="preserve"> </w:t>
      </w:r>
      <w:r w:rsidR="00BD6E2A">
        <w:t xml:space="preserve">so </w:t>
      </w:r>
      <w:r w:rsidR="003B5752">
        <w:t xml:space="preserve">the real value of </w:t>
      </w:r>
      <w:r w:rsidR="004C1A26">
        <w:t xml:space="preserve">CRA </w:t>
      </w:r>
      <w:r>
        <w:t xml:space="preserve">payments </w:t>
      </w:r>
      <w:r w:rsidR="003B5752">
        <w:t>has decreased</w:t>
      </w:r>
      <w:r>
        <w:t xml:space="preserve"> for individuals </w:t>
      </w:r>
      <w:r w:rsidR="003B5752">
        <w:t>in that time</w:t>
      </w:r>
      <w:r w:rsidR="005D4E2E">
        <w:t>.</w:t>
      </w:r>
    </w:p>
    <w:p w:rsidR="0077002F" w:rsidRDefault="0039690B" w:rsidP="005E160B">
      <w:pPr>
        <w:pStyle w:val="BodyText"/>
      </w:pPr>
      <w:r w:rsidRPr="0039690B">
        <w:t xml:space="preserve">Nationally in </w:t>
      </w:r>
      <w:r w:rsidR="00BF23F8" w:rsidRPr="004A0C8E">
        <w:rPr>
          <w:color w:val="000000" w:themeColor="text1"/>
        </w:rPr>
        <w:t>June 20</w:t>
      </w:r>
      <w:r w:rsidRPr="004A0C8E">
        <w:rPr>
          <w:color w:val="000000" w:themeColor="text1"/>
        </w:rPr>
        <w:t>1</w:t>
      </w:r>
      <w:r w:rsidR="004A0C8E" w:rsidRPr="004A0C8E">
        <w:rPr>
          <w:color w:val="000000" w:themeColor="text1"/>
        </w:rPr>
        <w:t>6</w:t>
      </w:r>
      <w:r w:rsidRPr="004A0C8E">
        <w:rPr>
          <w:color w:val="000000" w:themeColor="text1"/>
        </w:rPr>
        <w:t xml:space="preserve">, </w:t>
      </w:r>
      <w:r w:rsidR="001A715E" w:rsidRPr="004A0C8E">
        <w:t>68</w:t>
      </w:r>
      <w:r w:rsidR="00ED321F" w:rsidRPr="004A0C8E">
        <w:t>.</w:t>
      </w:r>
      <w:r w:rsidR="004A0C8E" w:rsidRPr="004A0C8E">
        <w:t>2</w:t>
      </w:r>
      <w:r w:rsidRPr="004A0C8E">
        <w:t xml:space="preserve"> per cent of</w:t>
      </w:r>
      <w:r w:rsidRPr="001A715E">
        <w:t xml:space="preserve"> CRA </w:t>
      </w:r>
      <w:r w:rsidR="00DB6E56">
        <w:t>income units</w:t>
      </w:r>
      <w:r w:rsidR="00546ADE" w:rsidRPr="001A715E">
        <w:t xml:space="preserve"> would have paid more than 30 </w:t>
      </w:r>
      <w:r w:rsidRPr="001A715E">
        <w:t xml:space="preserve">per cent </w:t>
      </w:r>
      <w:r w:rsidR="0039190C" w:rsidRPr="001A715E">
        <w:t xml:space="preserve">of their gross income on rent </w:t>
      </w:r>
      <w:r w:rsidR="0041761D" w:rsidRPr="001A715E">
        <w:t>if</w:t>
      </w:r>
      <w:r w:rsidR="0039190C" w:rsidRPr="001A715E">
        <w:t xml:space="preserve"> </w:t>
      </w:r>
      <w:r w:rsidRPr="001A715E">
        <w:t>CRA were not p</w:t>
      </w:r>
      <w:r w:rsidR="002205F3" w:rsidRPr="001A715E">
        <w:t>rovided</w:t>
      </w:r>
      <w:r w:rsidR="00BD6E2A">
        <w:t xml:space="preserve"> — </w:t>
      </w:r>
      <w:r w:rsidR="002205F3" w:rsidRPr="001A715E">
        <w:t>with</w:t>
      </w:r>
      <w:r w:rsidR="00D238FF" w:rsidRPr="001A715E">
        <w:t xml:space="preserve"> CRA</w:t>
      </w:r>
      <w:r w:rsidR="00BD6E2A">
        <w:t xml:space="preserve"> this proportion was</w:t>
      </w:r>
      <w:r w:rsidR="00983023" w:rsidRPr="001A715E">
        <w:t xml:space="preserve"> </w:t>
      </w:r>
      <w:r w:rsidR="001A715E" w:rsidRPr="004A0C8E">
        <w:t>41</w:t>
      </w:r>
      <w:r w:rsidR="00ED321F" w:rsidRPr="004A0C8E">
        <w:t>.</w:t>
      </w:r>
      <w:r w:rsidR="001A715E" w:rsidRPr="004A0C8E">
        <w:t>2</w:t>
      </w:r>
      <w:r w:rsidR="00ED321F" w:rsidRPr="004A0C8E">
        <w:t> </w:t>
      </w:r>
      <w:r w:rsidRPr="004A0C8E">
        <w:t>per</w:t>
      </w:r>
      <w:r w:rsidR="003A00ED" w:rsidRPr="001A715E">
        <w:t> </w:t>
      </w:r>
      <w:r w:rsidRPr="001A715E">
        <w:t>cent</w:t>
      </w:r>
      <w:r w:rsidR="00BD6E2A">
        <w:t xml:space="preserve"> (</w:t>
      </w:r>
      <w:r w:rsidR="005C60EF">
        <w:t xml:space="preserve">figure G.1 and </w:t>
      </w:r>
      <w:r w:rsidR="00D238FF">
        <w:t>table G</w:t>
      </w:r>
      <w:r w:rsidRPr="0039690B">
        <w:t>A.</w:t>
      </w:r>
      <w:r w:rsidR="00D238FF" w:rsidRPr="00010DF3">
        <w:t>2</w:t>
      </w:r>
      <w:r w:rsidR="001F07C0">
        <w:t>7</w:t>
      </w:r>
      <w:r w:rsidRPr="0039690B">
        <w:t>).</w:t>
      </w:r>
      <w:r w:rsidR="00A41A90" w:rsidRPr="00A41A90">
        <w:t xml:space="preserve"> </w:t>
      </w:r>
      <w:r w:rsidR="00A41A90">
        <w:t>(</w:t>
      </w:r>
      <w:r w:rsidR="00BD6E2A">
        <w:t>Data on s</w:t>
      </w:r>
      <w:r w:rsidR="00A41A90">
        <w:t xml:space="preserve">ocial housing </w:t>
      </w:r>
      <w:r w:rsidR="00DE33B0">
        <w:t>households</w:t>
      </w:r>
      <w:r w:rsidR="00A93686">
        <w:t xml:space="preserve"> in rental stress are</w:t>
      </w:r>
      <w:r w:rsidR="005A1449">
        <w:t xml:space="preserve"> reported separately in c</w:t>
      </w:r>
      <w:r w:rsidR="00A72100">
        <w:t>hapter</w:t>
      </w:r>
      <w:r w:rsidR="00690AAC">
        <w:t> </w:t>
      </w:r>
      <w:r w:rsidR="00A72100">
        <w:t>18</w:t>
      </w:r>
      <w:r w:rsidR="00A41A90">
        <w:t>.)</w:t>
      </w:r>
    </w:p>
    <w:p w:rsidR="004C1A26" w:rsidRDefault="004C1A26" w:rsidP="005E160B">
      <w:pPr>
        <w:pStyle w:val="BodyText"/>
      </w:pPr>
      <w:r w:rsidRPr="00C31869">
        <w:t>Tables GA.</w:t>
      </w:r>
      <w:r w:rsidRPr="00010DF3">
        <w:t>1</w:t>
      </w:r>
      <w:r w:rsidR="00CB4876">
        <w:t>2–3</w:t>
      </w:r>
      <w:r w:rsidR="00FB15A9">
        <w:t>3</w:t>
      </w:r>
      <w:r>
        <w:t xml:space="preserve"> </w:t>
      </w:r>
      <w:r w:rsidRPr="00C31869">
        <w:t>present a range of CRA</w:t>
      </w:r>
      <w:r w:rsidRPr="00C31869" w:rsidDel="004C1A26">
        <w:t xml:space="preserve"> </w:t>
      </w:r>
      <w:r w:rsidRPr="00C31869">
        <w:t>data</w:t>
      </w:r>
      <w:r>
        <w:t xml:space="preserve">, including </w:t>
      </w:r>
      <w:r w:rsidRPr="00C31869">
        <w:t>Australian Government expenditure</w:t>
      </w:r>
      <w:r w:rsidR="0045123D">
        <w:t xml:space="preserve"> and</w:t>
      </w:r>
      <w:r w:rsidRPr="00C31869">
        <w:t xml:space="preserve"> </w:t>
      </w:r>
      <w:r>
        <w:t>information on C</w:t>
      </w:r>
      <w:r w:rsidRPr="00C31869">
        <w:t xml:space="preserve">RA </w:t>
      </w:r>
      <w:r w:rsidR="00B01013" w:rsidRPr="00B01013">
        <w:t>income units</w:t>
      </w:r>
      <w:r w:rsidR="00690AAC">
        <w:t xml:space="preserve"> </w:t>
      </w:r>
      <w:r>
        <w:t xml:space="preserve">— </w:t>
      </w:r>
      <w:r w:rsidRPr="00C31869">
        <w:t xml:space="preserve">including </w:t>
      </w:r>
      <w:r>
        <w:t>Aboriginal and Torres Strait Islander</w:t>
      </w:r>
      <w:r w:rsidRPr="00C31869">
        <w:t xml:space="preserve"> recipients</w:t>
      </w:r>
      <w:r>
        <w:t>,</w:t>
      </w:r>
      <w:r w:rsidRPr="00C31869">
        <w:rPr>
          <w:b/>
        </w:rPr>
        <w:t xml:space="preserve"> </w:t>
      </w:r>
      <w:r w:rsidRPr="00C31869">
        <w:t xml:space="preserve">those with special needs </w:t>
      </w:r>
      <w:r>
        <w:t xml:space="preserve">— and </w:t>
      </w:r>
      <w:r w:rsidR="006A4F4B">
        <w:t xml:space="preserve">those in rural and </w:t>
      </w:r>
      <w:r>
        <w:t>remote areas</w:t>
      </w:r>
      <w:r w:rsidR="002353DF">
        <w:t>.</w:t>
      </w:r>
    </w:p>
    <w:p w:rsidR="00DB497C" w:rsidRDefault="00DB497C" w:rsidP="00A513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B497C" w:rsidTr="00A5136F">
        <w:tc>
          <w:tcPr>
            <w:tcW w:w="8771" w:type="dxa"/>
            <w:tcBorders>
              <w:top w:val="single" w:sz="6" w:space="0" w:color="78A22F"/>
              <w:left w:val="nil"/>
              <w:bottom w:val="nil"/>
              <w:right w:val="nil"/>
            </w:tcBorders>
            <w:shd w:val="clear" w:color="auto" w:fill="auto"/>
          </w:tcPr>
          <w:p w:rsidR="00DB497C" w:rsidRPr="00EA1262" w:rsidRDefault="00DB497C" w:rsidP="004B0D79">
            <w:pPr>
              <w:pStyle w:val="FigureTitle"/>
              <w:rPr>
                <w:vertAlign w:val="superscript"/>
              </w:rPr>
            </w:pPr>
            <w:r w:rsidRPr="00784A05">
              <w:rPr>
                <w:b w:val="0"/>
              </w:rPr>
              <w:t xml:space="preserve">Figure </w:t>
            </w:r>
            <w:proofErr w:type="spellStart"/>
            <w:r w:rsidR="001871EE">
              <w:rPr>
                <w:b w:val="0"/>
              </w:rPr>
              <w:t>G.</w:t>
            </w:r>
            <w:r w:rsidR="00901877">
              <w:rPr>
                <w:b w:val="0"/>
              </w:rPr>
              <w:t>1</w:t>
            </w:r>
            <w:proofErr w:type="spellEnd"/>
            <w:r>
              <w:tab/>
            </w:r>
            <w:r w:rsidR="00EA1262">
              <w:t>P</w:t>
            </w:r>
            <w:r w:rsidR="00EA1262" w:rsidRPr="00EA1262">
              <w:t xml:space="preserve">roportion of income units receiving CRA with more than </w:t>
            </w:r>
            <w:r w:rsidR="00EA1262">
              <w:t>3</w:t>
            </w:r>
            <w:r w:rsidR="00EA1262" w:rsidRPr="00EA1262">
              <w:t>0</w:t>
            </w:r>
            <w:r w:rsidR="00EA1262">
              <w:t> </w:t>
            </w:r>
            <w:r w:rsidR="00EA1262" w:rsidRPr="00EA1262">
              <w:t>per cent of income spent on rent, by special needs</w:t>
            </w:r>
            <w:r w:rsidR="00EA1262">
              <w:t xml:space="preserve"> group, </w:t>
            </w:r>
            <w:r w:rsidR="00EA1262" w:rsidRPr="004B0D79">
              <w:t>201</w:t>
            </w:r>
            <w:r w:rsidR="004B0D79" w:rsidRPr="004B0D79">
              <w:t>6</w:t>
            </w:r>
            <w:r w:rsidR="00EA1262" w:rsidRPr="004B0D79">
              <w:rPr>
                <w:vertAlign w:val="superscript"/>
              </w:rPr>
              <w:t>a</w:t>
            </w:r>
          </w:p>
        </w:tc>
      </w:tr>
      <w:tr w:rsidR="00DB497C" w:rsidTr="00A5136F">
        <w:tc>
          <w:tcPr>
            <w:tcW w:w="8771" w:type="dxa"/>
            <w:tcBorders>
              <w:top w:val="nil"/>
              <w:left w:val="nil"/>
              <w:bottom w:val="nil"/>
              <w:right w:val="nil"/>
            </w:tcBorders>
            <w:shd w:val="clear" w:color="auto" w:fill="auto"/>
            <w:tcMar>
              <w:top w:w="28" w:type="dxa"/>
              <w:bottom w:w="28" w:type="dxa"/>
            </w:tcMar>
          </w:tcPr>
          <w:tbl>
            <w:tblPr>
              <w:tblW w:w="863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634"/>
            </w:tblGrid>
            <w:tr w:rsidR="00DB497C" w:rsidTr="00E403C3">
              <w:trPr>
                <w:jc w:val="center"/>
              </w:trPr>
              <w:tc>
                <w:tcPr>
                  <w:tcW w:w="8634" w:type="dxa"/>
                  <w:tcBorders>
                    <w:top w:val="nil"/>
                    <w:bottom w:val="nil"/>
                  </w:tcBorders>
                </w:tcPr>
                <w:p w:rsidR="00DB497C" w:rsidRDefault="00E403C3" w:rsidP="00A5136F">
                  <w:pPr>
                    <w:pStyle w:val="Figure"/>
                    <w:spacing w:before="60" w:after="60"/>
                  </w:pPr>
                  <w:r>
                    <w:rPr>
                      <w:noProof/>
                    </w:rPr>
                    <w:drawing>
                      <wp:inline distT="0" distB="0" distL="0" distR="0" wp14:anchorId="2D31B3E8" wp14:editId="66CF9AA1">
                        <wp:extent cx="5291666" cy="2396066"/>
                        <wp:effectExtent l="0" t="0" r="4445" b="4445"/>
                        <wp:docPr id="8" name="Picture 8" descr="Figure G.1 Proportion of income units receiving CRA with more than 30 per cent of income spent on rent, by special needs group,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89550" cy="2395108"/>
                                </a:xfrm>
                                <a:prstGeom prst="rect">
                                  <a:avLst/>
                                </a:prstGeom>
                                <a:noFill/>
                                <a:ln>
                                  <a:noFill/>
                                </a:ln>
                              </pic:spPr>
                            </pic:pic>
                          </a:graphicData>
                        </a:graphic>
                      </wp:inline>
                    </w:drawing>
                  </w:r>
                </w:p>
              </w:tc>
            </w:tr>
          </w:tbl>
          <w:p w:rsidR="00DB497C" w:rsidRDefault="00DB497C" w:rsidP="00A5136F">
            <w:pPr>
              <w:pStyle w:val="Figure"/>
            </w:pPr>
          </w:p>
        </w:tc>
      </w:tr>
      <w:tr w:rsidR="00DB497C" w:rsidRPr="00176D3F" w:rsidTr="00A5136F">
        <w:tc>
          <w:tcPr>
            <w:tcW w:w="8771" w:type="dxa"/>
            <w:tcBorders>
              <w:top w:val="nil"/>
              <w:left w:val="nil"/>
              <w:bottom w:val="nil"/>
              <w:right w:val="nil"/>
            </w:tcBorders>
            <w:shd w:val="clear" w:color="auto" w:fill="auto"/>
          </w:tcPr>
          <w:p w:rsidR="00DB497C" w:rsidRPr="00176D3F" w:rsidRDefault="00EA1262" w:rsidP="00EA1262">
            <w:pPr>
              <w:pStyle w:val="Note"/>
            </w:pPr>
            <w:r>
              <w:rPr>
                <w:rStyle w:val="NoteLabel"/>
              </w:rPr>
              <w:t>a</w:t>
            </w:r>
            <w:r>
              <w:t xml:space="preserve"> See tables </w:t>
            </w:r>
            <w:r w:rsidRPr="00C24BA0">
              <w:t>GA.</w:t>
            </w:r>
            <w:r>
              <w:t>24–33</w:t>
            </w:r>
            <w:r w:rsidRPr="00C24BA0">
              <w:t xml:space="preserve"> </w:t>
            </w:r>
            <w:r w:rsidRPr="005244E3">
              <w:t>for detailed definitions, footnotes and caveats.</w:t>
            </w:r>
          </w:p>
        </w:tc>
      </w:tr>
      <w:tr w:rsidR="00DB497C" w:rsidRPr="00176D3F" w:rsidTr="00A5136F">
        <w:tc>
          <w:tcPr>
            <w:tcW w:w="8771" w:type="dxa"/>
            <w:tcBorders>
              <w:top w:val="nil"/>
              <w:left w:val="nil"/>
              <w:bottom w:val="nil"/>
              <w:right w:val="nil"/>
            </w:tcBorders>
            <w:shd w:val="clear" w:color="auto" w:fill="auto"/>
          </w:tcPr>
          <w:p w:rsidR="00DB497C" w:rsidRPr="00176D3F" w:rsidRDefault="003F5BBF" w:rsidP="00C057F0">
            <w:pPr>
              <w:pStyle w:val="Source"/>
            </w:pPr>
            <w:r>
              <w:rPr>
                <w:i/>
              </w:rPr>
              <w:t>S</w:t>
            </w:r>
            <w:r w:rsidR="00DB497C" w:rsidRPr="00784A05">
              <w:rPr>
                <w:i/>
              </w:rPr>
              <w:t>ource</w:t>
            </w:r>
            <w:r w:rsidR="00DB497C" w:rsidRPr="00176D3F">
              <w:t xml:space="preserve">: </w:t>
            </w:r>
            <w:r w:rsidRPr="003F5BBF">
              <w:t>Department of Social Ser</w:t>
            </w:r>
            <w:r>
              <w:t xml:space="preserve">vices and </w:t>
            </w:r>
            <w:proofErr w:type="spellStart"/>
            <w:r>
              <w:t>FaHCSIA</w:t>
            </w:r>
            <w:proofErr w:type="spellEnd"/>
            <w:r>
              <w:t xml:space="preserve"> (unpublished); table </w:t>
            </w:r>
            <w:proofErr w:type="spellStart"/>
            <w:r w:rsidRPr="00C24BA0">
              <w:t>GA.</w:t>
            </w:r>
            <w:r w:rsidR="00914738">
              <w:t>2</w:t>
            </w:r>
            <w:r w:rsidR="00C057F0">
              <w:t>7</w:t>
            </w:r>
            <w:proofErr w:type="spellEnd"/>
            <w:r>
              <w:t>.</w:t>
            </w:r>
          </w:p>
        </w:tc>
      </w:tr>
      <w:tr w:rsidR="00DB497C" w:rsidTr="00A5136F">
        <w:tc>
          <w:tcPr>
            <w:tcW w:w="8771" w:type="dxa"/>
            <w:tcBorders>
              <w:top w:val="nil"/>
              <w:left w:val="nil"/>
              <w:bottom w:val="single" w:sz="6" w:space="0" w:color="78A22F"/>
              <w:right w:val="nil"/>
            </w:tcBorders>
            <w:shd w:val="clear" w:color="auto" w:fill="auto"/>
          </w:tcPr>
          <w:p w:rsidR="00DB497C" w:rsidRDefault="00DB497C" w:rsidP="00A5136F">
            <w:pPr>
              <w:pStyle w:val="Figurespace"/>
            </w:pPr>
          </w:p>
        </w:tc>
      </w:tr>
      <w:tr w:rsidR="00DB497C" w:rsidRPr="000863A5" w:rsidTr="00A5136F">
        <w:tc>
          <w:tcPr>
            <w:tcW w:w="8771" w:type="dxa"/>
            <w:tcBorders>
              <w:top w:val="single" w:sz="6" w:space="0" w:color="78A22F"/>
              <w:left w:val="nil"/>
              <w:bottom w:val="nil"/>
              <w:right w:val="nil"/>
            </w:tcBorders>
          </w:tcPr>
          <w:p w:rsidR="00DB497C" w:rsidRPr="00626D32" w:rsidRDefault="00DB497C" w:rsidP="00A5136F">
            <w:pPr>
              <w:pStyle w:val="BoxSpaceBelow"/>
            </w:pPr>
          </w:p>
        </w:tc>
      </w:tr>
    </w:tbl>
    <w:p w:rsidR="00421114" w:rsidRDefault="00421114" w:rsidP="005D7553">
      <w:pPr>
        <w:pStyle w:val="Heading3"/>
      </w:pPr>
      <w:r w:rsidRPr="009C01D2">
        <w:t xml:space="preserve">Social and </w:t>
      </w:r>
      <w:r w:rsidRPr="005D7553">
        <w:t>economic</w:t>
      </w:r>
      <w:r w:rsidRPr="009C01D2">
        <w:t xml:space="preserve"> factors affecting demand for services</w:t>
      </w:r>
    </w:p>
    <w:p w:rsidR="0017775E" w:rsidRDefault="00AB5A20" w:rsidP="00AB5A20">
      <w:pPr>
        <w:pStyle w:val="BodyText"/>
        <w:rPr>
          <w:shd w:val="clear" w:color="auto" w:fill="FFFF00"/>
        </w:rPr>
      </w:pPr>
      <w:r w:rsidRPr="00463099">
        <w:t xml:space="preserve">According </w:t>
      </w:r>
      <w:r w:rsidR="009E1E33" w:rsidRPr="00463099">
        <w:t xml:space="preserve">to </w:t>
      </w:r>
      <w:r w:rsidRPr="00463099">
        <w:t xml:space="preserve">the </w:t>
      </w:r>
      <w:r w:rsidRPr="006A4F4B">
        <w:t>2014</w:t>
      </w:r>
      <w:r w:rsidRPr="00463099">
        <w:t xml:space="preserve"> General Social Survey, approximately 2.5 million people aged 15 years </w:t>
      </w:r>
      <w:r w:rsidR="009E1E33" w:rsidRPr="00463099">
        <w:t>or</w:t>
      </w:r>
      <w:r w:rsidRPr="00463099">
        <w:t xml:space="preserve"> over have experienced homelessness at some time in their lives</w:t>
      </w:r>
      <w:r w:rsidR="009E1E33" w:rsidRPr="00463099">
        <w:t xml:space="preserve">, </w:t>
      </w:r>
      <w:r w:rsidR="006A4F4B" w:rsidRPr="00463099">
        <w:t xml:space="preserve">around 1.4 million </w:t>
      </w:r>
      <w:r w:rsidR="009E1E33" w:rsidRPr="00463099">
        <w:t xml:space="preserve">of whom </w:t>
      </w:r>
      <w:r w:rsidRPr="00463099">
        <w:t>experienced at least one episode in the last 10 years</w:t>
      </w:r>
      <w:r w:rsidR="00553F54" w:rsidRPr="00463099">
        <w:t xml:space="preserve">. Among this </w:t>
      </w:r>
      <w:r w:rsidR="009E1E33" w:rsidRPr="00463099">
        <w:t>2.5 million people</w:t>
      </w:r>
      <w:r w:rsidR="00553F54" w:rsidRPr="00463099">
        <w:t>, in their most recent episode of homelessness</w:t>
      </w:r>
      <w:r w:rsidRPr="00463099">
        <w:t xml:space="preserve"> 15</w:t>
      </w:r>
      <w:r w:rsidR="00553F54" w:rsidRPr="00463099">
        <w:t>.0</w:t>
      </w:r>
      <w:r w:rsidRPr="00463099">
        <w:t xml:space="preserve"> per cent sought assistance from housing service providers, 7.9 per cent sought crisis accommodation/supported accommodation for the homeless, 7.0 per cent sought </w:t>
      </w:r>
      <w:r w:rsidR="006A4F4B">
        <w:t xml:space="preserve">support from </w:t>
      </w:r>
      <w:r w:rsidRPr="00463099">
        <w:t>a church or community organisation and 6.7 per cent contacted a counselling service (ABS 2015</w:t>
      </w:r>
      <w:r w:rsidR="0017775E" w:rsidRPr="00463099">
        <w:t>).</w:t>
      </w:r>
    </w:p>
    <w:p w:rsidR="00BC6055" w:rsidRPr="00276FD6" w:rsidRDefault="00D95230" w:rsidP="00C51088">
      <w:pPr>
        <w:pStyle w:val="BodyText"/>
      </w:pPr>
      <w:r>
        <w:t xml:space="preserve">Demand for housing and homelessness services is influenced by </w:t>
      </w:r>
      <w:r w:rsidRPr="00463099">
        <w:t>family and relationship breakdown</w:t>
      </w:r>
      <w:r>
        <w:t xml:space="preserve">, </w:t>
      </w:r>
      <w:r w:rsidR="009E1E33">
        <w:t>a</w:t>
      </w:r>
      <w:r>
        <w:t xml:space="preserve"> shortage of affordable housing, long</w:t>
      </w:r>
      <w:r w:rsidR="009E1E33">
        <w:noBreakHyphen/>
      </w:r>
      <w:r>
        <w:t xml:space="preserve">term unemployment and financial hardship, mental health issues and substance </w:t>
      </w:r>
      <w:r w:rsidRPr="0086247A">
        <w:t xml:space="preserve">abuse. </w:t>
      </w:r>
      <w:r w:rsidR="00D053B8">
        <w:t xml:space="preserve">In </w:t>
      </w:r>
      <w:r w:rsidR="00D053B8" w:rsidRPr="0091135F">
        <w:t>2015</w:t>
      </w:r>
      <w:r w:rsidR="00080F6D" w:rsidRPr="0091135F">
        <w:noBreakHyphen/>
      </w:r>
      <w:r w:rsidR="0068015B" w:rsidRPr="0091135F">
        <w:t>1</w:t>
      </w:r>
      <w:r w:rsidR="00D053B8" w:rsidRPr="0091135F">
        <w:t>6</w:t>
      </w:r>
      <w:r w:rsidR="0068015B" w:rsidRPr="0091135F">
        <w:t>, an estimated 3</w:t>
      </w:r>
      <w:r w:rsidR="00D053B8" w:rsidRPr="0091135F">
        <w:t>8</w:t>
      </w:r>
      <w:r w:rsidR="0068015B" w:rsidRPr="0091135F">
        <w:t xml:space="preserve"> per cent</w:t>
      </w:r>
      <w:r w:rsidR="00603CD2" w:rsidRPr="0091135F">
        <w:t xml:space="preserve"> of specialist homelessness services clients</w:t>
      </w:r>
      <w:r w:rsidR="009A31AE" w:rsidRPr="0091135F">
        <w:t xml:space="preserve"> </w:t>
      </w:r>
      <w:r w:rsidR="00603CD2" w:rsidRPr="0091135F">
        <w:t>received assistance as a result of experiencing family</w:t>
      </w:r>
      <w:r w:rsidR="0068015B" w:rsidRPr="0091135F">
        <w:t xml:space="preserve"> or domestic violence (AIHW 201</w:t>
      </w:r>
      <w:r w:rsidR="00D053B8" w:rsidRPr="0091135F">
        <w:t>6</w:t>
      </w:r>
      <w:r w:rsidR="00327B16" w:rsidRPr="0086247A">
        <w:t>).</w:t>
      </w:r>
    </w:p>
    <w:p w:rsidR="00C51088" w:rsidRDefault="00372EF5" w:rsidP="00C51088">
      <w:pPr>
        <w:pStyle w:val="BodyText"/>
      </w:pPr>
      <w:r>
        <w:t xml:space="preserve">Research shows </w:t>
      </w:r>
      <w:r w:rsidR="00BC79F9">
        <w:t>that</w:t>
      </w:r>
      <w:r>
        <w:t xml:space="preserve"> pathways to homelessness are varied and complex. Longitudinal factors (for example, influences from early childhood) can compound with situational factors, leading to homelessness. For young people, factors such as family conflict or abuse, drug use, unstable employment, participating in education and training, combining work and study, and financial pressure</w:t>
      </w:r>
      <w:r w:rsidR="00C25775">
        <w:t>s</w:t>
      </w:r>
      <w:r>
        <w:t xml:space="preserve"> can potentially lead to unstable housing and increase the risk of homelessness (</w:t>
      </w:r>
      <w:proofErr w:type="spellStart"/>
      <w:r>
        <w:t>Memmott</w:t>
      </w:r>
      <w:proofErr w:type="spellEnd"/>
      <w:r>
        <w:t xml:space="preserve"> and Chambers 2010; CHP 2005).</w:t>
      </w:r>
    </w:p>
    <w:p w:rsidR="005921CE" w:rsidRDefault="00372EF5" w:rsidP="00C51088">
      <w:pPr>
        <w:pStyle w:val="BodyText"/>
      </w:pPr>
      <w:r>
        <w:lastRenderedPageBreak/>
        <w:t xml:space="preserve">Demand for housing assistance and service support may continue even after recipients have gained stable employment and financial circumstances are improved. A study of workforce participation of women living in public housing </w:t>
      </w:r>
      <w:r w:rsidR="00BC79F9">
        <w:t>(see chapter</w:t>
      </w:r>
      <w:r w:rsidR="00690AAC">
        <w:t> </w:t>
      </w:r>
      <w:r w:rsidR="00BC79F9">
        <w:t xml:space="preserve">18 for information on public housing) </w:t>
      </w:r>
      <w:r>
        <w:t>in Australia found that job insecurity and low wages are the main incentives for tenants to continue to live in public housing (</w:t>
      </w:r>
      <w:proofErr w:type="spellStart"/>
      <w:r>
        <w:t>Saugeres</w:t>
      </w:r>
      <w:proofErr w:type="spellEnd"/>
      <w:r>
        <w:t xml:space="preserve"> and </w:t>
      </w:r>
      <w:proofErr w:type="spellStart"/>
      <w:r>
        <w:t>Hulse</w:t>
      </w:r>
      <w:proofErr w:type="spellEnd"/>
      <w:r>
        <w:t xml:space="preserve"> 2010).</w:t>
      </w:r>
    </w:p>
    <w:p w:rsidR="00372EF5" w:rsidRPr="00587C1D" w:rsidRDefault="005921CE" w:rsidP="00463099">
      <w:pPr>
        <w:pStyle w:val="BodyText"/>
      </w:pPr>
      <w:r>
        <w:t>Productivity Commission</w:t>
      </w:r>
      <w:r w:rsidR="00351B4D">
        <w:t xml:space="preserve"> research on the links between housing assistance and employment</w:t>
      </w:r>
      <w:r w:rsidR="00780741">
        <w:t>, using administrative data</w:t>
      </w:r>
      <w:r w:rsidR="009441ED">
        <w:t>sets</w:t>
      </w:r>
      <w:r w:rsidR="00DA0BB9">
        <w:t xml:space="preserve"> from the </w:t>
      </w:r>
      <w:r w:rsidR="00DA0BB9" w:rsidRPr="00587C1D">
        <w:t>Australian</w:t>
      </w:r>
      <w:r w:rsidR="009E1E33">
        <w:t>,</w:t>
      </w:r>
      <w:r w:rsidR="00DA0BB9" w:rsidRPr="00587C1D">
        <w:t xml:space="preserve"> </w:t>
      </w:r>
      <w:r w:rsidR="00780741" w:rsidRPr="00587C1D">
        <w:t xml:space="preserve">WA and SA </w:t>
      </w:r>
      <w:r w:rsidR="009E1E33">
        <w:t xml:space="preserve">governments </w:t>
      </w:r>
      <w:r w:rsidR="00DA0BB9" w:rsidRPr="00587C1D">
        <w:t>(</w:t>
      </w:r>
      <w:r w:rsidR="00780741" w:rsidRPr="00587C1D">
        <w:t>2003</w:t>
      </w:r>
      <w:r w:rsidR="00587C1D">
        <w:t> </w:t>
      </w:r>
      <w:r w:rsidR="00780741" w:rsidRPr="00587C1D">
        <w:t>to</w:t>
      </w:r>
      <w:r w:rsidR="00587C1D">
        <w:t> </w:t>
      </w:r>
      <w:r w:rsidR="00780741" w:rsidRPr="00587C1D">
        <w:t>2013</w:t>
      </w:r>
      <w:r w:rsidR="00DA0BB9" w:rsidRPr="00587C1D">
        <w:t>)</w:t>
      </w:r>
      <w:r w:rsidR="00780741" w:rsidRPr="00587C1D">
        <w:t>,</w:t>
      </w:r>
      <w:r w:rsidR="007754EC" w:rsidRPr="00587C1D">
        <w:t xml:space="preserve"> found</w:t>
      </w:r>
      <w:r w:rsidR="00351B4D" w:rsidRPr="00587C1D">
        <w:t xml:space="preserve"> that receiving public housing assistance </w:t>
      </w:r>
      <w:r w:rsidR="00780741" w:rsidRPr="00587C1D">
        <w:t xml:space="preserve">is unlikely to </w:t>
      </w:r>
      <w:r w:rsidR="00351B4D" w:rsidRPr="00587C1D">
        <w:t>impact tenants participation in employment</w:t>
      </w:r>
      <w:r w:rsidR="00780741" w:rsidRPr="00587C1D">
        <w:t xml:space="preserve">, </w:t>
      </w:r>
      <w:r w:rsidR="00DA0BB9" w:rsidRPr="00587C1D">
        <w:t>and that it is</w:t>
      </w:r>
      <w:r w:rsidR="00780741" w:rsidRPr="00587C1D">
        <w:t xml:space="preserve"> ‘the characteristics of individuals, and not the characteristics of the housing assistance that they receive that matter to participation’ </w:t>
      </w:r>
      <w:r w:rsidRPr="00587C1D">
        <w:t>(P</w:t>
      </w:r>
      <w:r w:rsidR="00B074A1" w:rsidRPr="00587C1D">
        <w:t>C</w:t>
      </w:r>
      <w:r w:rsidR="00587C1D">
        <w:t> </w:t>
      </w:r>
      <w:r w:rsidRPr="00587C1D">
        <w:t>2015).</w:t>
      </w:r>
    </w:p>
    <w:p w:rsidR="00421114" w:rsidRDefault="00421114" w:rsidP="00421114">
      <w:pPr>
        <w:pStyle w:val="Heading3"/>
      </w:pPr>
      <w:r>
        <w:t>Service</w:t>
      </w:r>
      <w:r w:rsidR="00C9055F">
        <w:noBreakHyphen/>
      </w:r>
      <w:r>
        <w:t>sector objectives</w:t>
      </w:r>
    </w:p>
    <w:p w:rsidR="0018436A" w:rsidRDefault="00421114" w:rsidP="00421114">
      <w:pPr>
        <w:pStyle w:val="BodyText"/>
      </w:pPr>
      <w:r>
        <w:t>The overarching service</w:t>
      </w:r>
      <w:r w:rsidR="00C9055F">
        <w:noBreakHyphen/>
      </w:r>
      <w:r>
        <w:t xml:space="preserve">sector objectives in box </w:t>
      </w:r>
      <w:r w:rsidR="00D15E8B">
        <w:t>G.</w:t>
      </w:r>
      <w:r w:rsidR="00E04BFC">
        <w:t>2</w:t>
      </w:r>
      <w:r>
        <w:t xml:space="preserve"> draw together the objectives from each of the specific services (described in chapters</w:t>
      </w:r>
      <w:r w:rsidR="00690AAC">
        <w:t> </w:t>
      </w:r>
      <w:r>
        <w:t>1</w:t>
      </w:r>
      <w:r w:rsidR="00BC79F9">
        <w:t>8 and 19</w:t>
      </w:r>
      <w:r>
        <w:t>), as well as reflecting the objectives set out in the NAHA</w:t>
      </w:r>
      <w:r w:rsidR="00443CA1">
        <w:t xml:space="preserve"> (box G.1</w:t>
      </w:r>
      <w:r w:rsidR="002D7B19">
        <w:t>)</w:t>
      </w:r>
      <w:r>
        <w:t>.</w:t>
      </w:r>
    </w:p>
    <w:p w:rsidR="0068269E" w:rsidRDefault="0068269E">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68269E" w:rsidTr="00372EF5">
        <w:tc>
          <w:tcPr>
            <w:tcW w:w="5000" w:type="pct"/>
            <w:tcBorders>
              <w:top w:val="single" w:sz="6" w:space="0" w:color="78A22F"/>
              <w:left w:val="nil"/>
              <w:bottom w:val="nil"/>
              <w:right w:val="nil"/>
            </w:tcBorders>
            <w:shd w:val="clear" w:color="auto" w:fill="F2F2F2" w:themeFill="background1" w:themeFillShade="F2"/>
          </w:tcPr>
          <w:p w:rsidR="0068269E" w:rsidRDefault="0068269E" w:rsidP="00E04BFC">
            <w:pPr>
              <w:pStyle w:val="BoxTitle"/>
            </w:pPr>
            <w:r>
              <w:rPr>
                <w:b w:val="0"/>
              </w:rPr>
              <w:t xml:space="preserve">Box </w:t>
            </w:r>
            <w:r w:rsidR="008C30D0">
              <w:rPr>
                <w:b w:val="0"/>
              </w:rPr>
              <w:t>G.</w:t>
            </w:r>
            <w:r w:rsidR="00E04BFC">
              <w:rPr>
                <w:b w:val="0"/>
              </w:rPr>
              <w:t>2</w:t>
            </w:r>
            <w:r w:rsidR="008C30D0">
              <w:tab/>
            </w:r>
            <w:r w:rsidR="008C30D0" w:rsidRPr="008C30D0">
              <w:t>Objectives for housing and homelessness services</w:t>
            </w:r>
          </w:p>
        </w:tc>
      </w:tr>
      <w:tr w:rsidR="0068269E" w:rsidTr="00372EF5">
        <w:trPr>
          <w:cantSplit/>
        </w:trPr>
        <w:tc>
          <w:tcPr>
            <w:tcW w:w="5000" w:type="pct"/>
            <w:tcBorders>
              <w:top w:val="nil"/>
              <w:left w:val="nil"/>
              <w:bottom w:val="nil"/>
              <w:right w:val="nil"/>
            </w:tcBorders>
            <w:shd w:val="clear" w:color="auto" w:fill="F2F2F2" w:themeFill="background1" w:themeFillShade="F2"/>
          </w:tcPr>
          <w:p w:rsidR="008C30D0" w:rsidRPr="008C30D0" w:rsidRDefault="008C30D0" w:rsidP="008C30D0">
            <w:pPr>
              <w:pStyle w:val="Box"/>
            </w:pPr>
            <w:r w:rsidRPr="008C30D0">
              <w:t>The overarching objective of housing and homelessness services is that all Australians have access to affordable, safe and sustainable housing that contributes to social and economic participation. Further, government services are to be provided in a collaborative, equitable and efficient manner.</w:t>
            </w:r>
            <w:r w:rsidR="00860D6B">
              <w:t xml:space="preserve"> </w:t>
            </w:r>
            <w:r w:rsidRPr="008C30D0">
              <w:t xml:space="preserve">The specific objectives of the </w:t>
            </w:r>
            <w:r w:rsidR="00BC79F9" w:rsidRPr="008C30D0">
              <w:t xml:space="preserve">housing and homelessness sector </w:t>
            </w:r>
            <w:r w:rsidRPr="008C30D0">
              <w:t xml:space="preserve">services </w:t>
            </w:r>
            <w:r w:rsidR="00BC79F9">
              <w:t>within the scope of this Report</w:t>
            </w:r>
            <w:r w:rsidR="00BC79F9" w:rsidRPr="008C30D0">
              <w:t xml:space="preserve"> </w:t>
            </w:r>
            <w:r w:rsidRPr="008C30D0">
              <w:t>are summarised below:</w:t>
            </w:r>
          </w:p>
          <w:p w:rsidR="008C30D0" w:rsidRDefault="008C30D0" w:rsidP="00C6467A">
            <w:pPr>
              <w:pStyle w:val="BoxListBullet"/>
            </w:pPr>
            <w:r w:rsidRPr="008C30D0">
              <w:rPr>
                <w:i/>
              </w:rPr>
              <w:t>Social housing</w:t>
            </w:r>
            <w:r w:rsidRPr="008C30D0">
              <w:t xml:space="preserve"> </w:t>
            </w:r>
            <w:r w:rsidR="0048170E" w:rsidRPr="0048170E">
              <w:rPr>
                <w:i/>
              </w:rPr>
              <w:t xml:space="preserve">assistance </w:t>
            </w:r>
            <w:r w:rsidRPr="008C30D0">
              <w:t xml:space="preserve">aims to </w:t>
            </w:r>
            <w:r w:rsidR="009A4B7D" w:rsidRPr="009A4B7D">
              <w:t>provide low income people who do not have alternative suitable housing options with access to social housing assistance that supports their wellbeing and contributes to their social and economic participation</w:t>
            </w:r>
            <w:r w:rsidR="009A4B7D">
              <w:t>;</w:t>
            </w:r>
            <w:r w:rsidR="009A4B7D" w:rsidRPr="009A4B7D">
              <w:t xml:space="preserve"> </w:t>
            </w:r>
            <w:r w:rsidR="009A4B7D">
              <w:t xml:space="preserve">and </w:t>
            </w:r>
            <w:r w:rsidR="009A4B7D" w:rsidRPr="009A4B7D">
              <w:t>to contribute to Aboriginal and Torres Strait Islander community wellbeing through improved housing outcomes</w:t>
            </w:r>
            <w:r w:rsidR="00C6467A">
              <w:t>,</w:t>
            </w:r>
            <w:r w:rsidR="00C6467A" w:rsidRPr="00C6467A">
              <w:t xml:space="preserve"> particularly in remote areas and discrete communities</w:t>
            </w:r>
            <w:r w:rsidR="009A4B7D" w:rsidRPr="009A4B7D">
              <w:t xml:space="preserve"> </w:t>
            </w:r>
            <w:r w:rsidRPr="008C30D0">
              <w:t>(chapter</w:t>
            </w:r>
            <w:r w:rsidR="00690AAC">
              <w:t> </w:t>
            </w:r>
            <w:r w:rsidRPr="008C30D0">
              <w:t>1</w:t>
            </w:r>
            <w:r w:rsidR="00BC79F9">
              <w:t>8</w:t>
            </w:r>
            <w:r w:rsidRPr="008C30D0">
              <w:t>).</w:t>
            </w:r>
          </w:p>
          <w:p w:rsidR="0068269E" w:rsidRDefault="008C30D0" w:rsidP="00115FB9">
            <w:pPr>
              <w:pStyle w:val="BoxListBullet"/>
            </w:pPr>
            <w:r w:rsidRPr="008C30D0">
              <w:rPr>
                <w:i/>
              </w:rPr>
              <w:t>Government funded specialist homelessness services</w:t>
            </w:r>
            <w:r w:rsidRPr="008C30D0">
              <w:t xml:space="preserve"> </w:t>
            </w:r>
            <w:r w:rsidR="00115FB9">
              <w:t>aim</w:t>
            </w:r>
            <w:r w:rsidR="001500C4" w:rsidRPr="001500C4">
              <w:t xml:space="preserve"> to support people who are homeless or at risk of homelessness to achieve sustainable housing, social inclusion and greater economic participation, through the delivery of transitional supported accommodation and a ran</w:t>
            </w:r>
            <w:r w:rsidR="001500C4">
              <w:t>ge of related support services</w:t>
            </w:r>
            <w:r w:rsidR="00225554">
              <w:t xml:space="preserve"> </w:t>
            </w:r>
            <w:r w:rsidR="00D709C6">
              <w:t>(chapter </w:t>
            </w:r>
            <w:r w:rsidRPr="008C30D0">
              <w:t>1</w:t>
            </w:r>
            <w:r w:rsidR="00BC79F9">
              <w:t>9</w:t>
            </w:r>
            <w:r w:rsidRPr="008C30D0">
              <w:t>).</w:t>
            </w:r>
          </w:p>
        </w:tc>
      </w:tr>
      <w:tr w:rsidR="0068269E" w:rsidTr="00372EF5">
        <w:trPr>
          <w:cantSplit/>
        </w:trPr>
        <w:tc>
          <w:tcPr>
            <w:tcW w:w="5000" w:type="pct"/>
            <w:tcBorders>
              <w:top w:val="nil"/>
              <w:left w:val="nil"/>
              <w:bottom w:val="nil"/>
              <w:right w:val="nil"/>
            </w:tcBorders>
            <w:shd w:val="clear" w:color="auto" w:fill="F2F2F2" w:themeFill="background1" w:themeFillShade="F2"/>
          </w:tcPr>
          <w:p w:rsidR="0068269E" w:rsidRDefault="0068269E" w:rsidP="00BC79F9">
            <w:pPr>
              <w:pStyle w:val="BoxSource"/>
            </w:pPr>
            <w:r>
              <w:rPr>
                <w:i/>
              </w:rPr>
              <w:t>Sourc</w:t>
            </w:r>
            <w:r w:rsidR="008C30D0">
              <w:rPr>
                <w:i/>
              </w:rPr>
              <w:t>e</w:t>
            </w:r>
            <w:r w:rsidR="00EF7A81">
              <w:rPr>
                <w:i/>
              </w:rPr>
              <w:t>s</w:t>
            </w:r>
            <w:r w:rsidRPr="00167F06">
              <w:t xml:space="preserve">: </w:t>
            </w:r>
            <w:r w:rsidR="00225554">
              <w:t xml:space="preserve">COAG (2012); </w:t>
            </w:r>
            <w:r w:rsidR="00690AAC">
              <w:t>c</w:t>
            </w:r>
            <w:r w:rsidR="008C30D0" w:rsidRPr="008C30D0">
              <w:t>hapters</w:t>
            </w:r>
            <w:r w:rsidR="00690AAC">
              <w:t> </w:t>
            </w:r>
            <w:r w:rsidR="008C30D0" w:rsidRPr="008C30D0">
              <w:t>1</w:t>
            </w:r>
            <w:r w:rsidR="00BC79F9">
              <w:t>8</w:t>
            </w:r>
            <w:r w:rsidR="008C30D0" w:rsidRPr="008C30D0">
              <w:t xml:space="preserve"> and 1</w:t>
            </w:r>
            <w:r w:rsidR="00BC79F9">
              <w:t>9</w:t>
            </w:r>
            <w:r w:rsidR="008C30D0">
              <w:t>.</w:t>
            </w:r>
          </w:p>
        </w:tc>
      </w:tr>
      <w:tr w:rsidR="0068269E" w:rsidTr="00372EF5">
        <w:trPr>
          <w:cantSplit/>
        </w:trPr>
        <w:tc>
          <w:tcPr>
            <w:tcW w:w="5000" w:type="pct"/>
            <w:tcBorders>
              <w:top w:val="nil"/>
              <w:left w:val="nil"/>
              <w:bottom w:val="single" w:sz="6" w:space="0" w:color="78A22F"/>
              <w:right w:val="nil"/>
            </w:tcBorders>
            <w:shd w:val="clear" w:color="auto" w:fill="F2F2F2" w:themeFill="background1" w:themeFillShade="F2"/>
          </w:tcPr>
          <w:p w:rsidR="0068269E" w:rsidRDefault="0068269E">
            <w:pPr>
              <w:pStyle w:val="Box"/>
              <w:spacing w:before="0" w:line="120" w:lineRule="exact"/>
            </w:pPr>
          </w:p>
        </w:tc>
      </w:tr>
      <w:tr w:rsidR="0068269E" w:rsidRPr="000863A5" w:rsidTr="00372EF5">
        <w:tc>
          <w:tcPr>
            <w:tcW w:w="5000" w:type="pct"/>
            <w:tcBorders>
              <w:top w:val="single" w:sz="6" w:space="0" w:color="78A22F"/>
              <w:left w:val="nil"/>
              <w:bottom w:val="nil"/>
              <w:right w:val="nil"/>
            </w:tcBorders>
          </w:tcPr>
          <w:p w:rsidR="0068269E" w:rsidRPr="00626D32" w:rsidRDefault="0068269E" w:rsidP="00AB5A61">
            <w:pPr>
              <w:pStyle w:val="BoxSpaceBelow"/>
            </w:pPr>
          </w:p>
        </w:tc>
      </w:tr>
    </w:tbl>
    <w:p w:rsidR="00440110" w:rsidRDefault="00C066DD" w:rsidP="005A1BAE">
      <w:pPr>
        <w:pStyle w:val="Heading2"/>
      </w:pPr>
      <w:bookmarkStart w:id="10" w:name="_Toc306106366"/>
      <w:bookmarkStart w:id="11" w:name="_Toc401736868"/>
      <w:bookmarkStart w:id="12" w:name="_Toc464468439"/>
      <w:r>
        <w:t>G.</w:t>
      </w:r>
      <w:r w:rsidR="00561A56">
        <w:rPr>
          <w:noProof/>
        </w:rPr>
        <w:t>2</w:t>
      </w:r>
      <w:r>
        <w:tab/>
      </w:r>
      <w:r w:rsidR="00440110">
        <w:t xml:space="preserve">Sector performance </w:t>
      </w:r>
      <w:r w:rsidR="00440110" w:rsidRPr="005A1BAE">
        <w:t>indicator</w:t>
      </w:r>
      <w:r w:rsidR="00440110">
        <w:t xml:space="preserve"> framework</w:t>
      </w:r>
      <w:bookmarkEnd w:id="10"/>
      <w:bookmarkEnd w:id="11"/>
      <w:bookmarkEnd w:id="12"/>
    </w:p>
    <w:p w:rsidR="00440110" w:rsidRPr="00463099" w:rsidRDefault="00440110" w:rsidP="00440110">
      <w:pPr>
        <w:pStyle w:val="BodyText"/>
      </w:pPr>
      <w:r w:rsidRPr="00463099">
        <w:t xml:space="preserve">This </w:t>
      </w:r>
      <w:r w:rsidR="00BB2E89" w:rsidRPr="00463099">
        <w:t>sector overview</w:t>
      </w:r>
      <w:r w:rsidRPr="00463099">
        <w:t xml:space="preserve"> is based on a sector performance indicator framework (figure </w:t>
      </w:r>
      <w:r w:rsidR="00D90830" w:rsidRPr="00463099">
        <w:t>G.2</w:t>
      </w:r>
      <w:r w:rsidRPr="00463099">
        <w:t>) made up of the following elements:</w:t>
      </w:r>
    </w:p>
    <w:p w:rsidR="00440110" w:rsidRDefault="00440110" w:rsidP="00440110">
      <w:pPr>
        <w:pStyle w:val="ListBullet"/>
      </w:pPr>
      <w:r>
        <w:lastRenderedPageBreak/>
        <w:t xml:space="preserve">Sector </w:t>
      </w:r>
      <w:r w:rsidR="008953B9">
        <w:t xml:space="preserve">objectives </w:t>
      </w:r>
      <w:r>
        <w:t xml:space="preserve">— three sector </w:t>
      </w:r>
      <w:r w:rsidR="008953B9">
        <w:t xml:space="preserve">objectives </w:t>
      </w:r>
      <w:r w:rsidR="00B10C15">
        <w:t>reflect</w:t>
      </w:r>
      <w:r>
        <w:t xml:space="preserve"> the key objectives of </w:t>
      </w:r>
      <w:r w:rsidR="00B10C15">
        <w:t xml:space="preserve">the </w:t>
      </w:r>
      <w:r>
        <w:t xml:space="preserve">housing and homelessness </w:t>
      </w:r>
      <w:r w:rsidR="00B10C15">
        <w:t>sector (box G.</w:t>
      </w:r>
      <w:r w:rsidR="00E04BFC">
        <w:t>2</w:t>
      </w:r>
      <w:r w:rsidR="00B10C15">
        <w:t>)</w:t>
      </w:r>
    </w:p>
    <w:p w:rsidR="007E391A" w:rsidRDefault="00440110" w:rsidP="008939D6">
      <w:pPr>
        <w:pStyle w:val="ListBullet"/>
      </w:pPr>
      <w:r>
        <w:t>Sector</w:t>
      </w:r>
      <w:r w:rsidR="00C9055F">
        <w:noBreakHyphen/>
      </w:r>
      <w:r>
        <w:t>wide indicators — three</w:t>
      </w:r>
      <w:r w:rsidR="0098507D">
        <w:t xml:space="preserve"> sector</w:t>
      </w:r>
      <w:r w:rsidR="00C9055F">
        <w:noBreakHyphen/>
      </w:r>
      <w:r w:rsidR="0098507D">
        <w:t>wide indicators relate</w:t>
      </w:r>
      <w:r>
        <w:t xml:space="preserve"> to the overarching service sector objectives</w:t>
      </w:r>
      <w:r w:rsidR="00AE4A96">
        <w:t>.</w:t>
      </w:r>
    </w:p>
    <w:p w:rsidR="00863844" w:rsidRDefault="00863844" w:rsidP="00933EE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63844" w:rsidTr="00933EEE">
        <w:tc>
          <w:tcPr>
            <w:tcW w:w="8771" w:type="dxa"/>
            <w:tcBorders>
              <w:top w:val="single" w:sz="6" w:space="0" w:color="78A22F"/>
              <w:left w:val="nil"/>
              <w:bottom w:val="nil"/>
              <w:right w:val="nil"/>
            </w:tcBorders>
            <w:shd w:val="clear" w:color="auto" w:fill="auto"/>
          </w:tcPr>
          <w:p w:rsidR="00863844" w:rsidRPr="00176D3F" w:rsidRDefault="00863844" w:rsidP="003944A4">
            <w:pPr>
              <w:pStyle w:val="FigureTitle"/>
              <w:spacing w:after="0"/>
            </w:pPr>
            <w:r w:rsidRPr="00784A05">
              <w:rPr>
                <w:b w:val="0"/>
              </w:rPr>
              <w:t xml:space="preserve">Figure </w:t>
            </w:r>
            <w:r>
              <w:rPr>
                <w:b w:val="0"/>
              </w:rPr>
              <w:t>G.</w:t>
            </w:r>
            <w:r w:rsidR="006359A6">
              <w:rPr>
                <w:b w:val="0"/>
                <w:noProof/>
              </w:rPr>
              <w:t>2</w:t>
            </w:r>
            <w:r>
              <w:tab/>
              <w:t>Housing and homelessness services sector performance indicator framework</w:t>
            </w:r>
          </w:p>
        </w:tc>
      </w:tr>
      <w:tr w:rsidR="00863844" w:rsidTr="00A5136F">
        <w:tc>
          <w:tcPr>
            <w:tcW w:w="8771" w:type="dxa"/>
            <w:tcBorders>
              <w:top w:val="nil"/>
              <w:left w:val="nil"/>
              <w:bottom w:val="nil"/>
              <w:right w:val="nil"/>
            </w:tcBorders>
            <w:shd w:val="clear" w:color="auto" w:fill="auto"/>
            <w:tcMar>
              <w:top w:w="28" w:type="dxa"/>
              <w:bottom w:w="28" w:type="dxa"/>
            </w:tcMar>
          </w:tcPr>
          <w:p w:rsidR="00863844" w:rsidRPr="00A5136F" w:rsidRDefault="00E67F9A" w:rsidP="00A5136F">
            <w:pPr>
              <w:pStyle w:val="Figure"/>
            </w:pPr>
            <w:r>
              <w:rPr>
                <w:noProof/>
              </w:rPr>
              <w:drawing>
                <wp:inline distT="0" distB="0" distL="0" distR="0" wp14:anchorId="456BFA0A" wp14:editId="5A642C85">
                  <wp:extent cx="5379510" cy="2468880"/>
                  <wp:effectExtent l="0" t="0" r="0" b="0"/>
                  <wp:docPr id="1" name="Picture 1" descr="Figure G.2 Housing and homelessness services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0">
                            <a:extLst>
                              <a:ext uri="{28A0092B-C50C-407E-A947-70E740481C1C}">
                                <a14:useLocalDpi xmlns:a14="http://schemas.microsoft.com/office/drawing/2010/main" val="0"/>
                              </a:ext>
                            </a:extLst>
                          </a:blip>
                          <a:srcRect b="62177"/>
                          <a:stretch/>
                        </pic:blipFill>
                        <pic:spPr bwMode="auto">
                          <a:xfrm>
                            <a:off x="0" y="0"/>
                            <a:ext cx="5380355" cy="246926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863844" w:rsidRPr="000863A5" w:rsidTr="00933EEE">
        <w:tc>
          <w:tcPr>
            <w:tcW w:w="8771" w:type="dxa"/>
            <w:tcBorders>
              <w:top w:val="single" w:sz="6" w:space="0" w:color="78A22F"/>
              <w:left w:val="nil"/>
              <w:bottom w:val="nil"/>
              <w:right w:val="nil"/>
            </w:tcBorders>
          </w:tcPr>
          <w:p w:rsidR="00863844" w:rsidRPr="00626D32" w:rsidRDefault="00863844" w:rsidP="00933EEE">
            <w:pPr>
              <w:pStyle w:val="BoxSpaceBelow"/>
            </w:pPr>
          </w:p>
        </w:tc>
      </w:tr>
    </w:tbl>
    <w:p w:rsidR="00E91696" w:rsidRDefault="00E91696" w:rsidP="00C51E13">
      <w:pPr>
        <w:pStyle w:val="Heading4"/>
        <w:spacing w:before="360"/>
      </w:pPr>
      <w:r>
        <w:t>Low income households in rental stress</w:t>
      </w:r>
    </w:p>
    <w:p w:rsidR="008939D6" w:rsidRPr="00276FD6" w:rsidRDefault="00E91696" w:rsidP="00DE4B34">
      <w:pPr>
        <w:pStyle w:val="BodyText"/>
      </w:pPr>
      <w:r w:rsidRPr="005341CB">
        <w:t xml:space="preserve">‘Low income households in rental stress’ is an indicator of governments’ objective </w:t>
      </w:r>
      <w:r w:rsidR="00497117">
        <w:t>that people are able to rent housing that meets their needs</w:t>
      </w:r>
      <w:r w:rsidRPr="00351AE0">
        <w:t xml:space="preserve"> </w:t>
      </w:r>
      <w:r w:rsidRPr="005341CB">
        <w:t>(box</w:t>
      </w:r>
      <w:r w:rsidR="003448E1" w:rsidRPr="005341CB">
        <w:t> </w:t>
      </w:r>
      <w:r w:rsidR="00D15E8B">
        <w:t>G.</w:t>
      </w:r>
      <w:r w:rsidR="00E04BFC">
        <w:t>3</w:t>
      </w:r>
      <w:r w:rsidRPr="005341CB">
        <w:t>).</w:t>
      </w:r>
    </w:p>
    <w:p w:rsidR="00A517E9" w:rsidRDefault="00A517E9">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A517E9" w:rsidTr="006E4606">
        <w:tc>
          <w:tcPr>
            <w:tcW w:w="5000" w:type="pct"/>
            <w:tcBorders>
              <w:top w:val="single" w:sz="6" w:space="0" w:color="78A22F"/>
              <w:left w:val="nil"/>
              <w:bottom w:val="nil"/>
              <w:right w:val="nil"/>
            </w:tcBorders>
            <w:shd w:val="clear" w:color="auto" w:fill="F2F2F2" w:themeFill="background1" w:themeFillShade="F2"/>
          </w:tcPr>
          <w:p w:rsidR="00A517E9" w:rsidRDefault="00A517E9" w:rsidP="00E04BFC">
            <w:pPr>
              <w:pStyle w:val="BoxTitle"/>
            </w:pPr>
            <w:r>
              <w:rPr>
                <w:b w:val="0"/>
              </w:rPr>
              <w:t>Box G.</w:t>
            </w:r>
            <w:r w:rsidR="00E04BFC">
              <w:rPr>
                <w:b w:val="0"/>
              </w:rPr>
              <w:t>3</w:t>
            </w:r>
            <w:r>
              <w:tab/>
            </w:r>
            <w:r w:rsidRPr="00A517E9">
              <w:t>Low income households in rental stress</w:t>
            </w:r>
          </w:p>
        </w:tc>
      </w:tr>
      <w:tr w:rsidR="00A517E9" w:rsidTr="006E4606">
        <w:trPr>
          <w:cantSplit/>
        </w:trPr>
        <w:tc>
          <w:tcPr>
            <w:tcW w:w="5000" w:type="pct"/>
            <w:tcBorders>
              <w:top w:val="nil"/>
              <w:left w:val="nil"/>
              <w:bottom w:val="nil"/>
              <w:right w:val="nil"/>
            </w:tcBorders>
            <w:shd w:val="clear" w:color="auto" w:fill="F2F2F2" w:themeFill="background1" w:themeFillShade="F2"/>
          </w:tcPr>
          <w:p w:rsidR="00A517E9" w:rsidRPr="00DE4B34" w:rsidRDefault="00A517E9" w:rsidP="00DE4B34">
            <w:pPr>
              <w:pStyle w:val="Box"/>
            </w:pPr>
            <w:r w:rsidRPr="00A517E9">
              <w:t>‘Low income households in rental stress’ is defined as the proportion of low income renter households spending more than 30 per cent of their gross household income on rent.</w:t>
            </w:r>
          </w:p>
          <w:p w:rsidR="00A517E9" w:rsidRPr="00A517E9" w:rsidRDefault="00A517E9" w:rsidP="007E391A">
            <w:pPr>
              <w:pStyle w:val="Box"/>
            </w:pPr>
            <w:r w:rsidRPr="00A517E9">
              <w:t xml:space="preserve">Low income renter households are defined as those </w:t>
            </w:r>
            <w:r w:rsidR="009A31AE">
              <w:t xml:space="preserve">with </w:t>
            </w:r>
            <w:proofErr w:type="spellStart"/>
            <w:r w:rsidR="009A31AE" w:rsidRPr="00A517E9">
              <w:t>equivalised</w:t>
            </w:r>
            <w:proofErr w:type="spellEnd"/>
            <w:r w:rsidR="009A31AE" w:rsidRPr="00A517E9">
              <w:t xml:space="preserve"> </w:t>
            </w:r>
            <w:r w:rsidR="00612ACA">
              <w:t>disposable</w:t>
            </w:r>
            <w:r w:rsidR="009A31AE" w:rsidRPr="00A517E9">
              <w:t xml:space="preserve"> household incomes </w:t>
            </w:r>
            <w:r w:rsidR="009A31AE">
              <w:t>in the bottom 40 per cent</w:t>
            </w:r>
            <w:r w:rsidRPr="00A517E9">
              <w:t xml:space="preserve">. </w:t>
            </w:r>
            <w:proofErr w:type="spellStart"/>
            <w:r w:rsidRPr="00A517E9">
              <w:t>Equivalised</w:t>
            </w:r>
            <w:proofErr w:type="spellEnd"/>
            <w:r w:rsidRPr="00A517E9">
              <w:t xml:space="preserve"> disposable income is an </w:t>
            </w:r>
            <w:r w:rsidR="007E391A">
              <w:t>estimate</w:t>
            </w:r>
            <w:r w:rsidR="007E391A" w:rsidRPr="00A517E9">
              <w:t xml:space="preserve"> </w:t>
            </w:r>
            <w:r w:rsidRPr="00A517E9">
              <w:t>of disposable household income after taking into account household size and composition (ABS</w:t>
            </w:r>
            <w:r w:rsidR="00944125">
              <w:t> </w:t>
            </w:r>
            <w:r w:rsidR="002D38A6">
              <w:t>2010</w:t>
            </w:r>
            <w:r w:rsidR="00944125">
              <w:t>, 2016</w:t>
            </w:r>
            <w:r w:rsidRPr="00A517E9">
              <w:t>). Household income and rent expenditure exclude</w:t>
            </w:r>
            <w:r w:rsidR="00944125">
              <w:t xml:space="preserve"> CRA</w:t>
            </w:r>
            <w:r w:rsidR="00FD539C">
              <w:t>.</w:t>
            </w:r>
          </w:p>
          <w:p w:rsidR="00A517E9" w:rsidRPr="00A517E9" w:rsidRDefault="00A517E9" w:rsidP="00A517E9">
            <w:pPr>
              <w:pStyle w:val="Box"/>
            </w:pPr>
            <w:r w:rsidRPr="00A517E9">
              <w:t xml:space="preserve">A low or decreasing proportion of households in rental stress </w:t>
            </w:r>
            <w:r w:rsidR="00405DB4">
              <w:t>is desirable</w:t>
            </w:r>
            <w:r w:rsidRPr="00A517E9">
              <w:t>.</w:t>
            </w:r>
            <w:r w:rsidR="004D31FC">
              <w:t xml:space="preserve"> </w:t>
            </w:r>
            <w:r w:rsidRPr="00A517E9">
              <w:t>Data reported for these measures are:</w:t>
            </w:r>
          </w:p>
          <w:p w:rsidR="00A517E9" w:rsidRPr="00A517E9" w:rsidRDefault="00A517E9" w:rsidP="00A517E9">
            <w:pPr>
              <w:pStyle w:val="Box"/>
              <w:numPr>
                <w:ilvl w:val="0"/>
                <w:numId w:val="1"/>
              </w:numPr>
            </w:pPr>
            <w:r w:rsidRPr="00A517E9">
              <w:t>comparable (subject to caveats) across jurisdictions and over time</w:t>
            </w:r>
          </w:p>
          <w:p w:rsidR="00A517E9" w:rsidRDefault="00A517E9" w:rsidP="00A517E9">
            <w:pPr>
              <w:pStyle w:val="Box"/>
              <w:numPr>
                <w:ilvl w:val="0"/>
                <w:numId w:val="1"/>
              </w:numPr>
            </w:pPr>
            <w:r w:rsidRPr="00A517E9">
              <w:t>complete for the current rep</w:t>
            </w:r>
            <w:r w:rsidR="00FD539C">
              <w:t xml:space="preserve">orting period. All </w:t>
            </w:r>
            <w:r w:rsidR="00FD539C" w:rsidRPr="00405DB4">
              <w:t xml:space="preserve">required </w:t>
            </w:r>
            <w:r w:rsidRPr="00405DB4">
              <w:t>201</w:t>
            </w:r>
            <w:r w:rsidR="00871DC1" w:rsidRPr="00405DB4">
              <w:t>3</w:t>
            </w:r>
            <w:r w:rsidR="00080F6D" w:rsidRPr="00405DB4">
              <w:noBreakHyphen/>
            </w:r>
            <w:r w:rsidR="00871DC1" w:rsidRPr="00405DB4">
              <w:t>14</w:t>
            </w:r>
            <w:r w:rsidRPr="00A517E9">
              <w:t xml:space="preserve"> data are available for all jurisdictions.</w:t>
            </w:r>
          </w:p>
        </w:tc>
      </w:tr>
      <w:tr w:rsidR="00A517E9" w:rsidTr="006E4606">
        <w:trPr>
          <w:cantSplit/>
        </w:trPr>
        <w:tc>
          <w:tcPr>
            <w:tcW w:w="5000" w:type="pct"/>
            <w:tcBorders>
              <w:top w:val="nil"/>
              <w:left w:val="nil"/>
              <w:bottom w:val="single" w:sz="6" w:space="0" w:color="78A22F"/>
              <w:right w:val="nil"/>
            </w:tcBorders>
            <w:shd w:val="clear" w:color="auto" w:fill="F2F2F2" w:themeFill="background1" w:themeFillShade="F2"/>
          </w:tcPr>
          <w:p w:rsidR="00A517E9" w:rsidRDefault="00A517E9">
            <w:pPr>
              <w:pStyle w:val="Box"/>
              <w:spacing w:before="0" w:line="120" w:lineRule="exact"/>
            </w:pPr>
          </w:p>
        </w:tc>
      </w:tr>
      <w:tr w:rsidR="00A517E9" w:rsidRPr="000863A5" w:rsidTr="006E4606">
        <w:tc>
          <w:tcPr>
            <w:tcW w:w="5000" w:type="pct"/>
            <w:tcBorders>
              <w:top w:val="single" w:sz="6" w:space="0" w:color="78A22F"/>
              <w:left w:val="nil"/>
              <w:bottom w:val="nil"/>
              <w:right w:val="nil"/>
            </w:tcBorders>
          </w:tcPr>
          <w:p w:rsidR="00A517E9" w:rsidRPr="00626D32" w:rsidRDefault="00A517E9" w:rsidP="00AB5A61">
            <w:pPr>
              <w:pStyle w:val="BoxSpaceBelow"/>
            </w:pPr>
          </w:p>
        </w:tc>
      </w:tr>
    </w:tbl>
    <w:p w:rsidR="00A50F2D" w:rsidRDefault="009B3C11" w:rsidP="003448E1">
      <w:pPr>
        <w:pStyle w:val="BodyText"/>
        <w:spacing w:after="240"/>
        <w:rPr>
          <w:color w:val="000000" w:themeColor="text1"/>
        </w:rPr>
      </w:pPr>
      <w:r w:rsidRPr="00CE5578">
        <w:rPr>
          <w:color w:val="000000" w:themeColor="text1"/>
        </w:rPr>
        <w:lastRenderedPageBreak/>
        <w:t xml:space="preserve">Nationally, the proportion of low income </w:t>
      </w:r>
      <w:r w:rsidR="005A15F4" w:rsidRPr="00463099">
        <w:t>renter</w:t>
      </w:r>
      <w:r w:rsidR="005A15F4">
        <w:rPr>
          <w:color w:val="000000" w:themeColor="text1"/>
        </w:rPr>
        <w:t xml:space="preserve"> </w:t>
      </w:r>
      <w:r w:rsidRPr="00CE5578">
        <w:rPr>
          <w:color w:val="000000" w:themeColor="text1"/>
        </w:rPr>
        <w:t>households in rental stress increased from 3</w:t>
      </w:r>
      <w:r w:rsidR="00470F7C" w:rsidRPr="00CE5578">
        <w:rPr>
          <w:color w:val="000000" w:themeColor="text1"/>
        </w:rPr>
        <w:t>5.4</w:t>
      </w:r>
      <w:r w:rsidR="002F7031">
        <w:rPr>
          <w:color w:val="000000" w:themeColor="text1"/>
        </w:rPr>
        <w:t> </w:t>
      </w:r>
      <w:r w:rsidRPr="00CE5578">
        <w:rPr>
          <w:color w:val="000000" w:themeColor="text1"/>
        </w:rPr>
        <w:t>per</w:t>
      </w:r>
      <w:r w:rsidR="002F7031">
        <w:rPr>
          <w:color w:val="000000" w:themeColor="text1"/>
        </w:rPr>
        <w:t> </w:t>
      </w:r>
      <w:r w:rsidRPr="00CE5578">
        <w:rPr>
          <w:color w:val="000000" w:themeColor="text1"/>
        </w:rPr>
        <w:t>cent in 2007</w:t>
      </w:r>
      <w:r w:rsidR="00080F6D">
        <w:rPr>
          <w:color w:val="000000" w:themeColor="text1"/>
        </w:rPr>
        <w:noBreakHyphen/>
      </w:r>
      <w:r w:rsidRPr="00CE5578">
        <w:rPr>
          <w:color w:val="000000" w:themeColor="text1"/>
        </w:rPr>
        <w:t>08</w:t>
      </w:r>
      <w:r w:rsidRPr="00562635">
        <w:rPr>
          <w:color w:val="000000" w:themeColor="text1"/>
        </w:rPr>
        <w:t xml:space="preserve"> </w:t>
      </w:r>
      <w:r w:rsidRPr="00405DB4">
        <w:rPr>
          <w:color w:val="000000" w:themeColor="text1"/>
        </w:rPr>
        <w:t xml:space="preserve">to </w:t>
      </w:r>
      <w:r w:rsidR="00461BF9" w:rsidRPr="00405DB4">
        <w:t>4</w:t>
      </w:r>
      <w:r w:rsidR="00877B6F" w:rsidRPr="00405DB4">
        <w:t>2</w:t>
      </w:r>
      <w:r w:rsidR="00461BF9" w:rsidRPr="00405DB4">
        <w:t>.5</w:t>
      </w:r>
      <w:r w:rsidR="00562635" w:rsidRPr="00405DB4">
        <w:t xml:space="preserve"> </w:t>
      </w:r>
      <w:r w:rsidR="00D14A5E" w:rsidRPr="00405DB4">
        <w:t>p</w:t>
      </w:r>
      <w:r w:rsidRPr="00405DB4">
        <w:t>er cent</w:t>
      </w:r>
      <w:r w:rsidRPr="00405DB4">
        <w:rPr>
          <w:color w:val="000000" w:themeColor="text1"/>
        </w:rPr>
        <w:t xml:space="preserve"> in 20</w:t>
      </w:r>
      <w:r w:rsidR="00D14A5E" w:rsidRPr="00405DB4">
        <w:rPr>
          <w:color w:val="000000" w:themeColor="text1"/>
        </w:rPr>
        <w:t>1</w:t>
      </w:r>
      <w:r w:rsidR="00634142" w:rsidRPr="00405DB4">
        <w:rPr>
          <w:color w:val="000000" w:themeColor="text1"/>
        </w:rPr>
        <w:t>3</w:t>
      </w:r>
      <w:r w:rsidR="00080F6D" w:rsidRPr="00405DB4">
        <w:rPr>
          <w:color w:val="000000" w:themeColor="text1"/>
        </w:rPr>
        <w:noBreakHyphen/>
      </w:r>
      <w:r w:rsidRPr="00405DB4">
        <w:rPr>
          <w:color w:val="000000" w:themeColor="text1"/>
        </w:rPr>
        <w:t>1</w:t>
      </w:r>
      <w:r w:rsidR="00634142" w:rsidRPr="00405DB4">
        <w:rPr>
          <w:color w:val="000000" w:themeColor="text1"/>
        </w:rPr>
        <w:t>4</w:t>
      </w:r>
      <w:r w:rsidRPr="00562635">
        <w:rPr>
          <w:color w:val="000000" w:themeColor="text1"/>
        </w:rPr>
        <w:t xml:space="preserve"> (figure </w:t>
      </w:r>
      <w:r w:rsidR="006359A6">
        <w:rPr>
          <w:color w:val="000000" w:themeColor="text1"/>
        </w:rPr>
        <w:t>G.3</w:t>
      </w:r>
      <w:r w:rsidRPr="00562635">
        <w:rPr>
          <w:color w:val="000000" w:themeColor="text1"/>
        </w:rPr>
        <w:t>).</w:t>
      </w:r>
    </w:p>
    <w:p w:rsidR="00A5136F" w:rsidRDefault="00A5136F" w:rsidP="00A513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5136F" w:rsidTr="00A5136F">
        <w:tc>
          <w:tcPr>
            <w:tcW w:w="8771" w:type="dxa"/>
            <w:tcBorders>
              <w:top w:val="single" w:sz="6" w:space="0" w:color="78A22F"/>
              <w:left w:val="nil"/>
              <w:bottom w:val="nil"/>
              <w:right w:val="nil"/>
            </w:tcBorders>
            <w:shd w:val="clear" w:color="auto" w:fill="auto"/>
          </w:tcPr>
          <w:p w:rsidR="00A5136F" w:rsidRPr="00176D3F" w:rsidRDefault="00A5136F" w:rsidP="006359A6">
            <w:pPr>
              <w:pStyle w:val="FigureTitle"/>
            </w:pPr>
            <w:r w:rsidRPr="00784A05">
              <w:rPr>
                <w:b w:val="0"/>
              </w:rPr>
              <w:t xml:space="preserve">Figure </w:t>
            </w:r>
            <w:proofErr w:type="spellStart"/>
            <w:r w:rsidR="006359A6">
              <w:rPr>
                <w:b w:val="0"/>
              </w:rPr>
              <w:t>G.3</w:t>
            </w:r>
            <w:proofErr w:type="spellEnd"/>
            <w:r>
              <w:tab/>
            </w:r>
            <w:r w:rsidRPr="00A5136F">
              <w:t xml:space="preserve">Proportion of low income households in rental </w:t>
            </w:r>
            <w:proofErr w:type="spellStart"/>
            <w:r w:rsidRPr="00A5136F">
              <w:t>stress</w:t>
            </w:r>
            <w:r>
              <w:rPr>
                <w:vertAlign w:val="superscript"/>
              </w:rPr>
              <w:t>a</w:t>
            </w:r>
            <w:proofErr w:type="spellEnd"/>
          </w:p>
        </w:tc>
      </w:tr>
      <w:tr w:rsidR="00A5136F" w:rsidTr="00A5136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5136F" w:rsidTr="00A5136F">
              <w:trPr>
                <w:jc w:val="center"/>
              </w:trPr>
              <w:tc>
                <w:tcPr>
                  <w:tcW w:w="5000" w:type="pct"/>
                  <w:tcBorders>
                    <w:top w:val="nil"/>
                    <w:bottom w:val="nil"/>
                  </w:tcBorders>
                </w:tcPr>
                <w:p w:rsidR="00A5136F" w:rsidRDefault="00D72749" w:rsidP="00A5136F">
                  <w:pPr>
                    <w:pStyle w:val="Figure"/>
                    <w:spacing w:before="60" w:after="60"/>
                  </w:pPr>
                  <w:r>
                    <w:rPr>
                      <w:noProof/>
                    </w:rPr>
                    <w:drawing>
                      <wp:inline distT="0" distB="0" distL="0" distR="0" wp14:anchorId="500CD0D1" wp14:editId="16B3CE5A">
                        <wp:extent cx="5381625" cy="2333625"/>
                        <wp:effectExtent l="0" t="0" r="9525" b="9525"/>
                        <wp:docPr id="2" name="Picture 2" descr="Figure G.3 Proportion of low income households in rental stres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1625" cy="2333625"/>
                                </a:xfrm>
                                <a:prstGeom prst="rect">
                                  <a:avLst/>
                                </a:prstGeom>
                                <a:noFill/>
                                <a:ln>
                                  <a:noFill/>
                                </a:ln>
                              </pic:spPr>
                            </pic:pic>
                          </a:graphicData>
                        </a:graphic>
                      </wp:inline>
                    </w:drawing>
                  </w:r>
                </w:p>
              </w:tc>
            </w:tr>
          </w:tbl>
          <w:p w:rsidR="00A5136F" w:rsidRDefault="00A5136F" w:rsidP="00A5136F">
            <w:pPr>
              <w:pStyle w:val="Figure"/>
            </w:pPr>
          </w:p>
        </w:tc>
      </w:tr>
      <w:tr w:rsidR="00A5136F" w:rsidRPr="00176D3F" w:rsidTr="00A5136F">
        <w:tc>
          <w:tcPr>
            <w:tcW w:w="8771" w:type="dxa"/>
            <w:tcBorders>
              <w:top w:val="nil"/>
              <w:left w:val="nil"/>
              <w:bottom w:val="nil"/>
              <w:right w:val="nil"/>
            </w:tcBorders>
            <w:shd w:val="clear" w:color="auto" w:fill="auto"/>
          </w:tcPr>
          <w:p w:rsidR="00A5136F" w:rsidRPr="00176D3F" w:rsidRDefault="00A5136F" w:rsidP="00E04BFC">
            <w:pPr>
              <w:pStyle w:val="Note"/>
            </w:pPr>
            <w:r>
              <w:rPr>
                <w:rStyle w:val="NoteLabel"/>
              </w:rPr>
              <w:t>a</w:t>
            </w:r>
            <w:r w:rsidR="00D90830">
              <w:t xml:space="preserve"> See box G.</w:t>
            </w:r>
            <w:r w:rsidR="00E04BFC">
              <w:t>3</w:t>
            </w:r>
            <w:r w:rsidRPr="005244E3">
              <w:t xml:space="preserve"> </w:t>
            </w:r>
            <w:r>
              <w:t xml:space="preserve">and table </w:t>
            </w:r>
            <w:r w:rsidR="007A7C36">
              <w:t>GA.4</w:t>
            </w:r>
            <w:r w:rsidRPr="00C24BA0">
              <w:t xml:space="preserve"> </w:t>
            </w:r>
            <w:r w:rsidRPr="005244E3">
              <w:t>for detailed definitions, footnotes and caveats.</w:t>
            </w:r>
          </w:p>
        </w:tc>
      </w:tr>
      <w:tr w:rsidR="00A5136F" w:rsidRPr="00176D3F" w:rsidTr="00A5136F">
        <w:tc>
          <w:tcPr>
            <w:tcW w:w="8771" w:type="dxa"/>
            <w:tcBorders>
              <w:top w:val="nil"/>
              <w:left w:val="nil"/>
              <w:bottom w:val="nil"/>
              <w:right w:val="nil"/>
            </w:tcBorders>
            <w:shd w:val="clear" w:color="auto" w:fill="auto"/>
          </w:tcPr>
          <w:p w:rsidR="00A5136F" w:rsidRPr="00176D3F" w:rsidRDefault="00A5136F" w:rsidP="004D31FC">
            <w:pPr>
              <w:pStyle w:val="Source"/>
            </w:pPr>
            <w:r>
              <w:rPr>
                <w:i/>
              </w:rPr>
              <w:t>S</w:t>
            </w:r>
            <w:r w:rsidRPr="00784A05">
              <w:rPr>
                <w:i/>
              </w:rPr>
              <w:t>ource</w:t>
            </w:r>
            <w:r w:rsidRPr="00176D3F">
              <w:t xml:space="preserve">: </w:t>
            </w:r>
            <w:r w:rsidRPr="00A517E9">
              <w:t xml:space="preserve">ABS (unpublished) </w:t>
            </w:r>
            <w:r w:rsidRPr="00B71F30">
              <w:t xml:space="preserve">Survey of Income and Housing </w:t>
            </w:r>
            <w:r w:rsidR="004D31FC">
              <w:t>(various years)</w:t>
            </w:r>
            <w:r w:rsidR="007A7C36">
              <w:t>; table GA.4</w:t>
            </w:r>
            <w:r w:rsidRPr="004D31FC">
              <w:t>.</w:t>
            </w:r>
          </w:p>
        </w:tc>
      </w:tr>
      <w:tr w:rsidR="00A5136F" w:rsidTr="00A5136F">
        <w:tc>
          <w:tcPr>
            <w:tcW w:w="8771" w:type="dxa"/>
            <w:tcBorders>
              <w:top w:val="nil"/>
              <w:left w:val="nil"/>
              <w:bottom w:val="single" w:sz="6" w:space="0" w:color="78A22F"/>
              <w:right w:val="nil"/>
            </w:tcBorders>
            <w:shd w:val="clear" w:color="auto" w:fill="auto"/>
          </w:tcPr>
          <w:p w:rsidR="00A5136F" w:rsidRDefault="00A5136F" w:rsidP="00A5136F">
            <w:pPr>
              <w:pStyle w:val="Figurespace"/>
            </w:pPr>
          </w:p>
        </w:tc>
      </w:tr>
      <w:tr w:rsidR="00A5136F" w:rsidRPr="000863A5" w:rsidTr="00A5136F">
        <w:tc>
          <w:tcPr>
            <w:tcW w:w="8771" w:type="dxa"/>
            <w:tcBorders>
              <w:top w:val="single" w:sz="6" w:space="0" w:color="78A22F"/>
              <w:left w:val="nil"/>
              <w:bottom w:val="nil"/>
              <w:right w:val="nil"/>
            </w:tcBorders>
          </w:tcPr>
          <w:p w:rsidR="00A5136F" w:rsidRPr="00626D32" w:rsidRDefault="00A5136F" w:rsidP="00A5136F">
            <w:pPr>
              <w:pStyle w:val="BoxSpaceBelow"/>
            </w:pPr>
          </w:p>
        </w:tc>
      </w:tr>
    </w:tbl>
    <w:p w:rsidR="003845BF" w:rsidRDefault="003845BF" w:rsidP="00A5136F">
      <w:pPr>
        <w:pStyle w:val="Heading4"/>
      </w:pPr>
      <w:r>
        <w:t>Appropriateness of</w:t>
      </w:r>
      <w:r w:rsidR="00712232">
        <w:t xml:space="preserve"> </w:t>
      </w:r>
      <w:r w:rsidR="008462B5">
        <w:t xml:space="preserve">Aboriginal and Torres Strait Islander </w:t>
      </w:r>
      <w:r>
        <w:t>housing</w:t>
      </w:r>
    </w:p>
    <w:p w:rsidR="006F328C" w:rsidRDefault="003845BF" w:rsidP="00B71F30">
      <w:pPr>
        <w:pStyle w:val="BodyText"/>
        <w:spacing w:after="240"/>
      </w:pPr>
      <w:r w:rsidRPr="00C2463A">
        <w:t xml:space="preserve">‘Appropriateness of </w:t>
      </w:r>
      <w:r w:rsidR="00A0650D">
        <w:t xml:space="preserve">Aboriginal and Torres Strait Islander </w:t>
      </w:r>
      <w:r w:rsidRPr="00C2463A">
        <w:t xml:space="preserve">housing’ is an indicator of governments’ </w:t>
      </w:r>
      <w:r w:rsidRPr="00A309D4">
        <w:t xml:space="preserve">objective </w:t>
      </w:r>
      <w:r w:rsidR="00497117">
        <w:t>Aboriginal and Torres Strait Islander people have improved amenity and reduced overcrowding</w:t>
      </w:r>
      <w:r w:rsidRPr="00C2463A">
        <w:t xml:space="preserve"> (box </w:t>
      </w:r>
      <w:r w:rsidR="00D15E8B">
        <w:t>G.</w:t>
      </w:r>
      <w:r w:rsidR="00E04BFC">
        <w:t>4</w:t>
      </w:r>
      <w:r w:rsidR="005D4E2E">
        <w:t>).</w:t>
      </w:r>
    </w:p>
    <w:p w:rsidR="006F328C" w:rsidRDefault="006F328C">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6F328C" w:rsidTr="009C70C5">
        <w:tc>
          <w:tcPr>
            <w:tcW w:w="5000" w:type="pct"/>
            <w:tcBorders>
              <w:top w:val="single" w:sz="6" w:space="0" w:color="78A22F"/>
              <w:left w:val="nil"/>
              <w:bottom w:val="nil"/>
              <w:right w:val="nil"/>
            </w:tcBorders>
            <w:shd w:val="clear" w:color="auto" w:fill="F2F2F2" w:themeFill="background1" w:themeFillShade="F2"/>
          </w:tcPr>
          <w:p w:rsidR="006F328C" w:rsidRDefault="006F328C" w:rsidP="00E04BFC">
            <w:pPr>
              <w:pStyle w:val="BoxTitle"/>
            </w:pPr>
            <w:r>
              <w:rPr>
                <w:b w:val="0"/>
              </w:rPr>
              <w:t>Box G.</w:t>
            </w:r>
            <w:r w:rsidR="00E04BFC">
              <w:rPr>
                <w:b w:val="0"/>
                <w:noProof/>
              </w:rPr>
              <w:t>4</w:t>
            </w:r>
            <w:r>
              <w:tab/>
            </w:r>
            <w:r w:rsidRPr="006F328C">
              <w:t xml:space="preserve">Appropriateness of </w:t>
            </w:r>
            <w:r w:rsidR="00013CEA">
              <w:t xml:space="preserve">Aboriginal and Torres Strait Islander </w:t>
            </w:r>
            <w:r w:rsidRPr="006F328C">
              <w:t>housing</w:t>
            </w:r>
          </w:p>
        </w:tc>
      </w:tr>
      <w:tr w:rsidR="006F328C" w:rsidTr="009C70C5">
        <w:trPr>
          <w:cantSplit/>
        </w:trPr>
        <w:tc>
          <w:tcPr>
            <w:tcW w:w="5000" w:type="pct"/>
            <w:tcBorders>
              <w:top w:val="nil"/>
              <w:left w:val="nil"/>
              <w:bottom w:val="nil"/>
              <w:right w:val="nil"/>
            </w:tcBorders>
            <w:shd w:val="clear" w:color="auto" w:fill="F2F2F2" w:themeFill="background1" w:themeFillShade="F2"/>
          </w:tcPr>
          <w:p w:rsidR="0086247A" w:rsidRDefault="00497117" w:rsidP="00E94EC2">
            <w:pPr>
              <w:pStyle w:val="Box"/>
            </w:pPr>
            <w:r>
              <w:t>‘Appropriateness of Aboriginal and Torres Strait Islander housing’ is defined by two measures</w:t>
            </w:r>
            <w:r w:rsidR="0086247A">
              <w:t>.</w:t>
            </w:r>
          </w:p>
          <w:p w:rsidR="006F328C" w:rsidRPr="00E94EC2" w:rsidRDefault="00E94EC2" w:rsidP="00E94EC2">
            <w:pPr>
              <w:pStyle w:val="Box"/>
            </w:pPr>
            <w:r>
              <w:rPr>
                <w:i/>
              </w:rPr>
              <w:t>P</w:t>
            </w:r>
            <w:r w:rsidR="006F328C" w:rsidRPr="00E94EC2">
              <w:rPr>
                <w:i/>
              </w:rPr>
              <w:t xml:space="preserve">roportion of Aboriginal and Torres Strait Islander households </w:t>
            </w:r>
            <w:r w:rsidR="003066B1">
              <w:rPr>
                <w:i/>
              </w:rPr>
              <w:t xml:space="preserve">in social housing </w:t>
            </w:r>
            <w:r w:rsidR="006F328C" w:rsidRPr="00E94EC2">
              <w:rPr>
                <w:i/>
              </w:rPr>
              <w:t>l</w:t>
            </w:r>
            <w:r w:rsidR="005D4E2E">
              <w:rPr>
                <w:i/>
              </w:rPr>
              <w:t>iving in overcrowded conditions</w:t>
            </w:r>
          </w:p>
          <w:p w:rsidR="00A3655E" w:rsidRDefault="00E94EC2" w:rsidP="00A3655E">
            <w:pPr>
              <w:pStyle w:val="Box"/>
            </w:pPr>
            <w:r w:rsidRPr="006F328C">
              <w:t>Overcrowding is defined and measured using the Canadian National Occupancy Standard under which overcrowding is deemed to have occurred if one or more additional bedrooms are required to meet the standard.</w:t>
            </w:r>
            <w:r>
              <w:t xml:space="preserve"> </w:t>
            </w:r>
            <w:r w:rsidR="00A3655E">
              <w:t>The agreed method for determining overcrowding requires the age, sex and relationship status of all tenants within a household to be known, as well as the number of bedrooms within the dwelling. Only households with complete information available are included in the calculation of the indicator.</w:t>
            </w:r>
          </w:p>
          <w:p w:rsidR="00F355F4" w:rsidRDefault="00F355F4" w:rsidP="00A3655E">
            <w:pPr>
              <w:pStyle w:val="Box"/>
            </w:pPr>
            <w:r w:rsidRPr="006F328C">
              <w:t xml:space="preserve">A low </w:t>
            </w:r>
            <w:r w:rsidR="00405DB4">
              <w:t xml:space="preserve">or decreasing </w:t>
            </w:r>
            <w:r w:rsidRPr="006F328C">
              <w:t xml:space="preserve">proportion of </w:t>
            </w:r>
            <w:r>
              <w:t xml:space="preserve">Aboriginal and Torres Strait Islander </w:t>
            </w:r>
            <w:r w:rsidRPr="006F328C">
              <w:t>households</w:t>
            </w:r>
            <w:r w:rsidR="003066B1">
              <w:t xml:space="preserve"> in social housing</w:t>
            </w:r>
            <w:r w:rsidRPr="006F328C">
              <w:t xml:space="preserve"> living in overcrowded conditions is desirable.</w:t>
            </w:r>
          </w:p>
          <w:p w:rsidR="006F328C" w:rsidRDefault="00F355F4" w:rsidP="00B71F30">
            <w:pPr>
              <w:pStyle w:val="Box"/>
              <w:jc w:val="right"/>
              <w:rPr>
                <w:szCs w:val="24"/>
              </w:rPr>
            </w:pPr>
            <w:r w:rsidRPr="00B71F30">
              <w:rPr>
                <w:sz w:val="18"/>
                <w:szCs w:val="18"/>
              </w:rPr>
              <w:t>(continued next page)</w:t>
            </w:r>
          </w:p>
        </w:tc>
      </w:tr>
      <w:tr w:rsidR="006F328C" w:rsidTr="009C70C5">
        <w:trPr>
          <w:cantSplit/>
        </w:trPr>
        <w:tc>
          <w:tcPr>
            <w:tcW w:w="5000" w:type="pct"/>
            <w:tcBorders>
              <w:top w:val="nil"/>
              <w:left w:val="nil"/>
              <w:bottom w:val="single" w:sz="6" w:space="0" w:color="78A22F"/>
              <w:right w:val="nil"/>
            </w:tcBorders>
            <w:shd w:val="clear" w:color="auto" w:fill="F2F2F2" w:themeFill="background1" w:themeFillShade="F2"/>
          </w:tcPr>
          <w:p w:rsidR="006F328C" w:rsidRDefault="006F328C">
            <w:pPr>
              <w:pStyle w:val="Box"/>
              <w:spacing w:before="0" w:line="120" w:lineRule="exact"/>
            </w:pPr>
          </w:p>
        </w:tc>
      </w:tr>
      <w:tr w:rsidR="006F328C" w:rsidRPr="000863A5" w:rsidTr="009C70C5">
        <w:tc>
          <w:tcPr>
            <w:tcW w:w="5000" w:type="pct"/>
            <w:tcBorders>
              <w:top w:val="single" w:sz="6" w:space="0" w:color="78A22F"/>
              <w:left w:val="nil"/>
              <w:bottom w:val="nil"/>
              <w:right w:val="nil"/>
            </w:tcBorders>
          </w:tcPr>
          <w:p w:rsidR="006F328C" w:rsidRPr="00626D32" w:rsidRDefault="006F328C" w:rsidP="005624FF">
            <w:pPr>
              <w:pStyle w:val="BoxSpaceBelow"/>
            </w:pPr>
          </w:p>
        </w:tc>
      </w:tr>
    </w:tbl>
    <w:p w:rsidR="004D31FC" w:rsidRDefault="004D31FC" w:rsidP="004D31FC">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4D31FC" w:rsidTr="00F9645E">
        <w:tc>
          <w:tcPr>
            <w:tcW w:w="5000" w:type="pct"/>
            <w:tcBorders>
              <w:top w:val="single" w:sz="6" w:space="0" w:color="78A22F"/>
              <w:left w:val="nil"/>
              <w:bottom w:val="nil"/>
              <w:right w:val="nil"/>
            </w:tcBorders>
            <w:shd w:val="clear" w:color="auto" w:fill="F2F2F2" w:themeFill="background1" w:themeFillShade="F2"/>
          </w:tcPr>
          <w:p w:rsidR="004D31FC" w:rsidRDefault="004D31FC" w:rsidP="00E04BFC">
            <w:pPr>
              <w:pStyle w:val="BoxTitle"/>
            </w:pPr>
            <w:r>
              <w:rPr>
                <w:b w:val="0"/>
              </w:rPr>
              <w:t>Box G.</w:t>
            </w:r>
            <w:r w:rsidR="00E04BFC">
              <w:rPr>
                <w:b w:val="0"/>
              </w:rPr>
              <w:t>4</w:t>
            </w:r>
            <w:r>
              <w:tab/>
            </w:r>
            <w:r w:rsidR="00F355F4" w:rsidRPr="00B71F30">
              <w:rPr>
                <w:b w:val="0"/>
                <w:sz w:val="18"/>
                <w:szCs w:val="18"/>
              </w:rPr>
              <w:t>(continued)</w:t>
            </w:r>
          </w:p>
        </w:tc>
      </w:tr>
      <w:tr w:rsidR="004D31FC" w:rsidTr="00F9645E">
        <w:trPr>
          <w:cantSplit/>
        </w:trPr>
        <w:tc>
          <w:tcPr>
            <w:tcW w:w="5000" w:type="pct"/>
            <w:tcBorders>
              <w:top w:val="nil"/>
              <w:left w:val="nil"/>
              <w:bottom w:val="nil"/>
              <w:right w:val="nil"/>
            </w:tcBorders>
            <w:shd w:val="clear" w:color="auto" w:fill="F2F2F2" w:themeFill="background1" w:themeFillShade="F2"/>
          </w:tcPr>
          <w:p w:rsidR="004D31FC" w:rsidRDefault="004D31FC" w:rsidP="00F9645E">
            <w:pPr>
              <w:pStyle w:val="Box"/>
            </w:pPr>
            <w:r>
              <w:t xml:space="preserve">Data for this </w:t>
            </w:r>
            <w:r w:rsidR="00405DB4">
              <w:t xml:space="preserve">measure </w:t>
            </w:r>
            <w:r>
              <w:t>are reported for public housing, SOMIH, community housing and ICH.</w:t>
            </w:r>
          </w:p>
          <w:p w:rsidR="004D31FC" w:rsidRDefault="004D31FC" w:rsidP="00F9645E">
            <w:pPr>
              <w:pStyle w:val="Box"/>
            </w:pPr>
            <w:r>
              <w:t>Data reported</w:t>
            </w:r>
            <w:r w:rsidR="00F355F4">
              <w:t xml:space="preserve"> for this measure</w:t>
            </w:r>
            <w:r>
              <w:t xml:space="preserve"> are:</w:t>
            </w:r>
          </w:p>
          <w:p w:rsidR="00F355F4" w:rsidRDefault="00F355F4" w:rsidP="00F9645E">
            <w:pPr>
              <w:pStyle w:val="Box"/>
              <w:numPr>
                <w:ilvl w:val="0"/>
                <w:numId w:val="1"/>
              </w:numPr>
            </w:pPr>
            <w:r w:rsidRPr="00E84F5E">
              <w:t>not comparable across public housing, SOMIH</w:t>
            </w:r>
            <w:r>
              <w:t xml:space="preserve">, </w:t>
            </w:r>
            <w:r w:rsidRPr="00E84F5E">
              <w:t>community housing</w:t>
            </w:r>
            <w:r>
              <w:t xml:space="preserve"> and ICH</w:t>
            </w:r>
          </w:p>
          <w:p w:rsidR="004D31FC" w:rsidRDefault="00F355F4" w:rsidP="00F9645E">
            <w:pPr>
              <w:pStyle w:val="Box"/>
              <w:numPr>
                <w:ilvl w:val="0"/>
                <w:numId w:val="1"/>
              </w:numPr>
            </w:pPr>
            <w:r>
              <w:t>comparable across jurisdiction</w:t>
            </w:r>
            <w:r w:rsidR="00405DB4">
              <w:t>s</w:t>
            </w:r>
            <w:r>
              <w:t xml:space="preserve"> (subject to caveats) and </w:t>
            </w:r>
            <w:r w:rsidR="004D31FC" w:rsidRPr="00E84F5E">
              <w:t xml:space="preserve">complete for public housing and SOMIH for the current reporting period (subject to caveats). All required </w:t>
            </w:r>
            <w:r w:rsidR="00527127" w:rsidRPr="00527127">
              <w:t>2015</w:t>
            </w:r>
            <w:r w:rsidR="00690AAC">
              <w:noBreakHyphen/>
            </w:r>
            <w:r w:rsidR="00527127" w:rsidRPr="00527127">
              <w:t>16</w:t>
            </w:r>
            <w:r w:rsidR="004D31FC" w:rsidRPr="00E84F5E">
              <w:t xml:space="preserve"> data are available for all jurisdictions</w:t>
            </w:r>
          </w:p>
          <w:p w:rsidR="004D31FC" w:rsidRDefault="004D31FC" w:rsidP="00F9645E">
            <w:pPr>
              <w:pStyle w:val="BoxListBullet"/>
            </w:pPr>
            <w:r>
              <w:t>not comparable across jurisdictions and are incomplete for:</w:t>
            </w:r>
          </w:p>
          <w:p w:rsidR="004D31FC" w:rsidRPr="00023ACE" w:rsidRDefault="004D31FC" w:rsidP="00F9645E">
            <w:pPr>
              <w:pStyle w:val="BoxListBullet2"/>
            </w:pPr>
            <w:r w:rsidRPr="00023ACE">
              <w:t>community housing (</w:t>
            </w:r>
            <w:r w:rsidRPr="00A72100">
              <w:t>all required 201</w:t>
            </w:r>
            <w:r w:rsidR="00A72100" w:rsidRPr="00A72100">
              <w:t>5</w:t>
            </w:r>
            <w:r w:rsidR="00080F6D" w:rsidRPr="00A72100">
              <w:noBreakHyphen/>
            </w:r>
            <w:r w:rsidRPr="00A72100">
              <w:t>1</w:t>
            </w:r>
            <w:r w:rsidR="00A72100" w:rsidRPr="00A72100">
              <w:t>6</w:t>
            </w:r>
            <w:r w:rsidRPr="00A72100">
              <w:t xml:space="preserve"> </w:t>
            </w:r>
            <w:r w:rsidRPr="00CA4C0B">
              <w:t>data</w:t>
            </w:r>
            <w:r w:rsidR="009B39C0" w:rsidRPr="00CA4C0B">
              <w:t xml:space="preserve"> are</w:t>
            </w:r>
            <w:r w:rsidRPr="00CA4C0B">
              <w:t xml:space="preserve"> not available for the NT)</w:t>
            </w:r>
          </w:p>
          <w:p w:rsidR="004D31FC" w:rsidRPr="00A3655E" w:rsidRDefault="004D31FC" w:rsidP="00F9645E">
            <w:pPr>
              <w:pStyle w:val="BoxListBullet2"/>
            </w:pPr>
            <w:r>
              <w:t xml:space="preserve">ICH (all required </w:t>
            </w:r>
            <w:r w:rsidRPr="009B6756">
              <w:t>201</w:t>
            </w:r>
            <w:r w:rsidR="009B6756" w:rsidRPr="009B6756">
              <w:t>5</w:t>
            </w:r>
            <w:r w:rsidRPr="009B6756">
              <w:t xml:space="preserve"> data </w:t>
            </w:r>
            <w:r w:rsidR="009B6756">
              <w:t xml:space="preserve">are </w:t>
            </w:r>
            <w:r w:rsidRPr="009B6756">
              <w:t>not available for NSW, Tasmania and the NT)</w:t>
            </w:r>
            <w:r>
              <w:t>.</w:t>
            </w:r>
          </w:p>
          <w:p w:rsidR="004D31FC" w:rsidRPr="00E94EC2" w:rsidRDefault="004D31FC" w:rsidP="00F9645E">
            <w:pPr>
              <w:pStyle w:val="Box"/>
              <w:rPr>
                <w:i/>
              </w:rPr>
            </w:pPr>
            <w:r>
              <w:rPr>
                <w:i/>
              </w:rPr>
              <w:t>P</w:t>
            </w:r>
            <w:r w:rsidRPr="00E94EC2">
              <w:rPr>
                <w:i/>
              </w:rPr>
              <w:t xml:space="preserve">roportion of Aboriginal and Torres Strait Islander households </w:t>
            </w:r>
            <w:r w:rsidR="003066B1">
              <w:rPr>
                <w:i/>
              </w:rPr>
              <w:t xml:space="preserve">in social housing </w:t>
            </w:r>
            <w:r w:rsidRPr="00E94EC2">
              <w:rPr>
                <w:i/>
              </w:rPr>
              <w:t>living in dwel</w:t>
            </w:r>
            <w:r>
              <w:rPr>
                <w:i/>
              </w:rPr>
              <w:t>lings of an acceptable standard</w:t>
            </w:r>
          </w:p>
          <w:p w:rsidR="00F355F4" w:rsidRDefault="00497117" w:rsidP="00F9645E">
            <w:pPr>
              <w:pStyle w:val="Box"/>
            </w:pPr>
            <w:r>
              <w:t>‘A</w:t>
            </w:r>
            <w:r w:rsidR="004D31FC" w:rsidRPr="006F328C">
              <w:t>cceptable standard</w:t>
            </w:r>
            <w:r>
              <w:t>’</w:t>
            </w:r>
            <w:r w:rsidR="004D31FC" w:rsidRPr="006F328C">
              <w:t xml:space="preserve"> is defined as a dwelling with four working facilities (for washing people, for washing clothes/bedding, for storing/preparing food, and sewerage) and not more than two major structural problems.</w:t>
            </w:r>
          </w:p>
          <w:p w:rsidR="001A0F02" w:rsidRDefault="004D31FC" w:rsidP="001A0F02">
            <w:pPr>
              <w:pStyle w:val="Box"/>
            </w:pPr>
            <w:r w:rsidRPr="006F328C">
              <w:t xml:space="preserve">A high </w:t>
            </w:r>
            <w:r w:rsidR="000070D1">
              <w:t xml:space="preserve">or increasing </w:t>
            </w:r>
            <w:r w:rsidRPr="006F328C">
              <w:t>proportion of Aboriginal and Torres Strait Islander households</w:t>
            </w:r>
            <w:r w:rsidR="003066B1">
              <w:t xml:space="preserve"> in social housing</w:t>
            </w:r>
            <w:r w:rsidRPr="006F328C">
              <w:t xml:space="preserve"> living in dwellings of an acceptable standard is desirable</w:t>
            </w:r>
            <w:r w:rsidR="001A0F02">
              <w:t>.</w:t>
            </w:r>
          </w:p>
          <w:p w:rsidR="004D31FC" w:rsidRPr="00276FD6" w:rsidRDefault="004D31FC" w:rsidP="001A0F02">
            <w:pPr>
              <w:pStyle w:val="Box"/>
            </w:pPr>
            <w:r w:rsidRPr="002E33D2">
              <w:t>Data reported</w:t>
            </w:r>
            <w:r w:rsidR="00F355F4" w:rsidRPr="002E33D2">
              <w:t xml:space="preserve"> for this measure</w:t>
            </w:r>
            <w:r w:rsidRPr="002E33D2">
              <w:t xml:space="preserve"> are:</w:t>
            </w:r>
          </w:p>
          <w:p w:rsidR="009C2251" w:rsidRDefault="00F355F4" w:rsidP="00FF248A">
            <w:pPr>
              <w:pStyle w:val="BoxListBullet"/>
            </w:pPr>
            <w:r>
              <w:t xml:space="preserve">comparable (subject to caveats) across jurisdictions and complete for the most recent reporting period </w:t>
            </w:r>
            <w:r w:rsidR="004D31FC" w:rsidRPr="00B704A4">
              <w:t>for public housing</w:t>
            </w:r>
            <w:r w:rsidR="00FF248A">
              <w:t>. All required 2016 data are available for all jurisdictions</w:t>
            </w:r>
          </w:p>
          <w:p w:rsidR="004D31FC" w:rsidRPr="00877FF2" w:rsidRDefault="00FF248A" w:rsidP="00FF248A">
            <w:pPr>
              <w:pStyle w:val="BoxListBullet"/>
            </w:pPr>
            <w:r>
              <w:t>comparable (subject to caveats) across jurisdictions and incomplete for the most recent reporting period for</w:t>
            </w:r>
            <w:r w:rsidR="004D31FC" w:rsidRPr="00B704A4">
              <w:t xml:space="preserve"> SOMIH and community </w:t>
            </w:r>
            <w:r w:rsidR="004D31FC" w:rsidRPr="009C2251">
              <w:t>housing</w:t>
            </w:r>
            <w:r w:rsidRPr="009C2251">
              <w:t xml:space="preserve">. </w:t>
            </w:r>
            <w:r w:rsidR="004D31FC" w:rsidRPr="009C2251">
              <w:t>All required</w:t>
            </w:r>
            <w:r w:rsidRPr="009C2251">
              <w:t xml:space="preserve"> 2016</w:t>
            </w:r>
            <w:r w:rsidR="004D31FC" w:rsidRPr="009C2251">
              <w:t xml:space="preserve"> data are</w:t>
            </w:r>
            <w:r w:rsidR="004D31FC" w:rsidRPr="00877FF2">
              <w:t xml:space="preserve"> not available for the NT</w:t>
            </w:r>
          </w:p>
          <w:p w:rsidR="004D31FC" w:rsidRDefault="004D31FC" w:rsidP="009C2251">
            <w:pPr>
              <w:pStyle w:val="BoxListBullet"/>
            </w:pPr>
            <w:r>
              <w:t xml:space="preserve">comparable </w:t>
            </w:r>
            <w:r w:rsidR="00F355F4">
              <w:t xml:space="preserve">(subject to caveats) </w:t>
            </w:r>
            <w:r w:rsidR="00FF248A">
              <w:t xml:space="preserve">across jurisdictions and </w:t>
            </w:r>
            <w:r w:rsidR="00F355F4" w:rsidRPr="00021A17">
              <w:t xml:space="preserve">complete </w:t>
            </w:r>
            <w:r w:rsidRPr="00021A17">
              <w:t xml:space="preserve">for ICH for the most </w:t>
            </w:r>
            <w:r w:rsidR="00FF248A">
              <w:t>recent</w:t>
            </w:r>
            <w:r w:rsidRPr="00021A17">
              <w:t xml:space="preserve"> reporting period</w:t>
            </w:r>
            <w:r w:rsidR="009C2251">
              <w:t xml:space="preserve">. </w:t>
            </w:r>
            <w:r w:rsidR="009C2251" w:rsidRPr="009C2251">
              <w:t>All required 201</w:t>
            </w:r>
            <w:r w:rsidR="009C2251">
              <w:t>4</w:t>
            </w:r>
            <w:r w:rsidR="00690AAC">
              <w:noBreakHyphen/>
            </w:r>
            <w:r w:rsidR="009C2251">
              <w:t>15</w:t>
            </w:r>
            <w:r w:rsidR="009C2251" w:rsidRPr="009C2251">
              <w:t xml:space="preserve"> data are available for all jurisdictions</w:t>
            </w:r>
            <w:r>
              <w:t>. T</w:t>
            </w:r>
            <w:r w:rsidRPr="00021A17">
              <w:t xml:space="preserve">hese </w:t>
            </w:r>
            <w:r w:rsidR="00F355F4">
              <w:t xml:space="preserve">ICH </w:t>
            </w:r>
            <w:r w:rsidRPr="00021A17">
              <w:t xml:space="preserve">data are </w:t>
            </w:r>
            <w:r>
              <w:t>not comparable with data for other social housing types</w:t>
            </w:r>
            <w:r w:rsidRPr="00021A17">
              <w:t>.</w:t>
            </w:r>
          </w:p>
          <w:p w:rsidR="004D31FC" w:rsidRDefault="004D31FC" w:rsidP="00F9645E">
            <w:pPr>
              <w:pStyle w:val="Box"/>
            </w:pPr>
            <w:r w:rsidRPr="006F328C">
              <w:t xml:space="preserve">Related information on the appropriateness of social housing is presented for the indicators ‘match of dwelling to household size’ and </w:t>
            </w:r>
            <w:r>
              <w:t>‘</w:t>
            </w:r>
            <w:r w:rsidRPr="006F328C">
              <w:t>amenity/location’ in ch</w:t>
            </w:r>
            <w:r>
              <w:t>apter</w:t>
            </w:r>
            <w:r w:rsidR="00690AAC">
              <w:t> </w:t>
            </w:r>
            <w:r>
              <w:t>1</w:t>
            </w:r>
            <w:r w:rsidR="000070D1">
              <w:t>8</w:t>
            </w:r>
            <w:r>
              <w:t>.</w:t>
            </w:r>
          </w:p>
        </w:tc>
      </w:tr>
      <w:tr w:rsidR="004D31FC" w:rsidTr="00F9645E">
        <w:trPr>
          <w:cantSplit/>
        </w:trPr>
        <w:tc>
          <w:tcPr>
            <w:tcW w:w="5000" w:type="pct"/>
            <w:tcBorders>
              <w:top w:val="nil"/>
              <w:left w:val="nil"/>
              <w:bottom w:val="single" w:sz="6" w:space="0" w:color="78A22F"/>
              <w:right w:val="nil"/>
            </w:tcBorders>
            <w:shd w:val="clear" w:color="auto" w:fill="F2F2F2" w:themeFill="background1" w:themeFillShade="F2"/>
          </w:tcPr>
          <w:p w:rsidR="004D31FC" w:rsidRDefault="004D31FC" w:rsidP="00F9645E">
            <w:pPr>
              <w:pStyle w:val="Box"/>
              <w:spacing w:before="0" w:line="120" w:lineRule="exact"/>
            </w:pPr>
          </w:p>
        </w:tc>
      </w:tr>
      <w:tr w:rsidR="004D31FC" w:rsidRPr="000863A5" w:rsidTr="00F9645E">
        <w:tc>
          <w:tcPr>
            <w:tcW w:w="5000" w:type="pct"/>
            <w:tcBorders>
              <w:top w:val="single" w:sz="6" w:space="0" w:color="78A22F"/>
              <w:left w:val="nil"/>
              <w:bottom w:val="nil"/>
              <w:right w:val="nil"/>
            </w:tcBorders>
          </w:tcPr>
          <w:p w:rsidR="004D31FC" w:rsidRPr="00626D32" w:rsidRDefault="004D31FC" w:rsidP="00F9645E">
            <w:pPr>
              <w:pStyle w:val="BoxSpaceBelow"/>
            </w:pPr>
          </w:p>
        </w:tc>
      </w:tr>
    </w:tbl>
    <w:p w:rsidR="005D6CC0" w:rsidRPr="00276FD6" w:rsidRDefault="00C45AC4" w:rsidP="00DE4B34">
      <w:pPr>
        <w:pStyle w:val="BodyText"/>
      </w:pPr>
      <w:r w:rsidRPr="009E1E33">
        <w:t xml:space="preserve">The proportion of </w:t>
      </w:r>
      <w:r w:rsidR="005B69AB" w:rsidRPr="009E1E33">
        <w:t>Aboriginal and Torres Strait Islander</w:t>
      </w:r>
      <w:r w:rsidRPr="009E1E33">
        <w:t xml:space="preserve"> households living in overcrowded conditions </w:t>
      </w:r>
      <w:r w:rsidRPr="0086247A">
        <w:t>varied</w:t>
      </w:r>
      <w:r w:rsidRPr="009E1E33">
        <w:t xml:space="preserve"> across jurisdictions</w:t>
      </w:r>
      <w:r w:rsidR="003A1C9C" w:rsidRPr="009E1E33">
        <w:t xml:space="preserve"> and across social housing programs</w:t>
      </w:r>
      <w:r w:rsidRPr="009E1E33">
        <w:t xml:space="preserve"> in </w:t>
      </w:r>
      <w:r w:rsidRPr="004B0D79">
        <w:t>201</w:t>
      </w:r>
      <w:r w:rsidR="004B0D79" w:rsidRPr="004B0D79">
        <w:t>6</w:t>
      </w:r>
      <w:r w:rsidR="00EE1C9C" w:rsidRPr="009E1E33">
        <w:t xml:space="preserve"> </w:t>
      </w:r>
      <w:r w:rsidR="00E66D1F" w:rsidRPr="009E1E33">
        <w:t>(figure G.4</w:t>
      </w:r>
      <w:r w:rsidRPr="009E1E33">
        <w:t>).</w:t>
      </w:r>
    </w:p>
    <w:p w:rsidR="005D6CC0" w:rsidRPr="00DB7691" w:rsidRDefault="005D6CC0" w:rsidP="005D6CC0">
      <w:pPr>
        <w:pStyle w:val="BodyText"/>
        <w:rPr>
          <w:color w:val="000000" w:themeColor="text1"/>
        </w:rPr>
      </w:pPr>
      <w:r>
        <w:t xml:space="preserve">Nationally in </w:t>
      </w:r>
      <w:r w:rsidRPr="00900EDF">
        <w:t>2016</w:t>
      </w:r>
      <w:r>
        <w:t>, the majority of Aboriginal and Torres Strait Islander respondents lived in dwellings of an acceptable standard (69.6 per cent for public housing; 75.5 per cent for SOMIH and 77.2 per cent for community housing)</w:t>
      </w:r>
      <w:r w:rsidRPr="00881899">
        <w:rPr>
          <w:color w:val="000000" w:themeColor="text1"/>
        </w:rPr>
        <w:t xml:space="preserve"> (</w:t>
      </w:r>
      <w:r>
        <w:rPr>
          <w:color w:val="000000" w:themeColor="text1"/>
        </w:rPr>
        <w:t>figure G.5</w:t>
      </w:r>
      <w:r w:rsidRPr="00881899">
        <w:rPr>
          <w:color w:val="000000" w:themeColor="text1"/>
        </w:rPr>
        <w:t>).</w:t>
      </w:r>
      <w:r w:rsidRPr="00AF289F">
        <w:t xml:space="preserve"> </w:t>
      </w:r>
      <w:r w:rsidRPr="002B4ACB">
        <w:t xml:space="preserve">Nationally </w:t>
      </w:r>
      <w:r w:rsidRPr="00900EDF">
        <w:t>in 2014</w:t>
      </w:r>
      <w:r w:rsidR="00690AAC">
        <w:noBreakHyphen/>
      </w:r>
      <w:r w:rsidRPr="00900EDF">
        <w:t>15</w:t>
      </w:r>
      <w:r w:rsidRPr="002B4ACB">
        <w:t xml:space="preserve">, for </w:t>
      </w:r>
      <w:r>
        <w:t>ICH</w:t>
      </w:r>
      <w:r w:rsidRPr="002B4ACB">
        <w:t xml:space="preserve"> tenants,</w:t>
      </w:r>
      <w:r>
        <w:t xml:space="preserve"> 71.4 per cent of all dwellings were</w:t>
      </w:r>
      <w:r w:rsidRPr="002B4ACB">
        <w:t xml:space="preserve"> reported to </w:t>
      </w:r>
      <w:r>
        <w:t>be of an</w:t>
      </w:r>
      <w:r w:rsidR="005019F9">
        <w:t xml:space="preserve"> acceptable standard (table GA.7</w:t>
      </w:r>
      <w:r w:rsidRPr="002B4ACB">
        <w:t>).</w:t>
      </w:r>
    </w:p>
    <w:p w:rsidR="00BE6BDE" w:rsidRDefault="00BE6BDE" w:rsidP="00F054D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E6BDE" w:rsidTr="00D9390E">
        <w:tc>
          <w:tcPr>
            <w:tcW w:w="8771" w:type="dxa"/>
            <w:tcBorders>
              <w:top w:val="single" w:sz="6" w:space="0" w:color="78A22F"/>
              <w:left w:val="nil"/>
              <w:bottom w:val="nil"/>
              <w:right w:val="nil"/>
            </w:tcBorders>
            <w:shd w:val="clear" w:color="auto" w:fill="auto"/>
          </w:tcPr>
          <w:p w:rsidR="00BE6BDE" w:rsidRPr="00DE4B34" w:rsidRDefault="00BE6BDE">
            <w:pPr>
              <w:pStyle w:val="FigureTitle"/>
              <w:rPr>
                <w:rStyle w:val="DraftingNote"/>
                <w:b/>
                <w:color w:val="auto"/>
                <w:szCs w:val="20"/>
              </w:rPr>
            </w:pPr>
            <w:r w:rsidRPr="00023ACE">
              <w:rPr>
                <w:b w:val="0"/>
              </w:rPr>
              <w:t xml:space="preserve">Figure </w:t>
            </w:r>
            <w:proofErr w:type="spellStart"/>
            <w:r w:rsidRPr="00023ACE">
              <w:rPr>
                <w:b w:val="0"/>
              </w:rPr>
              <w:t>G.</w:t>
            </w:r>
            <w:r w:rsidR="00E66D1F" w:rsidRPr="00023ACE">
              <w:rPr>
                <w:b w:val="0"/>
              </w:rPr>
              <w:t>4</w:t>
            </w:r>
            <w:proofErr w:type="spellEnd"/>
            <w:r w:rsidRPr="00023ACE">
              <w:rPr>
                <w:b w:val="0"/>
              </w:rPr>
              <w:tab/>
            </w:r>
            <w:r w:rsidRPr="00023ACE">
              <w:t xml:space="preserve">Aboriginal and Torres Strait Islander households living in overcrowded conditions, </w:t>
            </w:r>
            <w:r w:rsidR="003066B1" w:rsidRPr="00023ACE">
              <w:t xml:space="preserve">by social housing type, </w:t>
            </w:r>
            <w:r w:rsidRPr="00023ACE">
              <w:t>at</w:t>
            </w:r>
            <w:r w:rsidR="003066B1" w:rsidRPr="00023ACE">
              <w:t xml:space="preserve"> </w:t>
            </w:r>
            <w:r w:rsidRPr="00023ACE">
              <w:t>30</w:t>
            </w:r>
            <w:r w:rsidR="00690AAC">
              <w:t> </w:t>
            </w:r>
            <w:r w:rsidRPr="004B0D79">
              <w:t>June 201</w:t>
            </w:r>
            <w:r w:rsidR="004B0D79" w:rsidRPr="004B0D79">
              <w:t>6</w:t>
            </w:r>
            <w:r w:rsidRPr="004B0D79">
              <w:rPr>
                <w:rStyle w:val="NoteLabel"/>
                <w:b/>
              </w:rPr>
              <w:t>a, b</w:t>
            </w:r>
          </w:p>
        </w:tc>
      </w:tr>
      <w:tr w:rsidR="00BE6BDE" w:rsidTr="00D9390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shd w:val="clear" w:color="auto" w:fill="FFFF00"/>
              <w:tblLayout w:type="fixed"/>
              <w:tblCellMar>
                <w:top w:w="28" w:type="dxa"/>
                <w:left w:w="0" w:type="dxa"/>
                <w:right w:w="0" w:type="dxa"/>
              </w:tblCellMar>
              <w:tblLook w:val="0000" w:firstRow="0" w:lastRow="0" w:firstColumn="0" w:lastColumn="0" w:noHBand="0" w:noVBand="0"/>
            </w:tblPr>
            <w:tblGrid>
              <w:gridCol w:w="8504"/>
            </w:tblGrid>
            <w:tr w:rsidR="00BE6BDE" w:rsidTr="00463099">
              <w:trPr>
                <w:jc w:val="center"/>
              </w:trPr>
              <w:tc>
                <w:tcPr>
                  <w:tcW w:w="5000" w:type="pct"/>
                  <w:tcBorders>
                    <w:top w:val="nil"/>
                    <w:bottom w:val="nil"/>
                  </w:tcBorders>
                  <w:shd w:val="clear" w:color="auto" w:fill="auto"/>
                </w:tcPr>
                <w:p w:rsidR="00BE6BDE" w:rsidRDefault="00DB1504" w:rsidP="00F054D7">
                  <w:pPr>
                    <w:pStyle w:val="Figure"/>
                    <w:spacing w:before="60" w:after="60"/>
                  </w:pPr>
                  <w:r>
                    <w:rPr>
                      <w:noProof/>
                    </w:rPr>
                    <w:drawing>
                      <wp:inline distT="0" distB="0" distL="0" distR="0" wp14:anchorId="0AFFFFCE" wp14:editId="1A0542A7">
                        <wp:extent cx="5400675" cy="2476500"/>
                        <wp:effectExtent l="0" t="0" r="9525" b="0"/>
                        <wp:docPr id="5" name="Picture 5" descr="Figure G.4 Aboriginal and Torres Strait Islander households living in overcrowded conditions, by social housing type, at 30 June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1945" cy="2477082"/>
                                </a:xfrm>
                                <a:prstGeom prst="rect">
                                  <a:avLst/>
                                </a:prstGeom>
                                <a:noFill/>
                                <a:ln>
                                  <a:noFill/>
                                </a:ln>
                              </pic:spPr>
                            </pic:pic>
                          </a:graphicData>
                        </a:graphic>
                      </wp:inline>
                    </w:drawing>
                  </w:r>
                </w:p>
              </w:tc>
            </w:tr>
          </w:tbl>
          <w:p w:rsidR="00BE6BDE" w:rsidRDefault="00BE6BDE" w:rsidP="00F054D7">
            <w:pPr>
              <w:pStyle w:val="Figure"/>
            </w:pPr>
          </w:p>
        </w:tc>
      </w:tr>
      <w:tr w:rsidR="00BE6BDE" w:rsidRPr="00176D3F" w:rsidTr="00F054D7">
        <w:tc>
          <w:tcPr>
            <w:tcW w:w="8771" w:type="dxa"/>
            <w:tcBorders>
              <w:top w:val="nil"/>
              <w:left w:val="nil"/>
              <w:bottom w:val="nil"/>
              <w:right w:val="nil"/>
            </w:tcBorders>
            <w:shd w:val="clear" w:color="auto" w:fill="auto"/>
          </w:tcPr>
          <w:p w:rsidR="00BE6BDE" w:rsidRPr="00176D3F" w:rsidRDefault="00BE6BDE" w:rsidP="00E04BFC">
            <w:pPr>
              <w:pStyle w:val="Note"/>
            </w:pPr>
            <w:r w:rsidRPr="00391EE0">
              <w:rPr>
                <w:rStyle w:val="NoteLabel"/>
              </w:rPr>
              <w:t>a</w:t>
            </w:r>
            <w:r w:rsidR="000B197C">
              <w:t xml:space="preserve"> See box </w:t>
            </w:r>
            <w:r w:rsidR="000B197C" w:rsidRPr="000672AC">
              <w:t>G.</w:t>
            </w:r>
            <w:r w:rsidR="00E04BFC">
              <w:t>4</w:t>
            </w:r>
            <w:r w:rsidRPr="000672AC">
              <w:t xml:space="preserve"> </w:t>
            </w:r>
            <w:r>
              <w:t>and table GA.</w:t>
            </w:r>
            <w:r w:rsidR="007A7C36">
              <w:t>5</w:t>
            </w:r>
            <w:r>
              <w:t xml:space="preserve"> for detailed definitions, footnotes and caveats.</w:t>
            </w:r>
            <w:r w:rsidR="004B0D79">
              <w:t xml:space="preserve"> </w:t>
            </w:r>
            <w:r>
              <w:rPr>
                <w:rStyle w:val="NoteLabel"/>
              </w:rPr>
              <w:t>b</w:t>
            </w:r>
            <w:r>
              <w:t xml:space="preserve"> SOMIH is not applicable in Victoria, WA, the ACT, and the NT</w:t>
            </w:r>
            <w:r w:rsidRPr="00DB1504">
              <w:t>.</w:t>
            </w:r>
            <w:r w:rsidR="00023ACE" w:rsidRPr="00DB1504">
              <w:t xml:space="preserve"> Community housing data are not available for </w:t>
            </w:r>
            <w:r w:rsidR="009E1E33" w:rsidRPr="00DB1504">
              <w:t>the</w:t>
            </w:r>
            <w:r w:rsidR="00023ACE" w:rsidRPr="00DB1504">
              <w:t xml:space="preserve"> NT.</w:t>
            </w:r>
          </w:p>
        </w:tc>
      </w:tr>
      <w:tr w:rsidR="00BE6BDE" w:rsidRPr="00176D3F" w:rsidTr="00F054D7">
        <w:tc>
          <w:tcPr>
            <w:tcW w:w="8771" w:type="dxa"/>
            <w:tcBorders>
              <w:top w:val="nil"/>
              <w:left w:val="nil"/>
              <w:bottom w:val="nil"/>
              <w:right w:val="nil"/>
            </w:tcBorders>
            <w:shd w:val="clear" w:color="auto" w:fill="auto"/>
          </w:tcPr>
          <w:p w:rsidR="00BE6BDE" w:rsidRPr="00176D3F" w:rsidRDefault="00BE6BDE" w:rsidP="00F054D7">
            <w:pPr>
              <w:pStyle w:val="Source"/>
            </w:pPr>
            <w:r>
              <w:rPr>
                <w:i/>
              </w:rPr>
              <w:t>S</w:t>
            </w:r>
            <w:r w:rsidRPr="00784A05">
              <w:rPr>
                <w:i/>
              </w:rPr>
              <w:t>ource</w:t>
            </w:r>
            <w:r w:rsidRPr="00176D3F">
              <w:t xml:space="preserve">: </w:t>
            </w:r>
            <w:r w:rsidRPr="00AE3321">
              <w:t xml:space="preserve">AIHW (unpublished) </w:t>
            </w:r>
            <w:r w:rsidRPr="00B71F30">
              <w:t>National Housing Assistance Data Repository</w:t>
            </w:r>
            <w:r>
              <w:t xml:space="preserve">; </w:t>
            </w:r>
            <w:r w:rsidRPr="00AE3321">
              <w:t>table</w:t>
            </w:r>
            <w:r w:rsidR="007A7C36">
              <w:t> GA.5</w:t>
            </w:r>
            <w:r>
              <w:t>.</w:t>
            </w:r>
          </w:p>
        </w:tc>
      </w:tr>
      <w:tr w:rsidR="00BE6BDE" w:rsidTr="00F054D7">
        <w:tc>
          <w:tcPr>
            <w:tcW w:w="8771" w:type="dxa"/>
            <w:tcBorders>
              <w:top w:val="nil"/>
              <w:left w:val="nil"/>
              <w:bottom w:val="single" w:sz="6" w:space="0" w:color="78A22F"/>
              <w:right w:val="nil"/>
            </w:tcBorders>
            <w:shd w:val="clear" w:color="auto" w:fill="auto"/>
          </w:tcPr>
          <w:p w:rsidR="00BE6BDE" w:rsidRDefault="00BE6BDE" w:rsidP="00F054D7">
            <w:pPr>
              <w:pStyle w:val="Figurespace"/>
            </w:pPr>
          </w:p>
        </w:tc>
      </w:tr>
      <w:tr w:rsidR="00BE6BDE" w:rsidRPr="000863A5" w:rsidTr="00F054D7">
        <w:tc>
          <w:tcPr>
            <w:tcW w:w="8771" w:type="dxa"/>
            <w:tcBorders>
              <w:top w:val="single" w:sz="6" w:space="0" w:color="78A22F"/>
              <w:left w:val="nil"/>
              <w:bottom w:val="nil"/>
              <w:right w:val="nil"/>
            </w:tcBorders>
          </w:tcPr>
          <w:p w:rsidR="00BE6BDE" w:rsidRPr="00626D32" w:rsidRDefault="00BE6BDE" w:rsidP="00F054D7">
            <w:pPr>
              <w:pStyle w:val="BoxSpaceBelow"/>
            </w:pPr>
          </w:p>
        </w:tc>
      </w:tr>
    </w:tbl>
    <w:p w:rsidR="003E06C6" w:rsidRDefault="003E06C6" w:rsidP="00351B4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06C6" w:rsidTr="00351B4D">
        <w:tc>
          <w:tcPr>
            <w:tcW w:w="8771" w:type="dxa"/>
            <w:tcBorders>
              <w:top w:val="single" w:sz="6" w:space="0" w:color="78A22F"/>
              <w:left w:val="nil"/>
              <w:bottom w:val="nil"/>
              <w:right w:val="nil"/>
            </w:tcBorders>
            <w:shd w:val="clear" w:color="auto" w:fill="auto"/>
          </w:tcPr>
          <w:p w:rsidR="003E06C6" w:rsidRPr="00176D3F" w:rsidRDefault="003E06C6" w:rsidP="00E66D1F">
            <w:pPr>
              <w:pStyle w:val="FigureTitle"/>
            </w:pPr>
            <w:r w:rsidRPr="00784A05">
              <w:rPr>
                <w:b w:val="0"/>
              </w:rPr>
              <w:t xml:space="preserve">Figure </w:t>
            </w:r>
            <w:proofErr w:type="spellStart"/>
            <w:r>
              <w:rPr>
                <w:b w:val="0"/>
              </w:rPr>
              <w:t>G.</w:t>
            </w:r>
            <w:r w:rsidR="00E66D1F">
              <w:rPr>
                <w:b w:val="0"/>
              </w:rPr>
              <w:t>5</w:t>
            </w:r>
            <w:proofErr w:type="spellEnd"/>
            <w:r>
              <w:tab/>
            </w:r>
            <w:r w:rsidRPr="003E06C6">
              <w:t xml:space="preserve">Proportion of Aboriginal and Torres Strait Islander households living in dwellings of an acceptable </w:t>
            </w:r>
            <w:r w:rsidR="00E66D1F">
              <w:t>standard</w:t>
            </w:r>
            <w:r w:rsidR="00E66D1F" w:rsidRPr="00E66D1F">
              <w:rPr>
                <w:rStyle w:val="NoteLabel"/>
                <w:b/>
              </w:rPr>
              <w:t>a,</w:t>
            </w:r>
            <w:r w:rsidR="009E1E33">
              <w:rPr>
                <w:rStyle w:val="NoteLabel"/>
                <w:b/>
              </w:rPr>
              <w:t> </w:t>
            </w:r>
            <w:r w:rsidR="00E66D1F" w:rsidRPr="00E66D1F">
              <w:rPr>
                <w:rStyle w:val="NoteLabel"/>
                <w:b/>
              </w:rPr>
              <w:t>b</w:t>
            </w:r>
          </w:p>
        </w:tc>
      </w:tr>
      <w:tr w:rsidR="003E06C6" w:rsidTr="00351B4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E06C6" w:rsidTr="00351B4D">
              <w:trPr>
                <w:jc w:val="center"/>
              </w:trPr>
              <w:tc>
                <w:tcPr>
                  <w:tcW w:w="5000" w:type="pct"/>
                  <w:tcBorders>
                    <w:top w:val="nil"/>
                    <w:bottom w:val="nil"/>
                  </w:tcBorders>
                </w:tcPr>
                <w:p w:rsidR="003E06C6" w:rsidRDefault="009619F6" w:rsidP="00351B4D">
                  <w:pPr>
                    <w:pStyle w:val="Figure"/>
                    <w:spacing w:before="60" w:after="60"/>
                  </w:pPr>
                  <w:r>
                    <w:rPr>
                      <w:noProof/>
                    </w:rPr>
                    <w:drawing>
                      <wp:inline distT="0" distB="0" distL="0" distR="0" wp14:anchorId="603BA113" wp14:editId="6A9F386E">
                        <wp:extent cx="5400675" cy="2495550"/>
                        <wp:effectExtent l="0" t="0" r="9525" b="0"/>
                        <wp:docPr id="7" name="Picture 7" descr="Figure G.5 Proportion of Aboriginal and Torres Strait Islander households living in dwellings of an acceptable standar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1310" cy="2495843"/>
                                </a:xfrm>
                                <a:prstGeom prst="rect">
                                  <a:avLst/>
                                </a:prstGeom>
                                <a:noFill/>
                              </pic:spPr>
                            </pic:pic>
                          </a:graphicData>
                        </a:graphic>
                      </wp:inline>
                    </w:drawing>
                  </w:r>
                </w:p>
              </w:tc>
            </w:tr>
          </w:tbl>
          <w:p w:rsidR="003E06C6" w:rsidRDefault="003E06C6" w:rsidP="00351B4D">
            <w:pPr>
              <w:pStyle w:val="Figure"/>
            </w:pPr>
          </w:p>
        </w:tc>
      </w:tr>
      <w:tr w:rsidR="003E06C6" w:rsidRPr="00176D3F" w:rsidTr="00351B4D">
        <w:tc>
          <w:tcPr>
            <w:tcW w:w="8771" w:type="dxa"/>
            <w:tcBorders>
              <w:top w:val="nil"/>
              <w:left w:val="nil"/>
              <w:bottom w:val="nil"/>
              <w:right w:val="nil"/>
            </w:tcBorders>
            <w:shd w:val="clear" w:color="auto" w:fill="auto"/>
          </w:tcPr>
          <w:p w:rsidR="003E06C6" w:rsidRPr="00176D3F" w:rsidRDefault="003E06C6" w:rsidP="00567146">
            <w:pPr>
              <w:pStyle w:val="Note"/>
            </w:pPr>
            <w:r>
              <w:rPr>
                <w:rStyle w:val="NoteLabel"/>
              </w:rPr>
              <w:t>a</w:t>
            </w:r>
            <w:r w:rsidR="00AF289F">
              <w:t xml:space="preserve"> See box G.</w:t>
            </w:r>
            <w:r w:rsidR="00E04BFC">
              <w:t>4</w:t>
            </w:r>
            <w:r>
              <w:t xml:space="preserve"> and tables </w:t>
            </w:r>
            <w:r w:rsidR="00C24BA0" w:rsidRPr="00C24BA0">
              <w:t>GA.</w:t>
            </w:r>
            <w:r w:rsidR="007A7C36">
              <w:t>6</w:t>
            </w:r>
            <w:r w:rsidR="00AF289F">
              <w:t>–</w:t>
            </w:r>
            <w:r w:rsidR="007A7C36">
              <w:t>7</w:t>
            </w:r>
            <w:r w:rsidRPr="00C24BA0">
              <w:t xml:space="preserve"> </w:t>
            </w:r>
            <w:r>
              <w:t xml:space="preserve">for detailed definitions, footnotes and caveats. </w:t>
            </w:r>
            <w:r w:rsidRPr="00877FF2">
              <w:rPr>
                <w:rStyle w:val="NoteLabel"/>
              </w:rPr>
              <w:t xml:space="preserve">b </w:t>
            </w:r>
            <w:r>
              <w:t>There were no ICH respondents in the survey sample for the ACT and community housing data were not available for the NT.</w:t>
            </w:r>
            <w:r w:rsidR="00E66D1F">
              <w:t xml:space="preserve"> SOMIH is not applicable in Victoria, WA, the ACT and the NT.</w:t>
            </w:r>
          </w:p>
        </w:tc>
      </w:tr>
      <w:tr w:rsidR="003E06C6" w:rsidRPr="00176D3F" w:rsidTr="00351B4D">
        <w:tc>
          <w:tcPr>
            <w:tcW w:w="8771" w:type="dxa"/>
            <w:tcBorders>
              <w:top w:val="nil"/>
              <w:left w:val="nil"/>
              <w:bottom w:val="nil"/>
              <w:right w:val="nil"/>
            </w:tcBorders>
            <w:shd w:val="clear" w:color="auto" w:fill="auto"/>
          </w:tcPr>
          <w:p w:rsidR="003E06C6" w:rsidRPr="00176D3F" w:rsidRDefault="003E06C6" w:rsidP="00567146">
            <w:pPr>
              <w:pStyle w:val="Source"/>
            </w:pPr>
            <w:r w:rsidRPr="00A22757">
              <w:rPr>
                <w:i/>
              </w:rPr>
              <w:t>Source</w:t>
            </w:r>
            <w:r w:rsidRPr="003E06C6">
              <w:t>: ABS (</w:t>
            </w:r>
            <w:r w:rsidRPr="00484EBB">
              <w:t xml:space="preserve">unpublished) National Aboriginal and Torres Strait Islander </w:t>
            </w:r>
            <w:r w:rsidR="00484EBB" w:rsidRPr="00484EBB">
              <w:t>Social</w:t>
            </w:r>
            <w:r w:rsidRPr="00484EBB">
              <w:t xml:space="preserve"> Survey 201</w:t>
            </w:r>
            <w:r w:rsidR="00484EBB" w:rsidRPr="00484EBB">
              <w:t>4</w:t>
            </w:r>
            <w:r w:rsidR="00080F6D" w:rsidRPr="00484EBB">
              <w:noBreakHyphen/>
            </w:r>
            <w:r w:rsidRPr="00484EBB">
              <w:t>1</w:t>
            </w:r>
            <w:r w:rsidR="00484EBB" w:rsidRPr="00484EBB">
              <w:t>5</w:t>
            </w:r>
            <w:r w:rsidRPr="00484EBB">
              <w:t>, AIHW</w:t>
            </w:r>
            <w:r w:rsidRPr="003E06C6">
              <w:t xml:space="preserve"> (unpublished) National Social </w:t>
            </w:r>
            <w:r>
              <w:t xml:space="preserve">Housing Survey </w:t>
            </w:r>
            <w:r w:rsidRPr="00484EBB">
              <w:t>201</w:t>
            </w:r>
            <w:r w:rsidR="00484EBB" w:rsidRPr="00484EBB">
              <w:t>6</w:t>
            </w:r>
            <w:r>
              <w:t xml:space="preserve">; </w:t>
            </w:r>
            <w:r w:rsidR="00443CA1">
              <w:t>tables GA.</w:t>
            </w:r>
            <w:r w:rsidR="007A7C36">
              <w:t>6–7</w:t>
            </w:r>
            <w:r w:rsidRPr="00C24BA0">
              <w:t>.</w:t>
            </w:r>
          </w:p>
        </w:tc>
      </w:tr>
      <w:tr w:rsidR="003E06C6" w:rsidTr="00351B4D">
        <w:tc>
          <w:tcPr>
            <w:tcW w:w="8771" w:type="dxa"/>
            <w:tcBorders>
              <w:top w:val="nil"/>
              <w:left w:val="nil"/>
              <w:bottom w:val="single" w:sz="6" w:space="0" w:color="78A22F"/>
              <w:right w:val="nil"/>
            </w:tcBorders>
            <w:shd w:val="clear" w:color="auto" w:fill="auto"/>
          </w:tcPr>
          <w:p w:rsidR="003E06C6" w:rsidRDefault="003E06C6" w:rsidP="00351B4D">
            <w:pPr>
              <w:pStyle w:val="Figurespace"/>
            </w:pPr>
          </w:p>
        </w:tc>
      </w:tr>
      <w:tr w:rsidR="003E06C6" w:rsidRPr="000863A5" w:rsidTr="00351B4D">
        <w:tc>
          <w:tcPr>
            <w:tcW w:w="8771" w:type="dxa"/>
            <w:tcBorders>
              <w:top w:val="single" w:sz="6" w:space="0" w:color="78A22F"/>
              <w:left w:val="nil"/>
              <w:bottom w:val="nil"/>
              <w:right w:val="nil"/>
            </w:tcBorders>
          </w:tcPr>
          <w:p w:rsidR="003E06C6" w:rsidRPr="00626D32" w:rsidRDefault="003E06C6" w:rsidP="00351B4D">
            <w:pPr>
              <w:pStyle w:val="BoxSpaceBelow"/>
            </w:pPr>
          </w:p>
        </w:tc>
      </w:tr>
    </w:tbl>
    <w:p w:rsidR="00902DBC" w:rsidRDefault="00902DBC" w:rsidP="00902DBC">
      <w:pPr>
        <w:pStyle w:val="Heading4"/>
      </w:pPr>
      <w:r>
        <w:lastRenderedPageBreak/>
        <w:t>Australians who are homeless</w:t>
      </w:r>
    </w:p>
    <w:p w:rsidR="00840640" w:rsidRPr="00276FD6" w:rsidRDefault="00902DBC" w:rsidP="00DE4B34">
      <w:pPr>
        <w:pStyle w:val="BodyText"/>
      </w:pPr>
      <w:r>
        <w:t xml:space="preserve">‘Australians who are homeless’ is an indicator of governments’ objective to ensure all Australians </w:t>
      </w:r>
      <w:r w:rsidR="00BE530F">
        <w:t>who are homeless or at risk of homelessness achieve sustainable housing and social inclusion</w:t>
      </w:r>
      <w:r>
        <w:t xml:space="preserve"> (box </w:t>
      </w:r>
      <w:r w:rsidR="00D15E8B">
        <w:t>G.</w:t>
      </w:r>
      <w:r w:rsidR="00E04BFC">
        <w:t>5</w:t>
      </w:r>
      <w:r>
        <w:t>).</w:t>
      </w:r>
    </w:p>
    <w:p w:rsidR="00502EEE" w:rsidRDefault="00502EEE">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502EEE" w:rsidTr="009C70C5">
        <w:tc>
          <w:tcPr>
            <w:tcW w:w="5000" w:type="pct"/>
            <w:tcBorders>
              <w:top w:val="single" w:sz="6" w:space="0" w:color="78A22F"/>
              <w:left w:val="nil"/>
              <w:bottom w:val="nil"/>
              <w:right w:val="nil"/>
            </w:tcBorders>
            <w:shd w:val="clear" w:color="auto" w:fill="F2F2F2" w:themeFill="background1" w:themeFillShade="F2"/>
          </w:tcPr>
          <w:p w:rsidR="00502EEE" w:rsidRDefault="00502EEE">
            <w:pPr>
              <w:pStyle w:val="BoxTitle"/>
            </w:pPr>
            <w:r>
              <w:rPr>
                <w:b w:val="0"/>
              </w:rPr>
              <w:t>Box G.</w:t>
            </w:r>
            <w:r w:rsidR="00E04BFC">
              <w:rPr>
                <w:b w:val="0"/>
                <w:noProof/>
              </w:rPr>
              <w:t>5</w:t>
            </w:r>
            <w:r>
              <w:tab/>
            </w:r>
            <w:r w:rsidRPr="00502EEE">
              <w:t>Australians who are homeless</w:t>
            </w:r>
          </w:p>
        </w:tc>
      </w:tr>
      <w:tr w:rsidR="00502EEE" w:rsidTr="009C70C5">
        <w:trPr>
          <w:cantSplit/>
        </w:trPr>
        <w:tc>
          <w:tcPr>
            <w:tcW w:w="5000" w:type="pct"/>
            <w:tcBorders>
              <w:top w:val="nil"/>
              <w:left w:val="nil"/>
              <w:bottom w:val="nil"/>
              <w:right w:val="nil"/>
            </w:tcBorders>
            <w:shd w:val="clear" w:color="auto" w:fill="F2F2F2" w:themeFill="background1" w:themeFillShade="F2"/>
          </w:tcPr>
          <w:p w:rsidR="003066B1" w:rsidRDefault="00502EEE" w:rsidP="00502EEE">
            <w:pPr>
              <w:pStyle w:val="Box"/>
            </w:pPr>
            <w:r w:rsidRPr="00502EEE">
              <w:t>‘Australians who are homeless’ is defined as the proportion of Australians who are homeless</w:t>
            </w:r>
            <w:r w:rsidR="00F923F9">
              <w:t>, and is presented as a rate per 10 000 population</w:t>
            </w:r>
            <w:r w:rsidR="00DE4B34">
              <w:t>.</w:t>
            </w:r>
          </w:p>
          <w:p w:rsidR="00502EEE" w:rsidRPr="00502EEE" w:rsidRDefault="00502EEE" w:rsidP="00022965">
            <w:pPr>
              <w:pStyle w:val="Box"/>
            </w:pPr>
            <w:r w:rsidRPr="00502EEE">
              <w:t>For this indicator, people are defined as homeless when a person does not have suitable accommodation alternatives and their current living arrangement:</w:t>
            </w:r>
            <w:r w:rsidR="003066B1">
              <w:t xml:space="preserve"> </w:t>
            </w:r>
            <w:r w:rsidRPr="00502EEE">
              <w:t>is in a dwelling that is inadequate; or has no tenure, or if their initial tenure is short and not extendable; or does not allow them to have control of, and access to space f</w:t>
            </w:r>
            <w:r w:rsidR="00D15E8B">
              <w:t>or social relations</w:t>
            </w:r>
            <w:r w:rsidRPr="00502EEE">
              <w:t>.</w:t>
            </w:r>
          </w:p>
          <w:p w:rsidR="00502EEE" w:rsidRPr="00502EEE" w:rsidRDefault="003066B1" w:rsidP="00502EEE">
            <w:pPr>
              <w:pStyle w:val="Box"/>
            </w:pPr>
            <w:r>
              <w:t xml:space="preserve">Data are reported for </w:t>
            </w:r>
            <w:r w:rsidR="00502EEE" w:rsidRPr="00502EEE">
              <w:t>six homeless operational groups:</w:t>
            </w:r>
          </w:p>
          <w:p w:rsidR="00502EEE" w:rsidRPr="00502EEE" w:rsidRDefault="00502EEE" w:rsidP="00502EEE">
            <w:pPr>
              <w:pStyle w:val="Box"/>
              <w:numPr>
                <w:ilvl w:val="0"/>
                <w:numId w:val="1"/>
              </w:numPr>
            </w:pPr>
            <w:r w:rsidRPr="00502EEE">
              <w:t>people who are in improvised dwellings, tents or sleeping out</w:t>
            </w:r>
          </w:p>
          <w:p w:rsidR="00502EEE" w:rsidRPr="00502EEE" w:rsidRDefault="00502EEE" w:rsidP="00502EEE">
            <w:pPr>
              <w:pStyle w:val="Box"/>
              <w:numPr>
                <w:ilvl w:val="0"/>
                <w:numId w:val="1"/>
              </w:numPr>
            </w:pPr>
            <w:r w:rsidRPr="00502EEE">
              <w:t>people in supported accommodation for the homeless</w:t>
            </w:r>
          </w:p>
          <w:p w:rsidR="00502EEE" w:rsidRPr="00502EEE" w:rsidRDefault="00502EEE" w:rsidP="00502EEE">
            <w:pPr>
              <w:pStyle w:val="Box"/>
              <w:numPr>
                <w:ilvl w:val="0"/>
                <w:numId w:val="1"/>
              </w:numPr>
            </w:pPr>
            <w:r w:rsidRPr="00502EEE">
              <w:t>people staying temporarily with other households</w:t>
            </w:r>
          </w:p>
          <w:p w:rsidR="00502EEE" w:rsidRPr="00502EEE" w:rsidRDefault="00502EEE" w:rsidP="00502EEE">
            <w:pPr>
              <w:pStyle w:val="Box"/>
              <w:numPr>
                <w:ilvl w:val="0"/>
                <w:numId w:val="1"/>
              </w:numPr>
            </w:pPr>
            <w:r w:rsidRPr="00502EEE">
              <w:t>people staying in boarding houses</w:t>
            </w:r>
          </w:p>
          <w:p w:rsidR="00502EEE" w:rsidRPr="00502EEE" w:rsidRDefault="00502EEE" w:rsidP="00502EEE">
            <w:pPr>
              <w:pStyle w:val="Box"/>
              <w:numPr>
                <w:ilvl w:val="0"/>
                <w:numId w:val="1"/>
              </w:numPr>
            </w:pPr>
            <w:r w:rsidRPr="00502EEE">
              <w:t>people in other temporary lodging, and</w:t>
            </w:r>
          </w:p>
          <w:p w:rsidR="00502EEE" w:rsidRPr="00502EEE" w:rsidRDefault="00502EEE" w:rsidP="00502EEE">
            <w:pPr>
              <w:pStyle w:val="Box"/>
              <w:numPr>
                <w:ilvl w:val="0"/>
                <w:numId w:val="1"/>
              </w:numPr>
            </w:pPr>
            <w:r w:rsidRPr="00502EEE">
              <w:t xml:space="preserve">people in </w:t>
            </w:r>
            <w:r w:rsidR="00C9055F">
              <w:t>‘</w:t>
            </w:r>
            <w:r w:rsidRPr="00502EEE">
              <w:t>severely</w:t>
            </w:r>
            <w:r w:rsidR="00C9055F">
              <w:t>’</w:t>
            </w:r>
            <w:r w:rsidRPr="00502EEE">
              <w:t xml:space="preserve"> crowded dwellings.</w:t>
            </w:r>
          </w:p>
          <w:p w:rsidR="00BE530F" w:rsidRDefault="00BE530F" w:rsidP="00502EEE">
            <w:pPr>
              <w:pStyle w:val="Box"/>
            </w:pPr>
            <w:r>
              <w:t>A decreasing proportion of Australians who are homeless is desirable.</w:t>
            </w:r>
          </w:p>
          <w:p w:rsidR="00502EEE" w:rsidRPr="00502EEE" w:rsidRDefault="00502EEE" w:rsidP="00502EEE">
            <w:pPr>
              <w:pStyle w:val="Box"/>
              <w:rPr>
                <w:b/>
                <w:u w:val="dotted"/>
              </w:rPr>
            </w:pPr>
            <w:r w:rsidRPr="00502EEE">
              <w:t>Data for this indicator are:</w:t>
            </w:r>
          </w:p>
          <w:p w:rsidR="00502EEE" w:rsidRPr="00502EEE" w:rsidRDefault="00502EEE" w:rsidP="00502EEE">
            <w:pPr>
              <w:pStyle w:val="Box"/>
              <w:numPr>
                <w:ilvl w:val="0"/>
                <w:numId w:val="1"/>
              </w:numPr>
              <w:rPr>
                <w:u w:val="dotted"/>
              </w:rPr>
            </w:pPr>
            <w:r w:rsidRPr="00502EEE">
              <w:t>comparable (subject to caveats) across jurisdictions over time</w:t>
            </w:r>
          </w:p>
          <w:p w:rsidR="00502EEE" w:rsidRPr="00B1424F" w:rsidRDefault="00502EEE" w:rsidP="00502EEE">
            <w:pPr>
              <w:pStyle w:val="Box"/>
              <w:numPr>
                <w:ilvl w:val="0"/>
                <w:numId w:val="1"/>
              </w:numPr>
              <w:rPr>
                <w:u w:val="dotted"/>
              </w:rPr>
            </w:pPr>
            <w:r w:rsidRPr="00502EEE">
              <w:t>complete (subject to caveats) for the current reporting period. All required 2011 data are available for all jurisdictions.</w:t>
            </w:r>
          </w:p>
        </w:tc>
      </w:tr>
      <w:tr w:rsidR="00502EEE" w:rsidTr="009C70C5">
        <w:trPr>
          <w:cantSplit/>
        </w:trPr>
        <w:tc>
          <w:tcPr>
            <w:tcW w:w="5000" w:type="pct"/>
            <w:tcBorders>
              <w:top w:val="nil"/>
              <w:left w:val="nil"/>
              <w:bottom w:val="single" w:sz="6" w:space="0" w:color="78A22F"/>
              <w:right w:val="nil"/>
            </w:tcBorders>
            <w:shd w:val="clear" w:color="auto" w:fill="F2F2F2" w:themeFill="background1" w:themeFillShade="F2"/>
          </w:tcPr>
          <w:p w:rsidR="00502EEE" w:rsidRDefault="00502EEE">
            <w:pPr>
              <w:pStyle w:val="Box"/>
              <w:spacing w:before="0" w:line="120" w:lineRule="exact"/>
            </w:pPr>
          </w:p>
        </w:tc>
      </w:tr>
      <w:tr w:rsidR="00502EEE" w:rsidRPr="000863A5" w:rsidTr="009C70C5">
        <w:tc>
          <w:tcPr>
            <w:tcW w:w="5000" w:type="pct"/>
            <w:tcBorders>
              <w:top w:val="single" w:sz="6" w:space="0" w:color="78A22F"/>
              <w:left w:val="nil"/>
              <w:bottom w:val="nil"/>
              <w:right w:val="nil"/>
            </w:tcBorders>
          </w:tcPr>
          <w:p w:rsidR="00502EEE" w:rsidRPr="00626D32" w:rsidRDefault="00502EEE" w:rsidP="005624FF">
            <w:pPr>
              <w:pStyle w:val="BoxSpaceBelow"/>
            </w:pPr>
          </w:p>
        </w:tc>
      </w:tr>
    </w:tbl>
    <w:p w:rsidR="00E97D11" w:rsidRPr="00276FD6" w:rsidRDefault="00BF065C" w:rsidP="00DE4B34">
      <w:pPr>
        <w:pStyle w:val="BodyText"/>
      </w:pPr>
      <w:r w:rsidRPr="00690C3D">
        <w:rPr>
          <w:color w:val="000000"/>
        </w:rPr>
        <w:t>Nationally in 2</w:t>
      </w:r>
      <w:r w:rsidR="00F85D18">
        <w:rPr>
          <w:color w:val="000000"/>
        </w:rPr>
        <w:t xml:space="preserve">011, </w:t>
      </w:r>
      <w:r w:rsidRPr="00BF065C">
        <w:t xml:space="preserve">approximately </w:t>
      </w:r>
      <w:r w:rsidR="00A90298" w:rsidRPr="001C231C">
        <w:rPr>
          <w:color w:val="000000" w:themeColor="text1"/>
        </w:rPr>
        <w:t>4</w:t>
      </w:r>
      <w:r w:rsidR="00EB5EF8">
        <w:rPr>
          <w:color w:val="000000" w:themeColor="text1"/>
        </w:rPr>
        <w:t>8.9</w:t>
      </w:r>
      <w:r w:rsidR="00C30F47" w:rsidRPr="00A90298">
        <w:rPr>
          <w:color w:val="000000" w:themeColor="text1"/>
        </w:rPr>
        <w:t xml:space="preserve"> </w:t>
      </w:r>
      <w:r w:rsidRPr="00A90298">
        <w:rPr>
          <w:color w:val="000000" w:themeColor="text1"/>
        </w:rPr>
        <w:t xml:space="preserve">Australians </w:t>
      </w:r>
      <w:r w:rsidRPr="005E5287">
        <w:rPr>
          <w:color w:val="000000" w:themeColor="text1"/>
        </w:rPr>
        <w:t>per 10</w:t>
      </w:r>
      <w:r w:rsidR="00E86893">
        <w:rPr>
          <w:color w:val="000000" w:themeColor="text1"/>
        </w:rPr>
        <w:t> </w:t>
      </w:r>
      <w:r w:rsidRPr="005E5287">
        <w:rPr>
          <w:color w:val="000000" w:themeColor="text1"/>
        </w:rPr>
        <w:t xml:space="preserve">000 people </w:t>
      </w:r>
      <w:r w:rsidRPr="00BF065C">
        <w:t xml:space="preserve">in the population were homeless on Census </w:t>
      </w:r>
      <w:r w:rsidRPr="00D9390E">
        <w:t>night</w:t>
      </w:r>
      <w:r w:rsidR="008C77F6" w:rsidRPr="00D9390E">
        <w:t xml:space="preserve"> (</w:t>
      </w:r>
      <w:r w:rsidR="00953F5B" w:rsidRPr="00D9390E">
        <w:t>an increase of 8 per cent from 2006</w:t>
      </w:r>
      <w:r w:rsidR="008C77F6" w:rsidRPr="00D9390E">
        <w:t xml:space="preserve"> [</w:t>
      </w:r>
      <w:r w:rsidR="00953F5B" w:rsidRPr="00D9390E">
        <w:t>ABS 2012</w:t>
      </w:r>
      <w:r w:rsidR="008C77F6" w:rsidRPr="00D9390E">
        <w:t>]</w:t>
      </w:r>
      <w:r w:rsidR="00953F5B" w:rsidRPr="00D9390E">
        <w:t>)</w:t>
      </w:r>
      <w:r w:rsidR="001B00DA" w:rsidRPr="00D9390E">
        <w:t>.</w:t>
      </w:r>
      <w:r w:rsidR="000D6F4D">
        <w:t xml:space="preserve"> Data for the six </w:t>
      </w:r>
      <w:r w:rsidR="00252B1F">
        <w:t xml:space="preserve">homeless </w:t>
      </w:r>
      <w:r w:rsidR="000D6F4D">
        <w:t>operational gr</w:t>
      </w:r>
      <w:r w:rsidR="00D15E8B">
        <w:t>oups are included in table GA.</w:t>
      </w:r>
      <w:r w:rsidR="005019F9">
        <w:t>8</w:t>
      </w:r>
      <w:r w:rsidR="00414345">
        <w:t>.</w:t>
      </w:r>
    </w:p>
    <w:p w:rsidR="0000097E" w:rsidRPr="00DE4B34" w:rsidRDefault="00C066DD" w:rsidP="00E86F55">
      <w:pPr>
        <w:pStyle w:val="Heading2"/>
      </w:pPr>
      <w:bookmarkStart w:id="13" w:name="_Toc306106367"/>
      <w:bookmarkStart w:id="14" w:name="_Toc401736869"/>
      <w:bookmarkStart w:id="15" w:name="_Toc464468440"/>
      <w:r>
        <w:t>G.</w:t>
      </w:r>
      <w:r w:rsidR="00561A56">
        <w:rPr>
          <w:noProof/>
        </w:rPr>
        <w:t>3</w:t>
      </w:r>
      <w:r>
        <w:tab/>
      </w:r>
      <w:r w:rsidR="0000097E">
        <w:t>Cross</w:t>
      </w:r>
      <w:r w:rsidR="005D7553">
        <w:noBreakHyphen/>
      </w:r>
      <w:r w:rsidR="0000097E">
        <w:t xml:space="preserve">cutting and </w:t>
      </w:r>
      <w:r w:rsidR="0000097E" w:rsidRPr="00E86F55">
        <w:t>interface</w:t>
      </w:r>
      <w:r w:rsidR="0000097E">
        <w:t xml:space="preserve"> issues</w:t>
      </w:r>
      <w:bookmarkEnd w:id="13"/>
      <w:bookmarkEnd w:id="14"/>
      <w:bookmarkEnd w:id="15"/>
    </w:p>
    <w:p w:rsidR="003B41CD" w:rsidRDefault="0000097E" w:rsidP="0000097E">
      <w:pPr>
        <w:pStyle w:val="BodyText"/>
      </w:pPr>
      <w:r>
        <w:t>Australian an</w:t>
      </w:r>
      <w:r w:rsidR="005D681A">
        <w:t>d</w:t>
      </w:r>
      <w:r>
        <w:t xml:space="preserve"> international research </w:t>
      </w:r>
      <w:r w:rsidR="003B41CD">
        <w:t>identifies</w:t>
      </w:r>
      <w:r>
        <w:t xml:space="preserve"> a strong association between housing, health st</w:t>
      </w:r>
      <w:r w:rsidR="00D42D71">
        <w:t>atus, living standards and well</w:t>
      </w:r>
      <w:r w:rsidR="00E32CA2">
        <w:t>being (</w:t>
      </w:r>
      <w:r w:rsidR="00EC1C9D">
        <w:t xml:space="preserve">Thompson and </w:t>
      </w:r>
      <w:proofErr w:type="spellStart"/>
      <w:r w:rsidR="00EC1C9D">
        <w:t>Phibbs</w:t>
      </w:r>
      <w:proofErr w:type="spellEnd"/>
      <w:r w:rsidR="00EC1C9D">
        <w:t xml:space="preserve"> 2011; Morris 2010</w:t>
      </w:r>
      <w:r w:rsidR="00E32CA2">
        <w:t>)</w:t>
      </w:r>
      <w:r>
        <w:t xml:space="preserve">. A lack of adequate and affordable housing </w:t>
      </w:r>
      <w:r w:rsidR="003B41CD">
        <w:t xml:space="preserve">contributes to </w:t>
      </w:r>
      <w:r>
        <w:t>housing stress and homelessness, and is detrimental to people’s physical and mental health</w:t>
      </w:r>
      <w:r w:rsidR="00E622E6">
        <w:t>.</w:t>
      </w:r>
      <w:r w:rsidR="0063555C">
        <w:t xml:space="preserve"> Homelessness affects life expectancy</w:t>
      </w:r>
      <w:r w:rsidR="003B41CD">
        <w:t xml:space="preserve">, with </w:t>
      </w:r>
      <w:r w:rsidR="0063555C">
        <w:t>homeless people estimated to live 15–20 years less than the mainstream</w:t>
      </w:r>
      <w:r w:rsidR="00084271">
        <w:t xml:space="preserve"> population (Quine</w:t>
      </w:r>
      <w:r w:rsidR="00136B21">
        <w:t> </w:t>
      </w:r>
      <w:r w:rsidR="00084271">
        <w:t>et</w:t>
      </w:r>
      <w:r w:rsidR="00136B21">
        <w:t> </w:t>
      </w:r>
      <w:r w:rsidR="00084271">
        <w:t>al 2004).</w:t>
      </w:r>
    </w:p>
    <w:p w:rsidR="0000097E" w:rsidRDefault="0000097E" w:rsidP="0000097E">
      <w:pPr>
        <w:pStyle w:val="BodyText"/>
      </w:pPr>
      <w:r>
        <w:lastRenderedPageBreak/>
        <w:t>The provision of housing assistance and homelessness services can improve people’s education, health and employment outcomes</w:t>
      </w:r>
      <w:r w:rsidR="001808BE">
        <w:t>, community cohesion and reduce</w:t>
      </w:r>
      <w:r>
        <w:t xml:space="preserve"> crime (King</w:t>
      </w:r>
      <w:r w:rsidR="00F131F7">
        <w:t> </w:t>
      </w:r>
      <w:r>
        <w:t>2002; Bridge et al 2003; AHURI 2008</w:t>
      </w:r>
      <w:r w:rsidR="003B41CD">
        <w:t>; Morris 2010</w:t>
      </w:r>
      <w:r>
        <w:t>). There is evidence to suggest</w:t>
      </w:r>
      <w:r w:rsidR="00C82649">
        <w:t xml:space="preserve"> that</w:t>
      </w:r>
      <w:r>
        <w:t xml:space="preserve"> effective housing assistance programs reduce the burden on health and justice services, leading to reduced expenditure for hospital, ambulance, police and court services (</w:t>
      </w:r>
      <w:r w:rsidRPr="004865FE">
        <w:t>AHURI</w:t>
      </w:r>
      <w:r w:rsidR="001F3DD6" w:rsidRPr="004865FE">
        <w:t> </w:t>
      </w:r>
      <w:r w:rsidRPr="004865FE">
        <w:t>2008</w:t>
      </w:r>
      <w:r>
        <w:t>).</w:t>
      </w:r>
    </w:p>
    <w:p w:rsidR="00511C08" w:rsidRDefault="00511C08" w:rsidP="00511C08">
      <w:pPr>
        <w:pStyle w:val="BodyText"/>
      </w:pPr>
      <w:r>
        <w:t>Pathways through the homelessness, child protection and youth justice sectors have been explored in an analysis of linked client data across the three sectors. The analysis suggests that children and young people who are involved with one of the three areas have an increased risk of being involved in the other two areas. This type of analysis assists government and non</w:t>
      </w:r>
      <w:r w:rsidR="00C9055F">
        <w:noBreakHyphen/>
      </w:r>
      <w:r>
        <w:t>government agencies to provide more targeted prevention and support services (AIHW 2012).</w:t>
      </w:r>
    </w:p>
    <w:p w:rsidR="00A23D81" w:rsidRPr="00260C22" w:rsidRDefault="00A23D81" w:rsidP="00E86F55">
      <w:pPr>
        <w:pStyle w:val="Heading2"/>
        <w:rPr>
          <w:b w:val="0"/>
        </w:rPr>
      </w:pPr>
      <w:bookmarkStart w:id="16" w:name="_Toc314211352"/>
      <w:bookmarkStart w:id="17" w:name="_Toc401736872"/>
      <w:bookmarkStart w:id="18" w:name="_Toc464468441"/>
      <w:r w:rsidRPr="00875FB4">
        <w:lastRenderedPageBreak/>
        <w:t>G.</w:t>
      </w:r>
      <w:r w:rsidR="00260C22">
        <w:t>4</w:t>
      </w:r>
      <w:r w:rsidRPr="00875FB4">
        <w:t xml:space="preserve"> </w:t>
      </w:r>
      <w:r w:rsidRPr="00875FB4">
        <w:tab/>
      </w:r>
      <w:r w:rsidRPr="00E86F55">
        <w:t>Definitions</w:t>
      </w:r>
      <w:r w:rsidRPr="00875FB4">
        <w:t xml:space="preserve"> of key terms</w:t>
      </w:r>
      <w:bookmarkEnd w:id="16"/>
      <w:bookmarkEnd w:id="17"/>
      <w:bookmarkEnd w:id="18"/>
    </w:p>
    <w:tbl>
      <w:tblPr>
        <w:tblW w:w="0" w:type="auto"/>
        <w:tblInd w:w="-5" w:type="dxa"/>
        <w:tblLayout w:type="fixed"/>
        <w:tblCellMar>
          <w:left w:w="0" w:type="dxa"/>
          <w:right w:w="0" w:type="dxa"/>
        </w:tblCellMar>
        <w:tblLook w:val="00A0" w:firstRow="1" w:lastRow="0" w:firstColumn="1" w:lastColumn="0" w:noHBand="0" w:noVBand="0"/>
      </w:tblPr>
      <w:tblGrid>
        <w:gridCol w:w="1848"/>
        <w:gridCol w:w="284"/>
        <w:gridCol w:w="6657"/>
      </w:tblGrid>
      <w:tr w:rsidR="00BD38C6" w:rsidRPr="00A23D81" w:rsidTr="00C9055F">
        <w:tc>
          <w:tcPr>
            <w:tcW w:w="2132" w:type="dxa"/>
            <w:gridSpan w:val="2"/>
          </w:tcPr>
          <w:p w:rsidR="00BD38C6" w:rsidRDefault="00BD38C6" w:rsidP="00186FBB">
            <w:pPr>
              <w:keepNext/>
              <w:keepLines/>
              <w:spacing w:before="120" w:after="120" w:line="220" w:lineRule="atLeast"/>
              <w:ind w:left="6" w:right="113"/>
              <w:rPr>
                <w:rFonts w:ascii="Arial" w:hAnsi="Arial"/>
                <w:b/>
                <w:color w:val="000000"/>
                <w:sz w:val="20"/>
                <w:szCs w:val="20"/>
              </w:rPr>
            </w:pPr>
            <w:r>
              <w:rPr>
                <w:rFonts w:ascii="Arial" w:hAnsi="Arial"/>
                <w:b/>
                <w:color w:val="000000"/>
                <w:sz w:val="20"/>
                <w:szCs w:val="20"/>
              </w:rPr>
              <w:t>Aboriginal and Torres Strait Islander household</w:t>
            </w:r>
          </w:p>
        </w:tc>
        <w:tc>
          <w:tcPr>
            <w:tcW w:w="6657" w:type="dxa"/>
          </w:tcPr>
          <w:p w:rsidR="00BD38C6" w:rsidRPr="00466F3B" w:rsidRDefault="00BD38C6" w:rsidP="00186FBB">
            <w:pPr>
              <w:keepNext/>
              <w:keepLines/>
              <w:spacing w:before="120" w:after="120" w:line="220" w:lineRule="atLeast"/>
              <w:ind w:left="6" w:right="113"/>
              <w:jc w:val="both"/>
              <w:rPr>
                <w:rFonts w:ascii="Arial" w:hAnsi="Arial"/>
                <w:color w:val="000000"/>
                <w:sz w:val="20"/>
                <w:szCs w:val="20"/>
              </w:rPr>
            </w:pPr>
            <w:r w:rsidRPr="00BD38C6">
              <w:rPr>
                <w:rFonts w:ascii="Arial" w:hAnsi="Arial"/>
                <w:color w:val="000000"/>
                <w:sz w:val="20"/>
                <w:szCs w:val="20"/>
              </w:rPr>
              <w:t>A household with at least one resident who has been identified as being of Aboriginal or Torres Strait Islander origin. Other residents of the household may have been identified as being of Aboriginal or Torres Strait Islander o</w:t>
            </w:r>
            <w:r w:rsidR="00AD7FDB">
              <w:rPr>
                <w:rFonts w:ascii="Arial" w:hAnsi="Arial"/>
                <w:color w:val="000000"/>
                <w:sz w:val="20"/>
                <w:szCs w:val="20"/>
              </w:rPr>
              <w:t>rigin, non</w:t>
            </w:r>
            <w:r w:rsidR="00C9055F">
              <w:rPr>
                <w:rFonts w:ascii="Arial" w:hAnsi="Arial"/>
                <w:color w:val="000000"/>
                <w:sz w:val="20"/>
                <w:szCs w:val="20"/>
              </w:rPr>
              <w:noBreakHyphen/>
            </w:r>
            <w:r w:rsidR="00AD7FDB">
              <w:rPr>
                <w:rFonts w:ascii="Arial" w:hAnsi="Arial"/>
                <w:color w:val="000000"/>
                <w:sz w:val="20"/>
                <w:szCs w:val="20"/>
              </w:rPr>
              <w:t xml:space="preserve">Indigenous, or have Aboriginal or Torres Strait Islander </w:t>
            </w:r>
            <w:r w:rsidRPr="00BD38C6">
              <w:rPr>
                <w:rFonts w:ascii="Arial" w:hAnsi="Arial"/>
                <w:color w:val="000000"/>
                <w:sz w:val="20"/>
                <w:szCs w:val="20"/>
              </w:rPr>
              <w:t>status unknown</w:t>
            </w:r>
            <w:r w:rsidR="004B5244">
              <w:rPr>
                <w:rFonts w:ascii="Arial" w:hAnsi="Arial"/>
                <w:color w:val="000000"/>
                <w:sz w:val="20"/>
                <w:szCs w:val="20"/>
              </w:rPr>
              <w:t>.</w:t>
            </w:r>
          </w:p>
        </w:tc>
      </w:tr>
      <w:tr w:rsidR="00466F3B" w:rsidRPr="00A23D81" w:rsidTr="00C9055F">
        <w:tc>
          <w:tcPr>
            <w:tcW w:w="2132" w:type="dxa"/>
            <w:gridSpan w:val="2"/>
          </w:tcPr>
          <w:p w:rsidR="00466F3B" w:rsidRPr="00554F31" w:rsidRDefault="00466F3B" w:rsidP="00186FBB">
            <w:pPr>
              <w:keepNext/>
              <w:keepLines/>
              <w:spacing w:before="120" w:after="120" w:line="220" w:lineRule="atLeast"/>
              <w:ind w:left="6" w:right="113"/>
              <w:rPr>
                <w:rFonts w:ascii="Arial" w:hAnsi="Arial"/>
                <w:color w:val="000000"/>
                <w:sz w:val="20"/>
                <w:szCs w:val="20"/>
              </w:rPr>
            </w:pPr>
            <w:r>
              <w:rPr>
                <w:rFonts w:ascii="Arial" w:hAnsi="Arial"/>
                <w:b/>
                <w:color w:val="000000"/>
                <w:sz w:val="20"/>
                <w:szCs w:val="20"/>
              </w:rPr>
              <w:t>Affordability</w:t>
            </w:r>
          </w:p>
        </w:tc>
        <w:tc>
          <w:tcPr>
            <w:tcW w:w="6657" w:type="dxa"/>
          </w:tcPr>
          <w:p w:rsidR="003B2F0E" w:rsidRPr="003B2F0E" w:rsidRDefault="003B2F0E" w:rsidP="003B2F0E">
            <w:pPr>
              <w:keepNext/>
              <w:keepLines/>
              <w:spacing w:before="120" w:after="120" w:line="220" w:lineRule="atLeast"/>
              <w:ind w:left="6" w:right="113"/>
              <w:jc w:val="both"/>
              <w:rPr>
                <w:rFonts w:ascii="Arial" w:hAnsi="Arial"/>
                <w:color w:val="000000"/>
                <w:sz w:val="20"/>
                <w:szCs w:val="20"/>
              </w:rPr>
            </w:pPr>
            <w:r w:rsidRPr="003B2F0E">
              <w:rPr>
                <w:rFonts w:ascii="Arial" w:hAnsi="Arial"/>
                <w:color w:val="000000"/>
                <w:sz w:val="20"/>
                <w:szCs w:val="20"/>
              </w:rPr>
              <w:t>For all income units receiving CRA:</w:t>
            </w:r>
          </w:p>
          <w:p w:rsidR="003B2F0E" w:rsidRPr="003B2F0E" w:rsidRDefault="003B2F0E" w:rsidP="003B2F0E">
            <w:pPr>
              <w:keepNext/>
              <w:keepLines/>
              <w:numPr>
                <w:ilvl w:val="0"/>
                <w:numId w:val="12"/>
              </w:numPr>
              <w:spacing w:before="120" w:after="120" w:line="220" w:lineRule="atLeast"/>
              <w:ind w:right="113"/>
              <w:jc w:val="both"/>
              <w:rPr>
                <w:rFonts w:ascii="Arial" w:hAnsi="Arial"/>
                <w:color w:val="000000"/>
                <w:sz w:val="20"/>
                <w:szCs w:val="20"/>
              </w:rPr>
            </w:pPr>
            <w:r w:rsidRPr="003B2F0E">
              <w:rPr>
                <w:rFonts w:ascii="Arial" w:hAnsi="Arial"/>
                <w:color w:val="000000"/>
                <w:sz w:val="20"/>
                <w:szCs w:val="20"/>
              </w:rPr>
              <w:t>affordability with CRA is calculated by dividing the amount of rent minus CRA by the amount of total income (excluding CRA);</w:t>
            </w:r>
          </w:p>
          <w:p w:rsidR="00466F3B" w:rsidRPr="003B2F0E" w:rsidRDefault="003B2F0E" w:rsidP="003B2F0E">
            <w:pPr>
              <w:keepNext/>
              <w:keepLines/>
              <w:numPr>
                <w:ilvl w:val="0"/>
                <w:numId w:val="12"/>
              </w:numPr>
              <w:spacing w:before="120" w:after="120" w:line="220" w:lineRule="atLeast"/>
              <w:ind w:right="113"/>
              <w:jc w:val="both"/>
              <w:rPr>
                <w:rFonts w:ascii="Arial" w:hAnsi="Arial"/>
                <w:sz w:val="20"/>
                <w:szCs w:val="20"/>
              </w:rPr>
            </w:pPr>
            <w:r w:rsidRPr="003B2F0E">
              <w:rPr>
                <w:rFonts w:ascii="Arial" w:hAnsi="Arial"/>
                <w:color w:val="000000"/>
                <w:sz w:val="20"/>
                <w:szCs w:val="20"/>
              </w:rPr>
              <w:t>affordability without CRA is calculated by dividing the amount of rent by the amount of total income (excluding CRA).</w:t>
            </w:r>
          </w:p>
        </w:tc>
      </w:tr>
      <w:tr w:rsidR="00A3655E" w:rsidRPr="00A23D81" w:rsidTr="00C9055F">
        <w:trPr>
          <w:trHeight w:val="810"/>
        </w:trPr>
        <w:tc>
          <w:tcPr>
            <w:tcW w:w="2132" w:type="dxa"/>
            <w:gridSpan w:val="2"/>
          </w:tcPr>
          <w:p w:rsidR="00A3655E" w:rsidRPr="00554F31" w:rsidRDefault="00A3655E" w:rsidP="00186FBB">
            <w:pPr>
              <w:keepNext/>
              <w:keepLines/>
              <w:spacing w:before="120" w:after="120" w:line="220" w:lineRule="atLeast"/>
              <w:ind w:left="6" w:right="113"/>
              <w:rPr>
                <w:rFonts w:ascii="Arial" w:hAnsi="Arial"/>
                <w:b/>
                <w:color w:val="000000"/>
                <w:sz w:val="20"/>
                <w:szCs w:val="20"/>
              </w:rPr>
            </w:pPr>
            <w:r>
              <w:rPr>
                <w:rFonts w:ascii="Arial" w:hAnsi="Arial"/>
                <w:b/>
                <w:color w:val="000000"/>
                <w:sz w:val="20"/>
                <w:szCs w:val="20"/>
              </w:rPr>
              <w:t>Commonwealth Rent Assistance (CRA)</w:t>
            </w:r>
          </w:p>
        </w:tc>
        <w:tc>
          <w:tcPr>
            <w:tcW w:w="6657" w:type="dxa"/>
          </w:tcPr>
          <w:p w:rsidR="00A3655E" w:rsidRPr="00082B71" w:rsidRDefault="00A3655E" w:rsidP="00B01013">
            <w:pPr>
              <w:keepNext/>
              <w:keepLines/>
              <w:spacing w:before="120" w:after="120" w:line="220" w:lineRule="atLeast"/>
              <w:ind w:left="6" w:right="113"/>
              <w:jc w:val="both"/>
              <w:rPr>
                <w:rFonts w:ascii="Arial" w:hAnsi="Arial"/>
                <w:color w:val="000000" w:themeColor="text1"/>
                <w:sz w:val="20"/>
                <w:szCs w:val="20"/>
              </w:rPr>
            </w:pPr>
            <w:r>
              <w:rPr>
                <w:rFonts w:ascii="Arial" w:hAnsi="Arial"/>
                <w:color w:val="000000" w:themeColor="text1"/>
                <w:sz w:val="20"/>
                <w:szCs w:val="20"/>
              </w:rPr>
              <w:t>A</w:t>
            </w:r>
            <w:r w:rsidRPr="002E567C">
              <w:rPr>
                <w:rFonts w:ascii="Arial" w:hAnsi="Arial"/>
                <w:color w:val="000000" w:themeColor="text1"/>
                <w:sz w:val="20"/>
                <w:szCs w:val="20"/>
              </w:rPr>
              <w:t xml:space="preserve"> fortnightly supplement paid to two types of renter in private and community</w:t>
            </w:r>
            <w:r>
              <w:rPr>
                <w:rFonts w:ascii="Arial" w:hAnsi="Arial"/>
                <w:color w:val="000000" w:themeColor="text1"/>
                <w:sz w:val="20"/>
                <w:szCs w:val="20"/>
              </w:rPr>
              <w:t xml:space="preserve"> </w:t>
            </w:r>
            <w:r w:rsidRPr="002E567C">
              <w:rPr>
                <w:rFonts w:ascii="Arial" w:hAnsi="Arial"/>
                <w:color w:val="000000" w:themeColor="text1"/>
                <w:sz w:val="20"/>
                <w:szCs w:val="20"/>
              </w:rPr>
              <w:t>housing: income support recipients (for example, people receiving the Disability Support</w:t>
            </w:r>
            <w:r>
              <w:rPr>
                <w:rFonts w:ascii="Arial" w:hAnsi="Arial"/>
                <w:color w:val="000000" w:themeColor="text1"/>
                <w:sz w:val="20"/>
                <w:szCs w:val="20"/>
              </w:rPr>
              <w:t xml:space="preserve"> </w:t>
            </w:r>
            <w:r w:rsidRPr="002E567C">
              <w:rPr>
                <w:rFonts w:ascii="Arial" w:hAnsi="Arial"/>
                <w:color w:val="000000" w:themeColor="text1"/>
                <w:sz w:val="20"/>
                <w:szCs w:val="20"/>
              </w:rPr>
              <w:t>Pension), and low</w:t>
            </w:r>
            <w:r>
              <w:rPr>
                <w:rFonts w:ascii="Arial" w:hAnsi="Arial"/>
                <w:color w:val="000000" w:themeColor="text1"/>
                <w:sz w:val="20"/>
                <w:szCs w:val="20"/>
              </w:rPr>
              <w:t>–</w:t>
            </w:r>
            <w:r w:rsidRPr="002E567C">
              <w:rPr>
                <w:rFonts w:ascii="Arial" w:hAnsi="Arial"/>
                <w:color w:val="000000" w:themeColor="text1"/>
                <w:sz w:val="20"/>
                <w:szCs w:val="20"/>
              </w:rPr>
              <w:t xml:space="preserve"> and moderate</w:t>
            </w:r>
            <w:r>
              <w:rPr>
                <w:rFonts w:ascii="Arial" w:hAnsi="Arial"/>
                <w:color w:val="000000" w:themeColor="text1"/>
                <w:sz w:val="20"/>
                <w:szCs w:val="20"/>
              </w:rPr>
              <w:t>–</w:t>
            </w:r>
            <w:r w:rsidRPr="002E567C">
              <w:rPr>
                <w:rFonts w:ascii="Arial" w:hAnsi="Arial"/>
                <w:color w:val="000000" w:themeColor="text1"/>
                <w:sz w:val="20"/>
                <w:szCs w:val="20"/>
              </w:rPr>
              <w:t>income families with children</w:t>
            </w:r>
            <w:r w:rsidR="004B7099">
              <w:rPr>
                <w:rFonts w:ascii="Arial" w:hAnsi="Arial"/>
                <w:color w:val="000000" w:themeColor="text1"/>
                <w:sz w:val="20"/>
                <w:szCs w:val="20"/>
              </w:rPr>
              <w:t xml:space="preserve"> receiving more than the base rate of Family Tax Benefit Part A</w:t>
            </w:r>
            <w:r w:rsidRPr="002E567C">
              <w:rPr>
                <w:rFonts w:ascii="Arial" w:hAnsi="Arial"/>
                <w:color w:val="000000" w:themeColor="text1"/>
                <w:sz w:val="20"/>
                <w:szCs w:val="20"/>
              </w:rPr>
              <w:t xml:space="preserve">. </w:t>
            </w:r>
            <w:r w:rsidR="00B01013">
              <w:rPr>
                <w:rFonts w:ascii="Arial" w:hAnsi="Arial"/>
                <w:color w:val="000000" w:themeColor="text1"/>
                <w:sz w:val="20"/>
                <w:szCs w:val="20"/>
              </w:rPr>
              <w:t>Eligibility for</w:t>
            </w:r>
            <w:r w:rsidRPr="002E567C">
              <w:rPr>
                <w:rFonts w:ascii="Arial" w:hAnsi="Arial"/>
                <w:color w:val="000000" w:themeColor="text1"/>
                <w:sz w:val="20"/>
                <w:szCs w:val="20"/>
              </w:rPr>
              <w:t xml:space="preserve"> CRA continues</w:t>
            </w:r>
            <w:r>
              <w:rPr>
                <w:rFonts w:ascii="Arial" w:hAnsi="Arial"/>
                <w:color w:val="000000" w:themeColor="text1"/>
                <w:sz w:val="20"/>
                <w:szCs w:val="20"/>
              </w:rPr>
              <w:t xml:space="preserve"> </w:t>
            </w:r>
            <w:r w:rsidRPr="002E567C">
              <w:rPr>
                <w:rFonts w:ascii="Arial" w:hAnsi="Arial"/>
                <w:color w:val="000000" w:themeColor="text1"/>
                <w:sz w:val="20"/>
                <w:szCs w:val="20"/>
              </w:rPr>
              <w:t xml:space="preserve">as long as recipients </w:t>
            </w:r>
            <w:r w:rsidR="004B7099">
              <w:rPr>
                <w:rFonts w:ascii="Arial" w:hAnsi="Arial"/>
                <w:color w:val="000000" w:themeColor="text1"/>
                <w:sz w:val="20"/>
                <w:szCs w:val="20"/>
              </w:rPr>
              <w:t>are eligible for their primary payment and continue to pay rent above the applicable threshold.</w:t>
            </w:r>
          </w:p>
        </w:tc>
      </w:tr>
      <w:tr w:rsidR="00A3655E" w:rsidRPr="00A23D81" w:rsidTr="00C9055F">
        <w:trPr>
          <w:trHeight w:val="810"/>
        </w:trPr>
        <w:tc>
          <w:tcPr>
            <w:tcW w:w="1848" w:type="dxa"/>
          </w:tcPr>
          <w:p w:rsidR="00A3655E" w:rsidRDefault="00A3655E" w:rsidP="000701D5">
            <w:pPr>
              <w:keepNext/>
              <w:keepLines/>
              <w:spacing w:before="120" w:after="120" w:line="220" w:lineRule="atLeast"/>
              <w:ind w:left="6" w:right="113"/>
              <w:rPr>
                <w:rFonts w:ascii="Arial" w:hAnsi="Arial"/>
                <w:b/>
                <w:color w:val="000000"/>
                <w:sz w:val="20"/>
                <w:szCs w:val="20"/>
              </w:rPr>
            </w:pPr>
            <w:r w:rsidRPr="00E04929">
              <w:rPr>
                <w:rFonts w:ascii="Arial" w:hAnsi="Arial"/>
                <w:b/>
                <w:sz w:val="20"/>
                <w:szCs w:val="20"/>
              </w:rPr>
              <w:t>Canadian National Occupancy Standard</w:t>
            </w:r>
            <w:r w:rsidR="00E04929" w:rsidRPr="00E04929">
              <w:rPr>
                <w:rFonts w:ascii="Arial" w:hAnsi="Arial"/>
                <w:b/>
                <w:sz w:val="20"/>
                <w:szCs w:val="20"/>
              </w:rPr>
              <w:t xml:space="preserve"> </w:t>
            </w:r>
          </w:p>
        </w:tc>
        <w:tc>
          <w:tcPr>
            <w:tcW w:w="6941" w:type="dxa"/>
            <w:gridSpan w:val="2"/>
          </w:tcPr>
          <w:p w:rsidR="00E04929" w:rsidRPr="00E04929" w:rsidRDefault="00E04929" w:rsidP="00E04929">
            <w:pPr>
              <w:pStyle w:val="TableBodyText"/>
              <w:spacing w:before="120" w:after="120"/>
              <w:jc w:val="both"/>
              <w:rPr>
                <w:rFonts w:cs="Arial"/>
                <w:sz w:val="20"/>
              </w:rPr>
            </w:pPr>
            <w:r w:rsidRPr="00E04929">
              <w:rPr>
                <w:rFonts w:cs="Arial"/>
                <w:sz w:val="20"/>
              </w:rPr>
              <w:t>A standardised measure of housing utilisation and overcrowding</w:t>
            </w:r>
            <w:r w:rsidR="000479D0">
              <w:rPr>
                <w:rFonts w:cs="Arial"/>
                <w:sz w:val="20"/>
              </w:rPr>
              <w:t xml:space="preserve"> that </w:t>
            </w:r>
            <w:r w:rsidRPr="00E04929">
              <w:rPr>
                <w:rFonts w:cs="Arial"/>
                <w:sz w:val="20"/>
              </w:rPr>
              <w:t>assesses a household</w:t>
            </w:r>
            <w:r w:rsidR="00C9055F">
              <w:rPr>
                <w:rFonts w:cs="Arial"/>
                <w:sz w:val="20"/>
              </w:rPr>
              <w:t>’</w:t>
            </w:r>
            <w:r w:rsidRPr="00E04929">
              <w:rPr>
                <w:rFonts w:cs="Arial"/>
                <w:sz w:val="20"/>
              </w:rPr>
              <w:t>s bedroom requirements by specifying that:</w:t>
            </w:r>
          </w:p>
          <w:p w:rsidR="00E04929" w:rsidRPr="00E04929" w:rsidRDefault="00E04929" w:rsidP="00E04929">
            <w:pPr>
              <w:pStyle w:val="TableBullet"/>
              <w:spacing w:before="120" w:after="120"/>
              <w:rPr>
                <w:rFonts w:cs="Arial"/>
                <w:sz w:val="20"/>
              </w:rPr>
            </w:pPr>
            <w:r w:rsidRPr="00E04929">
              <w:rPr>
                <w:rFonts w:cs="Arial"/>
                <w:sz w:val="20"/>
              </w:rPr>
              <w:t>there should be no more than two people per bedroom</w:t>
            </w:r>
          </w:p>
          <w:p w:rsidR="00E04929" w:rsidRPr="00E04929" w:rsidRDefault="00E04929" w:rsidP="00E04929">
            <w:pPr>
              <w:pStyle w:val="TableBullet"/>
              <w:spacing w:before="120" w:after="120"/>
              <w:rPr>
                <w:rFonts w:cs="Arial"/>
                <w:sz w:val="20"/>
              </w:rPr>
            </w:pPr>
            <w:r w:rsidRPr="00E04929">
              <w:rPr>
                <w:rFonts w:cs="Arial"/>
                <w:sz w:val="20"/>
              </w:rPr>
              <w:t>a household of one unattached individual may reasonably occupy a bed–sit (i.e. have no bedroom)</w:t>
            </w:r>
          </w:p>
          <w:p w:rsidR="00E04929" w:rsidRPr="00E04929" w:rsidRDefault="00E04929" w:rsidP="00E04929">
            <w:pPr>
              <w:pStyle w:val="TableBullet"/>
              <w:spacing w:before="120" w:after="120"/>
              <w:rPr>
                <w:rFonts w:cs="Arial"/>
                <w:sz w:val="20"/>
              </w:rPr>
            </w:pPr>
            <w:r w:rsidRPr="00E04929">
              <w:rPr>
                <w:rFonts w:cs="Arial"/>
                <w:sz w:val="20"/>
              </w:rPr>
              <w:t>couples and parents should have a separate bedroom</w:t>
            </w:r>
          </w:p>
          <w:p w:rsidR="00E04929" w:rsidRPr="00E04929" w:rsidRDefault="00E04929" w:rsidP="00E04929">
            <w:pPr>
              <w:pStyle w:val="TableBullet"/>
              <w:spacing w:before="120" w:after="120"/>
              <w:rPr>
                <w:rFonts w:cs="Arial"/>
                <w:sz w:val="20"/>
              </w:rPr>
            </w:pPr>
            <w:r w:rsidRPr="00E04929">
              <w:rPr>
                <w:rFonts w:cs="Arial"/>
                <w:sz w:val="20"/>
              </w:rPr>
              <w:t xml:space="preserve">children less than </w:t>
            </w:r>
            <w:r w:rsidR="00496092">
              <w:rPr>
                <w:rFonts w:cs="Arial"/>
                <w:sz w:val="20"/>
              </w:rPr>
              <w:t>5</w:t>
            </w:r>
            <w:r w:rsidRPr="00E04929">
              <w:rPr>
                <w:rFonts w:cs="Arial"/>
                <w:sz w:val="20"/>
              </w:rPr>
              <w:t xml:space="preserve"> years of age of different sexes may reasonably share a bedroom</w:t>
            </w:r>
          </w:p>
          <w:p w:rsidR="00E04929" w:rsidRPr="00E04929" w:rsidRDefault="00E04929" w:rsidP="00E04929">
            <w:pPr>
              <w:pStyle w:val="TableBullet"/>
              <w:spacing w:before="120" w:after="120"/>
              <w:rPr>
                <w:rFonts w:cs="Arial"/>
                <w:sz w:val="20"/>
              </w:rPr>
            </w:pPr>
            <w:r w:rsidRPr="00E04929">
              <w:rPr>
                <w:rFonts w:cs="Arial"/>
                <w:sz w:val="20"/>
              </w:rPr>
              <w:t xml:space="preserve">children </w:t>
            </w:r>
            <w:r w:rsidR="00496092">
              <w:rPr>
                <w:rFonts w:cs="Arial"/>
                <w:sz w:val="20"/>
              </w:rPr>
              <w:t>5</w:t>
            </w:r>
            <w:r w:rsidRPr="00E04929">
              <w:rPr>
                <w:rFonts w:cs="Arial"/>
                <w:sz w:val="20"/>
              </w:rPr>
              <w:t xml:space="preserve"> years or over of </w:t>
            </w:r>
            <w:r w:rsidR="00496092">
              <w:rPr>
                <w:rFonts w:cs="Arial"/>
                <w:sz w:val="20"/>
              </w:rPr>
              <w:t>different</w:t>
            </w:r>
            <w:r w:rsidRPr="00E04929">
              <w:rPr>
                <w:rFonts w:cs="Arial"/>
                <w:sz w:val="20"/>
              </w:rPr>
              <w:t xml:space="preserve"> sex</w:t>
            </w:r>
            <w:r w:rsidR="00496092">
              <w:rPr>
                <w:rFonts w:cs="Arial"/>
                <w:sz w:val="20"/>
              </w:rPr>
              <w:t>es</w:t>
            </w:r>
            <w:r w:rsidRPr="00E04929">
              <w:rPr>
                <w:rFonts w:cs="Arial"/>
                <w:sz w:val="20"/>
              </w:rPr>
              <w:t xml:space="preserve"> should not share a </w:t>
            </w:r>
            <w:r w:rsidR="00496092">
              <w:rPr>
                <w:rFonts w:cs="Arial"/>
                <w:sz w:val="20"/>
              </w:rPr>
              <w:t>b</w:t>
            </w:r>
            <w:r w:rsidRPr="00E04929">
              <w:rPr>
                <w:rFonts w:cs="Arial"/>
                <w:sz w:val="20"/>
              </w:rPr>
              <w:t>edroom</w:t>
            </w:r>
          </w:p>
          <w:p w:rsidR="000479D0" w:rsidRPr="00E04929" w:rsidRDefault="00E04929" w:rsidP="00E04929">
            <w:pPr>
              <w:pStyle w:val="TableBullet"/>
              <w:spacing w:before="120" w:after="120"/>
              <w:rPr>
                <w:rFonts w:cs="Arial"/>
                <w:sz w:val="20"/>
              </w:rPr>
            </w:pPr>
            <w:r w:rsidRPr="00E04929">
              <w:rPr>
                <w:rFonts w:cs="Arial"/>
                <w:sz w:val="20"/>
              </w:rPr>
              <w:t>children less than 18 years of age and of the same sex may reasonably share a bedroom</w:t>
            </w:r>
          </w:p>
          <w:p w:rsidR="00A3655E" w:rsidRPr="00B71F30" w:rsidRDefault="00E04929" w:rsidP="00B71F30">
            <w:pPr>
              <w:pStyle w:val="TableBullet"/>
              <w:spacing w:before="120" w:after="120"/>
              <w:rPr>
                <w:color w:val="000000" w:themeColor="text1"/>
                <w:sz w:val="20"/>
              </w:rPr>
            </w:pPr>
            <w:r w:rsidRPr="00B71F30">
              <w:rPr>
                <w:rFonts w:cs="Arial"/>
                <w:sz w:val="20"/>
              </w:rPr>
              <w:t>single household members aged 18 years or over should have a separate bedroom.</w:t>
            </w:r>
          </w:p>
        </w:tc>
      </w:tr>
      <w:tr w:rsidR="00D569A9" w:rsidRPr="00A23D81" w:rsidTr="00C9055F">
        <w:tc>
          <w:tcPr>
            <w:tcW w:w="1848" w:type="dxa"/>
          </w:tcPr>
          <w:p w:rsidR="00A23D81" w:rsidRPr="00554F31" w:rsidRDefault="00A23D81" w:rsidP="00186FBB">
            <w:pPr>
              <w:keepNext/>
              <w:keepLines/>
              <w:spacing w:before="120" w:after="120" w:line="220" w:lineRule="atLeast"/>
              <w:ind w:left="6" w:right="113"/>
              <w:rPr>
                <w:rFonts w:ascii="Arial" w:hAnsi="Arial"/>
                <w:color w:val="000000"/>
                <w:sz w:val="20"/>
                <w:szCs w:val="20"/>
              </w:rPr>
            </w:pPr>
            <w:r w:rsidRPr="00554F31">
              <w:rPr>
                <w:rFonts w:ascii="Arial" w:hAnsi="Arial"/>
                <w:b/>
                <w:color w:val="000000"/>
                <w:sz w:val="20"/>
                <w:szCs w:val="20"/>
              </w:rPr>
              <w:t>Dependent child</w:t>
            </w:r>
            <w:r w:rsidR="0015398E">
              <w:rPr>
                <w:rFonts w:ascii="Arial" w:hAnsi="Arial"/>
                <w:b/>
                <w:color w:val="000000"/>
                <w:sz w:val="20"/>
                <w:szCs w:val="20"/>
              </w:rPr>
              <w:t xml:space="preserve"> for CRA</w:t>
            </w:r>
          </w:p>
        </w:tc>
        <w:tc>
          <w:tcPr>
            <w:tcW w:w="6941" w:type="dxa"/>
            <w:gridSpan w:val="2"/>
          </w:tcPr>
          <w:p w:rsidR="00A23D81" w:rsidRPr="00082B71" w:rsidRDefault="00785831" w:rsidP="00C9055F">
            <w:pPr>
              <w:keepNext/>
              <w:keepLines/>
              <w:spacing w:before="120" w:after="120" w:line="220" w:lineRule="atLeast"/>
              <w:ind w:left="6" w:right="113"/>
              <w:jc w:val="both"/>
              <w:rPr>
                <w:rFonts w:ascii="Arial" w:hAnsi="Arial"/>
                <w:color w:val="000000" w:themeColor="text1"/>
                <w:sz w:val="20"/>
                <w:szCs w:val="20"/>
              </w:rPr>
            </w:pPr>
            <w:r w:rsidRPr="00082B71">
              <w:rPr>
                <w:rFonts w:ascii="Arial" w:hAnsi="Arial"/>
                <w:color w:val="000000" w:themeColor="text1"/>
                <w:sz w:val="20"/>
                <w:szCs w:val="20"/>
              </w:rPr>
              <w:t xml:space="preserve">Dependent child has a wider meaning under Social Security and Family Assistance law than is used in this chapter in relation to CRA. In this chapter, a dependent child is one in respect of whom an adult member of the income unit receives Family Tax Benefit </w:t>
            </w:r>
            <w:r w:rsidR="0015398E">
              <w:rPr>
                <w:rFonts w:ascii="Arial" w:hAnsi="Arial"/>
                <w:color w:val="000000" w:themeColor="text1"/>
                <w:sz w:val="20"/>
                <w:szCs w:val="20"/>
              </w:rPr>
              <w:t xml:space="preserve">(FTB) Part A </w:t>
            </w:r>
            <w:r w:rsidRPr="00082B71">
              <w:rPr>
                <w:rFonts w:ascii="Arial" w:hAnsi="Arial"/>
                <w:color w:val="000000" w:themeColor="text1"/>
                <w:sz w:val="20"/>
                <w:szCs w:val="20"/>
              </w:rPr>
              <w:t xml:space="preserve">at more than </w:t>
            </w:r>
            <w:r w:rsidR="00B93F17" w:rsidRPr="00082B71">
              <w:rPr>
                <w:rFonts w:ascii="Arial" w:hAnsi="Arial"/>
                <w:color w:val="000000" w:themeColor="text1"/>
                <w:sz w:val="20"/>
                <w:szCs w:val="20"/>
              </w:rPr>
              <w:t xml:space="preserve">the </w:t>
            </w:r>
            <w:r w:rsidRPr="00082B71">
              <w:rPr>
                <w:rFonts w:ascii="Arial" w:hAnsi="Arial"/>
                <w:color w:val="000000" w:themeColor="text1"/>
                <w:sz w:val="20"/>
                <w:szCs w:val="20"/>
              </w:rPr>
              <w:t>base rate. Prior to 1</w:t>
            </w:r>
            <w:r w:rsidR="00690AAC">
              <w:rPr>
                <w:rFonts w:ascii="Arial" w:hAnsi="Arial"/>
                <w:color w:val="000000" w:themeColor="text1"/>
                <w:sz w:val="20"/>
                <w:szCs w:val="20"/>
              </w:rPr>
              <w:t> </w:t>
            </w:r>
            <w:r w:rsidRPr="00082B71">
              <w:rPr>
                <w:rFonts w:ascii="Arial" w:hAnsi="Arial"/>
                <w:color w:val="000000" w:themeColor="text1"/>
                <w:sz w:val="20"/>
                <w:szCs w:val="20"/>
              </w:rPr>
              <w:t>January 2012, children aged 16 or older att</w:t>
            </w:r>
            <w:r w:rsidR="00B93F17" w:rsidRPr="00082B71">
              <w:rPr>
                <w:rFonts w:ascii="Arial" w:hAnsi="Arial"/>
                <w:color w:val="000000" w:themeColor="text1"/>
                <w:sz w:val="20"/>
                <w:szCs w:val="20"/>
              </w:rPr>
              <w:t xml:space="preserve">racted the base rate of FTB </w:t>
            </w:r>
            <w:r w:rsidR="0015398E">
              <w:rPr>
                <w:rFonts w:ascii="Arial" w:hAnsi="Arial"/>
                <w:color w:val="000000" w:themeColor="text1"/>
                <w:sz w:val="20"/>
                <w:szCs w:val="20"/>
              </w:rPr>
              <w:t xml:space="preserve">Part A </w:t>
            </w:r>
            <w:r w:rsidRPr="00082B71">
              <w:rPr>
                <w:rFonts w:ascii="Arial" w:hAnsi="Arial"/>
                <w:color w:val="000000" w:themeColor="text1"/>
                <w:sz w:val="20"/>
                <w:szCs w:val="20"/>
              </w:rPr>
              <w:t>so are not included in the count of dependent children. From January 2012 children aged 16 to 19 years attending secondary school may now</w:t>
            </w:r>
            <w:r w:rsidR="00994AC4">
              <w:rPr>
                <w:rFonts w:ascii="Arial" w:hAnsi="Arial"/>
                <w:color w:val="000000" w:themeColor="text1"/>
                <w:sz w:val="20"/>
                <w:szCs w:val="20"/>
              </w:rPr>
              <w:t xml:space="preserve"> </w:t>
            </w:r>
            <w:r w:rsidRPr="00082B71">
              <w:rPr>
                <w:rFonts w:ascii="Arial" w:hAnsi="Arial"/>
                <w:color w:val="000000" w:themeColor="text1"/>
                <w:sz w:val="20"/>
                <w:szCs w:val="20"/>
              </w:rPr>
              <w:t xml:space="preserve">receive more than the base rate of FTB </w:t>
            </w:r>
            <w:r w:rsidR="0015398E">
              <w:rPr>
                <w:rFonts w:ascii="Arial" w:hAnsi="Arial"/>
                <w:color w:val="000000" w:themeColor="text1"/>
                <w:sz w:val="20"/>
                <w:szCs w:val="20"/>
              </w:rPr>
              <w:t xml:space="preserve">Part A. </w:t>
            </w:r>
            <w:r w:rsidRPr="00082B71">
              <w:rPr>
                <w:rFonts w:ascii="Arial" w:hAnsi="Arial"/>
                <w:color w:val="000000" w:themeColor="text1"/>
                <w:sz w:val="20"/>
                <w:szCs w:val="20"/>
              </w:rPr>
              <w:t>Figures f</w:t>
            </w:r>
            <w:r w:rsidR="0015398E">
              <w:rPr>
                <w:rFonts w:ascii="Arial" w:hAnsi="Arial"/>
                <w:color w:val="000000" w:themeColor="text1"/>
                <w:sz w:val="20"/>
                <w:szCs w:val="20"/>
              </w:rPr>
              <w:t>rom June 2013</w:t>
            </w:r>
            <w:r w:rsidRPr="00082B71">
              <w:rPr>
                <w:rFonts w:ascii="Arial" w:hAnsi="Arial"/>
                <w:color w:val="000000" w:themeColor="text1"/>
                <w:sz w:val="20"/>
                <w:szCs w:val="20"/>
              </w:rPr>
              <w:t xml:space="preserve"> include 16 to 19 years old who receive more than the base rate of FTB </w:t>
            </w:r>
            <w:r w:rsidR="005C1D56">
              <w:rPr>
                <w:rFonts w:ascii="Arial" w:hAnsi="Arial"/>
                <w:color w:val="000000" w:themeColor="text1"/>
                <w:sz w:val="20"/>
                <w:szCs w:val="20"/>
              </w:rPr>
              <w:t xml:space="preserve">Part A. </w:t>
            </w:r>
            <w:r w:rsidRPr="00082B71">
              <w:rPr>
                <w:rFonts w:ascii="Arial" w:hAnsi="Arial"/>
                <w:color w:val="000000" w:themeColor="text1"/>
                <w:sz w:val="20"/>
                <w:szCs w:val="20"/>
              </w:rPr>
              <w:t xml:space="preserve">Some children </w:t>
            </w:r>
            <w:r w:rsidR="0015398E">
              <w:rPr>
                <w:rFonts w:ascii="Arial" w:hAnsi="Arial"/>
                <w:color w:val="000000" w:themeColor="text1"/>
                <w:sz w:val="20"/>
                <w:szCs w:val="20"/>
              </w:rPr>
              <w:t xml:space="preserve">under 20 </w:t>
            </w:r>
            <w:r w:rsidRPr="00082B71">
              <w:rPr>
                <w:rFonts w:ascii="Arial" w:hAnsi="Arial"/>
                <w:color w:val="000000" w:themeColor="text1"/>
                <w:sz w:val="20"/>
                <w:szCs w:val="20"/>
              </w:rPr>
              <w:t xml:space="preserve">years </w:t>
            </w:r>
            <w:r w:rsidR="0015398E">
              <w:rPr>
                <w:rFonts w:ascii="Arial" w:hAnsi="Arial"/>
                <w:color w:val="000000" w:themeColor="text1"/>
                <w:sz w:val="20"/>
                <w:szCs w:val="20"/>
              </w:rPr>
              <w:t xml:space="preserve">of age attract </w:t>
            </w:r>
            <w:r w:rsidRPr="00082B71">
              <w:rPr>
                <w:rFonts w:ascii="Arial" w:hAnsi="Arial"/>
                <w:color w:val="000000" w:themeColor="text1"/>
                <w:sz w:val="20"/>
                <w:szCs w:val="20"/>
              </w:rPr>
              <w:t xml:space="preserve">the base rate of FTB </w:t>
            </w:r>
            <w:r w:rsidR="0015398E">
              <w:rPr>
                <w:rFonts w:ascii="Arial" w:hAnsi="Arial"/>
                <w:color w:val="000000" w:themeColor="text1"/>
                <w:sz w:val="20"/>
                <w:szCs w:val="20"/>
              </w:rPr>
              <w:t>Part A only and may not be eligible to be counted for CRA entitlement.</w:t>
            </w:r>
          </w:p>
        </w:tc>
      </w:tr>
      <w:tr w:rsidR="00D569A9" w:rsidRPr="00A23D81" w:rsidTr="00C9055F">
        <w:tc>
          <w:tcPr>
            <w:tcW w:w="1848" w:type="dxa"/>
          </w:tcPr>
          <w:p w:rsidR="00A23D81" w:rsidRPr="00554F31" w:rsidRDefault="00A23D81" w:rsidP="00186FBB">
            <w:pPr>
              <w:keepNext/>
              <w:keepLines/>
              <w:spacing w:before="120" w:after="120" w:line="220" w:lineRule="atLeast"/>
              <w:ind w:left="6" w:right="113"/>
              <w:rPr>
                <w:rFonts w:ascii="Arial" w:hAnsi="Arial"/>
                <w:color w:val="000000"/>
                <w:sz w:val="20"/>
                <w:szCs w:val="20"/>
              </w:rPr>
            </w:pPr>
            <w:r w:rsidRPr="00554F31">
              <w:rPr>
                <w:rFonts w:ascii="Arial" w:hAnsi="Arial"/>
                <w:b/>
                <w:color w:val="000000"/>
                <w:sz w:val="20"/>
                <w:szCs w:val="20"/>
              </w:rPr>
              <w:t>Income support recipient</w:t>
            </w:r>
          </w:p>
        </w:tc>
        <w:tc>
          <w:tcPr>
            <w:tcW w:w="6941" w:type="dxa"/>
            <w:gridSpan w:val="2"/>
          </w:tcPr>
          <w:p w:rsidR="00A23D8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 xml:space="preserve">Recipients in receipt of a payment made under social security law. </w:t>
            </w:r>
            <w:r w:rsidR="0015398E" w:rsidRPr="0015398E">
              <w:rPr>
                <w:rFonts w:ascii="Arial" w:hAnsi="Arial"/>
                <w:color w:val="000000"/>
                <w:sz w:val="20"/>
                <w:szCs w:val="20"/>
              </w:rPr>
              <w:t>Under the Machinery of Government changes announced on the 18</w:t>
            </w:r>
            <w:r w:rsidR="00690AAC">
              <w:rPr>
                <w:rFonts w:ascii="Arial" w:hAnsi="Arial"/>
                <w:color w:val="000000"/>
                <w:sz w:val="20"/>
                <w:szCs w:val="20"/>
              </w:rPr>
              <w:t> </w:t>
            </w:r>
            <w:r w:rsidR="0015398E" w:rsidRPr="0015398E">
              <w:rPr>
                <w:rFonts w:ascii="Arial" w:hAnsi="Arial"/>
                <w:color w:val="000000"/>
                <w:sz w:val="20"/>
                <w:szCs w:val="20"/>
              </w:rPr>
              <w:t>September 2013 Income Support Payments administered under social security law are now the responsibility of the Department of Social Services</w:t>
            </w:r>
            <w:r w:rsidR="0015398E">
              <w:rPr>
                <w:rFonts w:ascii="Arial" w:hAnsi="Arial"/>
                <w:color w:val="000000"/>
                <w:sz w:val="20"/>
                <w:szCs w:val="20"/>
              </w:rPr>
              <w:t xml:space="preserve">. </w:t>
            </w:r>
            <w:r w:rsidRPr="00554F31">
              <w:rPr>
                <w:rFonts w:ascii="Arial" w:hAnsi="Arial"/>
                <w:color w:val="000000"/>
                <w:sz w:val="20"/>
                <w:szCs w:val="20"/>
              </w:rPr>
              <w:t>Family Tax Benefit is paid under family assistance law and is not an income support payment.</w:t>
            </w:r>
          </w:p>
          <w:p w:rsidR="00BD212A" w:rsidRPr="00554F31" w:rsidRDefault="00BD212A" w:rsidP="00186FBB">
            <w:pPr>
              <w:keepNext/>
              <w:keepLines/>
              <w:spacing w:before="120" w:after="120" w:line="220" w:lineRule="atLeast"/>
              <w:ind w:left="6" w:right="113"/>
              <w:jc w:val="both"/>
              <w:rPr>
                <w:rFonts w:ascii="Arial" w:hAnsi="Arial"/>
                <w:color w:val="000000"/>
                <w:sz w:val="20"/>
                <w:szCs w:val="20"/>
              </w:rPr>
            </w:pPr>
          </w:p>
        </w:tc>
      </w:tr>
      <w:tr w:rsidR="00D569A9" w:rsidRPr="00A23D81" w:rsidTr="00C9055F">
        <w:tc>
          <w:tcPr>
            <w:tcW w:w="1848" w:type="dxa"/>
          </w:tcPr>
          <w:p w:rsidR="00A23D81" w:rsidRPr="00554F31" w:rsidRDefault="00A23D81" w:rsidP="00186FBB">
            <w:pPr>
              <w:keepNext/>
              <w:keepLines/>
              <w:spacing w:before="120" w:after="120" w:line="220" w:lineRule="atLeast"/>
              <w:ind w:left="6" w:right="113"/>
              <w:rPr>
                <w:color w:val="000000"/>
                <w:sz w:val="20"/>
                <w:szCs w:val="20"/>
              </w:rPr>
            </w:pPr>
            <w:r w:rsidRPr="00554F31">
              <w:rPr>
                <w:color w:val="000000"/>
                <w:sz w:val="20"/>
                <w:szCs w:val="20"/>
              </w:rPr>
              <w:lastRenderedPageBreak/>
              <w:br w:type="page"/>
            </w:r>
            <w:r w:rsidRPr="00554F31">
              <w:rPr>
                <w:rFonts w:ascii="Arial" w:hAnsi="Arial"/>
                <w:b/>
                <w:color w:val="000000"/>
                <w:sz w:val="20"/>
                <w:szCs w:val="20"/>
              </w:rPr>
              <w:t>Income unit</w:t>
            </w:r>
          </w:p>
        </w:tc>
        <w:tc>
          <w:tcPr>
            <w:tcW w:w="6941" w:type="dxa"/>
            <w:gridSpan w:val="2"/>
          </w:tcPr>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An income unit may consist of:</w:t>
            </w:r>
          </w:p>
          <w:p w:rsidR="00A23D81" w:rsidRPr="00554F31" w:rsidRDefault="00A23D81" w:rsidP="00186FBB">
            <w:pPr>
              <w:keepNext/>
              <w:keepLines/>
              <w:numPr>
                <w:ilvl w:val="0"/>
                <w:numId w:val="12"/>
              </w:numPr>
              <w:spacing w:before="120" w:after="120" w:line="220" w:lineRule="atLeast"/>
              <w:ind w:right="113"/>
              <w:jc w:val="both"/>
              <w:rPr>
                <w:rFonts w:ascii="Arial" w:hAnsi="Arial"/>
                <w:color w:val="000000"/>
                <w:sz w:val="20"/>
                <w:szCs w:val="20"/>
              </w:rPr>
            </w:pPr>
            <w:r w:rsidRPr="00554F31">
              <w:rPr>
                <w:rFonts w:ascii="Arial" w:hAnsi="Arial"/>
                <w:color w:val="000000"/>
                <w:sz w:val="20"/>
                <w:szCs w:val="20"/>
              </w:rPr>
              <w:t>a single person with no dependent children</w:t>
            </w:r>
          </w:p>
          <w:p w:rsidR="00A23D81" w:rsidRPr="00554F31" w:rsidRDefault="00A23D81" w:rsidP="00186FBB">
            <w:pPr>
              <w:keepNext/>
              <w:keepLines/>
              <w:numPr>
                <w:ilvl w:val="0"/>
                <w:numId w:val="12"/>
              </w:numPr>
              <w:spacing w:before="120" w:after="120" w:line="220" w:lineRule="atLeast"/>
              <w:ind w:right="113"/>
              <w:jc w:val="both"/>
              <w:rPr>
                <w:rFonts w:ascii="Arial" w:hAnsi="Arial"/>
                <w:color w:val="000000"/>
                <w:sz w:val="20"/>
                <w:szCs w:val="20"/>
              </w:rPr>
            </w:pPr>
            <w:r w:rsidRPr="00554F31">
              <w:rPr>
                <w:rFonts w:ascii="Arial" w:hAnsi="Arial"/>
                <w:color w:val="000000"/>
                <w:sz w:val="20"/>
                <w:szCs w:val="20"/>
              </w:rPr>
              <w:t>a sole parent with one or more dependent children</w:t>
            </w:r>
          </w:p>
          <w:p w:rsidR="00A23D81" w:rsidRPr="00554F31" w:rsidRDefault="00A23D81" w:rsidP="00186FBB">
            <w:pPr>
              <w:keepNext/>
              <w:keepLines/>
              <w:numPr>
                <w:ilvl w:val="0"/>
                <w:numId w:val="12"/>
              </w:numPr>
              <w:spacing w:before="120" w:after="120" w:line="220" w:lineRule="atLeast"/>
              <w:ind w:right="113"/>
              <w:jc w:val="both"/>
              <w:rPr>
                <w:rFonts w:ascii="Arial" w:hAnsi="Arial"/>
                <w:color w:val="000000"/>
                <w:sz w:val="20"/>
                <w:szCs w:val="20"/>
              </w:rPr>
            </w:pPr>
            <w:r w:rsidRPr="00554F31">
              <w:rPr>
                <w:rFonts w:ascii="Arial" w:hAnsi="Arial"/>
                <w:color w:val="000000"/>
                <w:sz w:val="20"/>
                <w:szCs w:val="20"/>
              </w:rPr>
              <w:t>a couple (married, registered or de</w:t>
            </w:r>
            <w:r w:rsidR="00086944">
              <w:rPr>
                <w:rFonts w:ascii="Arial" w:hAnsi="Arial"/>
                <w:color w:val="000000"/>
                <w:sz w:val="20"/>
                <w:szCs w:val="20"/>
              </w:rPr>
              <w:t xml:space="preserve"> </w:t>
            </w:r>
            <w:r w:rsidRPr="00554F31">
              <w:rPr>
                <w:rFonts w:ascii="Arial" w:hAnsi="Arial"/>
                <w:color w:val="000000"/>
                <w:sz w:val="20"/>
                <w:szCs w:val="20"/>
              </w:rPr>
              <w:t>facto) with no dependent children</w:t>
            </w:r>
          </w:p>
          <w:p w:rsidR="00A23D81" w:rsidRPr="00554F31" w:rsidRDefault="00A23D81" w:rsidP="00186FBB">
            <w:pPr>
              <w:keepNext/>
              <w:keepLines/>
              <w:numPr>
                <w:ilvl w:val="0"/>
                <w:numId w:val="12"/>
              </w:numPr>
              <w:spacing w:before="120" w:after="120" w:line="220" w:lineRule="atLeast"/>
              <w:ind w:right="113"/>
              <w:jc w:val="both"/>
              <w:rPr>
                <w:rFonts w:ascii="Arial" w:hAnsi="Arial"/>
                <w:color w:val="000000"/>
                <w:sz w:val="20"/>
                <w:szCs w:val="20"/>
              </w:rPr>
            </w:pPr>
            <w:r w:rsidRPr="00554F31">
              <w:rPr>
                <w:rFonts w:ascii="Arial" w:hAnsi="Arial"/>
                <w:color w:val="000000"/>
                <w:sz w:val="20"/>
                <w:szCs w:val="20"/>
              </w:rPr>
              <w:t>a couple (married, registered or de</w:t>
            </w:r>
            <w:r w:rsidR="00086944">
              <w:rPr>
                <w:rFonts w:ascii="Arial" w:hAnsi="Arial"/>
                <w:color w:val="000000"/>
                <w:sz w:val="20"/>
                <w:szCs w:val="20"/>
              </w:rPr>
              <w:t xml:space="preserve"> </w:t>
            </w:r>
            <w:r w:rsidRPr="00554F31">
              <w:rPr>
                <w:rFonts w:ascii="Arial" w:hAnsi="Arial"/>
                <w:color w:val="000000"/>
                <w:sz w:val="20"/>
                <w:szCs w:val="20"/>
              </w:rPr>
              <w:t>facto) with one or more dependent children.</w:t>
            </w:r>
          </w:p>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A non</w:t>
            </w:r>
            <w:r w:rsidR="00380731">
              <w:rPr>
                <w:rFonts w:ascii="Arial" w:hAnsi="Arial"/>
                <w:color w:val="000000"/>
                <w:sz w:val="20"/>
                <w:szCs w:val="20"/>
              </w:rPr>
              <w:t>–</w:t>
            </w:r>
            <w:r w:rsidRPr="00554F31">
              <w:rPr>
                <w:rFonts w:ascii="Arial" w:hAnsi="Arial"/>
                <w:color w:val="000000"/>
                <w:sz w:val="20"/>
                <w:szCs w:val="20"/>
              </w:rPr>
              <w:t>dependent child living at home, including one who is receiving an income support payment in their own right, is regarded as a separate income unit. Similarly, a group of non</w:t>
            </w:r>
            <w:r w:rsidR="00380731">
              <w:rPr>
                <w:rFonts w:ascii="Arial" w:hAnsi="Arial"/>
                <w:color w:val="000000"/>
                <w:sz w:val="20"/>
                <w:szCs w:val="20"/>
              </w:rPr>
              <w:t>–</w:t>
            </w:r>
            <w:r w:rsidRPr="00554F31">
              <w:rPr>
                <w:rFonts w:ascii="Arial" w:hAnsi="Arial"/>
                <w:color w:val="000000"/>
                <w:sz w:val="20"/>
                <w:szCs w:val="20"/>
              </w:rPr>
              <w:t>related adults sharing accommodation are counted as separate income units.</w:t>
            </w:r>
          </w:p>
        </w:tc>
      </w:tr>
      <w:tr w:rsidR="00D569A9" w:rsidRPr="00A23D81" w:rsidTr="00C9055F">
        <w:tc>
          <w:tcPr>
            <w:tcW w:w="1848" w:type="dxa"/>
          </w:tcPr>
          <w:p w:rsidR="00A23D81" w:rsidRPr="00554F31" w:rsidRDefault="00A23D81" w:rsidP="00186FBB">
            <w:pPr>
              <w:keepNext/>
              <w:keepLines/>
              <w:spacing w:before="120" w:after="120" w:line="220" w:lineRule="atLeast"/>
              <w:ind w:left="6" w:right="113"/>
              <w:rPr>
                <w:rFonts w:ascii="Arial" w:hAnsi="Arial"/>
                <w:b/>
                <w:color w:val="000000"/>
                <w:sz w:val="20"/>
                <w:szCs w:val="20"/>
              </w:rPr>
            </w:pPr>
            <w:r w:rsidRPr="00554F31">
              <w:rPr>
                <w:rFonts w:ascii="Arial" w:hAnsi="Arial"/>
                <w:b/>
                <w:color w:val="000000"/>
                <w:sz w:val="20"/>
                <w:szCs w:val="20"/>
              </w:rPr>
              <w:t>Low and moderate incomes</w:t>
            </w:r>
          </w:p>
        </w:tc>
        <w:tc>
          <w:tcPr>
            <w:tcW w:w="6941" w:type="dxa"/>
            <w:gridSpan w:val="2"/>
          </w:tcPr>
          <w:p w:rsidR="00A23D81" w:rsidRPr="00554F31" w:rsidRDefault="00A23D81" w:rsidP="000E433C">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 xml:space="preserve">Individuals and families receive CRA with either an income support payment or </w:t>
            </w:r>
            <w:r w:rsidR="00C41C58">
              <w:rPr>
                <w:rFonts w:ascii="Arial" w:hAnsi="Arial"/>
                <w:color w:val="000000"/>
                <w:sz w:val="20"/>
                <w:szCs w:val="20"/>
              </w:rPr>
              <w:t xml:space="preserve">Family Tax Benefit </w:t>
            </w:r>
            <w:r w:rsidR="00863B8D" w:rsidRPr="00554F31">
              <w:rPr>
                <w:rFonts w:ascii="Arial" w:hAnsi="Arial"/>
                <w:color w:val="000000"/>
                <w:sz w:val="20"/>
                <w:szCs w:val="20"/>
              </w:rPr>
              <w:t>Part A</w:t>
            </w:r>
            <w:r w:rsidR="00863B8D">
              <w:rPr>
                <w:rFonts w:ascii="Arial" w:hAnsi="Arial"/>
                <w:color w:val="000000"/>
                <w:sz w:val="20"/>
                <w:szCs w:val="20"/>
              </w:rPr>
              <w:t xml:space="preserve"> </w:t>
            </w:r>
            <w:r w:rsidR="00C41C58">
              <w:rPr>
                <w:rFonts w:ascii="Arial" w:hAnsi="Arial"/>
                <w:color w:val="000000"/>
                <w:sz w:val="20"/>
                <w:szCs w:val="20"/>
              </w:rPr>
              <w:t>(</w:t>
            </w:r>
            <w:r w:rsidRPr="00554F31">
              <w:rPr>
                <w:rFonts w:ascii="Arial" w:hAnsi="Arial"/>
                <w:color w:val="000000"/>
                <w:sz w:val="20"/>
                <w:szCs w:val="20"/>
              </w:rPr>
              <w:t>FTB Part A</w:t>
            </w:r>
            <w:r w:rsidR="00863B8D">
              <w:rPr>
                <w:rFonts w:ascii="Arial" w:hAnsi="Arial"/>
                <w:color w:val="000000"/>
                <w:sz w:val="20"/>
                <w:szCs w:val="20"/>
              </w:rPr>
              <w:t>)</w:t>
            </w:r>
            <w:r w:rsidRPr="00554F31">
              <w:rPr>
                <w:rFonts w:ascii="Arial" w:hAnsi="Arial"/>
                <w:color w:val="000000"/>
                <w:sz w:val="20"/>
                <w:szCs w:val="20"/>
              </w:rPr>
              <w:t xml:space="preserve">. While income support recipients are generally thought of as low income, those receiving FTB </w:t>
            </w:r>
            <w:r w:rsidR="003060D2">
              <w:rPr>
                <w:rFonts w:ascii="Arial" w:hAnsi="Arial"/>
                <w:color w:val="000000"/>
                <w:sz w:val="20"/>
                <w:szCs w:val="20"/>
              </w:rPr>
              <w:t>Part A</w:t>
            </w:r>
            <w:r w:rsidRPr="00554F31">
              <w:rPr>
                <w:rFonts w:ascii="Arial" w:hAnsi="Arial"/>
                <w:color w:val="000000"/>
                <w:sz w:val="20"/>
                <w:szCs w:val="20"/>
              </w:rPr>
              <w:t xml:space="preserve"> can have higher incomes and still be eligible for</w:t>
            </w:r>
            <w:r w:rsidR="0015398E">
              <w:rPr>
                <w:rFonts w:ascii="Arial" w:hAnsi="Arial"/>
                <w:color w:val="000000"/>
                <w:sz w:val="20"/>
                <w:szCs w:val="20"/>
              </w:rPr>
              <w:t xml:space="preserve"> a part rate of </w:t>
            </w:r>
            <w:r w:rsidR="000E433C">
              <w:rPr>
                <w:rFonts w:ascii="Arial" w:hAnsi="Arial"/>
                <w:color w:val="000000"/>
                <w:sz w:val="20"/>
                <w:szCs w:val="20"/>
              </w:rPr>
              <w:t>CRA</w:t>
            </w:r>
            <w:r w:rsidR="0015398E">
              <w:rPr>
                <w:rFonts w:ascii="Arial" w:hAnsi="Arial"/>
                <w:color w:val="000000"/>
                <w:sz w:val="20"/>
                <w:szCs w:val="20"/>
              </w:rPr>
              <w:t xml:space="preserve">. </w:t>
            </w:r>
            <w:r w:rsidRPr="00554F31">
              <w:rPr>
                <w:rFonts w:ascii="Arial" w:hAnsi="Arial"/>
                <w:color w:val="000000"/>
                <w:sz w:val="20"/>
                <w:szCs w:val="20"/>
              </w:rPr>
              <w:t>For this reason, CRA recipients are not defined as those on low incomes.</w:t>
            </w:r>
          </w:p>
        </w:tc>
      </w:tr>
      <w:tr w:rsidR="00D569A9" w:rsidRPr="00A23D81" w:rsidTr="00C9055F">
        <w:trPr>
          <w:cantSplit/>
        </w:trPr>
        <w:tc>
          <w:tcPr>
            <w:tcW w:w="1848" w:type="dxa"/>
          </w:tcPr>
          <w:p w:rsidR="00A23D81" w:rsidRPr="00554F31" w:rsidRDefault="00A23D81" w:rsidP="00186FBB">
            <w:pPr>
              <w:keepNext/>
              <w:keepLines/>
              <w:spacing w:before="120" w:after="120" w:line="220" w:lineRule="atLeast"/>
              <w:ind w:left="6" w:right="113"/>
              <w:rPr>
                <w:rFonts w:ascii="Arial" w:hAnsi="Arial"/>
                <w:color w:val="000000"/>
                <w:sz w:val="20"/>
                <w:szCs w:val="20"/>
              </w:rPr>
            </w:pPr>
            <w:r w:rsidRPr="00554F31">
              <w:rPr>
                <w:rFonts w:ascii="Arial" w:hAnsi="Arial"/>
                <w:b/>
                <w:color w:val="000000"/>
                <w:sz w:val="20"/>
                <w:szCs w:val="20"/>
              </w:rPr>
              <w:t>Primary payment type</w:t>
            </w:r>
          </w:p>
        </w:tc>
        <w:tc>
          <w:tcPr>
            <w:tcW w:w="6941" w:type="dxa"/>
            <w:gridSpan w:val="2"/>
          </w:tcPr>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Each income unit receiving CRA is assigned a primary payment type, based on the payment(s) received by each member. The primary payment is determined using a hierarchy of payment types, with precedence given to pensions, then other social security payments and then the Family Tax Benefit part A. No extra weight is given to the payment type with which CRA is paid. Specifically, the hierarchy for the main payments is:</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Disability Support Pension</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Carer Payment</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Age Pension</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Parenting Payment (Single)</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proofErr w:type="spellStart"/>
            <w:r w:rsidRPr="00554F31">
              <w:rPr>
                <w:rFonts w:ascii="Arial" w:hAnsi="Arial"/>
                <w:color w:val="000000"/>
                <w:sz w:val="20"/>
                <w:szCs w:val="20"/>
              </w:rPr>
              <w:t>Newstart</w:t>
            </w:r>
            <w:proofErr w:type="spellEnd"/>
            <w:r w:rsidRPr="00554F31">
              <w:rPr>
                <w:rFonts w:ascii="Arial" w:hAnsi="Arial"/>
                <w:color w:val="000000"/>
                <w:sz w:val="20"/>
                <w:szCs w:val="20"/>
              </w:rPr>
              <w:t xml:space="preserve"> Allowance</w:t>
            </w:r>
          </w:p>
          <w:p w:rsidR="00A23D81" w:rsidRPr="00554F31" w:rsidRDefault="005D4E2E" w:rsidP="00186FBB">
            <w:pPr>
              <w:keepNext/>
              <w:keepLines/>
              <w:numPr>
                <w:ilvl w:val="0"/>
                <w:numId w:val="12"/>
              </w:numPr>
              <w:spacing w:before="120" w:after="120" w:line="220" w:lineRule="atLeast"/>
              <w:ind w:right="113"/>
              <w:rPr>
                <w:rFonts w:ascii="Arial" w:hAnsi="Arial"/>
                <w:color w:val="000000"/>
                <w:sz w:val="20"/>
                <w:szCs w:val="20"/>
              </w:rPr>
            </w:pPr>
            <w:r>
              <w:rPr>
                <w:rFonts w:ascii="Arial" w:hAnsi="Arial"/>
                <w:color w:val="000000"/>
                <w:sz w:val="20"/>
                <w:szCs w:val="20"/>
              </w:rPr>
              <w:t>Youth Allowance</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proofErr w:type="spellStart"/>
            <w:r w:rsidRPr="00554F31">
              <w:rPr>
                <w:rFonts w:ascii="Arial" w:hAnsi="Arial"/>
                <w:color w:val="000000"/>
                <w:sz w:val="20"/>
                <w:szCs w:val="20"/>
              </w:rPr>
              <w:t>Austudy</w:t>
            </w:r>
            <w:proofErr w:type="spellEnd"/>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Parenting Payment (Partnered)</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Fa</w:t>
            </w:r>
            <w:r w:rsidR="005C1D56">
              <w:rPr>
                <w:rFonts w:ascii="Arial" w:hAnsi="Arial"/>
                <w:color w:val="000000"/>
                <w:sz w:val="20"/>
                <w:szCs w:val="20"/>
              </w:rPr>
              <w:t>mily Tax Benefit P</w:t>
            </w:r>
            <w:r w:rsidRPr="00554F31">
              <w:rPr>
                <w:rFonts w:ascii="Arial" w:hAnsi="Arial"/>
                <w:color w:val="000000"/>
                <w:sz w:val="20"/>
                <w:szCs w:val="20"/>
              </w:rPr>
              <w:t>art A.</w:t>
            </w:r>
          </w:p>
        </w:tc>
      </w:tr>
      <w:tr w:rsidR="00D569A9" w:rsidRPr="00A23D81" w:rsidTr="00C9055F">
        <w:tc>
          <w:tcPr>
            <w:tcW w:w="1848" w:type="dxa"/>
          </w:tcPr>
          <w:p w:rsidR="00A23D81" w:rsidRPr="00554F31" w:rsidRDefault="00A23D81" w:rsidP="00186FBB">
            <w:pPr>
              <w:keepNext/>
              <w:keepLines/>
              <w:spacing w:before="120" w:after="120" w:line="220" w:lineRule="atLeast"/>
              <w:ind w:left="6" w:right="113"/>
              <w:rPr>
                <w:rFonts w:ascii="Arial" w:hAnsi="Arial"/>
                <w:color w:val="000000"/>
                <w:sz w:val="20"/>
                <w:szCs w:val="20"/>
              </w:rPr>
            </w:pPr>
            <w:r w:rsidRPr="00554F31">
              <w:rPr>
                <w:rFonts w:ascii="Arial" w:hAnsi="Arial"/>
                <w:b/>
                <w:color w:val="000000"/>
                <w:sz w:val="20"/>
                <w:szCs w:val="20"/>
              </w:rPr>
              <w:t>Rent</w:t>
            </w:r>
          </w:p>
        </w:tc>
        <w:tc>
          <w:tcPr>
            <w:tcW w:w="6941" w:type="dxa"/>
            <w:gridSpan w:val="2"/>
          </w:tcPr>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Amount payable as a condition of occupancy of a person’s home. Rent includes site fees for a caravan, mooring fees and payment for services provided in a retirement village. Rent encompasses not only a formal tenancy agreement, but also informal agreements between family members, including the payment of board or board and lodgings. Where a person pays board and lodgings and cannot separately identify the amount paid for lodgings, two thirds of the payment is deemed to be for rent.</w:t>
            </w:r>
          </w:p>
        </w:tc>
      </w:tr>
      <w:tr w:rsidR="00D569A9" w:rsidRPr="00A23D81" w:rsidTr="00C9055F">
        <w:tc>
          <w:tcPr>
            <w:tcW w:w="1848" w:type="dxa"/>
          </w:tcPr>
          <w:p w:rsidR="00A23D81" w:rsidRPr="00554F31" w:rsidRDefault="00A23D81" w:rsidP="00186FBB">
            <w:pPr>
              <w:keepNext/>
              <w:keepLines/>
              <w:spacing w:before="120" w:after="120" w:line="220" w:lineRule="atLeast"/>
              <w:ind w:left="6" w:right="113"/>
              <w:rPr>
                <w:rFonts w:ascii="Arial" w:hAnsi="Arial"/>
                <w:color w:val="000000"/>
                <w:sz w:val="20"/>
                <w:szCs w:val="20"/>
              </w:rPr>
            </w:pPr>
            <w:r w:rsidRPr="00554F31">
              <w:rPr>
                <w:rFonts w:ascii="Arial" w:hAnsi="Arial"/>
                <w:b/>
                <w:color w:val="000000"/>
                <w:sz w:val="20"/>
                <w:szCs w:val="20"/>
              </w:rPr>
              <w:t>Sharer</w:t>
            </w:r>
          </w:p>
        </w:tc>
        <w:tc>
          <w:tcPr>
            <w:tcW w:w="6941" w:type="dxa"/>
            <w:gridSpan w:val="2"/>
          </w:tcPr>
          <w:p w:rsidR="00BD212A"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Some single people are subject to a lower maximum (sharer) rate of CRA. The lower rate may apply to a single person (with no dependent children) who shares a major area of accommodation. The lower rate does not apply to those receiving Disability Support Pension or Carer Payment, those in nursing homes or boarding house accommodation, or those paying for both board and lodgings.</w:t>
            </w:r>
          </w:p>
          <w:p w:rsidR="00BD212A" w:rsidRPr="00554F31" w:rsidRDefault="00BD212A" w:rsidP="00186FBB">
            <w:pPr>
              <w:keepNext/>
              <w:keepLines/>
              <w:spacing w:before="120" w:after="120" w:line="220" w:lineRule="atLeast"/>
              <w:ind w:left="6" w:right="113"/>
              <w:jc w:val="both"/>
              <w:rPr>
                <w:rFonts w:ascii="Arial" w:hAnsi="Arial"/>
                <w:color w:val="000000"/>
                <w:sz w:val="20"/>
                <w:szCs w:val="20"/>
              </w:rPr>
            </w:pPr>
          </w:p>
        </w:tc>
      </w:tr>
      <w:tr w:rsidR="00D569A9" w:rsidRPr="00A23D81" w:rsidTr="00C9055F">
        <w:tc>
          <w:tcPr>
            <w:tcW w:w="1848" w:type="dxa"/>
          </w:tcPr>
          <w:p w:rsidR="00A23D81" w:rsidRPr="00554F31" w:rsidRDefault="00A23D81" w:rsidP="00C9055F">
            <w:pPr>
              <w:keepLines/>
              <w:spacing w:before="120" w:after="120" w:line="220" w:lineRule="atLeast"/>
              <w:ind w:left="6" w:right="113"/>
              <w:rPr>
                <w:rFonts w:ascii="Arial" w:hAnsi="Arial"/>
                <w:color w:val="000000"/>
                <w:szCs w:val="20"/>
              </w:rPr>
            </w:pPr>
            <w:r w:rsidRPr="00554F31">
              <w:rPr>
                <w:rFonts w:ascii="Arial" w:hAnsi="Arial"/>
                <w:b/>
                <w:color w:val="000000"/>
                <w:sz w:val="20"/>
                <w:szCs w:val="20"/>
              </w:rPr>
              <w:lastRenderedPageBreak/>
              <w:t>Total income from all sources</w:t>
            </w:r>
            <w:r w:rsidRPr="00554F31">
              <w:rPr>
                <w:rFonts w:ascii="Arial" w:hAnsi="Arial"/>
                <w:color w:val="000000"/>
                <w:szCs w:val="20"/>
              </w:rPr>
              <w:t xml:space="preserve"> </w:t>
            </w:r>
          </w:p>
        </w:tc>
        <w:tc>
          <w:tcPr>
            <w:tcW w:w="6941" w:type="dxa"/>
            <w:gridSpan w:val="2"/>
          </w:tcPr>
          <w:p w:rsidR="00496092"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Income received by the recipients or partner, excluding income received by a dependent. It includes regular social security payments and any maintenance and other private income taken into accou</w:t>
            </w:r>
            <w:r w:rsidR="00783647">
              <w:rPr>
                <w:rFonts w:ascii="Arial" w:hAnsi="Arial"/>
                <w:color w:val="000000"/>
                <w:sz w:val="20"/>
                <w:szCs w:val="20"/>
              </w:rPr>
              <w:t>nt for income testing purposes.</w:t>
            </w:r>
          </w:p>
          <w:p w:rsidR="00A23D81" w:rsidRPr="00554F31" w:rsidRDefault="00A23D81" w:rsidP="00022965">
            <w:pPr>
              <w:keepNext/>
              <w:keepLines/>
              <w:spacing w:before="120" w:after="120" w:line="220" w:lineRule="atLeast"/>
              <w:ind w:left="6" w:right="113"/>
              <w:jc w:val="both"/>
              <w:rPr>
                <w:rFonts w:ascii="Arial" w:hAnsi="Arial"/>
                <w:i/>
                <w:color w:val="000000"/>
                <w:sz w:val="20"/>
                <w:szCs w:val="20"/>
              </w:rPr>
            </w:pPr>
            <w:r w:rsidRPr="00554F31">
              <w:rPr>
                <w:rFonts w:ascii="Arial" w:hAnsi="Arial"/>
                <w:color w:val="000000"/>
                <w:sz w:val="20"/>
                <w:szCs w:val="20"/>
              </w:rPr>
              <w:t>It does not include:</w:t>
            </w:r>
            <w:r w:rsidR="00496092">
              <w:rPr>
                <w:rFonts w:ascii="Arial" w:hAnsi="Arial"/>
                <w:color w:val="000000"/>
                <w:sz w:val="20"/>
                <w:szCs w:val="20"/>
              </w:rPr>
              <w:t xml:space="preserve"> </w:t>
            </w:r>
            <w:r w:rsidRPr="00554F31">
              <w:rPr>
                <w:rFonts w:ascii="Arial" w:hAnsi="Arial"/>
                <w:color w:val="000000"/>
                <w:sz w:val="20"/>
                <w:szCs w:val="20"/>
              </w:rPr>
              <w:t>one</w:t>
            </w:r>
            <w:r w:rsidR="00380731">
              <w:rPr>
                <w:rFonts w:ascii="Arial" w:hAnsi="Arial"/>
                <w:color w:val="000000"/>
                <w:sz w:val="20"/>
                <w:szCs w:val="20"/>
              </w:rPr>
              <w:t>–</w:t>
            </w:r>
            <w:r w:rsidRPr="00554F31">
              <w:rPr>
                <w:rFonts w:ascii="Arial" w:hAnsi="Arial"/>
                <w:color w:val="000000"/>
                <w:sz w:val="20"/>
                <w:szCs w:val="20"/>
              </w:rPr>
              <w:t>time payments</w:t>
            </w:r>
            <w:r w:rsidR="00496092">
              <w:rPr>
                <w:rFonts w:ascii="Arial" w:hAnsi="Arial"/>
                <w:color w:val="000000"/>
                <w:sz w:val="20"/>
                <w:szCs w:val="20"/>
              </w:rPr>
              <w:t xml:space="preserve">; </w:t>
            </w:r>
            <w:r w:rsidRPr="00554F31">
              <w:rPr>
                <w:rFonts w:ascii="Arial" w:hAnsi="Arial"/>
                <w:color w:val="000000"/>
                <w:sz w:val="20"/>
                <w:szCs w:val="20"/>
              </w:rPr>
              <w:t>arrears payments</w:t>
            </w:r>
            <w:r w:rsidR="00496092">
              <w:rPr>
                <w:rFonts w:ascii="Arial" w:hAnsi="Arial"/>
                <w:color w:val="000000"/>
                <w:sz w:val="20"/>
                <w:szCs w:val="20"/>
              </w:rPr>
              <w:t xml:space="preserve">; </w:t>
            </w:r>
            <w:r w:rsidRPr="00554F31">
              <w:rPr>
                <w:rFonts w:ascii="Arial" w:hAnsi="Arial"/>
                <w:color w:val="000000"/>
                <w:sz w:val="20"/>
                <w:szCs w:val="20"/>
              </w:rPr>
              <w:t>advances</w:t>
            </w:r>
            <w:r w:rsidR="00496092">
              <w:rPr>
                <w:rFonts w:ascii="Arial" w:hAnsi="Arial"/>
                <w:color w:val="000000"/>
                <w:sz w:val="20"/>
                <w:szCs w:val="20"/>
              </w:rPr>
              <w:t xml:space="preserve">; </w:t>
            </w:r>
            <w:r w:rsidRPr="00554F31">
              <w:rPr>
                <w:rFonts w:ascii="Arial" w:hAnsi="Arial"/>
                <w:color w:val="000000"/>
                <w:sz w:val="20"/>
                <w:szCs w:val="20"/>
              </w:rPr>
              <w:t>Employment or Education Entry Payments</w:t>
            </w:r>
            <w:r w:rsidR="00496092">
              <w:rPr>
                <w:rFonts w:ascii="Arial" w:hAnsi="Arial"/>
                <w:color w:val="000000"/>
                <w:sz w:val="20"/>
                <w:szCs w:val="20"/>
              </w:rPr>
              <w:t xml:space="preserve">; </w:t>
            </w:r>
            <w:r w:rsidRPr="00554F31">
              <w:rPr>
                <w:rFonts w:ascii="Arial" w:hAnsi="Arial"/>
                <w:color w:val="000000"/>
                <w:sz w:val="20"/>
                <w:szCs w:val="20"/>
              </w:rPr>
              <w:t>Mobility Allowance</w:t>
            </w:r>
            <w:r w:rsidR="00496092">
              <w:rPr>
                <w:rFonts w:ascii="Arial" w:hAnsi="Arial"/>
                <w:color w:val="000000"/>
                <w:sz w:val="20"/>
                <w:szCs w:val="20"/>
              </w:rPr>
              <w:t xml:space="preserve">; </w:t>
            </w:r>
            <w:r w:rsidRPr="00554F31">
              <w:rPr>
                <w:rFonts w:ascii="Arial" w:hAnsi="Arial"/>
                <w:color w:val="000000"/>
                <w:sz w:val="20"/>
                <w:szCs w:val="20"/>
              </w:rPr>
              <w:t>Baby Bonus</w:t>
            </w:r>
            <w:r w:rsidR="00496092">
              <w:rPr>
                <w:rFonts w:ascii="Arial" w:hAnsi="Arial"/>
                <w:color w:val="000000"/>
                <w:sz w:val="20"/>
                <w:szCs w:val="20"/>
              </w:rPr>
              <w:t xml:space="preserve">; </w:t>
            </w:r>
            <w:r w:rsidRPr="00554F31">
              <w:rPr>
                <w:rFonts w:ascii="Arial" w:hAnsi="Arial"/>
                <w:color w:val="000000"/>
                <w:sz w:val="20"/>
                <w:szCs w:val="20"/>
              </w:rPr>
              <w:t>Child Care Tax Rebate.</w:t>
            </w:r>
          </w:p>
          <w:p w:rsidR="0088335B" w:rsidRPr="00554F31" w:rsidRDefault="00A23D81" w:rsidP="00C9055F">
            <w:pPr>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 xml:space="preserve">In most cases, private income reflects the person’s current circumstances. Taxable income for a past financial year or an estimate of taxable income for the current financial year is used where the income unit receives more than the minimum rate of the Family Tax Benefit part </w:t>
            </w:r>
            <w:r w:rsidR="0088335B">
              <w:rPr>
                <w:rFonts w:ascii="Arial" w:hAnsi="Arial"/>
                <w:color w:val="000000"/>
                <w:sz w:val="20"/>
                <w:szCs w:val="20"/>
              </w:rPr>
              <w:t xml:space="preserve">A but no income support payment. </w:t>
            </w:r>
            <w:r w:rsidR="00990831" w:rsidRPr="00990831">
              <w:rPr>
                <w:rFonts w:ascii="Arial" w:hAnsi="Arial"/>
                <w:color w:val="000000"/>
                <w:sz w:val="20"/>
                <w:szCs w:val="20"/>
              </w:rPr>
              <w:t>Income received includes Energy Supplement amounts paid with income support payments and Family Tax Benefit</w:t>
            </w:r>
            <w:r w:rsidR="00712232">
              <w:rPr>
                <w:rFonts w:ascii="Arial" w:hAnsi="Arial"/>
                <w:color w:val="000000"/>
                <w:sz w:val="20"/>
                <w:szCs w:val="20"/>
              </w:rPr>
              <w:t xml:space="preserve"> </w:t>
            </w:r>
            <w:r w:rsidR="00990831" w:rsidRPr="00990831">
              <w:rPr>
                <w:rFonts w:ascii="Arial" w:hAnsi="Arial"/>
                <w:color w:val="000000"/>
                <w:sz w:val="20"/>
                <w:szCs w:val="20"/>
              </w:rPr>
              <w:t>from June 2014</w:t>
            </w:r>
            <w:r w:rsidR="0088335B">
              <w:rPr>
                <w:rFonts w:ascii="Arial" w:hAnsi="Arial"/>
                <w:color w:val="000000"/>
                <w:sz w:val="20"/>
                <w:szCs w:val="20"/>
              </w:rPr>
              <w:t>.</w:t>
            </w:r>
          </w:p>
        </w:tc>
      </w:tr>
    </w:tbl>
    <w:p w:rsidR="00946583" w:rsidRPr="00FE36EB" w:rsidRDefault="00C066DD" w:rsidP="000479D0">
      <w:pPr>
        <w:pStyle w:val="Heading2"/>
      </w:pPr>
      <w:bookmarkStart w:id="19" w:name="_Toc306106370"/>
      <w:bookmarkStart w:id="20" w:name="_Toc401736873"/>
      <w:bookmarkStart w:id="21" w:name="_Toc464468442"/>
      <w:r w:rsidRPr="00FE36EB">
        <w:t>G.</w:t>
      </w:r>
      <w:r w:rsidR="00094BD0">
        <w:t>5</w:t>
      </w:r>
      <w:r w:rsidRPr="00FE36EB">
        <w:tab/>
      </w:r>
      <w:r w:rsidR="00737678" w:rsidRPr="00FE36EB">
        <w:t xml:space="preserve">Appendix – </w:t>
      </w:r>
      <w:r w:rsidR="00946583" w:rsidRPr="00FE36EB">
        <w:t>Private housing market contextual information</w:t>
      </w:r>
      <w:bookmarkEnd w:id="19"/>
      <w:bookmarkEnd w:id="20"/>
      <w:bookmarkEnd w:id="21"/>
    </w:p>
    <w:p w:rsidR="00946583" w:rsidRPr="00A4259E" w:rsidRDefault="00A4259E" w:rsidP="005C7CE7">
      <w:pPr>
        <w:pStyle w:val="BodyText"/>
      </w:pPr>
      <w:r>
        <w:t xml:space="preserve">A range of factors influence demand and supply in the private housing market, which encompasses rented accommodation, home ownership and housing investment. </w:t>
      </w:r>
      <w:r w:rsidR="00277FF5" w:rsidRPr="003968CB">
        <w:t>In 2013</w:t>
      </w:r>
      <w:r w:rsidR="00277FF5" w:rsidRPr="003968CB">
        <w:noBreakHyphen/>
        <w:t xml:space="preserve">14, around </w:t>
      </w:r>
      <w:proofErr w:type="spellStart"/>
      <w:r w:rsidR="00277FF5" w:rsidRPr="003968CB">
        <w:t>two­thirds</w:t>
      </w:r>
      <w:proofErr w:type="spellEnd"/>
      <w:r w:rsidR="00277FF5" w:rsidRPr="003968CB">
        <w:t xml:space="preserve"> of Australian households (67.2 per cent) owned or were purchasing their own home, 25.7 per cent rented in the private sector, and 3.6</w:t>
      </w:r>
      <w:r w:rsidR="00277FF5" w:rsidRPr="00F21015">
        <w:t xml:space="preserve"> per </w:t>
      </w:r>
      <w:r w:rsidR="00277FF5" w:rsidRPr="000958E6">
        <w:t xml:space="preserve">cent rented through a </w:t>
      </w:r>
      <w:r w:rsidR="00221B37">
        <w:t>State or T</w:t>
      </w:r>
      <w:r w:rsidR="00277FF5" w:rsidRPr="000958E6">
        <w:t xml:space="preserve">erritory housing authority </w:t>
      </w:r>
      <w:r w:rsidR="00277FF5" w:rsidRPr="00D9390E">
        <w:t>(table</w:t>
      </w:r>
      <w:r w:rsidR="00690AAC">
        <w:t> </w:t>
      </w:r>
      <w:r w:rsidR="00277FF5" w:rsidRPr="00D9390E">
        <w:t>18A.</w:t>
      </w:r>
      <w:r w:rsidR="00712DE4" w:rsidRPr="00D9390E">
        <w:t>6</w:t>
      </w:r>
      <w:r w:rsidR="00B03463">
        <w:t>0</w:t>
      </w:r>
      <w:r w:rsidR="00277FF5" w:rsidRPr="00D9390E">
        <w:t>)</w:t>
      </w:r>
      <w:r w:rsidR="00277FF5" w:rsidRPr="00DA0168">
        <w:t>.</w:t>
      </w:r>
    </w:p>
    <w:p w:rsidR="00946583" w:rsidRDefault="00946583" w:rsidP="00C012D0">
      <w:pPr>
        <w:pStyle w:val="Heading4"/>
      </w:pPr>
      <w:r>
        <w:t>Housing affordability</w:t>
      </w:r>
    </w:p>
    <w:p w:rsidR="00277FF5" w:rsidRDefault="00D15397" w:rsidP="00946583">
      <w:pPr>
        <w:pStyle w:val="BodyText"/>
      </w:pPr>
      <w:r>
        <w:t xml:space="preserve">A shortage of affordable housing affects demand for housing and homelessness services. </w:t>
      </w:r>
      <w:r w:rsidR="00277FF5" w:rsidRPr="00277FF5">
        <w:t xml:space="preserve">A range of government initiatives and programs are designed to </w:t>
      </w:r>
      <w:r>
        <w:t xml:space="preserve">assist access to the private housing market </w:t>
      </w:r>
      <w:r w:rsidR="00277FF5" w:rsidRPr="00277FF5">
        <w:t xml:space="preserve">and to increase the supply of affordable housing </w:t>
      </w:r>
      <w:r w:rsidR="007E578D">
        <w:t>—</w:t>
      </w:r>
      <w:r>
        <w:t xml:space="preserve"> for example, home purchase assistance, </w:t>
      </w:r>
      <w:r w:rsidRPr="00D15397">
        <w:t>stamp duty concessions</w:t>
      </w:r>
      <w:r>
        <w:t>, saving incentives, private rental assistance, incentives to build affordable rental housing</w:t>
      </w:r>
      <w:r w:rsidR="007E578D">
        <w:t>,</w:t>
      </w:r>
      <w:r>
        <w:t xml:space="preserve"> and land and planning measures. Private rental assistance and some forms of home purchase assistance can generally be accessed by eligible low to moderate income households.</w:t>
      </w:r>
    </w:p>
    <w:p w:rsidR="002F0DB4" w:rsidRPr="005C5F76" w:rsidRDefault="002F0DB4" w:rsidP="005C5F76">
      <w:pPr>
        <w:pStyle w:val="Heading5"/>
      </w:pPr>
      <w:r w:rsidRPr="005C5F76">
        <w:t>Affordable housing for low and moderate income households</w:t>
      </w:r>
    </w:p>
    <w:p w:rsidR="00C2439F" w:rsidRPr="00225055" w:rsidRDefault="00377101" w:rsidP="00C2439F">
      <w:pPr>
        <w:pStyle w:val="BodyText"/>
      </w:pPr>
      <w:r>
        <w:rPr>
          <w:color w:val="000000" w:themeColor="text1"/>
        </w:rPr>
        <w:t>Housing is considered to be affordable whe</w:t>
      </w:r>
      <w:r w:rsidR="007E578D">
        <w:rPr>
          <w:color w:val="000000" w:themeColor="text1"/>
        </w:rPr>
        <w:t>n</w:t>
      </w:r>
      <w:r>
        <w:rPr>
          <w:color w:val="000000" w:themeColor="text1"/>
        </w:rPr>
        <w:t xml:space="preserve"> no</w:t>
      </w:r>
      <w:r w:rsidR="00D15397">
        <w:rPr>
          <w:color w:val="000000" w:themeColor="text1"/>
        </w:rPr>
        <w:t>t</w:t>
      </w:r>
      <w:r>
        <w:rPr>
          <w:color w:val="000000" w:themeColor="text1"/>
        </w:rPr>
        <w:t xml:space="preserve"> more than </w:t>
      </w:r>
      <w:r w:rsidRPr="00215B01">
        <w:rPr>
          <w:color w:val="000000" w:themeColor="text1"/>
        </w:rPr>
        <w:t xml:space="preserve">30 per cent of </w:t>
      </w:r>
      <w:r w:rsidR="000B69B5" w:rsidRPr="00873434">
        <w:rPr>
          <w:color w:val="000000" w:themeColor="text1"/>
        </w:rPr>
        <w:t>gross</w:t>
      </w:r>
      <w:r>
        <w:rPr>
          <w:color w:val="000000" w:themeColor="text1"/>
        </w:rPr>
        <w:t xml:space="preserve"> household </w:t>
      </w:r>
      <w:r w:rsidRPr="00215B01">
        <w:rPr>
          <w:color w:val="000000" w:themeColor="text1"/>
        </w:rPr>
        <w:t xml:space="preserve">income </w:t>
      </w:r>
      <w:r>
        <w:rPr>
          <w:color w:val="000000" w:themeColor="text1"/>
        </w:rPr>
        <w:t xml:space="preserve">is spent </w:t>
      </w:r>
      <w:r w:rsidRPr="00215B01">
        <w:rPr>
          <w:color w:val="000000" w:themeColor="text1"/>
        </w:rPr>
        <w:t>on rent or mortgage payments</w:t>
      </w:r>
      <w:r>
        <w:rPr>
          <w:color w:val="000000" w:themeColor="text1"/>
        </w:rPr>
        <w:t>.</w:t>
      </w:r>
      <w:r>
        <w:t xml:space="preserve"> </w:t>
      </w:r>
      <w:r w:rsidR="007E578D">
        <w:t xml:space="preserve">Housing affordability data for </w:t>
      </w:r>
      <w:r w:rsidR="007E578D" w:rsidRPr="00E60B3E">
        <w:rPr>
          <w:color w:val="000000" w:themeColor="text1"/>
        </w:rPr>
        <w:t>low and moderate income households</w:t>
      </w:r>
      <w:r w:rsidR="007E578D">
        <w:rPr>
          <w:color w:val="000000" w:themeColor="text1"/>
        </w:rPr>
        <w:t xml:space="preserve"> </w:t>
      </w:r>
      <w:r w:rsidR="00BE530F">
        <w:rPr>
          <w:color w:val="000000" w:themeColor="text1"/>
        </w:rPr>
        <w:t xml:space="preserve">(NAHA-related indicator) </w:t>
      </w:r>
      <w:r w:rsidR="007E578D">
        <w:rPr>
          <w:color w:val="000000" w:themeColor="text1"/>
        </w:rPr>
        <w:t xml:space="preserve">is available for </w:t>
      </w:r>
      <w:r w:rsidR="008E4C37" w:rsidRPr="00FF58CC">
        <w:t>2013</w:t>
      </w:r>
      <w:r w:rsidR="008E4C37">
        <w:noBreakHyphen/>
      </w:r>
      <w:r w:rsidR="008E4C37" w:rsidRPr="00FF58CC">
        <w:t>14</w:t>
      </w:r>
      <w:r w:rsidR="005019F9">
        <w:t xml:space="preserve"> in table GA.9</w:t>
      </w:r>
      <w:r w:rsidR="007E578D">
        <w:rPr>
          <w:color w:val="000000" w:themeColor="text1"/>
        </w:rPr>
        <w:t xml:space="preserve">. </w:t>
      </w:r>
      <w:r w:rsidR="007E578D">
        <w:t xml:space="preserve">Information on the </w:t>
      </w:r>
      <w:r w:rsidR="007E578D" w:rsidRPr="00455D8C">
        <w:rPr>
          <w:color w:val="000000" w:themeColor="text1"/>
        </w:rPr>
        <w:t xml:space="preserve">First Home Owner Scheme </w:t>
      </w:r>
      <w:r w:rsidR="007E578D">
        <w:rPr>
          <w:color w:val="000000" w:themeColor="text1"/>
        </w:rPr>
        <w:t>grant is avail</w:t>
      </w:r>
      <w:r w:rsidR="005019F9">
        <w:rPr>
          <w:color w:val="000000" w:themeColor="text1"/>
        </w:rPr>
        <w:t>able in table GA.9</w:t>
      </w:r>
      <w:r w:rsidR="007E578D">
        <w:rPr>
          <w:color w:val="000000" w:themeColor="text1"/>
        </w:rPr>
        <w:t xml:space="preserve"> and on </w:t>
      </w:r>
      <w:r w:rsidR="007E578D">
        <w:t>private rental market affordability in tables GA.1</w:t>
      </w:r>
      <w:r w:rsidR="006E655D">
        <w:t>0</w:t>
      </w:r>
      <w:r w:rsidR="007E7D0E">
        <w:t>–</w:t>
      </w:r>
      <w:r w:rsidR="006E655D">
        <w:t>11</w:t>
      </w:r>
      <w:r w:rsidR="001F07C0">
        <w:t>.</w:t>
      </w:r>
    </w:p>
    <w:p w:rsidR="002F0DB4" w:rsidRDefault="00C066DD" w:rsidP="00E86F55">
      <w:pPr>
        <w:pStyle w:val="Heading2"/>
      </w:pPr>
      <w:bookmarkStart w:id="22" w:name="_Toc306106371"/>
      <w:bookmarkStart w:id="23" w:name="_Toc401736874"/>
      <w:bookmarkStart w:id="24" w:name="_Toc464468443"/>
      <w:r>
        <w:lastRenderedPageBreak/>
        <w:t>G</w:t>
      </w:r>
      <w:r w:rsidR="00094BD0">
        <w:t>.6</w:t>
      </w:r>
      <w:r>
        <w:tab/>
      </w:r>
      <w:r w:rsidR="002F0DB4" w:rsidRPr="00E86F55">
        <w:t>References</w:t>
      </w:r>
      <w:bookmarkEnd w:id="22"/>
      <w:bookmarkEnd w:id="23"/>
      <w:bookmarkEnd w:id="24"/>
    </w:p>
    <w:p w:rsidR="002F0DB4" w:rsidRPr="00944125" w:rsidRDefault="002F0DB4" w:rsidP="00873434">
      <w:pPr>
        <w:pStyle w:val="Reference"/>
        <w:spacing w:line="280" w:lineRule="atLeast"/>
      </w:pPr>
      <w:r>
        <w:t>ABS (Austral</w:t>
      </w:r>
      <w:r w:rsidR="00F65AA5">
        <w:t xml:space="preserve">ian Bureau of Statistics) </w:t>
      </w:r>
      <w:r w:rsidR="002D38A6">
        <w:t>2010</w:t>
      </w:r>
      <w:r>
        <w:t xml:space="preserve">, </w:t>
      </w:r>
      <w:r w:rsidRPr="00333B3A">
        <w:rPr>
          <w:i/>
        </w:rPr>
        <w:t>Standards for Income Variables</w:t>
      </w:r>
      <w:r w:rsidR="00333B3A">
        <w:t>,</w:t>
      </w:r>
      <w:r>
        <w:t xml:space="preserve"> </w:t>
      </w:r>
      <w:r w:rsidRPr="003B0169">
        <w:rPr>
          <w:color w:val="000000" w:themeColor="text1"/>
        </w:rPr>
        <w:t>2010. Cat.</w:t>
      </w:r>
      <w:r w:rsidR="00FE36EB">
        <w:rPr>
          <w:color w:val="000000" w:themeColor="text1"/>
        </w:rPr>
        <w:t> </w:t>
      </w:r>
      <w:r w:rsidRPr="003B0169">
        <w:rPr>
          <w:color w:val="000000" w:themeColor="text1"/>
        </w:rPr>
        <w:t>no.</w:t>
      </w:r>
      <w:r w:rsidR="00FE36EB">
        <w:rPr>
          <w:color w:val="000000" w:themeColor="text1"/>
        </w:rPr>
        <w:t> </w:t>
      </w:r>
      <w:r w:rsidRPr="003B0169">
        <w:rPr>
          <w:color w:val="000000" w:themeColor="text1"/>
        </w:rPr>
        <w:t>1287.0, Canberra.</w:t>
      </w:r>
    </w:p>
    <w:p w:rsidR="00944125" w:rsidRDefault="00944125" w:rsidP="00873434">
      <w:pPr>
        <w:pStyle w:val="Reference"/>
        <w:spacing w:line="280" w:lineRule="atLeast"/>
      </w:pPr>
      <w:r>
        <w:t xml:space="preserve">—— </w:t>
      </w:r>
      <w:r>
        <w:rPr>
          <w:color w:val="000000" w:themeColor="text1"/>
        </w:rPr>
        <w:t>2012</w:t>
      </w:r>
      <w:r w:rsidRPr="0070349E">
        <w:rPr>
          <w:color w:val="000000" w:themeColor="text1"/>
        </w:rPr>
        <w:t xml:space="preserve">, </w:t>
      </w:r>
      <w:r w:rsidRPr="0070349E">
        <w:rPr>
          <w:i/>
          <w:color w:val="000000" w:themeColor="text1"/>
        </w:rPr>
        <w:t xml:space="preserve">Census of Population and Housing: Estimating </w:t>
      </w:r>
      <w:r>
        <w:rPr>
          <w:color w:val="000000" w:themeColor="text1"/>
        </w:rPr>
        <w:t>Homelessness, Cat. </w:t>
      </w:r>
      <w:r w:rsidRPr="0070349E">
        <w:rPr>
          <w:color w:val="000000" w:themeColor="text1"/>
        </w:rPr>
        <w:t>no.</w:t>
      </w:r>
      <w:r>
        <w:rPr>
          <w:color w:val="000000" w:themeColor="text1"/>
        </w:rPr>
        <w:t> </w:t>
      </w:r>
      <w:r w:rsidRPr="0070349E">
        <w:rPr>
          <w:color w:val="000000" w:themeColor="text1"/>
        </w:rPr>
        <w:t>2049.0, Canberra</w:t>
      </w:r>
      <w:r>
        <w:rPr>
          <w:color w:val="000000" w:themeColor="text1"/>
        </w:rPr>
        <w:t>.</w:t>
      </w:r>
    </w:p>
    <w:p w:rsidR="00944125" w:rsidRDefault="00944125" w:rsidP="00873434">
      <w:pPr>
        <w:pStyle w:val="Reference"/>
        <w:spacing w:line="280" w:lineRule="atLeast"/>
      </w:pPr>
      <w:r>
        <w:t xml:space="preserve">—— 2015, </w:t>
      </w:r>
      <w:r w:rsidRPr="00AB5A20">
        <w:rPr>
          <w:i/>
        </w:rPr>
        <w:t>General Social Survey: Summary Results, Australia, 2014</w:t>
      </w:r>
      <w:r>
        <w:t xml:space="preserve">, </w:t>
      </w:r>
      <w:r w:rsidRPr="00AB5A20">
        <w:t xml:space="preserve">Cat. no. 4159.0, </w:t>
      </w:r>
      <w:r>
        <w:t>Canberra.</w:t>
      </w:r>
    </w:p>
    <w:p w:rsidR="003B5752" w:rsidRDefault="003B5752" w:rsidP="00873434">
      <w:pPr>
        <w:pStyle w:val="Reference"/>
        <w:spacing w:line="280" w:lineRule="atLeast"/>
      </w:pPr>
      <w:r>
        <w:t>—— 2016</w:t>
      </w:r>
      <w:r w:rsidRPr="003B5752">
        <w:rPr>
          <w:i/>
        </w:rPr>
        <w:t>, Consumer Price Index, Australia, September 2016</w:t>
      </w:r>
      <w:r w:rsidRPr="003B5752">
        <w:t>, Cat</w:t>
      </w:r>
      <w:r>
        <w:t>.</w:t>
      </w:r>
      <w:r w:rsidRPr="003B5752">
        <w:t xml:space="preserve"> </w:t>
      </w:r>
      <w:r>
        <w:t>n</w:t>
      </w:r>
      <w:r w:rsidRPr="003B5752">
        <w:t>o. 6401.0</w:t>
      </w:r>
      <w:r>
        <w:t>, Canberra.</w:t>
      </w:r>
    </w:p>
    <w:p w:rsidR="00DC00AC" w:rsidRDefault="00C1355C" w:rsidP="00873434">
      <w:pPr>
        <w:pStyle w:val="Reference"/>
        <w:spacing w:line="280" w:lineRule="atLeast"/>
      </w:pPr>
      <w:r>
        <w:t xml:space="preserve">AHURI (Australian Housing and Urban Research Institute), </w:t>
      </w:r>
      <w:r w:rsidR="00DC00AC" w:rsidRPr="006B7C57">
        <w:t>2008</w:t>
      </w:r>
      <w:r w:rsidR="00DC00AC">
        <w:t xml:space="preserve">, </w:t>
      </w:r>
      <w:r w:rsidR="00DC00AC" w:rsidRPr="00333B3A">
        <w:rPr>
          <w:i/>
        </w:rPr>
        <w:t>The cost effectiveness of homelessness programs</w:t>
      </w:r>
      <w:r w:rsidR="00DC00AC">
        <w:t>, Research and Policy Bulletin, issue 104, Melbourne.</w:t>
      </w:r>
    </w:p>
    <w:p w:rsidR="00603CD2" w:rsidRPr="0068015B" w:rsidRDefault="00964AE8" w:rsidP="00873434">
      <w:pPr>
        <w:pStyle w:val="Reference"/>
        <w:spacing w:line="280" w:lineRule="atLeast"/>
        <w:rPr>
          <w:i/>
        </w:rPr>
      </w:pPr>
      <w:r>
        <w:t>AIHW (Australian Institute of Health and Welfare</w:t>
      </w:r>
      <w:r w:rsidRPr="006B7C57">
        <w:t>)</w:t>
      </w:r>
      <w:r w:rsidR="002C52C7" w:rsidRPr="006B7C57">
        <w:t xml:space="preserve"> 201</w:t>
      </w:r>
      <w:r w:rsidR="00266DAC">
        <w:t>6</w:t>
      </w:r>
      <w:r w:rsidR="002C52C7" w:rsidRPr="006B7C57">
        <w:t xml:space="preserve">, </w:t>
      </w:r>
      <w:r w:rsidR="0068015B" w:rsidRPr="00964AE8">
        <w:rPr>
          <w:i/>
        </w:rPr>
        <w:t>Specialist homelessness services: 201</w:t>
      </w:r>
      <w:r w:rsidR="00266DAC">
        <w:rPr>
          <w:i/>
        </w:rPr>
        <w:t>5</w:t>
      </w:r>
      <w:r w:rsidR="00080F6D">
        <w:rPr>
          <w:i/>
        </w:rPr>
        <w:noBreakHyphen/>
      </w:r>
      <w:r w:rsidR="0068015B" w:rsidRPr="00964AE8">
        <w:rPr>
          <w:i/>
        </w:rPr>
        <w:t>1</w:t>
      </w:r>
      <w:r w:rsidR="00266DAC">
        <w:rPr>
          <w:i/>
        </w:rPr>
        <w:t>6</w:t>
      </w:r>
      <w:r w:rsidR="0068015B">
        <w:t>, Canberra</w:t>
      </w:r>
      <w:r w:rsidR="00CD4A0A">
        <w:t xml:space="preserve">, </w:t>
      </w:r>
      <w:r w:rsidR="00266DAC" w:rsidRPr="00266DAC">
        <w:t>www.aihw.gov.au/homelessness/specialist-homelessness-services-2015</w:t>
      </w:r>
      <w:r w:rsidR="00690AAC">
        <w:noBreakHyphen/>
      </w:r>
      <w:r w:rsidR="00266DAC" w:rsidRPr="00266DAC">
        <w:t>16/</w:t>
      </w:r>
      <w:r w:rsidR="00CD4A0A">
        <w:t xml:space="preserve"> (</w:t>
      </w:r>
      <w:r w:rsidR="00CD4A0A" w:rsidRPr="006B7C57">
        <w:t>accessed 1</w:t>
      </w:r>
      <w:r w:rsidR="00266DAC">
        <w:t>6</w:t>
      </w:r>
      <w:r w:rsidR="00690AAC">
        <w:t> </w:t>
      </w:r>
      <w:r w:rsidR="00CD4A0A" w:rsidRPr="006B7C57">
        <w:t>December 201</w:t>
      </w:r>
      <w:r w:rsidR="00510BCE">
        <w:t>6</w:t>
      </w:r>
      <w:r w:rsidR="00CD4A0A">
        <w:t>).</w:t>
      </w:r>
    </w:p>
    <w:p w:rsidR="009F73B4" w:rsidRPr="00964AE8" w:rsidRDefault="003D0838" w:rsidP="00873434">
      <w:pPr>
        <w:pStyle w:val="Reference"/>
        <w:spacing w:line="280" w:lineRule="atLeast"/>
      </w:pPr>
      <w:r w:rsidRPr="003D0838">
        <w:t>—</w:t>
      </w:r>
      <w:r>
        <w:t xml:space="preserve">— </w:t>
      </w:r>
      <w:r w:rsidR="009F73B4">
        <w:t xml:space="preserve">2012, </w:t>
      </w:r>
      <w:r w:rsidR="009F73B4">
        <w:rPr>
          <w:i/>
        </w:rPr>
        <w:t>Children and young people at risk of social exclusion: Links between homelessness, child protection and juvenile justice</w:t>
      </w:r>
      <w:r w:rsidR="005D4E2E">
        <w:t>, Cat. no. CSI 13, Canberra.</w:t>
      </w:r>
    </w:p>
    <w:p w:rsidR="002F0DB4" w:rsidRDefault="002F0DB4" w:rsidP="00873434">
      <w:pPr>
        <w:pStyle w:val="Reference"/>
      </w:pPr>
      <w:r>
        <w:t xml:space="preserve">Bridge, C., </w:t>
      </w:r>
      <w:proofErr w:type="spellStart"/>
      <w:r>
        <w:t>Flatau</w:t>
      </w:r>
      <w:proofErr w:type="spellEnd"/>
      <w:r>
        <w:t xml:space="preserve">, P., Whelan, S., Wood, G. and Yates, J. 2003, </w:t>
      </w:r>
      <w:r w:rsidRPr="00333B3A">
        <w:rPr>
          <w:i/>
        </w:rPr>
        <w:t>Housing assistance and non</w:t>
      </w:r>
      <w:r w:rsidR="00380731">
        <w:rPr>
          <w:i/>
        </w:rPr>
        <w:t>–</w:t>
      </w:r>
      <w:r w:rsidRPr="00333B3A">
        <w:rPr>
          <w:i/>
        </w:rPr>
        <w:t>shelter outcomes</w:t>
      </w:r>
      <w:r>
        <w:t>, F</w:t>
      </w:r>
      <w:r w:rsidR="00FE36EB">
        <w:t>inal Report No. </w:t>
      </w:r>
      <w:r>
        <w:t>40, Australian Housing and Urban Research Institute, Melbourne.</w:t>
      </w:r>
    </w:p>
    <w:p w:rsidR="00932D38" w:rsidRPr="00932D38" w:rsidRDefault="00932D38" w:rsidP="00873434">
      <w:pPr>
        <w:pStyle w:val="Reference"/>
      </w:pPr>
      <w:r>
        <w:t>CHP (Council to Homeless Person</w:t>
      </w:r>
      <w:r w:rsidR="00AB4B32">
        <w:t>s</w:t>
      </w:r>
      <w:r>
        <w:t xml:space="preserve">) 2005, </w:t>
      </w:r>
      <w:r w:rsidRPr="00333B3A">
        <w:rPr>
          <w:i/>
        </w:rPr>
        <w:t>Contextualising young people: Implications for young people experiencing homelessness</w:t>
      </w:r>
      <w:r>
        <w:t>, Strategic Policy Background Paper</w:t>
      </w:r>
      <w:r w:rsidR="00130556">
        <w:t xml:space="preserve">, Melbourne, </w:t>
      </w:r>
      <w:r w:rsidR="00130556" w:rsidRPr="00FC5DC4">
        <w:t>www.chp.org.au/public_library/items/2005</w:t>
      </w:r>
      <w:r w:rsidR="00994AC4">
        <w:t>–</w:t>
      </w:r>
      <w:r w:rsidR="00130556" w:rsidRPr="00FC5DC4">
        <w:t>03/00</w:t>
      </w:r>
      <w:r w:rsidR="00994AC4">
        <w:t> </w:t>
      </w:r>
      <w:r w:rsidR="00130556" w:rsidRPr="00FC5DC4">
        <w:t>052</w:t>
      </w:r>
      <w:r w:rsidR="00380731">
        <w:t>–</w:t>
      </w:r>
      <w:r w:rsidR="00130556" w:rsidRPr="00FC5DC4">
        <w:t>upload</w:t>
      </w:r>
      <w:r w:rsidR="00380731">
        <w:t>–</w:t>
      </w:r>
      <w:r w:rsidR="00130556" w:rsidRPr="00FC5DC4">
        <w:t>00</w:t>
      </w:r>
      <w:r w:rsidR="00994AC4">
        <w:t> </w:t>
      </w:r>
      <w:r w:rsidR="00130556" w:rsidRPr="00FC5DC4">
        <w:t>001.doc</w:t>
      </w:r>
      <w:r w:rsidR="00130556">
        <w:t xml:space="preserve"> </w:t>
      </w:r>
      <w:r>
        <w:t>(accessed 1</w:t>
      </w:r>
      <w:r w:rsidR="00130556">
        <w:t>1</w:t>
      </w:r>
      <w:r w:rsidR="00690AAC">
        <w:t> </w:t>
      </w:r>
      <w:r w:rsidR="005D4E2E">
        <w:t>October 2011).</w:t>
      </w:r>
    </w:p>
    <w:p w:rsidR="002F0DB4" w:rsidRDefault="002F0DB4" w:rsidP="00873434">
      <w:pPr>
        <w:pStyle w:val="Reference"/>
      </w:pPr>
      <w:r>
        <w:t>COAG (Council of Aust</w:t>
      </w:r>
      <w:r w:rsidR="00C81D1A">
        <w:t xml:space="preserve">ralian Governments) </w:t>
      </w:r>
      <w:r w:rsidR="00D24950">
        <w:t>2012</w:t>
      </w:r>
      <w:r>
        <w:t xml:space="preserve">, </w:t>
      </w:r>
      <w:r w:rsidRPr="00333B3A">
        <w:rPr>
          <w:i/>
        </w:rPr>
        <w:t>National Affordable Housing Agreement</w:t>
      </w:r>
      <w:r>
        <w:t>, Intergovernmental Agreement on Federal Financial Relations, Australian Government, Council of Australian Governments, Canberra.</w:t>
      </w:r>
    </w:p>
    <w:p w:rsidR="002F0DB4" w:rsidRDefault="002F0DB4" w:rsidP="00873434">
      <w:pPr>
        <w:pStyle w:val="Reference"/>
      </w:pPr>
      <w:r>
        <w:t xml:space="preserve">King, A. 2002. </w:t>
      </w:r>
      <w:r w:rsidRPr="00333B3A">
        <w:rPr>
          <w:i/>
        </w:rPr>
        <w:t>Housing assistance: the lifetime impacts</w:t>
      </w:r>
      <w:r>
        <w:t>, Fi</w:t>
      </w:r>
      <w:r w:rsidR="00FE36EB">
        <w:t>nal Report no. </w:t>
      </w:r>
      <w:r>
        <w:t>20, Australian Housing and Urban Research Institute, Melbourne.</w:t>
      </w:r>
    </w:p>
    <w:p w:rsidR="00932D38" w:rsidRPr="00932D38" w:rsidRDefault="00932D38" w:rsidP="00873434">
      <w:pPr>
        <w:pStyle w:val="Reference"/>
      </w:pPr>
      <w:proofErr w:type="spellStart"/>
      <w:r>
        <w:t>Memmott</w:t>
      </w:r>
      <w:proofErr w:type="spellEnd"/>
      <w:r>
        <w:t xml:space="preserve">, P. and Chambers, C. 2010, </w:t>
      </w:r>
      <w:r w:rsidRPr="00333B3A">
        <w:rPr>
          <w:i/>
        </w:rPr>
        <w:t>Indigenous Homelessness in Australia: An Introduction. Council to Homeless Persons, Parity</w:t>
      </w:r>
      <w:r w:rsidR="008E40E9">
        <w:t>, Melbourne,</w:t>
      </w:r>
      <w:r w:rsidR="00994AC4">
        <w:t xml:space="preserve"> </w:t>
      </w:r>
      <w:r w:rsidR="00FE36EB" w:rsidRPr="00FE36EB">
        <w:t>www.chp.org.au/parity</w:t>
      </w:r>
      <w:r w:rsidR="00FE36EB">
        <w:t xml:space="preserve"> </w:t>
      </w:r>
      <w:r w:rsidRPr="00FC5DC4">
        <w:t>/items/2010</w:t>
      </w:r>
      <w:r w:rsidR="00994AC4">
        <w:t>–</w:t>
      </w:r>
      <w:r w:rsidRPr="00FC5DC4">
        <w:t>12/00</w:t>
      </w:r>
      <w:r w:rsidR="00994AC4">
        <w:t> </w:t>
      </w:r>
      <w:r w:rsidRPr="00FC5DC4">
        <w:t>417</w:t>
      </w:r>
      <w:r w:rsidR="00380731">
        <w:t>–</w:t>
      </w:r>
      <w:r w:rsidRPr="00FC5DC4">
        <w:t>upload</w:t>
      </w:r>
      <w:r w:rsidR="00380731">
        <w:t>–</w:t>
      </w:r>
      <w:r w:rsidRPr="00FC5DC4">
        <w:t>00</w:t>
      </w:r>
      <w:r w:rsidR="00994AC4">
        <w:t> </w:t>
      </w:r>
      <w:r w:rsidRPr="00FC5DC4">
        <w:t>001.doc</w:t>
      </w:r>
      <w:r>
        <w:t xml:space="preserve"> (accessed </w:t>
      </w:r>
      <w:r w:rsidR="00E52853">
        <w:t>11 </w:t>
      </w:r>
      <w:r>
        <w:t>October 2011).</w:t>
      </w:r>
    </w:p>
    <w:p w:rsidR="002F0DB4" w:rsidRDefault="002F0DB4" w:rsidP="00873434">
      <w:pPr>
        <w:pStyle w:val="Reference"/>
      </w:pPr>
      <w:r>
        <w:t xml:space="preserve">Morris, A. 2010, </w:t>
      </w:r>
      <w:r w:rsidRPr="00333B3A">
        <w:rPr>
          <w:i/>
        </w:rPr>
        <w:t>The lack of a right to housing and its implications in Australia</w:t>
      </w:r>
      <w:r>
        <w:t>, Journal of Au</w:t>
      </w:r>
      <w:r w:rsidR="00FE36EB">
        <w:t>stralian Political Economy, no. </w:t>
      </w:r>
      <w:r>
        <w:t>65, Winter 2010.</w:t>
      </w:r>
    </w:p>
    <w:p w:rsidR="00E32CA2" w:rsidRDefault="00E32CA2" w:rsidP="00873434">
      <w:pPr>
        <w:pStyle w:val="Reference"/>
      </w:pPr>
      <w:proofErr w:type="spellStart"/>
      <w:r>
        <w:t>Phibbs</w:t>
      </w:r>
      <w:proofErr w:type="spellEnd"/>
      <w:r>
        <w:t xml:space="preserve">, P and Thompson, S. 2011, </w:t>
      </w:r>
      <w:r w:rsidRPr="00554B21">
        <w:rPr>
          <w:i/>
        </w:rPr>
        <w:t>The health impacts of housing: toward a policy-relevant research agenda</w:t>
      </w:r>
      <w:r>
        <w:t>, AHURI Final Report No. 173</w:t>
      </w:r>
      <w:r w:rsidR="00EC1C9D">
        <w:t>, Melbourne.</w:t>
      </w:r>
    </w:p>
    <w:p w:rsidR="00AE6E6D" w:rsidRDefault="00AE6E6D" w:rsidP="00873434">
      <w:pPr>
        <w:pStyle w:val="Reference"/>
      </w:pPr>
      <w:r>
        <w:t xml:space="preserve">Productivity Commission 2015, </w:t>
      </w:r>
      <w:r>
        <w:rPr>
          <w:bCs/>
          <w:i/>
        </w:rPr>
        <w:t>Housing Assistance and Employment in Australia,</w:t>
      </w:r>
      <w:r>
        <w:t xml:space="preserve"> Commission Research Paper, Canberra.</w:t>
      </w:r>
    </w:p>
    <w:p w:rsidR="002F0DB4" w:rsidRDefault="002F0DB4" w:rsidP="00873434">
      <w:pPr>
        <w:pStyle w:val="Reference"/>
      </w:pPr>
      <w:r>
        <w:t xml:space="preserve">Quine, S., </w:t>
      </w:r>
      <w:proofErr w:type="spellStart"/>
      <w:r>
        <w:t>Kendig</w:t>
      </w:r>
      <w:proofErr w:type="spellEnd"/>
      <w:r>
        <w:t xml:space="preserve">, H. Russell, C. and </w:t>
      </w:r>
      <w:proofErr w:type="spellStart"/>
      <w:r>
        <w:t>Touchard</w:t>
      </w:r>
      <w:proofErr w:type="spellEnd"/>
      <w:r>
        <w:t xml:space="preserve">, D., 2004, </w:t>
      </w:r>
      <w:r w:rsidRPr="00333B3A">
        <w:rPr>
          <w:i/>
        </w:rPr>
        <w:t>Health promotion for socially disadvantaged groups: the case of homeless older men in Australia</w:t>
      </w:r>
      <w:r>
        <w:t>, Healt</w:t>
      </w:r>
      <w:r w:rsidR="00FE36EB">
        <w:t>h Promotion International, vol. 19, no </w:t>
      </w:r>
      <w:r>
        <w:t>2.</w:t>
      </w:r>
    </w:p>
    <w:sectPr w:rsidR="002F0DB4" w:rsidSect="00DB497C">
      <w:headerReference w:type="even" r:id="rId14"/>
      <w:headerReference w:type="default" r:id="rId15"/>
      <w:footerReference w:type="even" r:id="rId16"/>
      <w:footerReference w:type="default" r:id="rId17"/>
      <w:pgSz w:w="11907" w:h="16840" w:code="9"/>
      <w:pgMar w:top="1984" w:right="1304" w:bottom="1247" w:left="1814" w:header="1701" w:footer="397" w:gutter="0"/>
      <w:pgNumType w:start="1" w:chapStyle="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67E" w:rsidRDefault="005C467E">
      <w:r>
        <w:separator/>
      </w:r>
    </w:p>
  </w:endnote>
  <w:endnote w:type="continuationSeparator" w:id="0">
    <w:p w:rsidR="005C467E" w:rsidRDefault="005C4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C467E" w:rsidTr="003341B0">
      <w:trPr>
        <w:trHeight w:hRule="exact" w:val="567"/>
      </w:trPr>
      <w:tc>
        <w:tcPr>
          <w:tcW w:w="510" w:type="dxa"/>
        </w:tcPr>
        <w:p w:rsidR="005C467E" w:rsidRPr="00A24443" w:rsidRDefault="005C467E" w:rsidP="003341B0">
          <w:pPr>
            <w:pStyle w:val="Footer"/>
            <w:tabs>
              <w:tab w:val="left" w:pos="0"/>
            </w:tabs>
            <w:ind w:right="0"/>
            <w:rPr>
              <w:rStyle w:val="PageNumber"/>
              <w:caps w:val="0"/>
            </w:rPr>
          </w:pPr>
          <w:r>
            <w:rPr>
              <w:rStyle w:val="PageNumber"/>
              <w:caps w:val="0"/>
            </w:rPr>
            <w:t>G.</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C64DC">
            <w:rPr>
              <w:rStyle w:val="PageNumber"/>
              <w:caps w:val="0"/>
              <w:noProof/>
            </w:rPr>
            <w:t>2</w:t>
          </w:r>
          <w:r w:rsidRPr="00A24443">
            <w:rPr>
              <w:rStyle w:val="PageNumber"/>
              <w:caps w:val="0"/>
            </w:rPr>
            <w:fldChar w:fldCharType="end"/>
          </w:r>
        </w:p>
      </w:tc>
      <w:tc>
        <w:tcPr>
          <w:tcW w:w="7767" w:type="dxa"/>
        </w:tcPr>
        <w:p w:rsidR="005C467E" w:rsidRPr="0013739A" w:rsidRDefault="005C467E" w:rsidP="00B1424F">
          <w:pPr>
            <w:pStyle w:val="Footer"/>
            <w:rPr>
              <w:rFonts w:cs="Arial"/>
            </w:rPr>
          </w:pPr>
          <w:r>
            <w:rPr>
              <w:rFonts w:cs="Arial"/>
            </w:rPr>
            <w:t>report on government services 2017</w:t>
          </w:r>
        </w:p>
      </w:tc>
      <w:tc>
        <w:tcPr>
          <w:tcW w:w="510" w:type="dxa"/>
        </w:tcPr>
        <w:p w:rsidR="005C467E" w:rsidRDefault="005C467E" w:rsidP="003341B0">
          <w:pPr>
            <w:pStyle w:val="Footer"/>
          </w:pPr>
        </w:p>
      </w:tc>
    </w:tr>
  </w:tbl>
  <w:p w:rsidR="005C467E" w:rsidRDefault="005C467E" w:rsidP="0019293B">
    <w:pPr>
      <w:pStyle w:val="FooterEnd"/>
    </w:pPr>
  </w:p>
  <w:p w:rsidR="005C467E" w:rsidRDefault="005C467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C467E" w:rsidTr="003341B0">
      <w:trPr>
        <w:trHeight w:hRule="exact" w:val="567"/>
      </w:trPr>
      <w:tc>
        <w:tcPr>
          <w:tcW w:w="510" w:type="dxa"/>
        </w:tcPr>
        <w:p w:rsidR="005C467E" w:rsidRDefault="005C467E" w:rsidP="003341B0">
          <w:pPr>
            <w:pStyle w:val="Footer"/>
            <w:ind w:right="360" w:firstLine="360"/>
          </w:pPr>
        </w:p>
      </w:tc>
      <w:tc>
        <w:tcPr>
          <w:tcW w:w="7767" w:type="dxa"/>
        </w:tcPr>
        <w:p w:rsidR="005C467E" w:rsidRPr="00BA5B14" w:rsidRDefault="005C467E" w:rsidP="00034ABA">
          <w:pPr>
            <w:pStyle w:val="Footer"/>
            <w:jc w:val="right"/>
            <w:rPr>
              <w:rFonts w:cs="Arial"/>
            </w:rPr>
          </w:pPr>
          <w:r>
            <w:rPr>
              <w:rFonts w:cs="Arial"/>
            </w:rPr>
            <w:t>housing and homelessness se</w:t>
          </w:r>
          <w:bookmarkStart w:id="25" w:name="DraftReportOdd"/>
          <w:bookmarkEnd w:id="25"/>
          <w:r>
            <w:rPr>
              <w:rFonts w:cs="Arial"/>
            </w:rPr>
            <w:t>ctor overview</w:t>
          </w:r>
        </w:p>
      </w:tc>
      <w:tc>
        <w:tcPr>
          <w:tcW w:w="510" w:type="dxa"/>
        </w:tcPr>
        <w:p w:rsidR="005C467E" w:rsidRPr="00A24443" w:rsidRDefault="005C467E" w:rsidP="003341B0">
          <w:pPr>
            <w:pStyle w:val="Footer"/>
            <w:jc w:val="right"/>
            <w:rPr>
              <w:caps w:val="0"/>
            </w:rPr>
          </w:pPr>
          <w:r>
            <w:rPr>
              <w:rStyle w:val="PageNumber"/>
              <w:caps w:val="0"/>
            </w:rPr>
            <w:t>G.</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C64DC">
            <w:rPr>
              <w:rStyle w:val="PageNumber"/>
              <w:caps w:val="0"/>
              <w:noProof/>
            </w:rPr>
            <w:t>1</w:t>
          </w:r>
          <w:r w:rsidRPr="00A24443">
            <w:rPr>
              <w:rStyle w:val="PageNumber"/>
              <w:caps w:val="0"/>
            </w:rPr>
            <w:fldChar w:fldCharType="end"/>
          </w:r>
        </w:p>
      </w:tc>
    </w:tr>
  </w:tbl>
  <w:p w:rsidR="005C467E" w:rsidRDefault="005C467E">
    <w:pPr>
      <w:pStyle w:val="FooterEnd"/>
    </w:pPr>
  </w:p>
  <w:p w:rsidR="005C467E" w:rsidRDefault="005C467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67E" w:rsidRDefault="005C467E">
      <w:r>
        <w:separator/>
      </w:r>
    </w:p>
  </w:footnote>
  <w:footnote w:type="continuationSeparator" w:id="0">
    <w:p w:rsidR="005C467E" w:rsidRDefault="005C46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C467E" w:rsidTr="00F253DF">
      <w:tc>
        <w:tcPr>
          <w:tcW w:w="2155" w:type="dxa"/>
          <w:tcBorders>
            <w:top w:val="single" w:sz="24" w:space="0" w:color="auto"/>
          </w:tcBorders>
        </w:tcPr>
        <w:p w:rsidR="005C467E" w:rsidRDefault="005C467E" w:rsidP="003341B0">
          <w:pPr>
            <w:pStyle w:val="HeaderEven"/>
          </w:pPr>
        </w:p>
      </w:tc>
      <w:tc>
        <w:tcPr>
          <w:tcW w:w="6634" w:type="dxa"/>
          <w:tcBorders>
            <w:top w:val="single" w:sz="6" w:space="0" w:color="auto"/>
          </w:tcBorders>
        </w:tcPr>
        <w:p w:rsidR="005C467E" w:rsidRDefault="005C467E" w:rsidP="003341B0">
          <w:pPr>
            <w:pStyle w:val="HeaderEven"/>
          </w:pPr>
        </w:p>
      </w:tc>
    </w:tr>
  </w:tbl>
  <w:p w:rsidR="005C467E" w:rsidRDefault="005C467E" w:rsidP="0019293B">
    <w:pPr>
      <w:pStyle w:val="HeaderEnd"/>
    </w:pPr>
  </w:p>
  <w:p w:rsidR="005C467E" w:rsidRDefault="005C467E" w:rsidP="00311FF5">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C467E" w:rsidTr="003341B0">
      <w:tc>
        <w:tcPr>
          <w:tcW w:w="6634" w:type="dxa"/>
          <w:tcBorders>
            <w:top w:val="single" w:sz="6" w:space="0" w:color="auto"/>
          </w:tcBorders>
        </w:tcPr>
        <w:p w:rsidR="005C467E" w:rsidRDefault="005C467E" w:rsidP="00D75A5D">
          <w:pPr>
            <w:pStyle w:val="HeaderOdd"/>
          </w:pPr>
        </w:p>
      </w:tc>
      <w:tc>
        <w:tcPr>
          <w:tcW w:w="2155" w:type="dxa"/>
          <w:tcBorders>
            <w:top w:val="single" w:sz="24" w:space="0" w:color="auto"/>
          </w:tcBorders>
        </w:tcPr>
        <w:p w:rsidR="005C467E" w:rsidRDefault="005C467E" w:rsidP="003341B0">
          <w:pPr>
            <w:pStyle w:val="HeaderOdd"/>
          </w:pPr>
        </w:p>
      </w:tc>
    </w:tr>
  </w:tbl>
  <w:p w:rsidR="005C467E" w:rsidRDefault="005C467E" w:rsidP="00E669E2">
    <w:pPr>
      <w:pStyle w:val="HeaderEnd"/>
    </w:pPr>
  </w:p>
  <w:p w:rsidR="005C467E" w:rsidRDefault="005C467E" w:rsidP="00311FF5">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399373E9"/>
    <w:multiLevelType w:val="hybridMultilevel"/>
    <w:tmpl w:val="7864F4C0"/>
    <w:lvl w:ilvl="0" w:tplc="C84485E8">
      <w:start w:val="7"/>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7E5512E"/>
    <w:multiLevelType w:val="hybridMultilevel"/>
    <w:tmpl w:val="64BE23B0"/>
    <w:lvl w:ilvl="0" w:tplc="699AAA08">
      <w:start w:val="18"/>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88301FF"/>
    <w:multiLevelType w:val="hybridMultilevel"/>
    <w:tmpl w:val="8CB477EE"/>
    <w:lvl w:ilvl="0" w:tplc="6CE05580">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5CB00E7A"/>
    <w:multiLevelType w:val="hybridMultilevel"/>
    <w:tmpl w:val="A3162938"/>
    <w:lvl w:ilvl="0" w:tplc="88687D68">
      <w:start w:val="7"/>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EC8797A"/>
    <w:multiLevelType w:val="hybridMultilevel"/>
    <w:tmpl w:val="24AADEC4"/>
    <w:lvl w:ilvl="0" w:tplc="91EEEA18">
      <w:start w:val="7"/>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6">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6"/>
  </w:num>
  <w:num w:numId="3">
    <w:abstractNumId w:val="27"/>
  </w:num>
  <w:num w:numId="4">
    <w:abstractNumId w:val="4"/>
  </w:num>
  <w:num w:numId="5">
    <w:abstractNumId w:val="18"/>
  </w:num>
  <w:num w:numId="6">
    <w:abstractNumId w:val="5"/>
  </w:num>
  <w:num w:numId="7">
    <w:abstractNumId w:val="25"/>
  </w:num>
  <w:num w:numId="8">
    <w:abstractNumId w:val="20"/>
  </w:num>
  <w:num w:numId="9">
    <w:abstractNumId w:val="28"/>
  </w:num>
  <w:num w:numId="10">
    <w:abstractNumId w:val="11"/>
  </w:num>
  <w:num w:numId="11">
    <w:abstractNumId w:val="9"/>
  </w:num>
  <w:num w:numId="12">
    <w:abstractNumId w:val="19"/>
  </w:num>
  <w:num w:numId="13">
    <w:abstractNumId w:val="8"/>
  </w:num>
  <w:num w:numId="14">
    <w:abstractNumId w:val="7"/>
  </w:num>
  <w:num w:numId="15">
    <w:abstractNumId w:val="12"/>
  </w:num>
  <w:num w:numId="16">
    <w:abstractNumId w:val="17"/>
  </w:num>
  <w:num w:numId="17">
    <w:abstractNumId w:val="21"/>
  </w:num>
  <w:num w:numId="18">
    <w:abstractNumId w:val="24"/>
  </w:num>
  <w:num w:numId="19">
    <w:abstractNumId w:val="10"/>
  </w:num>
  <w:num w:numId="20">
    <w:abstractNumId w:val="0"/>
  </w:num>
  <w:num w:numId="21">
    <w:abstractNumId w:val="3"/>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3"/>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3">
    <w:abstractNumId w:val="1"/>
  </w:num>
  <w:num w:numId="24">
    <w:abstractNumId w:val="2"/>
  </w:num>
  <w:num w:numId="25">
    <w:abstractNumId w:val="13"/>
  </w:num>
  <w:num w:numId="26">
    <w:abstractNumId w:val="26"/>
  </w:num>
  <w:num w:numId="27">
    <w:abstractNumId w:val="18"/>
  </w:num>
  <w:num w:numId="28">
    <w:abstractNumId w:val="18"/>
  </w:num>
  <w:num w:numId="29">
    <w:abstractNumId w:val="22"/>
  </w:num>
  <w:num w:numId="30">
    <w:abstractNumId w:val="23"/>
  </w:num>
  <w:num w:numId="31">
    <w:abstractNumId w:val="14"/>
  </w:num>
  <w:num w:numId="32">
    <w:abstractNumId w:val="15"/>
  </w:num>
  <w:num w:numId="33">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23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Housing and Homelessness sector summary"/>
    <w:docVar w:name="ShortReportTitle" w:val="Report on Government Services 2012"/>
  </w:docVars>
  <w:rsids>
    <w:rsidRoot w:val="00EE2A5B"/>
    <w:rsid w:val="00000156"/>
    <w:rsid w:val="0000097E"/>
    <w:rsid w:val="00001780"/>
    <w:rsid w:val="00001849"/>
    <w:rsid w:val="00003624"/>
    <w:rsid w:val="00004158"/>
    <w:rsid w:val="00005FFB"/>
    <w:rsid w:val="000070D1"/>
    <w:rsid w:val="000073F6"/>
    <w:rsid w:val="00007E43"/>
    <w:rsid w:val="00010DF3"/>
    <w:rsid w:val="00011F0C"/>
    <w:rsid w:val="0001295E"/>
    <w:rsid w:val="00013CEA"/>
    <w:rsid w:val="0001439E"/>
    <w:rsid w:val="00015396"/>
    <w:rsid w:val="00015AFD"/>
    <w:rsid w:val="00016004"/>
    <w:rsid w:val="0001648A"/>
    <w:rsid w:val="00016873"/>
    <w:rsid w:val="00017BC7"/>
    <w:rsid w:val="0002030E"/>
    <w:rsid w:val="000205F9"/>
    <w:rsid w:val="00021D88"/>
    <w:rsid w:val="00022965"/>
    <w:rsid w:val="0002381A"/>
    <w:rsid w:val="00023ACE"/>
    <w:rsid w:val="000244B2"/>
    <w:rsid w:val="000259BA"/>
    <w:rsid w:val="00026257"/>
    <w:rsid w:val="000275B9"/>
    <w:rsid w:val="0002781A"/>
    <w:rsid w:val="000300E3"/>
    <w:rsid w:val="000301DC"/>
    <w:rsid w:val="000312F6"/>
    <w:rsid w:val="00033B9E"/>
    <w:rsid w:val="00034ABA"/>
    <w:rsid w:val="00035C1F"/>
    <w:rsid w:val="0003664B"/>
    <w:rsid w:val="00037014"/>
    <w:rsid w:val="00040E46"/>
    <w:rsid w:val="00040E9B"/>
    <w:rsid w:val="0004111F"/>
    <w:rsid w:val="0004133B"/>
    <w:rsid w:val="000418E3"/>
    <w:rsid w:val="00043B2D"/>
    <w:rsid w:val="00043D9F"/>
    <w:rsid w:val="000444DA"/>
    <w:rsid w:val="000446E0"/>
    <w:rsid w:val="00044E55"/>
    <w:rsid w:val="00044F8C"/>
    <w:rsid w:val="0004535E"/>
    <w:rsid w:val="00045376"/>
    <w:rsid w:val="00045496"/>
    <w:rsid w:val="00045A45"/>
    <w:rsid w:val="00046BE0"/>
    <w:rsid w:val="00046FFA"/>
    <w:rsid w:val="000479D0"/>
    <w:rsid w:val="00047AA5"/>
    <w:rsid w:val="00047B8A"/>
    <w:rsid w:val="00050405"/>
    <w:rsid w:val="00050964"/>
    <w:rsid w:val="0005358D"/>
    <w:rsid w:val="000539F9"/>
    <w:rsid w:val="000545BC"/>
    <w:rsid w:val="0005580C"/>
    <w:rsid w:val="0005582F"/>
    <w:rsid w:val="00062285"/>
    <w:rsid w:val="00062B0A"/>
    <w:rsid w:val="00062C30"/>
    <w:rsid w:val="00063999"/>
    <w:rsid w:val="00065F48"/>
    <w:rsid w:val="0006652E"/>
    <w:rsid w:val="000672AC"/>
    <w:rsid w:val="00067E96"/>
    <w:rsid w:val="000701D5"/>
    <w:rsid w:val="000703CB"/>
    <w:rsid w:val="000713ED"/>
    <w:rsid w:val="0007150B"/>
    <w:rsid w:val="00071A76"/>
    <w:rsid w:val="00072A63"/>
    <w:rsid w:val="00072C70"/>
    <w:rsid w:val="00073A87"/>
    <w:rsid w:val="00073AC0"/>
    <w:rsid w:val="00073B38"/>
    <w:rsid w:val="00074CC8"/>
    <w:rsid w:val="000758B6"/>
    <w:rsid w:val="0007642D"/>
    <w:rsid w:val="00080278"/>
    <w:rsid w:val="00080F6D"/>
    <w:rsid w:val="00082529"/>
    <w:rsid w:val="0008280F"/>
    <w:rsid w:val="00082B71"/>
    <w:rsid w:val="000840FE"/>
    <w:rsid w:val="00084271"/>
    <w:rsid w:val="00086944"/>
    <w:rsid w:val="00086D93"/>
    <w:rsid w:val="00087755"/>
    <w:rsid w:val="000920E6"/>
    <w:rsid w:val="000927D5"/>
    <w:rsid w:val="00093140"/>
    <w:rsid w:val="000938F5"/>
    <w:rsid w:val="0009424A"/>
    <w:rsid w:val="00094BD0"/>
    <w:rsid w:val="00094BEA"/>
    <w:rsid w:val="000953D0"/>
    <w:rsid w:val="00096448"/>
    <w:rsid w:val="00096738"/>
    <w:rsid w:val="00096DC6"/>
    <w:rsid w:val="00097310"/>
    <w:rsid w:val="00097BAB"/>
    <w:rsid w:val="00097D96"/>
    <w:rsid w:val="000A207B"/>
    <w:rsid w:val="000A304E"/>
    <w:rsid w:val="000A3AD4"/>
    <w:rsid w:val="000A4226"/>
    <w:rsid w:val="000A4712"/>
    <w:rsid w:val="000A4E71"/>
    <w:rsid w:val="000A5E03"/>
    <w:rsid w:val="000A6351"/>
    <w:rsid w:val="000A6D26"/>
    <w:rsid w:val="000A7A67"/>
    <w:rsid w:val="000B0622"/>
    <w:rsid w:val="000B0923"/>
    <w:rsid w:val="000B18A5"/>
    <w:rsid w:val="000B197C"/>
    <w:rsid w:val="000B212E"/>
    <w:rsid w:val="000B25F8"/>
    <w:rsid w:val="000B28C0"/>
    <w:rsid w:val="000B3E4F"/>
    <w:rsid w:val="000B49E0"/>
    <w:rsid w:val="000B57FC"/>
    <w:rsid w:val="000B5F19"/>
    <w:rsid w:val="000B601B"/>
    <w:rsid w:val="000B6048"/>
    <w:rsid w:val="000B69B5"/>
    <w:rsid w:val="000B718E"/>
    <w:rsid w:val="000B7C25"/>
    <w:rsid w:val="000C0EC5"/>
    <w:rsid w:val="000C207E"/>
    <w:rsid w:val="000C64EF"/>
    <w:rsid w:val="000D0855"/>
    <w:rsid w:val="000D1610"/>
    <w:rsid w:val="000D1BA6"/>
    <w:rsid w:val="000D1D94"/>
    <w:rsid w:val="000D2BFC"/>
    <w:rsid w:val="000D4346"/>
    <w:rsid w:val="000D47D3"/>
    <w:rsid w:val="000D58DC"/>
    <w:rsid w:val="000D5ADE"/>
    <w:rsid w:val="000D64CA"/>
    <w:rsid w:val="000D6755"/>
    <w:rsid w:val="000D6F4D"/>
    <w:rsid w:val="000D71A2"/>
    <w:rsid w:val="000D75DD"/>
    <w:rsid w:val="000D7896"/>
    <w:rsid w:val="000D7AD8"/>
    <w:rsid w:val="000D7BA1"/>
    <w:rsid w:val="000E0C93"/>
    <w:rsid w:val="000E0DF6"/>
    <w:rsid w:val="000E1118"/>
    <w:rsid w:val="000E1691"/>
    <w:rsid w:val="000E2D7F"/>
    <w:rsid w:val="000E4005"/>
    <w:rsid w:val="000E433C"/>
    <w:rsid w:val="000E4DC4"/>
    <w:rsid w:val="000E4E42"/>
    <w:rsid w:val="000E4E67"/>
    <w:rsid w:val="000E6A30"/>
    <w:rsid w:val="000E7166"/>
    <w:rsid w:val="000E7EC6"/>
    <w:rsid w:val="000F18BC"/>
    <w:rsid w:val="000F2FDB"/>
    <w:rsid w:val="000F34A1"/>
    <w:rsid w:val="000F3A42"/>
    <w:rsid w:val="000F490D"/>
    <w:rsid w:val="000F49DD"/>
    <w:rsid w:val="001004C5"/>
    <w:rsid w:val="00100C73"/>
    <w:rsid w:val="0010126C"/>
    <w:rsid w:val="00101287"/>
    <w:rsid w:val="00103097"/>
    <w:rsid w:val="00103449"/>
    <w:rsid w:val="00103FC1"/>
    <w:rsid w:val="0010571F"/>
    <w:rsid w:val="00105B8E"/>
    <w:rsid w:val="00105EF5"/>
    <w:rsid w:val="00106BF2"/>
    <w:rsid w:val="00107A71"/>
    <w:rsid w:val="00110116"/>
    <w:rsid w:val="0011043B"/>
    <w:rsid w:val="001114A4"/>
    <w:rsid w:val="00112333"/>
    <w:rsid w:val="001125C3"/>
    <w:rsid w:val="001125E7"/>
    <w:rsid w:val="00113685"/>
    <w:rsid w:val="00114786"/>
    <w:rsid w:val="00114D3D"/>
    <w:rsid w:val="001154AB"/>
    <w:rsid w:val="00115FB9"/>
    <w:rsid w:val="00120AB1"/>
    <w:rsid w:val="00121741"/>
    <w:rsid w:val="0012195C"/>
    <w:rsid w:val="00123133"/>
    <w:rsid w:val="00123E69"/>
    <w:rsid w:val="0012453E"/>
    <w:rsid w:val="001250E7"/>
    <w:rsid w:val="00125975"/>
    <w:rsid w:val="00126EB8"/>
    <w:rsid w:val="00127045"/>
    <w:rsid w:val="00127649"/>
    <w:rsid w:val="00130556"/>
    <w:rsid w:val="00131170"/>
    <w:rsid w:val="00131C09"/>
    <w:rsid w:val="00132BD1"/>
    <w:rsid w:val="00133257"/>
    <w:rsid w:val="00133548"/>
    <w:rsid w:val="0013436D"/>
    <w:rsid w:val="001363AA"/>
    <w:rsid w:val="00136B21"/>
    <w:rsid w:val="00136B60"/>
    <w:rsid w:val="001401DC"/>
    <w:rsid w:val="0014052A"/>
    <w:rsid w:val="001407C9"/>
    <w:rsid w:val="00140B3D"/>
    <w:rsid w:val="001417D4"/>
    <w:rsid w:val="001473D9"/>
    <w:rsid w:val="001500C4"/>
    <w:rsid w:val="0015167B"/>
    <w:rsid w:val="00152972"/>
    <w:rsid w:val="001534CA"/>
    <w:rsid w:val="0015398E"/>
    <w:rsid w:val="00153B4B"/>
    <w:rsid w:val="0015431B"/>
    <w:rsid w:val="00155047"/>
    <w:rsid w:val="00155C57"/>
    <w:rsid w:val="001569EB"/>
    <w:rsid w:val="0015703E"/>
    <w:rsid w:val="00160065"/>
    <w:rsid w:val="00162724"/>
    <w:rsid w:val="0016272D"/>
    <w:rsid w:val="00162B9D"/>
    <w:rsid w:val="00163EFC"/>
    <w:rsid w:val="0016474C"/>
    <w:rsid w:val="00165F9F"/>
    <w:rsid w:val="001667FE"/>
    <w:rsid w:val="00166F9A"/>
    <w:rsid w:val="00170214"/>
    <w:rsid w:val="00172F4F"/>
    <w:rsid w:val="00173003"/>
    <w:rsid w:val="0017344A"/>
    <w:rsid w:val="00177108"/>
    <w:rsid w:val="0017775E"/>
    <w:rsid w:val="00177ECB"/>
    <w:rsid w:val="00180557"/>
    <w:rsid w:val="001808BE"/>
    <w:rsid w:val="00181E11"/>
    <w:rsid w:val="00181EFA"/>
    <w:rsid w:val="0018200C"/>
    <w:rsid w:val="001820B5"/>
    <w:rsid w:val="0018303D"/>
    <w:rsid w:val="00183F30"/>
    <w:rsid w:val="0018436A"/>
    <w:rsid w:val="0018443A"/>
    <w:rsid w:val="00184719"/>
    <w:rsid w:val="00185FA3"/>
    <w:rsid w:val="00186FBB"/>
    <w:rsid w:val="00186FF2"/>
    <w:rsid w:val="001871EE"/>
    <w:rsid w:val="00190A35"/>
    <w:rsid w:val="0019293B"/>
    <w:rsid w:val="00194C7D"/>
    <w:rsid w:val="00195AF7"/>
    <w:rsid w:val="00197DF5"/>
    <w:rsid w:val="001A0C69"/>
    <w:rsid w:val="001A0F02"/>
    <w:rsid w:val="001A1EF5"/>
    <w:rsid w:val="001A24AF"/>
    <w:rsid w:val="001A2958"/>
    <w:rsid w:val="001A427B"/>
    <w:rsid w:val="001A4615"/>
    <w:rsid w:val="001A6131"/>
    <w:rsid w:val="001A64DF"/>
    <w:rsid w:val="001A653C"/>
    <w:rsid w:val="001A70EC"/>
    <w:rsid w:val="001A715E"/>
    <w:rsid w:val="001A7D9F"/>
    <w:rsid w:val="001A7E68"/>
    <w:rsid w:val="001B00DA"/>
    <w:rsid w:val="001B1C43"/>
    <w:rsid w:val="001B2C78"/>
    <w:rsid w:val="001B35B5"/>
    <w:rsid w:val="001B525B"/>
    <w:rsid w:val="001B7AED"/>
    <w:rsid w:val="001C0865"/>
    <w:rsid w:val="001C0F0D"/>
    <w:rsid w:val="001C231C"/>
    <w:rsid w:val="001C269A"/>
    <w:rsid w:val="001C2801"/>
    <w:rsid w:val="001C393B"/>
    <w:rsid w:val="001C3ABA"/>
    <w:rsid w:val="001C3DCE"/>
    <w:rsid w:val="001C4524"/>
    <w:rsid w:val="001C4982"/>
    <w:rsid w:val="001C5302"/>
    <w:rsid w:val="001C5CEB"/>
    <w:rsid w:val="001C7384"/>
    <w:rsid w:val="001C76F3"/>
    <w:rsid w:val="001D0C7F"/>
    <w:rsid w:val="001D15A8"/>
    <w:rsid w:val="001D20BB"/>
    <w:rsid w:val="001D247E"/>
    <w:rsid w:val="001D5FFB"/>
    <w:rsid w:val="001D6D39"/>
    <w:rsid w:val="001D7314"/>
    <w:rsid w:val="001E00EC"/>
    <w:rsid w:val="001E17EC"/>
    <w:rsid w:val="001E1A26"/>
    <w:rsid w:val="001E246B"/>
    <w:rsid w:val="001E2FD9"/>
    <w:rsid w:val="001E3123"/>
    <w:rsid w:val="001E4357"/>
    <w:rsid w:val="001E466A"/>
    <w:rsid w:val="001E4B6A"/>
    <w:rsid w:val="001E7BE8"/>
    <w:rsid w:val="001F017D"/>
    <w:rsid w:val="001F0248"/>
    <w:rsid w:val="001F07C0"/>
    <w:rsid w:val="001F2B40"/>
    <w:rsid w:val="001F38A4"/>
    <w:rsid w:val="001F3DD6"/>
    <w:rsid w:val="001F4A96"/>
    <w:rsid w:val="001F76B7"/>
    <w:rsid w:val="001F7CFC"/>
    <w:rsid w:val="00200A01"/>
    <w:rsid w:val="00200FEC"/>
    <w:rsid w:val="00201020"/>
    <w:rsid w:val="002015F4"/>
    <w:rsid w:val="00202309"/>
    <w:rsid w:val="00202C2C"/>
    <w:rsid w:val="00202FC8"/>
    <w:rsid w:val="0020330F"/>
    <w:rsid w:val="00203368"/>
    <w:rsid w:val="00203ED3"/>
    <w:rsid w:val="00204553"/>
    <w:rsid w:val="00204B74"/>
    <w:rsid w:val="00205496"/>
    <w:rsid w:val="0020562F"/>
    <w:rsid w:val="00205E8A"/>
    <w:rsid w:val="0020669C"/>
    <w:rsid w:val="00206748"/>
    <w:rsid w:val="00207387"/>
    <w:rsid w:val="00211D62"/>
    <w:rsid w:val="002121C3"/>
    <w:rsid w:val="00212C25"/>
    <w:rsid w:val="00213A7A"/>
    <w:rsid w:val="00215318"/>
    <w:rsid w:val="002158A7"/>
    <w:rsid w:val="00215B01"/>
    <w:rsid w:val="00216502"/>
    <w:rsid w:val="0021710F"/>
    <w:rsid w:val="002205F3"/>
    <w:rsid w:val="00221B37"/>
    <w:rsid w:val="002233D4"/>
    <w:rsid w:val="002235C1"/>
    <w:rsid w:val="002235F5"/>
    <w:rsid w:val="00223736"/>
    <w:rsid w:val="00224725"/>
    <w:rsid w:val="00225055"/>
    <w:rsid w:val="00225554"/>
    <w:rsid w:val="0022598A"/>
    <w:rsid w:val="00225D24"/>
    <w:rsid w:val="00225DF5"/>
    <w:rsid w:val="002260AC"/>
    <w:rsid w:val="00226648"/>
    <w:rsid w:val="00226957"/>
    <w:rsid w:val="002277CE"/>
    <w:rsid w:val="00230D14"/>
    <w:rsid w:val="0023208D"/>
    <w:rsid w:val="002331AB"/>
    <w:rsid w:val="002342EC"/>
    <w:rsid w:val="00234C07"/>
    <w:rsid w:val="002353DF"/>
    <w:rsid w:val="002354A5"/>
    <w:rsid w:val="002378B1"/>
    <w:rsid w:val="00237ACD"/>
    <w:rsid w:val="00237EA2"/>
    <w:rsid w:val="00240072"/>
    <w:rsid w:val="002404C7"/>
    <w:rsid w:val="002407D9"/>
    <w:rsid w:val="002410C2"/>
    <w:rsid w:val="0024115B"/>
    <w:rsid w:val="00241E5A"/>
    <w:rsid w:val="00242279"/>
    <w:rsid w:val="0024317D"/>
    <w:rsid w:val="00244099"/>
    <w:rsid w:val="0024443A"/>
    <w:rsid w:val="00244687"/>
    <w:rsid w:val="00244934"/>
    <w:rsid w:val="002458D7"/>
    <w:rsid w:val="00245CBF"/>
    <w:rsid w:val="00245DC4"/>
    <w:rsid w:val="00247360"/>
    <w:rsid w:val="002475DC"/>
    <w:rsid w:val="00247695"/>
    <w:rsid w:val="00250A62"/>
    <w:rsid w:val="002518EA"/>
    <w:rsid w:val="00252B1F"/>
    <w:rsid w:val="00253C6A"/>
    <w:rsid w:val="002543D4"/>
    <w:rsid w:val="002559C2"/>
    <w:rsid w:val="00255C29"/>
    <w:rsid w:val="00255C8C"/>
    <w:rsid w:val="00256B58"/>
    <w:rsid w:val="00260208"/>
    <w:rsid w:val="002603BA"/>
    <w:rsid w:val="00260505"/>
    <w:rsid w:val="00260C22"/>
    <w:rsid w:val="00262381"/>
    <w:rsid w:val="00263645"/>
    <w:rsid w:val="00263996"/>
    <w:rsid w:val="00264A41"/>
    <w:rsid w:val="00266DAC"/>
    <w:rsid w:val="00270E66"/>
    <w:rsid w:val="002710F6"/>
    <w:rsid w:val="00271966"/>
    <w:rsid w:val="00272333"/>
    <w:rsid w:val="0027303E"/>
    <w:rsid w:val="002753C8"/>
    <w:rsid w:val="00276579"/>
    <w:rsid w:val="00276FD6"/>
    <w:rsid w:val="0027772C"/>
    <w:rsid w:val="00277FF5"/>
    <w:rsid w:val="0028107B"/>
    <w:rsid w:val="0028192E"/>
    <w:rsid w:val="002819E1"/>
    <w:rsid w:val="002821C8"/>
    <w:rsid w:val="002824EF"/>
    <w:rsid w:val="0028282B"/>
    <w:rsid w:val="00282C3F"/>
    <w:rsid w:val="002832AA"/>
    <w:rsid w:val="00283DEF"/>
    <w:rsid w:val="002842FB"/>
    <w:rsid w:val="00284E1D"/>
    <w:rsid w:val="00285062"/>
    <w:rsid w:val="002854AA"/>
    <w:rsid w:val="0028553E"/>
    <w:rsid w:val="0028600A"/>
    <w:rsid w:val="00286A37"/>
    <w:rsid w:val="00291662"/>
    <w:rsid w:val="00291B40"/>
    <w:rsid w:val="00291F18"/>
    <w:rsid w:val="00291FD9"/>
    <w:rsid w:val="002950AD"/>
    <w:rsid w:val="0029511E"/>
    <w:rsid w:val="0029562C"/>
    <w:rsid w:val="002959CB"/>
    <w:rsid w:val="00295CB5"/>
    <w:rsid w:val="002971DC"/>
    <w:rsid w:val="00297498"/>
    <w:rsid w:val="002976F0"/>
    <w:rsid w:val="002979D2"/>
    <w:rsid w:val="00297BD1"/>
    <w:rsid w:val="002A15BD"/>
    <w:rsid w:val="002A226C"/>
    <w:rsid w:val="002A2292"/>
    <w:rsid w:val="002A3BFC"/>
    <w:rsid w:val="002A3FA0"/>
    <w:rsid w:val="002A421E"/>
    <w:rsid w:val="002A4921"/>
    <w:rsid w:val="002A7554"/>
    <w:rsid w:val="002B0957"/>
    <w:rsid w:val="002B0B54"/>
    <w:rsid w:val="002B1717"/>
    <w:rsid w:val="002B18D7"/>
    <w:rsid w:val="002B2129"/>
    <w:rsid w:val="002B2A64"/>
    <w:rsid w:val="002B3893"/>
    <w:rsid w:val="002B4008"/>
    <w:rsid w:val="002B4651"/>
    <w:rsid w:val="002B47CB"/>
    <w:rsid w:val="002B4ACB"/>
    <w:rsid w:val="002B58B9"/>
    <w:rsid w:val="002B64A5"/>
    <w:rsid w:val="002B7075"/>
    <w:rsid w:val="002C0F75"/>
    <w:rsid w:val="002C323C"/>
    <w:rsid w:val="002C4597"/>
    <w:rsid w:val="002C4B02"/>
    <w:rsid w:val="002C52C7"/>
    <w:rsid w:val="002C6E6D"/>
    <w:rsid w:val="002C7476"/>
    <w:rsid w:val="002D019F"/>
    <w:rsid w:val="002D0E8E"/>
    <w:rsid w:val="002D10A0"/>
    <w:rsid w:val="002D1999"/>
    <w:rsid w:val="002D2D16"/>
    <w:rsid w:val="002D330F"/>
    <w:rsid w:val="002D388A"/>
    <w:rsid w:val="002D38A6"/>
    <w:rsid w:val="002D4480"/>
    <w:rsid w:val="002D4E2D"/>
    <w:rsid w:val="002D55DA"/>
    <w:rsid w:val="002D70CF"/>
    <w:rsid w:val="002D782E"/>
    <w:rsid w:val="002D7836"/>
    <w:rsid w:val="002D7911"/>
    <w:rsid w:val="002D7914"/>
    <w:rsid w:val="002D7B19"/>
    <w:rsid w:val="002E1BD3"/>
    <w:rsid w:val="002E27E3"/>
    <w:rsid w:val="002E2B5C"/>
    <w:rsid w:val="002E30F5"/>
    <w:rsid w:val="002E33D2"/>
    <w:rsid w:val="002E427A"/>
    <w:rsid w:val="002E49DA"/>
    <w:rsid w:val="002E5159"/>
    <w:rsid w:val="002E567C"/>
    <w:rsid w:val="002E597F"/>
    <w:rsid w:val="002E5F14"/>
    <w:rsid w:val="002E65ED"/>
    <w:rsid w:val="002E6EFE"/>
    <w:rsid w:val="002E7027"/>
    <w:rsid w:val="002F0DB4"/>
    <w:rsid w:val="002F188D"/>
    <w:rsid w:val="002F1949"/>
    <w:rsid w:val="002F41CC"/>
    <w:rsid w:val="002F4790"/>
    <w:rsid w:val="002F4FA6"/>
    <w:rsid w:val="002F5C59"/>
    <w:rsid w:val="002F5F9C"/>
    <w:rsid w:val="002F6E3C"/>
    <w:rsid w:val="002F7031"/>
    <w:rsid w:val="002F718E"/>
    <w:rsid w:val="00301189"/>
    <w:rsid w:val="00304D6D"/>
    <w:rsid w:val="003053A8"/>
    <w:rsid w:val="003058E3"/>
    <w:rsid w:val="003060D2"/>
    <w:rsid w:val="00306274"/>
    <w:rsid w:val="003066B1"/>
    <w:rsid w:val="00306711"/>
    <w:rsid w:val="00306D79"/>
    <w:rsid w:val="00311426"/>
    <w:rsid w:val="00311FF5"/>
    <w:rsid w:val="0031253A"/>
    <w:rsid w:val="00312D53"/>
    <w:rsid w:val="003137DE"/>
    <w:rsid w:val="00313BAE"/>
    <w:rsid w:val="0031574E"/>
    <w:rsid w:val="00316702"/>
    <w:rsid w:val="00320280"/>
    <w:rsid w:val="00320433"/>
    <w:rsid w:val="00322587"/>
    <w:rsid w:val="00322C6D"/>
    <w:rsid w:val="00323530"/>
    <w:rsid w:val="00323C5B"/>
    <w:rsid w:val="00323E09"/>
    <w:rsid w:val="00324624"/>
    <w:rsid w:val="00325429"/>
    <w:rsid w:val="0032569B"/>
    <w:rsid w:val="00326A2A"/>
    <w:rsid w:val="00327AA6"/>
    <w:rsid w:val="00327B16"/>
    <w:rsid w:val="0033041A"/>
    <w:rsid w:val="00330C2C"/>
    <w:rsid w:val="00331F20"/>
    <w:rsid w:val="00333226"/>
    <w:rsid w:val="00333932"/>
    <w:rsid w:val="003339D7"/>
    <w:rsid w:val="00333B3A"/>
    <w:rsid w:val="003341B0"/>
    <w:rsid w:val="003344DF"/>
    <w:rsid w:val="00334D56"/>
    <w:rsid w:val="00335874"/>
    <w:rsid w:val="00336095"/>
    <w:rsid w:val="00337243"/>
    <w:rsid w:val="00340835"/>
    <w:rsid w:val="00340C06"/>
    <w:rsid w:val="0034134F"/>
    <w:rsid w:val="00342F6F"/>
    <w:rsid w:val="003448E1"/>
    <w:rsid w:val="00344FD0"/>
    <w:rsid w:val="0034606C"/>
    <w:rsid w:val="00346BA3"/>
    <w:rsid w:val="00346C96"/>
    <w:rsid w:val="00347157"/>
    <w:rsid w:val="003479CE"/>
    <w:rsid w:val="00347A47"/>
    <w:rsid w:val="0035091D"/>
    <w:rsid w:val="003518AA"/>
    <w:rsid w:val="00351AE0"/>
    <w:rsid w:val="00351B4D"/>
    <w:rsid w:val="00353182"/>
    <w:rsid w:val="00353B58"/>
    <w:rsid w:val="0035452B"/>
    <w:rsid w:val="00355162"/>
    <w:rsid w:val="00356D10"/>
    <w:rsid w:val="00357AFA"/>
    <w:rsid w:val="00357B60"/>
    <w:rsid w:val="00357BA1"/>
    <w:rsid w:val="003602E1"/>
    <w:rsid w:val="00360992"/>
    <w:rsid w:val="003621BA"/>
    <w:rsid w:val="0036396E"/>
    <w:rsid w:val="003644B1"/>
    <w:rsid w:val="00364A1F"/>
    <w:rsid w:val="00364B91"/>
    <w:rsid w:val="0036545C"/>
    <w:rsid w:val="00370C19"/>
    <w:rsid w:val="00370C30"/>
    <w:rsid w:val="00370CA1"/>
    <w:rsid w:val="00370E16"/>
    <w:rsid w:val="00371240"/>
    <w:rsid w:val="00371F1F"/>
    <w:rsid w:val="00372EF5"/>
    <w:rsid w:val="00373622"/>
    <w:rsid w:val="00373A9B"/>
    <w:rsid w:val="00373E59"/>
    <w:rsid w:val="00373EE7"/>
    <w:rsid w:val="00374731"/>
    <w:rsid w:val="0037511C"/>
    <w:rsid w:val="00375872"/>
    <w:rsid w:val="00377101"/>
    <w:rsid w:val="0037792A"/>
    <w:rsid w:val="00377956"/>
    <w:rsid w:val="00377BF3"/>
    <w:rsid w:val="00380731"/>
    <w:rsid w:val="00380C48"/>
    <w:rsid w:val="00382006"/>
    <w:rsid w:val="003822C2"/>
    <w:rsid w:val="00382FF8"/>
    <w:rsid w:val="00383179"/>
    <w:rsid w:val="00383C9F"/>
    <w:rsid w:val="00384183"/>
    <w:rsid w:val="0038437B"/>
    <w:rsid w:val="003845BF"/>
    <w:rsid w:val="003854CD"/>
    <w:rsid w:val="00386128"/>
    <w:rsid w:val="00386254"/>
    <w:rsid w:val="003862A0"/>
    <w:rsid w:val="003867D9"/>
    <w:rsid w:val="00386BCA"/>
    <w:rsid w:val="00387517"/>
    <w:rsid w:val="00387FCF"/>
    <w:rsid w:val="00391263"/>
    <w:rsid w:val="0039190C"/>
    <w:rsid w:val="00391EE0"/>
    <w:rsid w:val="0039303A"/>
    <w:rsid w:val="00393091"/>
    <w:rsid w:val="0039346C"/>
    <w:rsid w:val="00393931"/>
    <w:rsid w:val="003944A4"/>
    <w:rsid w:val="0039575D"/>
    <w:rsid w:val="003968CB"/>
    <w:rsid w:val="0039690B"/>
    <w:rsid w:val="003970A6"/>
    <w:rsid w:val="00397D70"/>
    <w:rsid w:val="003A00ED"/>
    <w:rsid w:val="003A14B7"/>
    <w:rsid w:val="003A1B65"/>
    <w:rsid w:val="003A1B9E"/>
    <w:rsid w:val="003A1C9C"/>
    <w:rsid w:val="003A343C"/>
    <w:rsid w:val="003A41FC"/>
    <w:rsid w:val="003A4F97"/>
    <w:rsid w:val="003A5976"/>
    <w:rsid w:val="003A7E77"/>
    <w:rsid w:val="003B0169"/>
    <w:rsid w:val="003B0787"/>
    <w:rsid w:val="003B0C6F"/>
    <w:rsid w:val="003B1B53"/>
    <w:rsid w:val="003B23E3"/>
    <w:rsid w:val="003B2F0E"/>
    <w:rsid w:val="003B34DE"/>
    <w:rsid w:val="003B41CD"/>
    <w:rsid w:val="003B5752"/>
    <w:rsid w:val="003B5F82"/>
    <w:rsid w:val="003B60D3"/>
    <w:rsid w:val="003B61C4"/>
    <w:rsid w:val="003B6B8C"/>
    <w:rsid w:val="003B7E50"/>
    <w:rsid w:val="003B7FD5"/>
    <w:rsid w:val="003C38B5"/>
    <w:rsid w:val="003C39F2"/>
    <w:rsid w:val="003C5795"/>
    <w:rsid w:val="003C5B1E"/>
    <w:rsid w:val="003C5D99"/>
    <w:rsid w:val="003C60C8"/>
    <w:rsid w:val="003C748C"/>
    <w:rsid w:val="003C7BE5"/>
    <w:rsid w:val="003D0838"/>
    <w:rsid w:val="003D09A4"/>
    <w:rsid w:val="003D0EF0"/>
    <w:rsid w:val="003D2B45"/>
    <w:rsid w:val="003D36A0"/>
    <w:rsid w:val="003D402A"/>
    <w:rsid w:val="003D427E"/>
    <w:rsid w:val="003D6516"/>
    <w:rsid w:val="003D6D9F"/>
    <w:rsid w:val="003E05CB"/>
    <w:rsid w:val="003E06C6"/>
    <w:rsid w:val="003E1705"/>
    <w:rsid w:val="003E498A"/>
    <w:rsid w:val="003E692E"/>
    <w:rsid w:val="003E6CD1"/>
    <w:rsid w:val="003E70D7"/>
    <w:rsid w:val="003E7246"/>
    <w:rsid w:val="003E73FF"/>
    <w:rsid w:val="003E7535"/>
    <w:rsid w:val="003E7796"/>
    <w:rsid w:val="003E7FC9"/>
    <w:rsid w:val="003F0789"/>
    <w:rsid w:val="003F2675"/>
    <w:rsid w:val="003F29D2"/>
    <w:rsid w:val="003F2DF5"/>
    <w:rsid w:val="003F3682"/>
    <w:rsid w:val="003F3EA6"/>
    <w:rsid w:val="003F4486"/>
    <w:rsid w:val="003F4900"/>
    <w:rsid w:val="003F5242"/>
    <w:rsid w:val="003F58A6"/>
    <w:rsid w:val="003F5AA9"/>
    <w:rsid w:val="003F5BBF"/>
    <w:rsid w:val="00401882"/>
    <w:rsid w:val="00402D69"/>
    <w:rsid w:val="00402E81"/>
    <w:rsid w:val="00403C0B"/>
    <w:rsid w:val="00405210"/>
    <w:rsid w:val="0040573D"/>
    <w:rsid w:val="00405DB4"/>
    <w:rsid w:val="0040622F"/>
    <w:rsid w:val="004073FA"/>
    <w:rsid w:val="00407B76"/>
    <w:rsid w:val="004100C8"/>
    <w:rsid w:val="0041099E"/>
    <w:rsid w:val="00410EBB"/>
    <w:rsid w:val="00412ACE"/>
    <w:rsid w:val="00412CEC"/>
    <w:rsid w:val="0041332C"/>
    <w:rsid w:val="00414345"/>
    <w:rsid w:val="00414D87"/>
    <w:rsid w:val="00414E24"/>
    <w:rsid w:val="004154AF"/>
    <w:rsid w:val="00415D93"/>
    <w:rsid w:val="0041608C"/>
    <w:rsid w:val="00416090"/>
    <w:rsid w:val="0041690B"/>
    <w:rsid w:val="0041761D"/>
    <w:rsid w:val="00417E7C"/>
    <w:rsid w:val="004204E1"/>
    <w:rsid w:val="00421114"/>
    <w:rsid w:val="00421E6A"/>
    <w:rsid w:val="004222E5"/>
    <w:rsid w:val="00422514"/>
    <w:rsid w:val="00422859"/>
    <w:rsid w:val="004229A9"/>
    <w:rsid w:val="00423378"/>
    <w:rsid w:val="004260FA"/>
    <w:rsid w:val="00427139"/>
    <w:rsid w:val="00427310"/>
    <w:rsid w:val="00427BFD"/>
    <w:rsid w:val="00427E17"/>
    <w:rsid w:val="004300F2"/>
    <w:rsid w:val="00431249"/>
    <w:rsid w:val="00432182"/>
    <w:rsid w:val="00432B8C"/>
    <w:rsid w:val="0043316B"/>
    <w:rsid w:val="00433537"/>
    <w:rsid w:val="00434C19"/>
    <w:rsid w:val="00434D0B"/>
    <w:rsid w:val="00434E77"/>
    <w:rsid w:val="00437EEE"/>
    <w:rsid w:val="00440110"/>
    <w:rsid w:val="004410B3"/>
    <w:rsid w:val="004429B2"/>
    <w:rsid w:val="00443CA1"/>
    <w:rsid w:val="00443D30"/>
    <w:rsid w:val="004445AF"/>
    <w:rsid w:val="00444805"/>
    <w:rsid w:val="00445D02"/>
    <w:rsid w:val="00446705"/>
    <w:rsid w:val="00447DF9"/>
    <w:rsid w:val="00450810"/>
    <w:rsid w:val="0045123D"/>
    <w:rsid w:val="00452A6E"/>
    <w:rsid w:val="00453DE4"/>
    <w:rsid w:val="0045468E"/>
    <w:rsid w:val="004551E9"/>
    <w:rsid w:val="00455D8C"/>
    <w:rsid w:val="00455EB1"/>
    <w:rsid w:val="00457A0F"/>
    <w:rsid w:val="00460AA7"/>
    <w:rsid w:val="00460CA1"/>
    <w:rsid w:val="00461337"/>
    <w:rsid w:val="004613C7"/>
    <w:rsid w:val="00461BF9"/>
    <w:rsid w:val="004624C5"/>
    <w:rsid w:val="00463099"/>
    <w:rsid w:val="004638F1"/>
    <w:rsid w:val="004642F4"/>
    <w:rsid w:val="00464855"/>
    <w:rsid w:val="0046561D"/>
    <w:rsid w:val="00466600"/>
    <w:rsid w:val="004666E6"/>
    <w:rsid w:val="00466F3B"/>
    <w:rsid w:val="004674C4"/>
    <w:rsid w:val="0046776C"/>
    <w:rsid w:val="004677E9"/>
    <w:rsid w:val="00467DA5"/>
    <w:rsid w:val="00470F68"/>
    <w:rsid w:val="00470F7C"/>
    <w:rsid w:val="00471682"/>
    <w:rsid w:val="00472486"/>
    <w:rsid w:val="00472FA1"/>
    <w:rsid w:val="00473981"/>
    <w:rsid w:val="00473996"/>
    <w:rsid w:val="00474B70"/>
    <w:rsid w:val="004752D9"/>
    <w:rsid w:val="00477144"/>
    <w:rsid w:val="0047761E"/>
    <w:rsid w:val="004777C1"/>
    <w:rsid w:val="004803AD"/>
    <w:rsid w:val="0048170E"/>
    <w:rsid w:val="004819F1"/>
    <w:rsid w:val="004820D9"/>
    <w:rsid w:val="0048219A"/>
    <w:rsid w:val="0048251A"/>
    <w:rsid w:val="00484EBB"/>
    <w:rsid w:val="0048523E"/>
    <w:rsid w:val="0048544A"/>
    <w:rsid w:val="004859F7"/>
    <w:rsid w:val="00485ED4"/>
    <w:rsid w:val="00486425"/>
    <w:rsid w:val="00486437"/>
    <w:rsid w:val="004865FE"/>
    <w:rsid w:val="00486927"/>
    <w:rsid w:val="0049235B"/>
    <w:rsid w:val="00492F4A"/>
    <w:rsid w:val="0049368A"/>
    <w:rsid w:val="00493A8A"/>
    <w:rsid w:val="0049459F"/>
    <w:rsid w:val="00494958"/>
    <w:rsid w:val="00495505"/>
    <w:rsid w:val="00495BB4"/>
    <w:rsid w:val="00496092"/>
    <w:rsid w:val="00496618"/>
    <w:rsid w:val="004968A1"/>
    <w:rsid w:val="004968AB"/>
    <w:rsid w:val="00497117"/>
    <w:rsid w:val="0049725B"/>
    <w:rsid w:val="00497420"/>
    <w:rsid w:val="004A0A94"/>
    <w:rsid w:val="004A0C8E"/>
    <w:rsid w:val="004A125F"/>
    <w:rsid w:val="004A1C69"/>
    <w:rsid w:val="004A3179"/>
    <w:rsid w:val="004A41C8"/>
    <w:rsid w:val="004A428B"/>
    <w:rsid w:val="004A468D"/>
    <w:rsid w:val="004A588F"/>
    <w:rsid w:val="004A5AEA"/>
    <w:rsid w:val="004A5C51"/>
    <w:rsid w:val="004A6236"/>
    <w:rsid w:val="004A79BD"/>
    <w:rsid w:val="004A7D08"/>
    <w:rsid w:val="004B0507"/>
    <w:rsid w:val="004B09AB"/>
    <w:rsid w:val="004B0C74"/>
    <w:rsid w:val="004B0D79"/>
    <w:rsid w:val="004B13CA"/>
    <w:rsid w:val="004B13E9"/>
    <w:rsid w:val="004B1BAF"/>
    <w:rsid w:val="004B1D0C"/>
    <w:rsid w:val="004B36F8"/>
    <w:rsid w:val="004B3C88"/>
    <w:rsid w:val="004B43AE"/>
    <w:rsid w:val="004B44DF"/>
    <w:rsid w:val="004B5244"/>
    <w:rsid w:val="004B5E8C"/>
    <w:rsid w:val="004B6311"/>
    <w:rsid w:val="004B7099"/>
    <w:rsid w:val="004B72B6"/>
    <w:rsid w:val="004C1117"/>
    <w:rsid w:val="004C1526"/>
    <w:rsid w:val="004C16D0"/>
    <w:rsid w:val="004C1A26"/>
    <w:rsid w:val="004C30ED"/>
    <w:rsid w:val="004C5A73"/>
    <w:rsid w:val="004C5E20"/>
    <w:rsid w:val="004C65A8"/>
    <w:rsid w:val="004C7C4A"/>
    <w:rsid w:val="004D01B2"/>
    <w:rsid w:val="004D0835"/>
    <w:rsid w:val="004D08A9"/>
    <w:rsid w:val="004D0FFB"/>
    <w:rsid w:val="004D16C3"/>
    <w:rsid w:val="004D31FC"/>
    <w:rsid w:val="004D474A"/>
    <w:rsid w:val="004D5A26"/>
    <w:rsid w:val="004D5BD1"/>
    <w:rsid w:val="004D65FC"/>
    <w:rsid w:val="004D6B58"/>
    <w:rsid w:val="004D71BA"/>
    <w:rsid w:val="004E11BF"/>
    <w:rsid w:val="004E29B4"/>
    <w:rsid w:val="004E3193"/>
    <w:rsid w:val="004E410C"/>
    <w:rsid w:val="004E4C7C"/>
    <w:rsid w:val="004E4ED6"/>
    <w:rsid w:val="004E5701"/>
    <w:rsid w:val="004E5753"/>
    <w:rsid w:val="004E6CB9"/>
    <w:rsid w:val="004E7224"/>
    <w:rsid w:val="004F3218"/>
    <w:rsid w:val="004F360B"/>
    <w:rsid w:val="004F4CFD"/>
    <w:rsid w:val="004F4FA7"/>
    <w:rsid w:val="004F618C"/>
    <w:rsid w:val="004F636B"/>
    <w:rsid w:val="004F63A8"/>
    <w:rsid w:val="004F6522"/>
    <w:rsid w:val="004F6760"/>
    <w:rsid w:val="004F7763"/>
    <w:rsid w:val="0050052E"/>
    <w:rsid w:val="00500A98"/>
    <w:rsid w:val="005019F9"/>
    <w:rsid w:val="00502304"/>
    <w:rsid w:val="00502A7D"/>
    <w:rsid w:val="00502EEE"/>
    <w:rsid w:val="00502FB3"/>
    <w:rsid w:val="00503998"/>
    <w:rsid w:val="00504DDA"/>
    <w:rsid w:val="00505796"/>
    <w:rsid w:val="0050677D"/>
    <w:rsid w:val="00507227"/>
    <w:rsid w:val="00507334"/>
    <w:rsid w:val="0050780F"/>
    <w:rsid w:val="0051012A"/>
    <w:rsid w:val="005108EF"/>
    <w:rsid w:val="00510BCE"/>
    <w:rsid w:val="00510E16"/>
    <w:rsid w:val="005111E8"/>
    <w:rsid w:val="00511429"/>
    <w:rsid w:val="00511C08"/>
    <w:rsid w:val="00512D4C"/>
    <w:rsid w:val="00514B47"/>
    <w:rsid w:val="00514CA9"/>
    <w:rsid w:val="00514F25"/>
    <w:rsid w:val="00517BDD"/>
    <w:rsid w:val="00520974"/>
    <w:rsid w:val="00521CCB"/>
    <w:rsid w:val="00522749"/>
    <w:rsid w:val="00522B35"/>
    <w:rsid w:val="00523639"/>
    <w:rsid w:val="005244E3"/>
    <w:rsid w:val="00524DAE"/>
    <w:rsid w:val="00524E59"/>
    <w:rsid w:val="00525785"/>
    <w:rsid w:val="00526A8F"/>
    <w:rsid w:val="00527127"/>
    <w:rsid w:val="00533681"/>
    <w:rsid w:val="005341CB"/>
    <w:rsid w:val="005351EB"/>
    <w:rsid w:val="00535786"/>
    <w:rsid w:val="005373D7"/>
    <w:rsid w:val="0054032F"/>
    <w:rsid w:val="005407CC"/>
    <w:rsid w:val="00540A14"/>
    <w:rsid w:val="00541F17"/>
    <w:rsid w:val="00542723"/>
    <w:rsid w:val="00543509"/>
    <w:rsid w:val="00543DD6"/>
    <w:rsid w:val="00543FAD"/>
    <w:rsid w:val="00544082"/>
    <w:rsid w:val="005463E9"/>
    <w:rsid w:val="00546ADE"/>
    <w:rsid w:val="00550459"/>
    <w:rsid w:val="005506CB"/>
    <w:rsid w:val="00552550"/>
    <w:rsid w:val="00552F1F"/>
    <w:rsid w:val="00553F54"/>
    <w:rsid w:val="00554896"/>
    <w:rsid w:val="00554B21"/>
    <w:rsid w:val="00554F31"/>
    <w:rsid w:val="005550D0"/>
    <w:rsid w:val="00555120"/>
    <w:rsid w:val="0055571E"/>
    <w:rsid w:val="005607C5"/>
    <w:rsid w:val="005613CA"/>
    <w:rsid w:val="005618B3"/>
    <w:rsid w:val="00561A56"/>
    <w:rsid w:val="00561F4A"/>
    <w:rsid w:val="005624FF"/>
    <w:rsid w:val="00562635"/>
    <w:rsid w:val="00562FA1"/>
    <w:rsid w:val="00563628"/>
    <w:rsid w:val="00565E87"/>
    <w:rsid w:val="00566AF3"/>
    <w:rsid w:val="00566B61"/>
    <w:rsid w:val="00566C18"/>
    <w:rsid w:val="00567146"/>
    <w:rsid w:val="0056796E"/>
    <w:rsid w:val="00571A22"/>
    <w:rsid w:val="00573E01"/>
    <w:rsid w:val="00574066"/>
    <w:rsid w:val="005744C9"/>
    <w:rsid w:val="00574B38"/>
    <w:rsid w:val="005753AF"/>
    <w:rsid w:val="00575993"/>
    <w:rsid w:val="00575B68"/>
    <w:rsid w:val="00575E6C"/>
    <w:rsid w:val="00576470"/>
    <w:rsid w:val="005774E6"/>
    <w:rsid w:val="0058011F"/>
    <w:rsid w:val="00580AC2"/>
    <w:rsid w:val="00581167"/>
    <w:rsid w:val="0058216C"/>
    <w:rsid w:val="005825C5"/>
    <w:rsid w:val="00582BE0"/>
    <w:rsid w:val="00583679"/>
    <w:rsid w:val="00583C39"/>
    <w:rsid w:val="00585651"/>
    <w:rsid w:val="00585AB2"/>
    <w:rsid w:val="005861D6"/>
    <w:rsid w:val="00587C1D"/>
    <w:rsid w:val="00587D51"/>
    <w:rsid w:val="005909CF"/>
    <w:rsid w:val="00590C82"/>
    <w:rsid w:val="0059107B"/>
    <w:rsid w:val="00591CE8"/>
    <w:rsid w:val="00591E71"/>
    <w:rsid w:val="005921CE"/>
    <w:rsid w:val="0059274B"/>
    <w:rsid w:val="0059321D"/>
    <w:rsid w:val="00593565"/>
    <w:rsid w:val="005936B3"/>
    <w:rsid w:val="00593A27"/>
    <w:rsid w:val="00595E05"/>
    <w:rsid w:val="00595E94"/>
    <w:rsid w:val="005961EF"/>
    <w:rsid w:val="0059657B"/>
    <w:rsid w:val="00596933"/>
    <w:rsid w:val="00597067"/>
    <w:rsid w:val="005A05A3"/>
    <w:rsid w:val="005A0FD9"/>
    <w:rsid w:val="005A1449"/>
    <w:rsid w:val="005A14B2"/>
    <w:rsid w:val="005A15F4"/>
    <w:rsid w:val="005A1A3E"/>
    <w:rsid w:val="005A1BAE"/>
    <w:rsid w:val="005A2BEB"/>
    <w:rsid w:val="005A30EC"/>
    <w:rsid w:val="005A5743"/>
    <w:rsid w:val="005A6D51"/>
    <w:rsid w:val="005A7850"/>
    <w:rsid w:val="005B0A94"/>
    <w:rsid w:val="005B0D75"/>
    <w:rsid w:val="005B0E5C"/>
    <w:rsid w:val="005B2C83"/>
    <w:rsid w:val="005B5009"/>
    <w:rsid w:val="005B69AB"/>
    <w:rsid w:val="005C041A"/>
    <w:rsid w:val="005C1D56"/>
    <w:rsid w:val="005C42C6"/>
    <w:rsid w:val="005C467E"/>
    <w:rsid w:val="005C5BF2"/>
    <w:rsid w:val="005C5DCE"/>
    <w:rsid w:val="005C5F76"/>
    <w:rsid w:val="005C60EF"/>
    <w:rsid w:val="005C61F2"/>
    <w:rsid w:val="005C7BF0"/>
    <w:rsid w:val="005C7CE7"/>
    <w:rsid w:val="005D0EE7"/>
    <w:rsid w:val="005D1193"/>
    <w:rsid w:val="005D15EF"/>
    <w:rsid w:val="005D195D"/>
    <w:rsid w:val="005D310D"/>
    <w:rsid w:val="005D3ADC"/>
    <w:rsid w:val="005D3B8D"/>
    <w:rsid w:val="005D46BA"/>
    <w:rsid w:val="005D4DB8"/>
    <w:rsid w:val="005D4E2E"/>
    <w:rsid w:val="005D6473"/>
    <w:rsid w:val="005D6513"/>
    <w:rsid w:val="005D681A"/>
    <w:rsid w:val="005D6CC0"/>
    <w:rsid w:val="005D6CD7"/>
    <w:rsid w:val="005D7553"/>
    <w:rsid w:val="005D7AEA"/>
    <w:rsid w:val="005D7CC6"/>
    <w:rsid w:val="005E0A05"/>
    <w:rsid w:val="005E0BE5"/>
    <w:rsid w:val="005E0FBA"/>
    <w:rsid w:val="005E1111"/>
    <w:rsid w:val="005E14BA"/>
    <w:rsid w:val="005E160B"/>
    <w:rsid w:val="005E21D5"/>
    <w:rsid w:val="005E2230"/>
    <w:rsid w:val="005E2F3C"/>
    <w:rsid w:val="005E31ED"/>
    <w:rsid w:val="005E3CFC"/>
    <w:rsid w:val="005E3E9F"/>
    <w:rsid w:val="005E43E4"/>
    <w:rsid w:val="005E5287"/>
    <w:rsid w:val="005E5C81"/>
    <w:rsid w:val="005E6080"/>
    <w:rsid w:val="005E6485"/>
    <w:rsid w:val="005E7525"/>
    <w:rsid w:val="005E753E"/>
    <w:rsid w:val="005E7E65"/>
    <w:rsid w:val="005F00EE"/>
    <w:rsid w:val="005F06B8"/>
    <w:rsid w:val="005F0CAE"/>
    <w:rsid w:val="005F2466"/>
    <w:rsid w:val="005F2676"/>
    <w:rsid w:val="005F2950"/>
    <w:rsid w:val="005F3D90"/>
    <w:rsid w:val="005F4371"/>
    <w:rsid w:val="005F4B34"/>
    <w:rsid w:val="005F4C4B"/>
    <w:rsid w:val="005F50E7"/>
    <w:rsid w:val="005F51EA"/>
    <w:rsid w:val="005F68BF"/>
    <w:rsid w:val="005F7D16"/>
    <w:rsid w:val="00601453"/>
    <w:rsid w:val="0060197B"/>
    <w:rsid w:val="00601AC8"/>
    <w:rsid w:val="00602B50"/>
    <w:rsid w:val="00603CD2"/>
    <w:rsid w:val="00603F94"/>
    <w:rsid w:val="00604115"/>
    <w:rsid w:val="006042EA"/>
    <w:rsid w:val="00604E91"/>
    <w:rsid w:val="00606678"/>
    <w:rsid w:val="00606761"/>
    <w:rsid w:val="00606CF7"/>
    <w:rsid w:val="00607A28"/>
    <w:rsid w:val="00607BF1"/>
    <w:rsid w:val="00607E47"/>
    <w:rsid w:val="00610745"/>
    <w:rsid w:val="00611485"/>
    <w:rsid w:val="00612514"/>
    <w:rsid w:val="00612ACA"/>
    <w:rsid w:val="00612F6B"/>
    <w:rsid w:val="006139BD"/>
    <w:rsid w:val="00614443"/>
    <w:rsid w:val="006145D7"/>
    <w:rsid w:val="00614922"/>
    <w:rsid w:val="00615081"/>
    <w:rsid w:val="006163FB"/>
    <w:rsid w:val="00616971"/>
    <w:rsid w:val="00616B04"/>
    <w:rsid w:val="00617CD2"/>
    <w:rsid w:val="006219A9"/>
    <w:rsid w:val="00621BA4"/>
    <w:rsid w:val="00622532"/>
    <w:rsid w:val="00622633"/>
    <w:rsid w:val="00622EF9"/>
    <w:rsid w:val="00623296"/>
    <w:rsid w:val="00623393"/>
    <w:rsid w:val="0062385E"/>
    <w:rsid w:val="00623AA7"/>
    <w:rsid w:val="00623B44"/>
    <w:rsid w:val="00626817"/>
    <w:rsid w:val="00627002"/>
    <w:rsid w:val="006271FD"/>
    <w:rsid w:val="0062725E"/>
    <w:rsid w:val="00630452"/>
    <w:rsid w:val="006304FF"/>
    <w:rsid w:val="00630D4D"/>
    <w:rsid w:val="00630FE9"/>
    <w:rsid w:val="006310CA"/>
    <w:rsid w:val="0063148D"/>
    <w:rsid w:val="00632A74"/>
    <w:rsid w:val="0063315C"/>
    <w:rsid w:val="00633BF0"/>
    <w:rsid w:val="00633C61"/>
    <w:rsid w:val="00634142"/>
    <w:rsid w:val="006347CB"/>
    <w:rsid w:val="0063555C"/>
    <w:rsid w:val="006359A6"/>
    <w:rsid w:val="00636C45"/>
    <w:rsid w:val="00636E54"/>
    <w:rsid w:val="00637303"/>
    <w:rsid w:val="00637AA7"/>
    <w:rsid w:val="00637E3E"/>
    <w:rsid w:val="00640951"/>
    <w:rsid w:val="00640C84"/>
    <w:rsid w:val="00642143"/>
    <w:rsid w:val="0064224C"/>
    <w:rsid w:val="0064270B"/>
    <w:rsid w:val="006427BE"/>
    <w:rsid w:val="00642931"/>
    <w:rsid w:val="00642B99"/>
    <w:rsid w:val="00643EB5"/>
    <w:rsid w:val="00644B84"/>
    <w:rsid w:val="0064675E"/>
    <w:rsid w:val="00647218"/>
    <w:rsid w:val="00650155"/>
    <w:rsid w:val="006523EC"/>
    <w:rsid w:val="00653592"/>
    <w:rsid w:val="00655258"/>
    <w:rsid w:val="00655BA5"/>
    <w:rsid w:val="00657159"/>
    <w:rsid w:val="00657D16"/>
    <w:rsid w:val="00663469"/>
    <w:rsid w:val="0066437F"/>
    <w:rsid w:val="00664EEA"/>
    <w:rsid w:val="00665327"/>
    <w:rsid w:val="00666EA6"/>
    <w:rsid w:val="006671DC"/>
    <w:rsid w:val="006716C9"/>
    <w:rsid w:val="00671CD8"/>
    <w:rsid w:val="00671F59"/>
    <w:rsid w:val="00675FBB"/>
    <w:rsid w:val="00676DFA"/>
    <w:rsid w:val="0068015B"/>
    <w:rsid w:val="006823F3"/>
    <w:rsid w:val="0068269E"/>
    <w:rsid w:val="00683726"/>
    <w:rsid w:val="00683C9E"/>
    <w:rsid w:val="00684BF2"/>
    <w:rsid w:val="00685AB0"/>
    <w:rsid w:val="006876EC"/>
    <w:rsid w:val="00690AAC"/>
    <w:rsid w:val="00690BA1"/>
    <w:rsid w:val="00690C3D"/>
    <w:rsid w:val="00690D3D"/>
    <w:rsid w:val="00690FBB"/>
    <w:rsid w:val="00691CCA"/>
    <w:rsid w:val="0069303A"/>
    <w:rsid w:val="00693B20"/>
    <w:rsid w:val="00693ED2"/>
    <w:rsid w:val="006941EF"/>
    <w:rsid w:val="006948D3"/>
    <w:rsid w:val="00694A41"/>
    <w:rsid w:val="00694ECA"/>
    <w:rsid w:val="00696E8F"/>
    <w:rsid w:val="00697A14"/>
    <w:rsid w:val="00697AB7"/>
    <w:rsid w:val="00697F3C"/>
    <w:rsid w:val="006A121D"/>
    <w:rsid w:val="006A1378"/>
    <w:rsid w:val="006A1A6D"/>
    <w:rsid w:val="006A342C"/>
    <w:rsid w:val="006A3A02"/>
    <w:rsid w:val="006A4655"/>
    <w:rsid w:val="006A497A"/>
    <w:rsid w:val="006A4AC1"/>
    <w:rsid w:val="006A4ADE"/>
    <w:rsid w:val="006A4F4B"/>
    <w:rsid w:val="006A5252"/>
    <w:rsid w:val="006A5458"/>
    <w:rsid w:val="006A5BD1"/>
    <w:rsid w:val="006A630F"/>
    <w:rsid w:val="006A72C7"/>
    <w:rsid w:val="006A72F3"/>
    <w:rsid w:val="006A78F9"/>
    <w:rsid w:val="006A79E8"/>
    <w:rsid w:val="006B0097"/>
    <w:rsid w:val="006B09AC"/>
    <w:rsid w:val="006B1C65"/>
    <w:rsid w:val="006B1FBB"/>
    <w:rsid w:val="006B2986"/>
    <w:rsid w:val="006B2F49"/>
    <w:rsid w:val="006B3FD9"/>
    <w:rsid w:val="006B46CD"/>
    <w:rsid w:val="006B4A51"/>
    <w:rsid w:val="006B57EC"/>
    <w:rsid w:val="006B6FBF"/>
    <w:rsid w:val="006B7C57"/>
    <w:rsid w:val="006B7CE5"/>
    <w:rsid w:val="006C0101"/>
    <w:rsid w:val="006C0414"/>
    <w:rsid w:val="006C1533"/>
    <w:rsid w:val="006C1591"/>
    <w:rsid w:val="006C2413"/>
    <w:rsid w:val="006C2B2C"/>
    <w:rsid w:val="006C32E0"/>
    <w:rsid w:val="006C3849"/>
    <w:rsid w:val="006C4018"/>
    <w:rsid w:val="006C403B"/>
    <w:rsid w:val="006C4BAA"/>
    <w:rsid w:val="006C596A"/>
    <w:rsid w:val="006C6CE4"/>
    <w:rsid w:val="006C7038"/>
    <w:rsid w:val="006C7BA0"/>
    <w:rsid w:val="006D0181"/>
    <w:rsid w:val="006D049E"/>
    <w:rsid w:val="006D05D7"/>
    <w:rsid w:val="006D284F"/>
    <w:rsid w:val="006D4626"/>
    <w:rsid w:val="006D490A"/>
    <w:rsid w:val="006D5013"/>
    <w:rsid w:val="006D6757"/>
    <w:rsid w:val="006D694E"/>
    <w:rsid w:val="006D7AC2"/>
    <w:rsid w:val="006E0130"/>
    <w:rsid w:val="006E1786"/>
    <w:rsid w:val="006E1D5A"/>
    <w:rsid w:val="006E1D76"/>
    <w:rsid w:val="006E1F85"/>
    <w:rsid w:val="006E26B9"/>
    <w:rsid w:val="006E325B"/>
    <w:rsid w:val="006E4606"/>
    <w:rsid w:val="006E5306"/>
    <w:rsid w:val="006E563C"/>
    <w:rsid w:val="006E568B"/>
    <w:rsid w:val="006E5690"/>
    <w:rsid w:val="006E5948"/>
    <w:rsid w:val="006E62E7"/>
    <w:rsid w:val="006E655D"/>
    <w:rsid w:val="006E6589"/>
    <w:rsid w:val="006E73EF"/>
    <w:rsid w:val="006F09DF"/>
    <w:rsid w:val="006F114C"/>
    <w:rsid w:val="006F17E5"/>
    <w:rsid w:val="006F1AA5"/>
    <w:rsid w:val="006F1FB8"/>
    <w:rsid w:val="006F2B7F"/>
    <w:rsid w:val="006F328C"/>
    <w:rsid w:val="006F34E3"/>
    <w:rsid w:val="006F427C"/>
    <w:rsid w:val="006F48F0"/>
    <w:rsid w:val="006F4EC9"/>
    <w:rsid w:val="006F542B"/>
    <w:rsid w:val="006F5ABF"/>
    <w:rsid w:val="006F6131"/>
    <w:rsid w:val="006F6309"/>
    <w:rsid w:val="006F6A9E"/>
    <w:rsid w:val="006F6E8E"/>
    <w:rsid w:val="006F7F57"/>
    <w:rsid w:val="007003B7"/>
    <w:rsid w:val="00701B7E"/>
    <w:rsid w:val="007024C1"/>
    <w:rsid w:val="00702F32"/>
    <w:rsid w:val="0070349E"/>
    <w:rsid w:val="0070396B"/>
    <w:rsid w:val="007044B1"/>
    <w:rsid w:val="0070484D"/>
    <w:rsid w:val="007060AE"/>
    <w:rsid w:val="00706E08"/>
    <w:rsid w:val="00710BC1"/>
    <w:rsid w:val="00711060"/>
    <w:rsid w:val="00712232"/>
    <w:rsid w:val="00712DE4"/>
    <w:rsid w:val="00713319"/>
    <w:rsid w:val="0071398D"/>
    <w:rsid w:val="00714566"/>
    <w:rsid w:val="00714D54"/>
    <w:rsid w:val="00715EC8"/>
    <w:rsid w:val="00720395"/>
    <w:rsid w:val="00720BE3"/>
    <w:rsid w:val="007228C4"/>
    <w:rsid w:val="00723702"/>
    <w:rsid w:val="0072374B"/>
    <w:rsid w:val="00723D28"/>
    <w:rsid w:val="007254F6"/>
    <w:rsid w:val="007263DA"/>
    <w:rsid w:val="00730F53"/>
    <w:rsid w:val="00731EA4"/>
    <w:rsid w:val="00732424"/>
    <w:rsid w:val="00734ACC"/>
    <w:rsid w:val="0073573C"/>
    <w:rsid w:val="00737678"/>
    <w:rsid w:val="00737E89"/>
    <w:rsid w:val="007403E3"/>
    <w:rsid w:val="0074057F"/>
    <w:rsid w:val="0074176A"/>
    <w:rsid w:val="00743BBA"/>
    <w:rsid w:val="00744D0C"/>
    <w:rsid w:val="007461B4"/>
    <w:rsid w:val="0074659A"/>
    <w:rsid w:val="00747080"/>
    <w:rsid w:val="00747782"/>
    <w:rsid w:val="0074784E"/>
    <w:rsid w:val="00747B23"/>
    <w:rsid w:val="00747FD4"/>
    <w:rsid w:val="00752F38"/>
    <w:rsid w:val="00754BD5"/>
    <w:rsid w:val="00754E3F"/>
    <w:rsid w:val="007561E8"/>
    <w:rsid w:val="00756C13"/>
    <w:rsid w:val="00757811"/>
    <w:rsid w:val="00757EF4"/>
    <w:rsid w:val="007604BB"/>
    <w:rsid w:val="00760A9A"/>
    <w:rsid w:val="00760DBE"/>
    <w:rsid w:val="0076225A"/>
    <w:rsid w:val="00762897"/>
    <w:rsid w:val="00763663"/>
    <w:rsid w:val="00763FCD"/>
    <w:rsid w:val="0076407E"/>
    <w:rsid w:val="00765538"/>
    <w:rsid w:val="00766416"/>
    <w:rsid w:val="007670B9"/>
    <w:rsid w:val="00767DE8"/>
    <w:rsid w:val="0077002F"/>
    <w:rsid w:val="007726C1"/>
    <w:rsid w:val="0077272F"/>
    <w:rsid w:val="0077384B"/>
    <w:rsid w:val="007742F4"/>
    <w:rsid w:val="007754EC"/>
    <w:rsid w:val="007773D3"/>
    <w:rsid w:val="00780741"/>
    <w:rsid w:val="00781848"/>
    <w:rsid w:val="00781F7A"/>
    <w:rsid w:val="00782BA2"/>
    <w:rsid w:val="00783647"/>
    <w:rsid w:val="007838F8"/>
    <w:rsid w:val="007847CD"/>
    <w:rsid w:val="00785831"/>
    <w:rsid w:val="00786016"/>
    <w:rsid w:val="00786CFB"/>
    <w:rsid w:val="00786DDC"/>
    <w:rsid w:val="00787CCC"/>
    <w:rsid w:val="007906C1"/>
    <w:rsid w:val="00791236"/>
    <w:rsid w:val="007914AB"/>
    <w:rsid w:val="007914AD"/>
    <w:rsid w:val="0079190C"/>
    <w:rsid w:val="00791B3D"/>
    <w:rsid w:val="007924F8"/>
    <w:rsid w:val="0079518E"/>
    <w:rsid w:val="00795920"/>
    <w:rsid w:val="00797626"/>
    <w:rsid w:val="0079796C"/>
    <w:rsid w:val="007A1CA1"/>
    <w:rsid w:val="007A21EB"/>
    <w:rsid w:val="007A2E6E"/>
    <w:rsid w:val="007A6287"/>
    <w:rsid w:val="007A686A"/>
    <w:rsid w:val="007A7030"/>
    <w:rsid w:val="007A7C36"/>
    <w:rsid w:val="007B02AA"/>
    <w:rsid w:val="007B0A85"/>
    <w:rsid w:val="007B0ADE"/>
    <w:rsid w:val="007B2C44"/>
    <w:rsid w:val="007B35BD"/>
    <w:rsid w:val="007B4363"/>
    <w:rsid w:val="007B51C5"/>
    <w:rsid w:val="007B738B"/>
    <w:rsid w:val="007B78AE"/>
    <w:rsid w:val="007B7C30"/>
    <w:rsid w:val="007C00C7"/>
    <w:rsid w:val="007C33B1"/>
    <w:rsid w:val="007C3594"/>
    <w:rsid w:val="007C36C9"/>
    <w:rsid w:val="007C6C4F"/>
    <w:rsid w:val="007C779C"/>
    <w:rsid w:val="007D05EB"/>
    <w:rsid w:val="007D2ABF"/>
    <w:rsid w:val="007D2FA5"/>
    <w:rsid w:val="007D2FED"/>
    <w:rsid w:val="007D34B4"/>
    <w:rsid w:val="007D62BF"/>
    <w:rsid w:val="007D6897"/>
    <w:rsid w:val="007D7A58"/>
    <w:rsid w:val="007E01E4"/>
    <w:rsid w:val="007E01FA"/>
    <w:rsid w:val="007E0A94"/>
    <w:rsid w:val="007E1D5F"/>
    <w:rsid w:val="007E391A"/>
    <w:rsid w:val="007E46E5"/>
    <w:rsid w:val="007E578D"/>
    <w:rsid w:val="007E590E"/>
    <w:rsid w:val="007E67D0"/>
    <w:rsid w:val="007E726A"/>
    <w:rsid w:val="007E7699"/>
    <w:rsid w:val="007E7A72"/>
    <w:rsid w:val="007E7D0E"/>
    <w:rsid w:val="007E7D99"/>
    <w:rsid w:val="007F0653"/>
    <w:rsid w:val="007F0FC8"/>
    <w:rsid w:val="007F2F5D"/>
    <w:rsid w:val="007F3717"/>
    <w:rsid w:val="007F3BF8"/>
    <w:rsid w:val="007F46E2"/>
    <w:rsid w:val="007F5210"/>
    <w:rsid w:val="007F5464"/>
    <w:rsid w:val="007F6EE4"/>
    <w:rsid w:val="007F7107"/>
    <w:rsid w:val="007F7819"/>
    <w:rsid w:val="007F78D3"/>
    <w:rsid w:val="007F7BAF"/>
    <w:rsid w:val="00800683"/>
    <w:rsid w:val="00800756"/>
    <w:rsid w:val="00801B37"/>
    <w:rsid w:val="0080223B"/>
    <w:rsid w:val="00802DAB"/>
    <w:rsid w:val="00803CE3"/>
    <w:rsid w:val="008040A8"/>
    <w:rsid w:val="008045A1"/>
    <w:rsid w:val="00807324"/>
    <w:rsid w:val="0081030F"/>
    <w:rsid w:val="00812029"/>
    <w:rsid w:val="008138DB"/>
    <w:rsid w:val="008143CC"/>
    <w:rsid w:val="00814483"/>
    <w:rsid w:val="008147E6"/>
    <w:rsid w:val="0081601E"/>
    <w:rsid w:val="008161D2"/>
    <w:rsid w:val="00817D9F"/>
    <w:rsid w:val="0082087D"/>
    <w:rsid w:val="00820A1D"/>
    <w:rsid w:val="00820AFA"/>
    <w:rsid w:val="008227EB"/>
    <w:rsid w:val="008230B6"/>
    <w:rsid w:val="00824B5D"/>
    <w:rsid w:val="00824BAE"/>
    <w:rsid w:val="008264BF"/>
    <w:rsid w:val="0083041F"/>
    <w:rsid w:val="008331F4"/>
    <w:rsid w:val="00833298"/>
    <w:rsid w:val="00833598"/>
    <w:rsid w:val="0083372F"/>
    <w:rsid w:val="00833DB5"/>
    <w:rsid w:val="008340DF"/>
    <w:rsid w:val="0083637A"/>
    <w:rsid w:val="0083737F"/>
    <w:rsid w:val="00837DDA"/>
    <w:rsid w:val="00840640"/>
    <w:rsid w:val="00840B0E"/>
    <w:rsid w:val="00840D03"/>
    <w:rsid w:val="00841078"/>
    <w:rsid w:val="0084169A"/>
    <w:rsid w:val="008417BC"/>
    <w:rsid w:val="0084218E"/>
    <w:rsid w:val="00844B1E"/>
    <w:rsid w:val="00845FB2"/>
    <w:rsid w:val="00846038"/>
    <w:rsid w:val="008462B5"/>
    <w:rsid w:val="0084664C"/>
    <w:rsid w:val="00846F59"/>
    <w:rsid w:val="008502C5"/>
    <w:rsid w:val="008505DE"/>
    <w:rsid w:val="008505ED"/>
    <w:rsid w:val="0085103F"/>
    <w:rsid w:val="008528E4"/>
    <w:rsid w:val="008535C4"/>
    <w:rsid w:val="00853792"/>
    <w:rsid w:val="00853AB5"/>
    <w:rsid w:val="00854712"/>
    <w:rsid w:val="00854AE3"/>
    <w:rsid w:val="008555B2"/>
    <w:rsid w:val="00857161"/>
    <w:rsid w:val="00860163"/>
    <w:rsid w:val="0086082C"/>
    <w:rsid w:val="00860D6B"/>
    <w:rsid w:val="00861FA2"/>
    <w:rsid w:val="008623B7"/>
    <w:rsid w:val="0086247A"/>
    <w:rsid w:val="00862577"/>
    <w:rsid w:val="00863844"/>
    <w:rsid w:val="00863AD1"/>
    <w:rsid w:val="00863B8D"/>
    <w:rsid w:val="00863E19"/>
    <w:rsid w:val="00864ADC"/>
    <w:rsid w:val="00865EFC"/>
    <w:rsid w:val="008660A6"/>
    <w:rsid w:val="00866A23"/>
    <w:rsid w:val="008705C8"/>
    <w:rsid w:val="008714B7"/>
    <w:rsid w:val="00871DC1"/>
    <w:rsid w:val="00872329"/>
    <w:rsid w:val="008731DA"/>
    <w:rsid w:val="00873434"/>
    <w:rsid w:val="00873D8A"/>
    <w:rsid w:val="008742E8"/>
    <w:rsid w:val="00875F08"/>
    <w:rsid w:val="00875FB4"/>
    <w:rsid w:val="00876B6B"/>
    <w:rsid w:val="008777B3"/>
    <w:rsid w:val="00877B6F"/>
    <w:rsid w:val="00877FF2"/>
    <w:rsid w:val="00880153"/>
    <w:rsid w:val="00880F97"/>
    <w:rsid w:val="0088133A"/>
    <w:rsid w:val="00882144"/>
    <w:rsid w:val="00882BB6"/>
    <w:rsid w:val="0088335B"/>
    <w:rsid w:val="008846F4"/>
    <w:rsid w:val="00884B27"/>
    <w:rsid w:val="00884C61"/>
    <w:rsid w:val="008857E8"/>
    <w:rsid w:val="00885E99"/>
    <w:rsid w:val="00890B3D"/>
    <w:rsid w:val="0089155B"/>
    <w:rsid w:val="0089285E"/>
    <w:rsid w:val="008939D6"/>
    <w:rsid w:val="00893B40"/>
    <w:rsid w:val="0089436C"/>
    <w:rsid w:val="008950EC"/>
    <w:rsid w:val="00895374"/>
    <w:rsid w:val="008953B9"/>
    <w:rsid w:val="0089541F"/>
    <w:rsid w:val="0089747A"/>
    <w:rsid w:val="008A04C6"/>
    <w:rsid w:val="008A06A6"/>
    <w:rsid w:val="008A0838"/>
    <w:rsid w:val="008A0999"/>
    <w:rsid w:val="008A12EB"/>
    <w:rsid w:val="008A1BFD"/>
    <w:rsid w:val="008A2C06"/>
    <w:rsid w:val="008A41A0"/>
    <w:rsid w:val="008A59BE"/>
    <w:rsid w:val="008B02FA"/>
    <w:rsid w:val="008B2F04"/>
    <w:rsid w:val="008B587C"/>
    <w:rsid w:val="008B5CC7"/>
    <w:rsid w:val="008B6464"/>
    <w:rsid w:val="008B69D4"/>
    <w:rsid w:val="008B74A7"/>
    <w:rsid w:val="008C1C55"/>
    <w:rsid w:val="008C1E4F"/>
    <w:rsid w:val="008C29C8"/>
    <w:rsid w:val="008C30D0"/>
    <w:rsid w:val="008C3BA6"/>
    <w:rsid w:val="008C43D9"/>
    <w:rsid w:val="008C44AD"/>
    <w:rsid w:val="008C4ED0"/>
    <w:rsid w:val="008C654F"/>
    <w:rsid w:val="008C742D"/>
    <w:rsid w:val="008C77F6"/>
    <w:rsid w:val="008D0853"/>
    <w:rsid w:val="008D0A49"/>
    <w:rsid w:val="008D1331"/>
    <w:rsid w:val="008D135A"/>
    <w:rsid w:val="008D379A"/>
    <w:rsid w:val="008D3CD5"/>
    <w:rsid w:val="008D5183"/>
    <w:rsid w:val="008D53DA"/>
    <w:rsid w:val="008D5B18"/>
    <w:rsid w:val="008D5B24"/>
    <w:rsid w:val="008E114A"/>
    <w:rsid w:val="008E15F4"/>
    <w:rsid w:val="008E4019"/>
    <w:rsid w:val="008E40E9"/>
    <w:rsid w:val="008E4C37"/>
    <w:rsid w:val="008E5843"/>
    <w:rsid w:val="008E5926"/>
    <w:rsid w:val="008E6CE1"/>
    <w:rsid w:val="008E7B36"/>
    <w:rsid w:val="008F0148"/>
    <w:rsid w:val="008F0342"/>
    <w:rsid w:val="008F1519"/>
    <w:rsid w:val="008F1A76"/>
    <w:rsid w:val="008F56FA"/>
    <w:rsid w:val="008F788E"/>
    <w:rsid w:val="008F7A04"/>
    <w:rsid w:val="008F7F9A"/>
    <w:rsid w:val="008F7FEF"/>
    <w:rsid w:val="009007BD"/>
    <w:rsid w:val="00900EDF"/>
    <w:rsid w:val="00900F14"/>
    <w:rsid w:val="00901251"/>
    <w:rsid w:val="00901815"/>
    <w:rsid w:val="00901877"/>
    <w:rsid w:val="00902DBC"/>
    <w:rsid w:val="009030BF"/>
    <w:rsid w:val="00904C1A"/>
    <w:rsid w:val="00905ACB"/>
    <w:rsid w:val="00906362"/>
    <w:rsid w:val="0090696A"/>
    <w:rsid w:val="00906A27"/>
    <w:rsid w:val="00906C88"/>
    <w:rsid w:val="00907913"/>
    <w:rsid w:val="00910AFE"/>
    <w:rsid w:val="00910D1F"/>
    <w:rsid w:val="0091135F"/>
    <w:rsid w:val="0091295E"/>
    <w:rsid w:val="00914368"/>
    <w:rsid w:val="00914738"/>
    <w:rsid w:val="009148F7"/>
    <w:rsid w:val="00916FE2"/>
    <w:rsid w:val="00917D1B"/>
    <w:rsid w:val="00917FBE"/>
    <w:rsid w:val="00920D8C"/>
    <w:rsid w:val="00921790"/>
    <w:rsid w:val="0092261C"/>
    <w:rsid w:val="00922F3B"/>
    <w:rsid w:val="009244AB"/>
    <w:rsid w:val="00924AB3"/>
    <w:rsid w:val="0092582A"/>
    <w:rsid w:val="00926315"/>
    <w:rsid w:val="00926852"/>
    <w:rsid w:val="00926A34"/>
    <w:rsid w:val="00927459"/>
    <w:rsid w:val="00927989"/>
    <w:rsid w:val="00927F3B"/>
    <w:rsid w:val="00931076"/>
    <w:rsid w:val="009324A4"/>
    <w:rsid w:val="00932AD7"/>
    <w:rsid w:val="00932D38"/>
    <w:rsid w:val="00933B54"/>
    <w:rsid w:val="00933EEE"/>
    <w:rsid w:val="0093447A"/>
    <w:rsid w:val="009345D9"/>
    <w:rsid w:val="00934B15"/>
    <w:rsid w:val="00934D67"/>
    <w:rsid w:val="00935053"/>
    <w:rsid w:val="009355DD"/>
    <w:rsid w:val="009358DF"/>
    <w:rsid w:val="00935F60"/>
    <w:rsid w:val="0093607F"/>
    <w:rsid w:val="009363DE"/>
    <w:rsid w:val="00936B7E"/>
    <w:rsid w:val="00936E1D"/>
    <w:rsid w:val="00936F7F"/>
    <w:rsid w:val="009370D4"/>
    <w:rsid w:val="0093778D"/>
    <w:rsid w:val="00937E0A"/>
    <w:rsid w:val="009402E7"/>
    <w:rsid w:val="00941472"/>
    <w:rsid w:val="00941525"/>
    <w:rsid w:val="00941B50"/>
    <w:rsid w:val="009423CF"/>
    <w:rsid w:val="00942B62"/>
    <w:rsid w:val="00943397"/>
    <w:rsid w:val="00943802"/>
    <w:rsid w:val="00944007"/>
    <w:rsid w:val="00944082"/>
    <w:rsid w:val="00944125"/>
    <w:rsid w:val="009441ED"/>
    <w:rsid w:val="0094542A"/>
    <w:rsid w:val="0094585E"/>
    <w:rsid w:val="00945AE7"/>
    <w:rsid w:val="00945FA2"/>
    <w:rsid w:val="00946583"/>
    <w:rsid w:val="00946CB3"/>
    <w:rsid w:val="00946D7B"/>
    <w:rsid w:val="00947BE5"/>
    <w:rsid w:val="00950061"/>
    <w:rsid w:val="0095179A"/>
    <w:rsid w:val="009521EF"/>
    <w:rsid w:val="009529D7"/>
    <w:rsid w:val="00952A1B"/>
    <w:rsid w:val="0095393D"/>
    <w:rsid w:val="00953F5B"/>
    <w:rsid w:val="009558C3"/>
    <w:rsid w:val="00956A0C"/>
    <w:rsid w:val="00956BD9"/>
    <w:rsid w:val="0095720A"/>
    <w:rsid w:val="00957AE2"/>
    <w:rsid w:val="0096016A"/>
    <w:rsid w:val="00960C5F"/>
    <w:rsid w:val="009618A8"/>
    <w:rsid w:val="009619F6"/>
    <w:rsid w:val="00961DDE"/>
    <w:rsid w:val="00961E6B"/>
    <w:rsid w:val="00962489"/>
    <w:rsid w:val="00962838"/>
    <w:rsid w:val="00962FCC"/>
    <w:rsid w:val="009644DE"/>
    <w:rsid w:val="00964AE8"/>
    <w:rsid w:val="00964F60"/>
    <w:rsid w:val="00965412"/>
    <w:rsid w:val="00965B55"/>
    <w:rsid w:val="00967342"/>
    <w:rsid w:val="00970413"/>
    <w:rsid w:val="00971BDB"/>
    <w:rsid w:val="0097251E"/>
    <w:rsid w:val="0097285A"/>
    <w:rsid w:val="00972FFC"/>
    <w:rsid w:val="009734B9"/>
    <w:rsid w:val="00975F99"/>
    <w:rsid w:val="00976F6A"/>
    <w:rsid w:val="0097730C"/>
    <w:rsid w:val="00977AF6"/>
    <w:rsid w:val="00982B5B"/>
    <w:rsid w:val="00983023"/>
    <w:rsid w:val="00984427"/>
    <w:rsid w:val="009845C3"/>
    <w:rsid w:val="0098507D"/>
    <w:rsid w:val="009851EC"/>
    <w:rsid w:val="0098554A"/>
    <w:rsid w:val="0098579A"/>
    <w:rsid w:val="00985948"/>
    <w:rsid w:val="009879BE"/>
    <w:rsid w:val="00990831"/>
    <w:rsid w:val="009909B5"/>
    <w:rsid w:val="0099106F"/>
    <w:rsid w:val="0099109B"/>
    <w:rsid w:val="00992B9B"/>
    <w:rsid w:val="00993B88"/>
    <w:rsid w:val="00994530"/>
    <w:rsid w:val="00994950"/>
    <w:rsid w:val="00994AC4"/>
    <w:rsid w:val="009950D1"/>
    <w:rsid w:val="0099662D"/>
    <w:rsid w:val="00997C0E"/>
    <w:rsid w:val="009A06B8"/>
    <w:rsid w:val="009A0926"/>
    <w:rsid w:val="009A0AB7"/>
    <w:rsid w:val="009A31AE"/>
    <w:rsid w:val="009A4026"/>
    <w:rsid w:val="009A4986"/>
    <w:rsid w:val="009A4B7D"/>
    <w:rsid w:val="009A521A"/>
    <w:rsid w:val="009A53C0"/>
    <w:rsid w:val="009A580B"/>
    <w:rsid w:val="009A6594"/>
    <w:rsid w:val="009A6A60"/>
    <w:rsid w:val="009A6A73"/>
    <w:rsid w:val="009A7AD3"/>
    <w:rsid w:val="009A7C42"/>
    <w:rsid w:val="009B038D"/>
    <w:rsid w:val="009B16D5"/>
    <w:rsid w:val="009B1E59"/>
    <w:rsid w:val="009B21FF"/>
    <w:rsid w:val="009B39C0"/>
    <w:rsid w:val="009B39DE"/>
    <w:rsid w:val="009B3C11"/>
    <w:rsid w:val="009B4218"/>
    <w:rsid w:val="009B4578"/>
    <w:rsid w:val="009B59F5"/>
    <w:rsid w:val="009B5BA5"/>
    <w:rsid w:val="009B6756"/>
    <w:rsid w:val="009B6F5B"/>
    <w:rsid w:val="009B7142"/>
    <w:rsid w:val="009B72C8"/>
    <w:rsid w:val="009B7740"/>
    <w:rsid w:val="009B790F"/>
    <w:rsid w:val="009B7911"/>
    <w:rsid w:val="009B7CC7"/>
    <w:rsid w:val="009C01D2"/>
    <w:rsid w:val="009C0371"/>
    <w:rsid w:val="009C1CF4"/>
    <w:rsid w:val="009C1D28"/>
    <w:rsid w:val="009C1DF2"/>
    <w:rsid w:val="009C2251"/>
    <w:rsid w:val="009C2786"/>
    <w:rsid w:val="009C2B97"/>
    <w:rsid w:val="009C3A31"/>
    <w:rsid w:val="009C6B61"/>
    <w:rsid w:val="009C70C5"/>
    <w:rsid w:val="009C7AD5"/>
    <w:rsid w:val="009D0AEA"/>
    <w:rsid w:val="009D1E92"/>
    <w:rsid w:val="009D2C8C"/>
    <w:rsid w:val="009D3044"/>
    <w:rsid w:val="009D403D"/>
    <w:rsid w:val="009D42CC"/>
    <w:rsid w:val="009D50D1"/>
    <w:rsid w:val="009D71D2"/>
    <w:rsid w:val="009E0636"/>
    <w:rsid w:val="009E069F"/>
    <w:rsid w:val="009E0B0E"/>
    <w:rsid w:val="009E0DA1"/>
    <w:rsid w:val="009E1357"/>
    <w:rsid w:val="009E13F4"/>
    <w:rsid w:val="009E146E"/>
    <w:rsid w:val="009E1E33"/>
    <w:rsid w:val="009E2042"/>
    <w:rsid w:val="009E20E8"/>
    <w:rsid w:val="009E2279"/>
    <w:rsid w:val="009E61E9"/>
    <w:rsid w:val="009E6DBF"/>
    <w:rsid w:val="009E6EB3"/>
    <w:rsid w:val="009E7182"/>
    <w:rsid w:val="009E794C"/>
    <w:rsid w:val="009F0919"/>
    <w:rsid w:val="009F0A5B"/>
    <w:rsid w:val="009F0B97"/>
    <w:rsid w:val="009F1DDE"/>
    <w:rsid w:val="009F3EF3"/>
    <w:rsid w:val="009F445A"/>
    <w:rsid w:val="009F45AE"/>
    <w:rsid w:val="009F4A72"/>
    <w:rsid w:val="009F4AB7"/>
    <w:rsid w:val="009F5C23"/>
    <w:rsid w:val="009F696D"/>
    <w:rsid w:val="009F6BC6"/>
    <w:rsid w:val="009F739D"/>
    <w:rsid w:val="009F73B4"/>
    <w:rsid w:val="009F76C6"/>
    <w:rsid w:val="009F78D4"/>
    <w:rsid w:val="009F7B04"/>
    <w:rsid w:val="009F7FA8"/>
    <w:rsid w:val="00A01734"/>
    <w:rsid w:val="00A01819"/>
    <w:rsid w:val="00A0222D"/>
    <w:rsid w:val="00A0390F"/>
    <w:rsid w:val="00A04157"/>
    <w:rsid w:val="00A04F35"/>
    <w:rsid w:val="00A0511B"/>
    <w:rsid w:val="00A0536C"/>
    <w:rsid w:val="00A062A7"/>
    <w:rsid w:val="00A0650D"/>
    <w:rsid w:val="00A06656"/>
    <w:rsid w:val="00A0768F"/>
    <w:rsid w:val="00A1056C"/>
    <w:rsid w:val="00A120E3"/>
    <w:rsid w:val="00A12AF2"/>
    <w:rsid w:val="00A1329B"/>
    <w:rsid w:val="00A13EFF"/>
    <w:rsid w:val="00A14C2D"/>
    <w:rsid w:val="00A158B6"/>
    <w:rsid w:val="00A17328"/>
    <w:rsid w:val="00A179E4"/>
    <w:rsid w:val="00A20872"/>
    <w:rsid w:val="00A22757"/>
    <w:rsid w:val="00A227FB"/>
    <w:rsid w:val="00A22B5E"/>
    <w:rsid w:val="00A2388C"/>
    <w:rsid w:val="00A23D81"/>
    <w:rsid w:val="00A251CE"/>
    <w:rsid w:val="00A25213"/>
    <w:rsid w:val="00A26D80"/>
    <w:rsid w:val="00A2703A"/>
    <w:rsid w:val="00A3099B"/>
    <w:rsid w:val="00A309D4"/>
    <w:rsid w:val="00A30D2B"/>
    <w:rsid w:val="00A3130A"/>
    <w:rsid w:val="00A32146"/>
    <w:rsid w:val="00A322F7"/>
    <w:rsid w:val="00A32570"/>
    <w:rsid w:val="00A32632"/>
    <w:rsid w:val="00A33DFF"/>
    <w:rsid w:val="00A33F8D"/>
    <w:rsid w:val="00A34377"/>
    <w:rsid w:val="00A35115"/>
    <w:rsid w:val="00A35678"/>
    <w:rsid w:val="00A35A9E"/>
    <w:rsid w:val="00A35BD0"/>
    <w:rsid w:val="00A3612D"/>
    <w:rsid w:val="00A3645C"/>
    <w:rsid w:val="00A3655E"/>
    <w:rsid w:val="00A36E24"/>
    <w:rsid w:val="00A40072"/>
    <w:rsid w:val="00A41A90"/>
    <w:rsid w:val="00A41E02"/>
    <w:rsid w:val="00A4259E"/>
    <w:rsid w:val="00A42E0C"/>
    <w:rsid w:val="00A43E70"/>
    <w:rsid w:val="00A451EB"/>
    <w:rsid w:val="00A4632F"/>
    <w:rsid w:val="00A4674C"/>
    <w:rsid w:val="00A470D1"/>
    <w:rsid w:val="00A47AB3"/>
    <w:rsid w:val="00A50229"/>
    <w:rsid w:val="00A50304"/>
    <w:rsid w:val="00A50380"/>
    <w:rsid w:val="00A50382"/>
    <w:rsid w:val="00A50D14"/>
    <w:rsid w:val="00A50D8E"/>
    <w:rsid w:val="00A50F2D"/>
    <w:rsid w:val="00A5136F"/>
    <w:rsid w:val="00A5161F"/>
    <w:rsid w:val="00A517E9"/>
    <w:rsid w:val="00A53498"/>
    <w:rsid w:val="00A5379A"/>
    <w:rsid w:val="00A544A1"/>
    <w:rsid w:val="00A5532E"/>
    <w:rsid w:val="00A554AB"/>
    <w:rsid w:val="00A5592F"/>
    <w:rsid w:val="00A55F98"/>
    <w:rsid w:val="00A57889"/>
    <w:rsid w:val="00A57B6E"/>
    <w:rsid w:val="00A602A9"/>
    <w:rsid w:val="00A603B4"/>
    <w:rsid w:val="00A61065"/>
    <w:rsid w:val="00A61D1D"/>
    <w:rsid w:val="00A621D8"/>
    <w:rsid w:val="00A62B3D"/>
    <w:rsid w:val="00A63820"/>
    <w:rsid w:val="00A6442B"/>
    <w:rsid w:val="00A649FF"/>
    <w:rsid w:val="00A6628F"/>
    <w:rsid w:val="00A66A5A"/>
    <w:rsid w:val="00A67757"/>
    <w:rsid w:val="00A72100"/>
    <w:rsid w:val="00A722C3"/>
    <w:rsid w:val="00A72841"/>
    <w:rsid w:val="00A72C0C"/>
    <w:rsid w:val="00A72EFF"/>
    <w:rsid w:val="00A74E25"/>
    <w:rsid w:val="00A75036"/>
    <w:rsid w:val="00A75572"/>
    <w:rsid w:val="00A77252"/>
    <w:rsid w:val="00A814D2"/>
    <w:rsid w:val="00A8308D"/>
    <w:rsid w:val="00A8528E"/>
    <w:rsid w:val="00A8555B"/>
    <w:rsid w:val="00A857E9"/>
    <w:rsid w:val="00A8658D"/>
    <w:rsid w:val="00A87188"/>
    <w:rsid w:val="00A87372"/>
    <w:rsid w:val="00A87F86"/>
    <w:rsid w:val="00A90298"/>
    <w:rsid w:val="00A917EB"/>
    <w:rsid w:val="00A928E6"/>
    <w:rsid w:val="00A9338B"/>
    <w:rsid w:val="00A93686"/>
    <w:rsid w:val="00A94CA7"/>
    <w:rsid w:val="00A94FA6"/>
    <w:rsid w:val="00A95C3E"/>
    <w:rsid w:val="00A95F3E"/>
    <w:rsid w:val="00A96BBB"/>
    <w:rsid w:val="00A97742"/>
    <w:rsid w:val="00AA00E5"/>
    <w:rsid w:val="00AA1397"/>
    <w:rsid w:val="00AA1988"/>
    <w:rsid w:val="00AA1E42"/>
    <w:rsid w:val="00AA21E7"/>
    <w:rsid w:val="00AA3C7E"/>
    <w:rsid w:val="00AA5263"/>
    <w:rsid w:val="00AA531B"/>
    <w:rsid w:val="00AA5365"/>
    <w:rsid w:val="00AA5430"/>
    <w:rsid w:val="00AA6595"/>
    <w:rsid w:val="00AA6710"/>
    <w:rsid w:val="00AA7C51"/>
    <w:rsid w:val="00AB0681"/>
    <w:rsid w:val="00AB0F05"/>
    <w:rsid w:val="00AB4B32"/>
    <w:rsid w:val="00AB573E"/>
    <w:rsid w:val="00AB5A20"/>
    <w:rsid w:val="00AB5A61"/>
    <w:rsid w:val="00AB6136"/>
    <w:rsid w:val="00AB64B8"/>
    <w:rsid w:val="00AB7F07"/>
    <w:rsid w:val="00AC1D54"/>
    <w:rsid w:val="00AC415C"/>
    <w:rsid w:val="00AC474F"/>
    <w:rsid w:val="00AC4F8C"/>
    <w:rsid w:val="00AC4F95"/>
    <w:rsid w:val="00AC5241"/>
    <w:rsid w:val="00AC5A6E"/>
    <w:rsid w:val="00AC5B05"/>
    <w:rsid w:val="00AC6099"/>
    <w:rsid w:val="00AC6733"/>
    <w:rsid w:val="00AD0382"/>
    <w:rsid w:val="00AD1AC2"/>
    <w:rsid w:val="00AD1F89"/>
    <w:rsid w:val="00AD22C4"/>
    <w:rsid w:val="00AD2852"/>
    <w:rsid w:val="00AD452B"/>
    <w:rsid w:val="00AD609A"/>
    <w:rsid w:val="00AD62E7"/>
    <w:rsid w:val="00AD7D2C"/>
    <w:rsid w:val="00AD7FDB"/>
    <w:rsid w:val="00AE03C0"/>
    <w:rsid w:val="00AE0C0B"/>
    <w:rsid w:val="00AE1A1F"/>
    <w:rsid w:val="00AE22C3"/>
    <w:rsid w:val="00AE2DA7"/>
    <w:rsid w:val="00AE3321"/>
    <w:rsid w:val="00AE343A"/>
    <w:rsid w:val="00AE3650"/>
    <w:rsid w:val="00AE3855"/>
    <w:rsid w:val="00AE3B0B"/>
    <w:rsid w:val="00AE41FE"/>
    <w:rsid w:val="00AE4A96"/>
    <w:rsid w:val="00AE64CE"/>
    <w:rsid w:val="00AE672F"/>
    <w:rsid w:val="00AE6E6D"/>
    <w:rsid w:val="00AE781E"/>
    <w:rsid w:val="00AF0BDB"/>
    <w:rsid w:val="00AF0CE0"/>
    <w:rsid w:val="00AF289F"/>
    <w:rsid w:val="00AF3AB9"/>
    <w:rsid w:val="00AF3E5D"/>
    <w:rsid w:val="00AF4577"/>
    <w:rsid w:val="00AF4B9A"/>
    <w:rsid w:val="00AF66D9"/>
    <w:rsid w:val="00B00B6F"/>
    <w:rsid w:val="00B01013"/>
    <w:rsid w:val="00B01812"/>
    <w:rsid w:val="00B01AF1"/>
    <w:rsid w:val="00B02A1C"/>
    <w:rsid w:val="00B03463"/>
    <w:rsid w:val="00B058A7"/>
    <w:rsid w:val="00B074A1"/>
    <w:rsid w:val="00B07C4D"/>
    <w:rsid w:val="00B10082"/>
    <w:rsid w:val="00B10C15"/>
    <w:rsid w:val="00B10DD3"/>
    <w:rsid w:val="00B11B13"/>
    <w:rsid w:val="00B11D11"/>
    <w:rsid w:val="00B133F3"/>
    <w:rsid w:val="00B140CF"/>
    <w:rsid w:val="00B1424F"/>
    <w:rsid w:val="00B14259"/>
    <w:rsid w:val="00B142F1"/>
    <w:rsid w:val="00B15528"/>
    <w:rsid w:val="00B15A4C"/>
    <w:rsid w:val="00B1623B"/>
    <w:rsid w:val="00B1682D"/>
    <w:rsid w:val="00B17B92"/>
    <w:rsid w:val="00B17E3E"/>
    <w:rsid w:val="00B21877"/>
    <w:rsid w:val="00B22037"/>
    <w:rsid w:val="00B2470C"/>
    <w:rsid w:val="00B25BE0"/>
    <w:rsid w:val="00B26DB4"/>
    <w:rsid w:val="00B27684"/>
    <w:rsid w:val="00B27AB8"/>
    <w:rsid w:val="00B3015C"/>
    <w:rsid w:val="00B3036E"/>
    <w:rsid w:val="00B3177D"/>
    <w:rsid w:val="00B328B1"/>
    <w:rsid w:val="00B32B92"/>
    <w:rsid w:val="00B32BEC"/>
    <w:rsid w:val="00B33115"/>
    <w:rsid w:val="00B3374B"/>
    <w:rsid w:val="00B3433B"/>
    <w:rsid w:val="00B373D3"/>
    <w:rsid w:val="00B4024A"/>
    <w:rsid w:val="00B41604"/>
    <w:rsid w:val="00B42683"/>
    <w:rsid w:val="00B42BD0"/>
    <w:rsid w:val="00B43D9E"/>
    <w:rsid w:val="00B44CB8"/>
    <w:rsid w:val="00B45472"/>
    <w:rsid w:val="00B456A0"/>
    <w:rsid w:val="00B46D6C"/>
    <w:rsid w:val="00B46DE5"/>
    <w:rsid w:val="00B47180"/>
    <w:rsid w:val="00B47EB7"/>
    <w:rsid w:val="00B50B64"/>
    <w:rsid w:val="00B50C4B"/>
    <w:rsid w:val="00B513B1"/>
    <w:rsid w:val="00B5161A"/>
    <w:rsid w:val="00B51AC3"/>
    <w:rsid w:val="00B53E7E"/>
    <w:rsid w:val="00B55FA8"/>
    <w:rsid w:val="00B563BB"/>
    <w:rsid w:val="00B5723B"/>
    <w:rsid w:val="00B5734A"/>
    <w:rsid w:val="00B5765E"/>
    <w:rsid w:val="00B57FB6"/>
    <w:rsid w:val="00B600EF"/>
    <w:rsid w:val="00B611FB"/>
    <w:rsid w:val="00B61346"/>
    <w:rsid w:val="00B62587"/>
    <w:rsid w:val="00B62B62"/>
    <w:rsid w:val="00B62ECF"/>
    <w:rsid w:val="00B6315C"/>
    <w:rsid w:val="00B6342E"/>
    <w:rsid w:val="00B63FC5"/>
    <w:rsid w:val="00B647CE"/>
    <w:rsid w:val="00B648D5"/>
    <w:rsid w:val="00B65503"/>
    <w:rsid w:val="00B65829"/>
    <w:rsid w:val="00B660F6"/>
    <w:rsid w:val="00B672BB"/>
    <w:rsid w:val="00B6760B"/>
    <w:rsid w:val="00B7113F"/>
    <w:rsid w:val="00B71F30"/>
    <w:rsid w:val="00B73111"/>
    <w:rsid w:val="00B7336C"/>
    <w:rsid w:val="00B73D54"/>
    <w:rsid w:val="00B75BED"/>
    <w:rsid w:val="00B763A6"/>
    <w:rsid w:val="00B774EF"/>
    <w:rsid w:val="00B77CF8"/>
    <w:rsid w:val="00B81C62"/>
    <w:rsid w:val="00B81EE5"/>
    <w:rsid w:val="00B82455"/>
    <w:rsid w:val="00B83372"/>
    <w:rsid w:val="00B8453D"/>
    <w:rsid w:val="00B847A1"/>
    <w:rsid w:val="00B87042"/>
    <w:rsid w:val="00B873B9"/>
    <w:rsid w:val="00B87BBC"/>
    <w:rsid w:val="00B901C1"/>
    <w:rsid w:val="00B90DAD"/>
    <w:rsid w:val="00B91E77"/>
    <w:rsid w:val="00B92CA7"/>
    <w:rsid w:val="00B931B9"/>
    <w:rsid w:val="00B93F17"/>
    <w:rsid w:val="00B95A21"/>
    <w:rsid w:val="00B95BD2"/>
    <w:rsid w:val="00B95CEB"/>
    <w:rsid w:val="00B9677E"/>
    <w:rsid w:val="00B978FC"/>
    <w:rsid w:val="00BA003F"/>
    <w:rsid w:val="00BA0ADB"/>
    <w:rsid w:val="00BA1383"/>
    <w:rsid w:val="00BA15F0"/>
    <w:rsid w:val="00BA1666"/>
    <w:rsid w:val="00BA1FCE"/>
    <w:rsid w:val="00BA45DB"/>
    <w:rsid w:val="00BA4BB8"/>
    <w:rsid w:val="00BA5714"/>
    <w:rsid w:val="00BA71DB"/>
    <w:rsid w:val="00BA73B6"/>
    <w:rsid w:val="00BA7B35"/>
    <w:rsid w:val="00BB0F83"/>
    <w:rsid w:val="00BB110F"/>
    <w:rsid w:val="00BB2E89"/>
    <w:rsid w:val="00BB3148"/>
    <w:rsid w:val="00BB4CF3"/>
    <w:rsid w:val="00BB4FCD"/>
    <w:rsid w:val="00BB5639"/>
    <w:rsid w:val="00BB6435"/>
    <w:rsid w:val="00BB64A0"/>
    <w:rsid w:val="00BB726C"/>
    <w:rsid w:val="00BB7D75"/>
    <w:rsid w:val="00BC25E2"/>
    <w:rsid w:val="00BC27F6"/>
    <w:rsid w:val="00BC2936"/>
    <w:rsid w:val="00BC340D"/>
    <w:rsid w:val="00BC495B"/>
    <w:rsid w:val="00BC5B89"/>
    <w:rsid w:val="00BC6055"/>
    <w:rsid w:val="00BC63A4"/>
    <w:rsid w:val="00BC79F9"/>
    <w:rsid w:val="00BC7C1D"/>
    <w:rsid w:val="00BD1358"/>
    <w:rsid w:val="00BD13EA"/>
    <w:rsid w:val="00BD18D3"/>
    <w:rsid w:val="00BD1B52"/>
    <w:rsid w:val="00BD1CA1"/>
    <w:rsid w:val="00BD20D5"/>
    <w:rsid w:val="00BD212A"/>
    <w:rsid w:val="00BD2C35"/>
    <w:rsid w:val="00BD38C6"/>
    <w:rsid w:val="00BD58A2"/>
    <w:rsid w:val="00BD5C85"/>
    <w:rsid w:val="00BD67AE"/>
    <w:rsid w:val="00BD6E2A"/>
    <w:rsid w:val="00BD743B"/>
    <w:rsid w:val="00BD7601"/>
    <w:rsid w:val="00BD764E"/>
    <w:rsid w:val="00BD782C"/>
    <w:rsid w:val="00BE037F"/>
    <w:rsid w:val="00BE09BD"/>
    <w:rsid w:val="00BE10D9"/>
    <w:rsid w:val="00BE246F"/>
    <w:rsid w:val="00BE3808"/>
    <w:rsid w:val="00BE530F"/>
    <w:rsid w:val="00BE638B"/>
    <w:rsid w:val="00BE643B"/>
    <w:rsid w:val="00BE6950"/>
    <w:rsid w:val="00BE6BDE"/>
    <w:rsid w:val="00BF012F"/>
    <w:rsid w:val="00BF04FC"/>
    <w:rsid w:val="00BF065C"/>
    <w:rsid w:val="00BF11C1"/>
    <w:rsid w:val="00BF23F8"/>
    <w:rsid w:val="00BF3AB8"/>
    <w:rsid w:val="00BF3FDB"/>
    <w:rsid w:val="00BF43F2"/>
    <w:rsid w:val="00BF4434"/>
    <w:rsid w:val="00BF68A5"/>
    <w:rsid w:val="00BF6E7F"/>
    <w:rsid w:val="00C0030B"/>
    <w:rsid w:val="00C00AD5"/>
    <w:rsid w:val="00C00CF4"/>
    <w:rsid w:val="00C012D0"/>
    <w:rsid w:val="00C02F09"/>
    <w:rsid w:val="00C040D0"/>
    <w:rsid w:val="00C040EB"/>
    <w:rsid w:val="00C048B8"/>
    <w:rsid w:val="00C057F0"/>
    <w:rsid w:val="00C0614C"/>
    <w:rsid w:val="00C062E9"/>
    <w:rsid w:val="00C066DD"/>
    <w:rsid w:val="00C068F6"/>
    <w:rsid w:val="00C069DD"/>
    <w:rsid w:val="00C07033"/>
    <w:rsid w:val="00C0734D"/>
    <w:rsid w:val="00C1128C"/>
    <w:rsid w:val="00C113B2"/>
    <w:rsid w:val="00C114C2"/>
    <w:rsid w:val="00C1265C"/>
    <w:rsid w:val="00C1355C"/>
    <w:rsid w:val="00C13721"/>
    <w:rsid w:val="00C13EE9"/>
    <w:rsid w:val="00C14376"/>
    <w:rsid w:val="00C14D28"/>
    <w:rsid w:val="00C155D7"/>
    <w:rsid w:val="00C15BA9"/>
    <w:rsid w:val="00C15DF1"/>
    <w:rsid w:val="00C16329"/>
    <w:rsid w:val="00C16C37"/>
    <w:rsid w:val="00C2143C"/>
    <w:rsid w:val="00C21C64"/>
    <w:rsid w:val="00C230C7"/>
    <w:rsid w:val="00C2439F"/>
    <w:rsid w:val="00C2463A"/>
    <w:rsid w:val="00C24BA0"/>
    <w:rsid w:val="00C253FC"/>
    <w:rsid w:val="00C25775"/>
    <w:rsid w:val="00C258B2"/>
    <w:rsid w:val="00C25F9E"/>
    <w:rsid w:val="00C2638D"/>
    <w:rsid w:val="00C26E06"/>
    <w:rsid w:val="00C30F47"/>
    <w:rsid w:val="00C31869"/>
    <w:rsid w:val="00C33AED"/>
    <w:rsid w:val="00C3495E"/>
    <w:rsid w:val="00C351B0"/>
    <w:rsid w:val="00C364CE"/>
    <w:rsid w:val="00C365FC"/>
    <w:rsid w:val="00C36664"/>
    <w:rsid w:val="00C36C34"/>
    <w:rsid w:val="00C36E25"/>
    <w:rsid w:val="00C3743E"/>
    <w:rsid w:val="00C37A45"/>
    <w:rsid w:val="00C406A3"/>
    <w:rsid w:val="00C4078C"/>
    <w:rsid w:val="00C40F8E"/>
    <w:rsid w:val="00C41167"/>
    <w:rsid w:val="00C413B3"/>
    <w:rsid w:val="00C41C58"/>
    <w:rsid w:val="00C41DC6"/>
    <w:rsid w:val="00C42C06"/>
    <w:rsid w:val="00C42D02"/>
    <w:rsid w:val="00C43807"/>
    <w:rsid w:val="00C4392F"/>
    <w:rsid w:val="00C44FEF"/>
    <w:rsid w:val="00C45AC4"/>
    <w:rsid w:val="00C46111"/>
    <w:rsid w:val="00C46167"/>
    <w:rsid w:val="00C50844"/>
    <w:rsid w:val="00C51088"/>
    <w:rsid w:val="00C510FA"/>
    <w:rsid w:val="00C515A6"/>
    <w:rsid w:val="00C51E13"/>
    <w:rsid w:val="00C52DB9"/>
    <w:rsid w:val="00C5408E"/>
    <w:rsid w:val="00C543F4"/>
    <w:rsid w:val="00C54F90"/>
    <w:rsid w:val="00C55A32"/>
    <w:rsid w:val="00C56C60"/>
    <w:rsid w:val="00C56F50"/>
    <w:rsid w:val="00C60CB7"/>
    <w:rsid w:val="00C6202B"/>
    <w:rsid w:val="00C62538"/>
    <w:rsid w:val="00C627E2"/>
    <w:rsid w:val="00C6291C"/>
    <w:rsid w:val="00C633CB"/>
    <w:rsid w:val="00C636C8"/>
    <w:rsid w:val="00C63AB5"/>
    <w:rsid w:val="00C6467A"/>
    <w:rsid w:val="00C656E1"/>
    <w:rsid w:val="00C65A27"/>
    <w:rsid w:val="00C7017F"/>
    <w:rsid w:val="00C708ED"/>
    <w:rsid w:val="00C70BF4"/>
    <w:rsid w:val="00C71BE9"/>
    <w:rsid w:val="00C71C1F"/>
    <w:rsid w:val="00C71D7C"/>
    <w:rsid w:val="00C72A04"/>
    <w:rsid w:val="00C7354B"/>
    <w:rsid w:val="00C73598"/>
    <w:rsid w:val="00C76817"/>
    <w:rsid w:val="00C7689D"/>
    <w:rsid w:val="00C76EC0"/>
    <w:rsid w:val="00C77021"/>
    <w:rsid w:val="00C774F3"/>
    <w:rsid w:val="00C802DA"/>
    <w:rsid w:val="00C80C91"/>
    <w:rsid w:val="00C80E25"/>
    <w:rsid w:val="00C81D1A"/>
    <w:rsid w:val="00C82445"/>
    <w:rsid w:val="00C82649"/>
    <w:rsid w:val="00C82AC2"/>
    <w:rsid w:val="00C8307C"/>
    <w:rsid w:val="00C8435F"/>
    <w:rsid w:val="00C849C2"/>
    <w:rsid w:val="00C85775"/>
    <w:rsid w:val="00C858B4"/>
    <w:rsid w:val="00C858D6"/>
    <w:rsid w:val="00C85EE8"/>
    <w:rsid w:val="00C8679F"/>
    <w:rsid w:val="00C86DFA"/>
    <w:rsid w:val="00C8762C"/>
    <w:rsid w:val="00C87DAB"/>
    <w:rsid w:val="00C903BF"/>
    <w:rsid w:val="00C9055F"/>
    <w:rsid w:val="00C910EE"/>
    <w:rsid w:val="00C911EC"/>
    <w:rsid w:val="00C92610"/>
    <w:rsid w:val="00C9293D"/>
    <w:rsid w:val="00C946E4"/>
    <w:rsid w:val="00C94DDE"/>
    <w:rsid w:val="00C95164"/>
    <w:rsid w:val="00C9516E"/>
    <w:rsid w:val="00C95AEF"/>
    <w:rsid w:val="00CA00F9"/>
    <w:rsid w:val="00CA2961"/>
    <w:rsid w:val="00CA3481"/>
    <w:rsid w:val="00CA3FC5"/>
    <w:rsid w:val="00CA4C0B"/>
    <w:rsid w:val="00CA5010"/>
    <w:rsid w:val="00CA5832"/>
    <w:rsid w:val="00CA6349"/>
    <w:rsid w:val="00CA671C"/>
    <w:rsid w:val="00CA71F8"/>
    <w:rsid w:val="00CB009F"/>
    <w:rsid w:val="00CB04B2"/>
    <w:rsid w:val="00CB3E77"/>
    <w:rsid w:val="00CB4876"/>
    <w:rsid w:val="00CB50D7"/>
    <w:rsid w:val="00CB5A3B"/>
    <w:rsid w:val="00CB7177"/>
    <w:rsid w:val="00CC0B62"/>
    <w:rsid w:val="00CC111C"/>
    <w:rsid w:val="00CC1998"/>
    <w:rsid w:val="00CC1BD7"/>
    <w:rsid w:val="00CC1FF5"/>
    <w:rsid w:val="00CC209D"/>
    <w:rsid w:val="00CC2781"/>
    <w:rsid w:val="00CC2CEA"/>
    <w:rsid w:val="00CC3064"/>
    <w:rsid w:val="00CC382E"/>
    <w:rsid w:val="00CC3FF6"/>
    <w:rsid w:val="00CC427D"/>
    <w:rsid w:val="00CC4303"/>
    <w:rsid w:val="00CC4946"/>
    <w:rsid w:val="00CC4D10"/>
    <w:rsid w:val="00CC52ED"/>
    <w:rsid w:val="00CC64C3"/>
    <w:rsid w:val="00CC6B3A"/>
    <w:rsid w:val="00CC6CCE"/>
    <w:rsid w:val="00CC6D65"/>
    <w:rsid w:val="00CC6F75"/>
    <w:rsid w:val="00CC73C9"/>
    <w:rsid w:val="00CC7A66"/>
    <w:rsid w:val="00CD0CED"/>
    <w:rsid w:val="00CD23AE"/>
    <w:rsid w:val="00CD276B"/>
    <w:rsid w:val="00CD28E7"/>
    <w:rsid w:val="00CD3851"/>
    <w:rsid w:val="00CD3B88"/>
    <w:rsid w:val="00CD4442"/>
    <w:rsid w:val="00CD4A0A"/>
    <w:rsid w:val="00CE4238"/>
    <w:rsid w:val="00CE42A3"/>
    <w:rsid w:val="00CE48BF"/>
    <w:rsid w:val="00CE5578"/>
    <w:rsid w:val="00CE5655"/>
    <w:rsid w:val="00CE7801"/>
    <w:rsid w:val="00CF04E8"/>
    <w:rsid w:val="00CF0A12"/>
    <w:rsid w:val="00CF285B"/>
    <w:rsid w:val="00CF3EFB"/>
    <w:rsid w:val="00CF4AA7"/>
    <w:rsid w:val="00CF6184"/>
    <w:rsid w:val="00CF66CF"/>
    <w:rsid w:val="00D01088"/>
    <w:rsid w:val="00D01CCE"/>
    <w:rsid w:val="00D01E14"/>
    <w:rsid w:val="00D02569"/>
    <w:rsid w:val="00D02979"/>
    <w:rsid w:val="00D035F4"/>
    <w:rsid w:val="00D03C8D"/>
    <w:rsid w:val="00D053B8"/>
    <w:rsid w:val="00D05484"/>
    <w:rsid w:val="00D10FC8"/>
    <w:rsid w:val="00D11419"/>
    <w:rsid w:val="00D114D4"/>
    <w:rsid w:val="00D116F7"/>
    <w:rsid w:val="00D125FC"/>
    <w:rsid w:val="00D135E7"/>
    <w:rsid w:val="00D14A5E"/>
    <w:rsid w:val="00D14E8D"/>
    <w:rsid w:val="00D152C4"/>
    <w:rsid w:val="00D152FD"/>
    <w:rsid w:val="00D15352"/>
    <w:rsid w:val="00D15397"/>
    <w:rsid w:val="00D15E8B"/>
    <w:rsid w:val="00D161C3"/>
    <w:rsid w:val="00D17C15"/>
    <w:rsid w:val="00D203E5"/>
    <w:rsid w:val="00D21416"/>
    <w:rsid w:val="00D21592"/>
    <w:rsid w:val="00D218DD"/>
    <w:rsid w:val="00D21BCB"/>
    <w:rsid w:val="00D22C5F"/>
    <w:rsid w:val="00D22E73"/>
    <w:rsid w:val="00D238FF"/>
    <w:rsid w:val="00D24385"/>
    <w:rsid w:val="00D248DC"/>
    <w:rsid w:val="00D24950"/>
    <w:rsid w:val="00D250B0"/>
    <w:rsid w:val="00D255A8"/>
    <w:rsid w:val="00D2662C"/>
    <w:rsid w:val="00D270A4"/>
    <w:rsid w:val="00D27250"/>
    <w:rsid w:val="00D274EC"/>
    <w:rsid w:val="00D30183"/>
    <w:rsid w:val="00D30686"/>
    <w:rsid w:val="00D30939"/>
    <w:rsid w:val="00D30B23"/>
    <w:rsid w:val="00D323CD"/>
    <w:rsid w:val="00D34E1B"/>
    <w:rsid w:val="00D36BB0"/>
    <w:rsid w:val="00D372B3"/>
    <w:rsid w:val="00D37DB8"/>
    <w:rsid w:val="00D37E99"/>
    <w:rsid w:val="00D37FD5"/>
    <w:rsid w:val="00D4000C"/>
    <w:rsid w:val="00D41D85"/>
    <w:rsid w:val="00D42D71"/>
    <w:rsid w:val="00D43520"/>
    <w:rsid w:val="00D444D4"/>
    <w:rsid w:val="00D460F0"/>
    <w:rsid w:val="00D4759D"/>
    <w:rsid w:val="00D47F65"/>
    <w:rsid w:val="00D5252B"/>
    <w:rsid w:val="00D5366C"/>
    <w:rsid w:val="00D5388C"/>
    <w:rsid w:val="00D55122"/>
    <w:rsid w:val="00D551D1"/>
    <w:rsid w:val="00D569A9"/>
    <w:rsid w:val="00D577D8"/>
    <w:rsid w:val="00D602CF"/>
    <w:rsid w:val="00D6097B"/>
    <w:rsid w:val="00D60F95"/>
    <w:rsid w:val="00D61757"/>
    <w:rsid w:val="00D61878"/>
    <w:rsid w:val="00D62436"/>
    <w:rsid w:val="00D639EE"/>
    <w:rsid w:val="00D63D73"/>
    <w:rsid w:val="00D6463A"/>
    <w:rsid w:val="00D6475E"/>
    <w:rsid w:val="00D649EF"/>
    <w:rsid w:val="00D65294"/>
    <w:rsid w:val="00D66E1E"/>
    <w:rsid w:val="00D6752F"/>
    <w:rsid w:val="00D70100"/>
    <w:rsid w:val="00D70932"/>
    <w:rsid w:val="00D709C6"/>
    <w:rsid w:val="00D71B6B"/>
    <w:rsid w:val="00D72749"/>
    <w:rsid w:val="00D72A64"/>
    <w:rsid w:val="00D749A4"/>
    <w:rsid w:val="00D74C82"/>
    <w:rsid w:val="00D75230"/>
    <w:rsid w:val="00D75722"/>
    <w:rsid w:val="00D75A5D"/>
    <w:rsid w:val="00D75C2A"/>
    <w:rsid w:val="00D77E03"/>
    <w:rsid w:val="00D81149"/>
    <w:rsid w:val="00D81770"/>
    <w:rsid w:val="00D827C5"/>
    <w:rsid w:val="00D82F8F"/>
    <w:rsid w:val="00D836F0"/>
    <w:rsid w:val="00D849E1"/>
    <w:rsid w:val="00D85035"/>
    <w:rsid w:val="00D865F2"/>
    <w:rsid w:val="00D86AC8"/>
    <w:rsid w:val="00D86CAB"/>
    <w:rsid w:val="00D86FA4"/>
    <w:rsid w:val="00D90699"/>
    <w:rsid w:val="00D90830"/>
    <w:rsid w:val="00D90D9F"/>
    <w:rsid w:val="00D90DDD"/>
    <w:rsid w:val="00D91281"/>
    <w:rsid w:val="00D91285"/>
    <w:rsid w:val="00D913A9"/>
    <w:rsid w:val="00D913AD"/>
    <w:rsid w:val="00D921A1"/>
    <w:rsid w:val="00D92F1A"/>
    <w:rsid w:val="00D9390E"/>
    <w:rsid w:val="00D94129"/>
    <w:rsid w:val="00D94347"/>
    <w:rsid w:val="00D95230"/>
    <w:rsid w:val="00D955F9"/>
    <w:rsid w:val="00D9650F"/>
    <w:rsid w:val="00D96F6F"/>
    <w:rsid w:val="00DA056A"/>
    <w:rsid w:val="00DA05BB"/>
    <w:rsid w:val="00DA0B10"/>
    <w:rsid w:val="00DA0BB9"/>
    <w:rsid w:val="00DA1A64"/>
    <w:rsid w:val="00DA1E65"/>
    <w:rsid w:val="00DA26CE"/>
    <w:rsid w:val="00DA27C8"/>
    <w:rsid w:val="00DA28F1"/>
    <w:rsid w:val="00DA2B9B"/>
    <w:rsid w:val="00DA4333"/>
    <w:rsid w:val="00DA481B"/>
    <w:rsid w:val="00DA4BB7"/>
    <w:rsid w:val="00DA50DA"/>
    <w:rsid w:val="00DA5296"/>
    <w:rsid w:val="00DA6314"/>
    <w:rsid w:val="00DA68DB"/>
    <w:rsid w:val="00DA6FB2"/>
    <w:rsid w:val="00DA70F2"/>
    <w:rsid w:val="00DB1504"/>
    <w:rsid w:val="00DB214C"/>
    <w:rsid w:val="00DB2E8B"/>
    <w:rsid w:val="00DB2F1C"/>
    <w:rsid w:val="00DB3BD1"/>
    <w:rsid w:val="00DB4762"/>
    <w:rsid w:val="00DB497C"/>
    <w:rsid w:val="00DB49B2"/>
    <w:rsid w:val="00DB5E14"/>
    <w:rsid w:val="00DB646C"/>
    <w:rsid w:val="00DB67C9"/>
    <w:rsid w:val="00DB6E56"/>
    <w:rsid w:val="00DB7691"/>
    <w:rsid w:val="00DC00AC"/>
    <w:rsid w:val="00DC00CA"/>
    <w:rsid w:val="00DC00E6"/>
    <w:rsid w:val="00DC0C95"/>
    <w:rsid w:val="00DC10F0"/>
    <w:rsid w:val="00DC1AED"/>
    <w:rsid w:val="00DC4CC1"/>
    <w:rsid w:val="00DC5729"/>
    <w:rsid w:val="00DC6219"/>
    <w:rsid w:val="00DC6346"/>
    <w:rsid w:val="00DC6DDF"/>
    <w:rsid w:val="00DD0909"/>
    <w:rsid w:val="00DD153F"/>
    <w:rsid w:val="00DD1852"/>
    <w:rsid w:val="00DD28B8"/>
    <w:rsid w:val="00DD2FAF"/>
    <w:rsid w:val="00DD30CD"/>
    <w:rsid w:val="00DD423D"/>
    <w:rsid w:val="00DD4672"/>
    <w:rsid w:val="00DD4D1A"/>
    <w:rsid w:val="00DD6580"/>
    <w:rsid w:val="00DD7864"/>
    <w:rsid w:val="00DE0CB3"/>
    <w:rsid w:val="00DE11FE"/>
    <w:rsid w:val="00DE1E73"/>
    <w:rsid w:val="00DE2409"/>
    <w:rsid w:val="00DE33B0"/>
    <w:rsid w:val="00DE4750"/>
    <w:rsid w:val="00DE4B34"/>
    <w:rsid w:val="00DE5095"/>
    <w:rsid w:val="00DE51E0"/>
    <w:rsid w:val="00DE7308"/>
    <w:rsid w:val="00DE753A"/>
    <w:rsid w:val="00DE7798"/>
    <w:rsid w:val="00DE7E38"/>
    <w:rsid w:val="00DF093A"/>
    <w:rsid w:val="00DF0FBF"/>
    <w:rsid w:val="00DF1C21"/>
    <w:rsid w:val="00DF1FEF"/>
    <w:rsid w:val="00DF25DF"/>
    <w:rsid w:val="00DF2C25"/>
    <w:rsid w:val="00DF3BF7"/>
    <w:rsid w:val="00DF477F"/>
    <w:rsid w:val="00DF53E0"/>
    <w:rsid w:val="00DF5481"/>
    <w:rsid w:val="00DF68B4"/>
    <w:rsid w:val="00DF69FC"/>
    <w:rsid w:val="00DF6B13"/>
    <w:rsid w:val="00DF7368"/>
    <w:rsid w:val="00E0212E"/>
    <w:rsid w:val="00E02268"/>
    <w:rsid w:val="00E02311"/>
    <w:rsid w:val="00E02832"/>
    <w:rsid w:val="00E02EE8"/>
    <w:rsid w:val="00E0411A"/>
    <w:rsid w:val="00E04929"/>
    <w:rsid w:val="00E04BFC"/>
    <w:rsid w:val="00E0693E"/>
    <w:rsid w:val="00E07AB4"/>
    <w:rsid w:val="00E10466"/>
    <w:rsid w:val="00E109BA"/>
    <w:rsid w:val="00E11181"/>
    <w:rsid w:val="00E1150B"/>
    <w:rsid w:val="00E11CFA"/>
    <w:rsid w:val="00E1280C"/>
    <w:rsid w:val="00E12D3A"/>
    <w:rsid w:val="00E12E6A"/>
    <w:rsid w:val="00E15F4A"/>
    <w:rsid w:val="00E160C9"/>
    <w:rsid w:val="00E171F5"/>
    <w:rsid w:val="00E17C72"/>
    <w:rsid w:val="00E207AE"/>
    <w:rsid w:val="00E221B1"/>
    <w:rsid w:val="00E22F73"/>
    <w:rsid w:val="00E23976"/>
    <w:rsid w:val="00E23B62"/>
    <w:rsid w:val="00E23DCE"/>
    <w:rsid w:val="00E24C2D"/>
    <w:rsid w:val="00E25B46"/>
    <w:rsid w:val="00E26656"/>
    <w:rsid w:val="00E26EFE"/>
    <w:rsid w:val="00E27BA4"/>
    <w:rsid w:val="00E3025A"/>
    <w:rsid w:val="00E30E79"/>
    <w:rsid w:val="00E31145"/>
    <w:rsid w:val="00E325AF"/>
    <w:rsid w:val="00E32CA2"/>
    <w:rsid w:val="00E331DD"/>
    <w:rsid w:val="00E334E3"/>
    <w:rsid w:val="00E33C32"/>
    <w:rsid w:val="00E341D8"/>
    <w:rsid w:val="00E348AF"/>
    <w:rsid w:val="00E35758"/>
    <w:rsid w:val="00E35860"/>
    <w:rsid w:val="00E3639B"/>
    <w:rsid w:val="00E36A06"/>
    <w:rsid w:val="00E37064"/>
    <w:rsid w:val="00E403C3"/>
    <w:rsid w:val="00E412BF"/>
    <w:rsid w:val="00E42114"/>
    <w:rsid w:val="00E45483"/>
    <w:rsid w:val="00E46330"/>
    <w:rsid w:val="00E46F82"/>
    <w:rsid w:val="00E47228"/>
    <w:rsid w:val="00E47466"/>
    <w:rsid w:val="00E47569"/>
    <w:rsid w:val="00E475D3"/>
    <w:rsid w:val="00E508CD"/>
    <w:rsid w:val="00E50945"/>
    <w:rsid w:val="00E51ECD"/>
    <w:rsid w:val="00E5263F"/>
    <w:rsid w:val="00E52853"/>
    <w:rsid w:val="00E52CB8"/>
    <w:rsid w:val="00E52F4D"/>
    <w:rsid w:val="00E53B74"/>
    <w:rsid w:val="00E53CCD"/>
    <w:rsid w:val="00E55ADC"/>
    <w:rsid w:val="00E57845"/>
    <w:rsid w:val="00E60B3E"/>
    <w:rsid w:val="00E613DD"/>
    <w:rsid w:val="00E61CB4"/>
    <w:rsid w:val="00E622E6"/>
    <w:rsid w:val="00E633AB"/>
    <w:rsid w:val="00E63B7E"/>
    <w:rsid w:val="00E64741"/>
    <w:rsid w:val="00E64ACD"/>
    <w:rsid w:val="00E65B0B"/>
    <w:rsid w:val="00E65C44"/>
    <w:rsid w:val="00E669E2"/>
    <w:rsid w:val="00E66A31"/>
    <w:rsid w:val="00E66D1F"/>
    <w:rsid w:val="00E67536"/>
    <w:rsid w:val="00E67F9A"/>
    <w:rsid w:val="00E71316"/>
    <w:rsid w:val="00E7139C"/>
    <w:rsid w:val="00E72340"/>
    <w:rsid w:val="00E72B9F"/>
    <w:rsid w:val="00E72BB2"/>
    <w:rsid w:val="00E75685"/>
    <w:rsid w:val="00E76135"/>
    <w:rsid w:val="00E776C0"/>
    <w:rsid w:val="00E80A98"/>
    <w:rsid w:val="00E81377"/>
    <w:rsid w:val="00E822B0"/>
    <w:rsid w:val="00E82420"/>
    <w:rsid w:val="00E825AC"/>
    <w:rsid w:val="00E8306B"/>
    <w:rsid w:val="00E836CB"/>
    <w:rsid w:val="00E83D5A"/>
    <w:rsid w:val="00E84957"/>
    <w:rsid w:val="00E85638"/>
    <w:rsid w:val="00E85BDD"/>
    <w:rsid w:val="00E85DC7"/>
    <w:rsid w:val="00E86893"/>
    <w:rsid w:val="00E86F55"/>
    <w:rsid w:val="00E874DE"/>
    <w:rsid w:val="00E91131"/>
    <w:rsid w:val="00E91696"/>
    <w:rsid w:val="00E91CB3"/>
    <w:rsid w:val="00E92000"/>
    <w:rsid w:val="00E9207E"/>
    <w:rsid w:val="00E92B3F"/>
    <w:rsid w:val="00E93123"/>
    <w:rsid w:val="00E941C8"/>
    <w:rsid w:val="00E94EC2"/>
    <w:rsid w:val="00E97D11"/>
    <w:rsid w:val="00E97D9E"/>
    <w:rsid w:val="00EA1262"/>
    <w:rsid w:val="00EA27F3"/>
    <w:rsid w:val="00EA401E"/>
    <w:rsid w:val="00EA560D"/>
    <w:rsid w:val="00EA5662"/>
    <w:rsid w:val="00EA5B79"/>
    <w:rsid w:val="00EA5DBF"/>
    <w:rsid w:val="00EA5E04"/>
    <w:rsid w:val="00EA687B"/>
    <w:rsid w:val="00EA7056"/>
    <w:rsid w:val="00EA70A0"/>
    <w:rsid w:val="00EA7427"/>
    <w:rsid w:val="00EA7665"/>
    <w:rsid w:val="00EA7C7D"/>
    <w:rsid w:val="00EB0A6A"/>
    <w:rsid w:val="00EB1C7E"/>
    <w:rsid w:val="00EB2879"/>
    <w:rsid w:val="00EB34C8"/>
    <w:rsid w:val="00EB3B2D"/>
    <w:rsid w:val="00EB3CEB"/>
    <w:rsid w:val="00EB3D71"/>
    <w:rsid w:val="00EB403A"/>
    <w:rsid w:val="00EB4A39"/>
    <w:rsid w:val="00EB5EF8"/>
    <w:rsid w:val="00EB621A"/>
    <w:rsid w:val="00EB68E2"/>
    <w:rsid w:val="00EB7298"/>
    <w:rsid w:val="00EB7BBB"/>
    <w:rsid w:val="00EC0C6A"/>
    <w:rsid w:val="00EC0E52"/>
    <w:rsid w:val="00EC0F52"/>
    <w:rsid w:val="00EC101D"/>
    <w:rsid w:val="00EC1045"/>
    <w:rsid w:val="00EC1C9D"/>
    <w:rsid w:val="00EC3EAD"/>
    <w:rsid w:val="00EC4DD5"/>
    <w:rsid w:val="00EC644C"/>
    <w:rsid w:val="00EC64DC"/>
    <w:rsid w:val="00EC66E1"/>
    <w:rsid w:val="00EC7775"/>
    <w:rsid w:val="00ED0BDD"/>
    <w:rsid w:val="00ED0CD0"/>
    <w:rsid w:val="00ED1B02"/>
    <w:rsid w:val="00ED1F6A"/>
    <w:rsid w:val="00ED321F"/>
    <w:rsid w:val="00ED370D"/>
    <w:rsid w:val="00ED58C0"/>
    <w:rsid w:val="00ED5F1B"/>
    <w:rsid w:val="00ED60EC"/>
    <w:rsid w:val="00ED6920"/>
    <w:rsid w:val="00ED74F5"/>
    <w:rsid w:val="00EE0660"/>
    <w:rsid w:val="00EE1A32"/>
    <w:rsid w:val="00EE1C05"/>
    <w:rsid w:val="00EE1C9C"/>
    <w:rsid w:val="00EE2A5B"/>
    <w:rsid w:val="00EE3034"/>
    <w:rsid w:val="00EE368A"/>
    <w:rsid w:val="00EE3F4E"/>
    <w:rsid w:val="00EE40FF"/>
    <w:rsid w:val="00EE41CE"/>
    <w:rsid w:val="00EE4585"/>
    <w:rsid w:val="00EE4B35"/>
    <w:rsid w:val="00EE4B60"/>
    <w:rsid w:val="00EE4C8C"/>
    <w:rsid w:val="00EE5DA7"/>
    <w:rsid w:val="00EE61D7"/>
    <w:rsid w:val="00EE6A9C"/>
    <w:rsid w:val="00EE73F5"/>
    <w:rsid w:val="00EF095D"/>
    <w:rsid w:val="00EF116B"/>
    <w:rsid w:val="00EF15C8"/>
    <w:rsid w:val="00EF3920"/>
    <w:rsid w:val="00EF401F"/>
    <w:rsid w:val="00EF56D6"/>
    <w:rsid w:val="00EF5CF2"/>
    <w:rsid w:val="00EF7A81"/>
    <w:rsid w:val="00F001B3"/>
    <w:rsid w:val="00F01296"/>
    <w:rsid w:val="00F0246E"/>
    <w:rsid w:val="00F028B8"/>
    <w:rsid w:val="00F0292C"/>
    <w:rsid w:val="00F030EB"/>
    <w:rsid w:val="00F0343F"/>
    <w:rsid w:val="00F036A3"/>
    <w:rsid w:val="00F03DF1"/>
    <w:rsid w:val="00F04AF0"/>
    <w:rsid w:val="00F04EB9"/>
    <w:rsid w:val="00F054D7"/>
    <w:rsid w:val="00F056FC"/>
    <w:rsid w:val="00F05CBC"/>
    <w:rsid w:val="00F067DC"/>
    <w:rsid w:val="00F07188"/>
    <w:rsid w:val="00F07610"/>
    <w:rsid w:val="00F07949"/>
    <w:rsid w:val="00F105FC"/>
    <w:rsid w:val="00F110B3"/>
    <w:rsid w:val="00F11F60"/>
    <w:rsid w:val="00F12DCE"/>
    <w:rsid w:val="00F131F7"/>
    <w:rsid w:val="00F13358"/>
    <w:rsid w:val="00F1343F"/>
    <w:rsid w:val="00F135D8"/>
    <w:rsid w:val="00F13635"/>
    <w:rsid w:val="00F13D7F"/>
    <w:rsid w:val="00F1424D"/>
    <w:rsid w:val="00F147DF"/>
    <w:rsid w:val="00F159AC"/>
    <w:rsid w:val="00F17A0F"/>
    <w:rsid w:val="00F200BF"/>
    <w:rsid w:val="00F209A8"/>
    <w:rsid w:val="00F21F70"/>
    <w:rsid w:val="00F22FB7"/>
    <w:rsid w:val="00F232B1"/>
    <w:rsid w:val="00F23B38"/>
    <w:rsid w:val="00F2497D"/>
    <w:rsid w:val="00F253DF"/>
    <w:rsid w:val="00F260BC"/>
    <w:rsid w:val="00F26B7D"/>
    <w:rsid w:val="00F26F6E"/>
    <w:rsid w:val="00F270F6"/>
    <w:rsid w:val="00F3030E"/>
    <w:rsid w:val="00F30356"/>
    <w:rsid w:val="00F31299"/>
    <w:rsid w:val="00F31614"/>
    <w:rsid w:val="00F321DA"/>
    <w:rsid w:val="00F32DB2"/>
    <w:rsid w:val="00F332B8"/>
    <w:rsid w:val="00F343D9"/>
    <w:rsid w:val="00F34A8F"/>
    <w:rsid w:val="00F3534A"/>
    <w:rsid w:val="00F35460"/>
    <w:rsid w:val="00F355F4"/>
    <w:rsid w:val="00F35D88"/>
    <w:rsid w:val="00F3749E"/>
    <w:rsid w:val="00F40F8F"/>
    <w:rsid w:val="00F41CE7"/>
    <w:rsid w:val="00F42849"/>
    <w:rsid w:val="00F43EC6"/>
    <w:rsid w:val="00F450B1"/>
    <w:rsid w:val="00F4597C"/>
    <w:rsid w:val="00F45C47"/>
    <w:rsid w:val="00F47F6A"/>
    <w:rsid w:val="00F50FBB"/>
    <w:rsid w:val="00F51969"/>
    <w:rsid w:val="00F52850"/>
    <w:rsid w:val="00F53055"/>
    <w:rsid w:val="00F55A86"/>
    <w:rsid w:val="00F60C5C"/>
    <w:rsid w:val="00F6129E"/>
    <w:rsid w:val="00F618B9"/>
    <w:rsid w:val="00F618D0"/>
    <w:rsid w:val="00F6267F"/>
    <w:rsid w:val="00F6322C"/>
    <w:rsid w:val="00F63784"/>
    <w:rsid w:val="00F63BCA"/>
    <w:rsid w:val="00F65AA5"/>
    <w:rsid w:val="00F65B34"/>
    <w:rsid w:val="00F66365"/>
    <w:rsid w:val="00F6734A"/>
    <w:rsid w:val="00F67382"/>
    <w:rsid w:val="00F70CA7"/>
    <w:rsid w:val="00F715EE"/>
    <w:rsid w:val="00F716E2"/>
    <w:rsid w:val="00F72246"/>
    <w:rsid w:val="00F7452E"/>
    <w:rsid w:val="00F74736"/>
    <w:rsid w:val="00F74990"/>
    <w:rsid w:val="00F74F14"/>
    <w:rsid w:val="00F757FD"/>
    <w:rsid w:val="00F75E66"/>
    <w:rsid w:val="00F767C9"/>
    <w:rsid w:val="00F76FEA"/>
    <w:rsid w:val="00F772E2"/>
    <w:rsid w:val="00F80A6C"/>
    <w:rsid w:val="00F8193B"/>
    <w:rsid w:val="00F85325"/>
    <w:rsid w:val="00F85D18"/>
    <w:rsid w:val="00F86EA2"/>
    <w:rsid w:val="00F86F34"/>
    <w:rsid w:val="00F87662"/>
    <w:rsid w:val="00F923F9"/>
    <w:rsid w:val="00F9315E"/>
    <w:rsid w:val="00F939A5"/>
    <w:rsid w:val="00F94D9B"/>
    <w:rsid w:val="00F9645E"/>
    <w:rsid w:val="00F9705E"/>
    <w:rsid w:val="00FA0E24"/>
    <w:rsid w:val="00FA3EAE"/>
    <w:rsid w:val="00FA43A8"/>
    <w:rsid w:val="00FA4579"/>
    <w:rsid w:val="00FA56F1"/>
    <w:rsid w:val="00FA6EB5"/>
    <w:rsid w:val="00FB0456"/>
    <w:rsid w:val="00FB15A9"/>
    <w:rsid w:val="00FB18B4"/>
    <w:rsid w:val="00FB29CD"/>
    <w:rsid w:val="00FB2B9E"/>
    <w:rsid w:val="00FB3EC1"/>
    <w:rsid w:val="00FB485E"/>
    <w:rsid w:val="00FB5737"/>
    <w:rsid w:val="00FB6351"/>
    <w:rsid w:val="00FB6C1C"/>
    <w:rsid w:val="00FB727D"/>
    <w:rsid w:val="00FC012D"/>
    <w:rsid w:val="00FC2089"/>
    <w:rsid w:val="00FC2FD7"/>
    <w:rsid w:val="00FC52DC"/>
    <w:rsid w:val="00FC55DD"/>
    <w:rsid w:val="00FC56DC"/>
    <w:rsid w:val="00FC5DC4"/>
    <w:rsid w:val="00FC7B83"/>
    <w:rsid w:val="00FD22B1"/>
    <w:rsid w:val="00FD3143"/>
    <w:rsid w:val="00FD42A2"/>
    <w:rsid w:val="00FD5259"/>
    <w:rsid w:val="00FD539C"/>
    <w:rsid w:val="00FD5526"/>
    <w:rsid w:val="00FD63BF"/>
    <w:rsid w:val="00FD796B"/>
    <w:rsid w:val="00FD7A67"/>
    <w:rsid w:val="00FE067C"/>
    <w:rsid w:val="00FE36EB"/>
    <w:rsid w:val="00FE3FFD"/>
    <w:rsid w:val="00FE51FF"/>
    <w:rsid w:val="00FE625B"/>
    <w:rsid w:val="00FE64DE"/>
    <w:rsid w:val="00FE796C"/>
    <w:rsid w:val="00FF0494"/>
    <w:rsid w:val="00FF0560"/>
    <w:rsid w:val="00FF06E1"/>
    <w:rsid w:val="00FF0DFD"/>
    <w:rsid w:val="00FF248A"/>
    <w:rsid w:val="00FF32BF"/>
    <w:rsid w:val="00FF44AC"/>
    <w:rsid w:val="00FF58CC"/>
    <w:rsid w:val="00FF5E4A"/>
    <w:rsid w:val="00FF60CA"/>
    <w:rsid w:val="00FF65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3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D1BA6"/>
    <w:rPr>
      <w:sz w:val="24"/>
      <w:szCs w:val="24"/>
    </w:rPr>
  </w:style>
  <w:style w:type="paragraph" w:styleId="Heading1">
    <w:name w:val="heading 1"/>
    <w:basedOn w:val="BodyText"/>
    <w:next w:val="BodyText"/>
    <w:rsid w:val="000D1BA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D1BA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0D1BA6"/>
    <w:pPr>
      <w:spacing w:before="560" w:line="320" w:lineRule="exact"/>
      <w:ind w:left="0" w:firstLine="0"/>
      <w:outlineLvl w:val="2"/>
    </w:pPr>
    <w:rPr>
      <w:sz w:val="26"/>
    </w:rPr>
  </w:style>
  <w:style w:type="paragraph" w:styleId="Heading4">
    <w:name w:val="heading 4"/>
    <w:basedOn w:val="Heading3"/>
    <w:next w:val="BodyText"/>
    <w:link w:val="Heading4Char"/>
    <w:qFormat/>
    <w:rsid w:val="000D1BA6"/>
    <w:pPr>
      <w:spacing w:before="480"/>
      <w:outlineLvl w:val="3"/>
    </w:pPr>
    <w:rPr>
      <w:b w:val="0"/>
      <w:sz w:val="24"/>
    </w:rPr>
  </w:style>
  <w:style w:type="paragraph" w:styleId="Heading5">
    <w:name w:val="heading 5"/>
    <w:basedOn w:val="Heading4"/>
    <w:next w:val="BodyText"/>
    <w:link w:val="Heading5Char"/>
    <w:qFormat/>
    <w:rsid w:val="000D1BA6"/>
    <w:pPr>
      <w:outlineLvl w:val="4"/>
    </w:pPr>
    <w:rPr>
      <w:i/>
      <w:sz w:val="22"/>
    </w:rPr>
  </w:style>
  <w:style w:type="paragraph" w:styleId="Heading6">
    <w:name w:val="heading 6"/>
    <w:basedOn w:val="BodyText"/>
    <w:next w:val="BodyText"/>
    <w:rsid w:val="000D1BA6"/>
    <w:pPr>
      <w:spacing w:after="60"/>
      <w:jc w:val="left"/>
      <w:outlineLvl w:val="5"/>
    </w:pPr>
    <w:rPr>
      <w:i/>
      <w:sz w:val="22"/>
    </w:rPr>
  </w:style>
  <w:style w:type="paragraph" w:styleId="Heading7">
    <w:name w:val="heading 7"/>
    <w:basedOn w:val="BodyText"/>
    <w:next w:val="BodyText"/>
    <w:rsid w:val="000D1BA6"/>
    <w:pPr>
      <w:spacing w:after="60" w:line="240" w:lineRule="auto"/>
      <w:jc w:val="left"/>
      <w:outlineLvl w:val="6"/>
    </w:pPr>
    <w:rPr>
      <w:rFonts w:ascii="Arial" w:hAnsi="Arial"/>
      <w:sz w:val="20"/>
    </w:rPr>
  </w:style>
  <w:style w:type="paragraph" w:styleId="Heading8">
    <w:name w:val="heading 8"/>
    <w:basedOn w:val="BodyText"/>
    <w:next w:val="BodyText"/>
    <w:rsid w:val="000D1BA6"/>
    <w:pPr>
      <w:spacing w:after="60" w:line="240" w:lineRule="auto"/>
      <w:jc w:val="left"/>
      <w:outlineLvl w:val="7"/>
    </w:pPr>
    <w:rPr>
      <w:rFonts w:ascii="Arial" w:hAnsi="Arial"/>
      <w:i/>
      <w:sz w:val="20"/>
    </w:rPr>
  </w:style>
  <w:style w:type="paragraph" w:styleId="Heading9">
    <w:name w:val="heading 9"/>
    <w:basedOn w:val="BodyText"/>
    <w:next w:val="BodyText"/>
    <w:rsid w:val="000D1BA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D1B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BA6"/>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0D1BA6"/>
    <w:pPr>
      <w:spacing w:before="240" w:line="300" w:lineRule="atLeast"/>
      <w:jc w:val="both"/>
    </w:pPr>
    <w:rPr>
      <w:sz w:val="24"/>
    </w:rPr>
  </w:style>
  <w:style w:type="paragraph" w:customStyle="1" w:styleId="FooterEnd">
    <w:name w:val="Footer End"/>
    <w:basedOn w:val="Footer"/>
    <w:rsid w:val="000D1BA6"/>
    <w:pPr>
      <w:spacing w:before="0" w:line="20" w:lineRule="exact"/>
    </w:pPr>
  </w:style>
  <w:style w:type="paragraph" w:styleId="Header">
    <w:name w:val="header"/>
    <w:basedOn w:val="BodyText"/>
    <w:rsid w:val="000D1BA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D1BA6"/>
    <w:pPr>
      <w:spacing w:line="20" w:lineRule="exact"/>
    </w:pPr>
    <w:rPr>
      <w:sz w:val="16"/>
    </w:rPr>
  </w:style>
  <w:style w:type="character" w:styleId="PageNumber">
    <w:name w:val="page number"/>
    <w:basedOn w:val="DefaultParagraphFont"/>
    <w:rsid w:val="000D1BA6"/>
    <w:rPr>
      <w:rFonts w:ascii="Arial" w:hAnsi="Arial"/>
      <w:b/>
      <w:sz w:val="16"/>
    </w:rPr>
  </w:style>
  <w:style w:type="paragraph" w:customStyle="1" w:styleId="Abbreviation">
    <w:name w:val="Abbreviation"/>
    <w:basedOn w:val="BodyText"/>
    <w:rsid w:val="000D1BA6"/>
    <w:pPr>
      <w:spacing w:before="120"/>
      <w:ind w:left="2381" w:hanging="2381"/>
      <w:jc w:val="left"/>
    </w:pPr>
  </w:style>
  <w:style w:type="paragraph" w:customStyle="1" w:styleId="Box">
    <w:name w:val="Box"/>
    <w:basedOn w:val="BodyText"/>
    <w:link w:val="BoxChar"/>
    <w:qFormat/>
    <w:rsid w:val="000D1BA6"/>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0D1BA6"/>
    <w:pPr>
      <w:spacing w:before="180" w:line="220" w:lineRule="exact"/>
      <w:jc w:val="right"/>
    </w:pPr>
    <w:rPr>
      <w:rFonts w:ascii="Arial" w:hAnsi="Arial"/>
      <w:sz w:val="18"/>
    </w:rPr>
  </w:style>
  <w:style w:type="paragraph" w:customStyle="1" w:styleId="BoxHeading1">
    <w:name w:val="Box Heading 1"/>
    <w:basedOn w:val="BodyText"/>
    <w:next w:val="Box"/>
    <w:rsid w:val="000D1BA6"/>
    <w:pPr>
      <w:keepNext/>
      <w:spacing w:before="200" w:line="280" w:lineRule="atLeast"/>
    </w:pPr>
    <w:rPr>
      <w:rFonts w:ascii="Arial" w:hAnsi="Arial"/>
      <w:b/>
      <w:sz w:val="22"/>
    </w:rPr>
  </w:style>
  <w:style w:type="paragraph" w:customStyle="1" w:styleId="BoxHeading2">
    <w:name w:val="Box Heading 2"/>
    <w:basedOn w:val="BoxHeading1"/>
    <w:next w:val="Normal"/>
    <w:rsid w:val="000D1BA6"/>
    <w:rPr>
      <w:b w:val="0"/>
      <w:i/>
    </w:rPr>
  </w:style>
  <w:style w:type="paragraph" w:customStyle="1" w:styleId="BoxListBullet">
    <w:name w:val="Box List Bullet"/>
    <w:basedOn w:val="BodyText"/>
    <w:link w:val="BoxListBulletChar"/>
    <w:rsid w:val="000D1BA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0D1BA6"/>
    <w:pPr>
      <w:numPr>
        <w:numId w:val="2"/>
      </w:numPr>
      <w:ind w:left="568" w:hanging="284"/>
    </w:pPr>
  </w:style>
  <w:style w:type="paragraph" w:customStyle="1" w:styleId="BoxListNumber">
    <w:name w:val="Box List Number"/>
    <w:basedOn w:val="BodyText"/>
    <w:rsid w:val="000D1BA6"/>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D1BA6"/>
    <w:pPr>
      <w:numPr>
        <w:ilvl w:val="1"/>
      </w:numPr>
      <w:ind w:left="681" w:hanging="397"/>
    </w:pPr>
  </w:style>
  <w:style w:type="paragraph" w:customStyle="1" w:styleId="BoxQuote">
    <w:name w:val="Box Quote"/>
    <w:basedOn w:val="BodyText"/>
    <w:next w:val="Box"/>
    <w:qFormat/>
    <w:rsid w:val="000D1BA6"/>
    <w:pPr>
      <w:keepNext/>
      <w:spacing w:before="60" w:line="240" w:lineRule="exact"/>
      <w:ind w:left="284"/>
    </w:pPr>
    <w:rPr>
      <w:rFonts w:ascii="Arial" w:hAnsi="Arial"/>
      <w:sz w:val="18"/>
    </w:rPr>
  </w:style>
  <w:style w:type="paragraph" w:customStyle="1" w:styleId="Note">
    <w:name w:val="Note"/>
    <w:basedOn w:val="BodyText"/>
    <w:next w:val="BodyText"/>
    <w:link w:val="NoteChar"/>
    <w:rsid w:val="000D1BA6"/>
    <w:pPr>
      <w:keepLines/>
      <w:spacing w:before="80" w:line="220" w:lineRule="exact"/>
    </w:pPr>
    <w:rPr>
      <w:rFonts w:ascii="Arial" w:hAnsi="Arial"/>
      <w:sz w:val="18"/>
    </w:rPr>
  </w:style>
  <w:style w:type="paragraph" w:customStyle="1" w:styleId="Source">
    <w:name w:val="Source"/>
    <w:basedOn w:val="Normal"/>
    <w:next w:val="BodyText"/>
    <w:link w:val="SourceChar"/>
    <w:rsid w:val="000D1BA6"/>
    <w:pPr>
      <w:keepLines/>
      <w:spacing w:before="80" w:line="220" w:lineRule="exact"/>
      <w:jc w:val="both"/>
    </w:pPr>
    <w:rPr>
      <w:rFonts w:ascii="Arial" w:hAnsi="Arial"/>
      <w:sz w:val="18"/>
      <w:szCs w:val="20"/>
    </w:rPr>
  </w:style>
  <w:style w:type="paragraph" w:customStyle="1" w:styleId="BoxSource">
    <w:name w:val="Box Source"/>
    <w:basedOn w:val="Source"/>
    <w:next w:val="BodyText"/>
    <w:rsid w:val="000D1BA6"/>
    <w:pPr>
      <w:spacing w:before="120"/>
    </w:pPr>
  </w:style>
  <w:style w:type="paragraph" w:styleId="Caption">
    <w:name w:val="caption"/>
    <w:basedOn w:val="Normal"/>
    <w:next w:val="BodyText"/>
    <w:rsid w:val="000D1BA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D1BA6"/>
    <w:pPr>
      <w:spacing w:before="120" w:after="0"/>
    </w:pPr>
  </w:style>
  <w:style w:type="paragraph" w:customStyle="1" w:styleId="BoxSubtitle">
    <w:name w:val="Box Subtitle"/>
    <w:basedOn w:val="BoxTitle"/>
    <w:next w:val="Normal"/>
    <w:rsid w:val="000D1BA6"/>
    <w:pPr>
      <w:spacing w:after="80" w:line="200" w:lineRule="exact"/>
      <w:ind w:firstLine="0"/>
    </w:pPr>
    <w:rPr>
      <w:b w:val="0"/>
      <w:sz w:val="20"/>
    </w:rPr>
  </w:style>
  <w:style w:type="paragraph" w:customStyle="1" w:styleId="Chapter">
    <w:name w:val="Chapter"/>
    <w:basedOn w:val="Heading1"/>
    <w:next w:val="BodyText"/>
    <w:semiHidden/>
    <w:rsid w:val="000D1BA6"/>
    <w:pPr>
      <w:ind w:left="0" w:firstLine="0"/>
      <w:outlineLvl w:val="9"/>
    </w:pPr>
  </w:style>
  <w:style w:type="paragraph" w:customStyle="1" w:styleId="ChapterSummary">
    <w:name w:val="Chapter Summary"/>
    <w:basedOn w:val="BodyText"/>
    <w:rsid w:val="000D1BA6"/>
    <w:pPr>
      <w:spacing w:line="280" w:lineRule="atLeast"/>
      <w:ind w:left="907"/>
    </w:pPr>
    <w:rPr>
      <w:rFonts w:ascii="Arial" w:hAnsi="Arial"/>
      <w:b/>
      <w:sz w:val="20"/>
    </w:rPr>
  </w:style>
  <w:style w:type="character" w:styleId="CommentReference">
    <w:name w:val="annotation reference"/>
    <w:basedOn w:val="DefaultParagraphFont"/>
    <w:rsid w:val="000D1BA6"/>
    <w:rPr>
      <w:b/>
      <w:vanish/>
      <w:color w:val="FF00FF"/>
      <w:sz w:val="20"/>
    </w:rPr>
  </w:style>
  <w:style w:type="paragraph" w:styleId="CommentText">
    <w:name w:val="annotation text"/>
    <w:basedOn w:val="Normal"/>
    <w:link w:val="CommentTextChar"/>
    <w:semiHidden/>
    <w:rsid w:val="000D1BA6"/>
    <w:pPr>
      <w:spacing w:before="120" w:line="240" w:lineRule="atLeast"/>
      <w:ind w:left="567" w:hanging="567"/>
    </w:pPr>
    <w:rPr>
      <w:sz w:val="20"/>
    </w:rPr>
  </w:style>
  <w:style w:type="paragraph" w:customStyle="1" w:styleId="Continued">
    <w:name w:val="Continued"/>
    <w:basedOn w:val="BoxContinued"/>
    <w:next w:val="BodyText"/>
    <w:link w:val="ContinuedChar"/>
    <w:rsid w:val="000D1BA6"/>
  </w:style>
  <w:style w:type="character" w:customStyle="1" w:styleId="DocumentInfo">
    <w:name w:val="Document Info"/>
    <w:basedOn w:val="DefaultParagraphFont"/>
    <w:semiHidden/>
    <w:rsid w:val="000D1BA6"/>
    <w:rPr>
      <w:rFonts w:ascii="Arial" w:hAnsi="Arial"/>
      <w:sz w:val="14"/>
    </w:rPr>
  </w:style>
  <w:style w:type="character" w:customStyle="1" w:styleId="DraftingNote">
    <w:name w:val="Drafting Note"/>
    <w:basedOn w:val="DefaultParagraphFont"/>
    <w:rsid w:val="000D1BA6"/>
    <w:rPr>
      <w:b/>
      <w:color w:val="FF0000"/>
      <w:sz w:val="24"/>
      <w:u w:val="dotted"/>
    </w:rPr>
  </w:style>
  <w:style w:type="paragraph" w:customStyle="1" w:styleId="Figure">
    <w:name w:val="Figure"/>
    <w:basedOn w:val="BodyText"/>
    <w:rsid w:val="000D1BA6"/>
    <w:pPr>
      <w:keepNext/>
      <w:spacing w:before="120" w:after="120" w:line="240" w:lineRule="atLeast"/>
      <w:jc w:val="center"/>
    </w:pPr>
  </w:style>
  <w:style w:type="paragraph" w:customStyle="1" w:styleId="FigureTitle">
    <w:name w:val="Figure Title"/>
    <w:basedOn w:val="Caption"/>
    <w:next w:val="Subtitle"/>
    <w:rsid w:val="000D1BA6"/>
    <w:pPr>
      <w:spacing w:before="120"/>
    </w:pPr>
  </w:style>
  <w:style w:type="paragraph" w:styleId="Subtitle">
    <w:name w:val="Subtitle"/>
    <w:basedOn w:val="Caption"/>
    <w:link w:val="SubtitleChar"/>
    <w:qFormat/>
    <w:rsid w:val="000D1BA6"/>
    <w:pPr>
      <w:spacing w:before="0" w:line="200" w:lineRule="exact"/>
      <w:ind w:firstLine="0"/>
    </w:pPr>
    <w:rPr>
      <w:b w:val="0"/>
      <w:sz w:val="20"/>
    </w:rPr>
  </w:style>
  <w:style w:type="paragraph" w:customStyle="1" w:styleId="Finding">
    <w:name w:val="Finding"/>
    <w:basedOn w:val="BodyText"/>
    <w:rsid w:val="000D1BA6"/>
    <w:pPr>
      <w:keepLines/>
      <w:spacing w:before="120" w:line="280" w:lineRule="atLeast"/>
    </w:pPr>
    <w:rPr>
      <w:rFonts w:ascii="Arial" w:hAnsi="Arial"/>
      <w:sz w:val="22"/>
    </w:rPr>
  </w:style>
  <w:style w:type="paragraph" w:customStyle="1" w:styleId="FindingBullet">
    <w:name w:val="Finding Bullet"/>
    <w:basedOn w:val="Finding"/>
    <w:rsid w:val="000D1BA6"/>
    <w:pPr>
      <w:numPr>
        <w:numId w:val="3"/>
      </w:numPr>
      <w:spacing w:before="80"/>
    </w:pPr>
  </w:style>
  <w:style w:type="paragraph" w:customStyle="1" w:styleId="RecTitle">
    <w:name w:val="Rec Title"/>
    <w:basedOn w:val="BodyText"/>
    <w:next w:val="Rec"/>
    <w:qFormat/>
    <w:rsid w:val="000D1BA6"/>
    <w:pPr>
      <w:keepNext/>
      <w:keepLines/>
      <w:spacing w:line="280" w:lineRule="atLeast"/>
    </w:pPr>
    <w:rPr>
      <w:rFonts w:ascii="Arial" w:hAnsi="Arial"/>
      <w:caps/>
      <w:sz w:val="18"/>
    </w:rPr>
  </w:style>
  <w:style w:type="paragraph" w:customStyle="1" w:styleId="FindingTitle">
    <w:name w:val="Finding Title"/>
    <w:basedOn w:val="RecTitle"/>
    <w:next w:val="Finding"/>
    <w:rsid w:val="000D1BA6"/>
  </w:style>
  <w:style w:type="character" w:styleId="FootnoteReference">
    <w:name w:val="footnote reference"/>
    <w:basedOn w:val="DefaultParagraphFont"/>
    <w:semiHidden/>
    <w:rsid w:val="000D1BA6"/>
    <w:rPr>
      <w:rFonts w:ascii="Times New Roman" w:hAnsi="Times New Roman"/>
      <w:position w:val="6"/>
      <w:sz w:val="20"/>
      <w:vertAlign w:val="baseline"/>
    </w:rPr>
  </w:style>
  <w:style w:type="paragraph" w:styleId="FootnoteText">
    <w:name w:val="footnote text"/>
    <w:basedOn w:val="BodyText"/>
    <w:rsid w:val="000D1BA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D1BA6"/>
    <w:rPr>
      <w:i/>
    </w:rPr>
  </w:style>
  <w:style w:type="paragraph" w:customStyle="1" w:styleId="Jurisdictioncommentsbodytext">
    <w:name w:val="Jurisdiction comments body text"/>
    <w:rsid w:val="000D1BA6"/>
    <w:pPr>
      <w:spacing w:after="140"/>
      <w:jc w:val="both"/>
    </w:pPr>
    <w:rPr>
      <w:rFonts w:ascii="Arial" w:hAnsi="Arial"/>
      <w:sz w:val="24"/>
      <w:lang w:eastAsia="en-US"/>
    </w:rPr>
  </w:style>
  <w:style w:type="paragraph" w:customStyle="1" w:styleId="Jurisdictioncommentsheading">
    <w:name w:val="Jurisdiction comments heading"/>
    <w:rsid w:val="000D1BA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D1BA6"/>
    <w:pPr>
      <w:numPr>
        <w:numId w:val="4"/>
      </w:numPr>
      <w:spacing w:after="140"/>
      <w:jc w:val="both"/>
    </w:pPr>
    <w:rPr>
      <w:rFonts w:ascii="Arial" w:hAnsi="Arial"/>
      <w:sz w:val="24"/>
      <w:lang w:eastAsia="en-US"/>
    </w:rPr>
  </w:style>
  <w:style w:type="paragraph" w:styleId="ListBullet">
    <w:name w:val="List Bullet"/>
    <w:basedOn w:val="BodyText"/>
    <w:link w:val="ListBulletChar"/>
    <w:rsid w:val="000D1BA6"/>
    <w:pPr>
      <w:numPr>
        <w:numId w:val="5"/>
      </w:numPr>
      <w:spacing w:before="120"/>
    </w:pPr>
  </w:style>
  <w:style w:type="paragraph" w:styleId="ListBullet2">
    <w:name w:val="List Bullet 2"/>
    <w:basedOn w:val="BodyText"/>
    <w:rsid w:val="000D1BA6"/>
    <w:pPr>
      <w:numPr>
        <w:numId w:val="6"/>
      </w:numPr>
      <w:spacing w:before="120"/>
    </w:pPr>
  </w:style>
  <w:style w:type="paragraph" w:styleId="ListBullet3">
    <w:name w:val="List Bullet 3"/>
    <w:basedOn w:val="BodyText"/>
    <w:rsid w:val="000D1BA6"/>
    <w:pPr>
      <w:numPr>
        <w:numId w:val="7"/>
      </w:numPr>
      <w:spacing w:before="120"/>
      <w:ind w:left="1020" w:hanging="340"/>
    </w:pPr>
  </w:style>
  <w:style w:type="paragraph" w:styleId="ListNumber">
    <w:name w:val="List Number"/>
    <w:basedOn w:val="BodyText"/>
    <w:rsid w:val="000D1BA6"/>
    <w:pPr>
      <w:numPr>
        <w:numId w:val="13"/>
      </w:numPr>
      <w:spacing w:before="120"/>
    </w:pPr>
  </w:style>
  <w:style w:type="paragraph" w:styleId="ListNumber2">
    <w:name w:val="List Number 2"/>
    <w:basedOn w:val="ListNumber"/>
    <w:rsid w:val="000D1BA6"/>
    <w:pPr>
      <w:numPr>
        <w:ilvl w:val="1"/>
      </w:numPr>
    </w:pPr>
  </w:style>
  <w:style w:type="paragraph" w:styleId="ListNumber3">
    <w:name w:val="List Number 3"/>
    <w:basedOn w:val="ListNumber2"/>
    <w:rsid w:val="000D1BA6"/>
    <w:pPr>
      <w:numPr>
        <w:ilvl w:val="2"/>
      </w:numPr>
    </w:pPr>
  </w:style>
  <w:style w:type="character" w:customStyle="1" w:styleId="NoteLabel">
    <w:name w:val="Note Label"/>
    <w:basedOn w:val="DefaultParagraphFont"/>
    <w:rsid w:val="000D1BA6"/>
    <w:rPr>
      <w:rFonts w:ascii="Arial" w:hAnsi="Arial"/>
      <w:b/>
      <w:position w:val="6"/>
      <w:sz w:val="18"/>
    </w:rPr>
  </w:style>
  <w:style w:type="paragraph" w:customStyle="1" w:styleId="PartDivider">
    <w:name w:val="Part Divider"/>
    <w:basedOn w:val="BodyText"/>
    <w:next w:val="BodyText"/>
    <w:semiHidden/>
    <w:rsid w:val="000D1BA6"/>
    <w:pPr>
      <w:spacing w:before="0" w:line="40" w:lineRule="exact"/>
      <w:jc w:val="right"/>
    </w:pPr>
    <w:rPr>
      <w:smallCaps/>
      <w:sz w:val="16"/>
    </w:rPr>
  </w:style>
  <w:style w:type="paragraph" w:customStyle="1" w:styleId="PartNumber">
    <w:name w:val="Part Number"/>
    <w:basedOn w:val="BodyText"/>
    <w:next w:val="BodyText"/>
    <w:semiHidden/>
    <w:rsid w:val="000D1BA6"/>
    <w:pPr>
      <w:spacing w:before="4000" w:line="320" w:lineRule="exact"/>
      <w:ind w:left="6634"/>
      <w:jc w:val="right"/>
    </w:pPr>
    <w:rPr>
      <w:smallCaps/>
      <w:spacing w:val="60"/>
      <w:sz w:val="32"/>
    </w:rPr>
  </w:style>
  <w:style w:type="paragraph" w:customStyle="1" w:styleId="PartTitle">
    <w:name w:val="Part Title"/>
    <w:basedOn w:val="BodyText"/>
    <w:semiHidden/>
    <w:rsid w:val="000D1BA6"/>
    <w:pPr>
      <w:spacing w:before="160" w:after="1360" w:line="520" w:lineRule="exact"/>
      <w:ind w:right="2381"/>
      <w:jc w:val="right"/>
    </w:pPr>
    <w:rPr>
      <w:smallCaps/>
      <w:sz w:val="52"/>
    </w:rPr>
  </w:style>
  <w:style w:type="paragraph" w:styleId="Quote">
    <w:name w:val="Quote"/>
    <w:basedOn w:val="BodyText"/>
    <w:next w:val="BodyText"/>
    <w:qFormat/>
    <w:rsid w:val="000D1BA6"/>
    <w:pPr>
      <w:spacing w:before="120" w:line="280" w:lineRule="exact"/>
      <w:ind w:left="340"/>
    </w:pPr>
    <w:rPr>
      <w:sz w:val="22"/>
    </w:rPr>
  </w:style>
  <w:style w:type="paragraph" w:customStyle="1" w:styleId="QuoteBullet">
    <w:name w:val="Quote Bullet"/>
    <w:basedOn w:val="Quote"/>
    <w:rsid w:val="000D1BA6"/>
    <w:pPr>
      <w:numPr>
        <w:numId w:val="8"/>
      </w:numPr>
    </w:pPr>
  </w:style>
  <w:style w:type="paragraph" w:customStyle="1" w:styleId="Rec">
    <w:name w:val="Rec"/>
    <w:basedOn w:val="BodyText"/>
    <w:qFormat/>
    <w:rsid w:val="000D1BA6"/>
    <w:pPr>
      <w:keepLines/>
      <w:spacing w:before="120" w:line="280" w:lineRule="atLeast"/>
    </w:pPr>
    <w:rPr>
      <w:rFonts w:ascii="Arial" w:hAnsi="Arial"/>
      <w:sz w:val="22"/>
    </w:rPr>
  </w:style>
  <w:style w:type="paragraph" w:customStyle="1" w:styleId="RecBullet">
    <w:name w:val="Rec Bullet"/>
    <w:basedOn w:val="Rec"/>
    <w:rsid w:val="000D1BA6"/>
    <w:pPr>
      <w:numPr>
        <w:numId w:val="9"/>
      </w:numPr>
      <w:spacing w:before="80"/>
    </w:pPr>
  </w:style>
  <w:style w:type="paragraph" w:customStyle="1" w:styleId="RecB">
    <w:name w:val="RecB"/>
    <w:basedOn w:val="Normal"/>
    <w:rsid w:val="000D1BA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D1BA6"/>
    <w:pPr>
      <w:numPr>
        <w:numId w:val="10"/>
      </w:numPr>
      <w:spacing w:before="80"/>
    </w:pPr>
  </w:style>
  <w:style w:type="paragraph" w:customStyle="1" w:styleId="RecBNoTitle">
    <w:name w:val="RecB NoTitle"/>
    <w:basedOn w:val="RecB"/>
    <w:rsid w:val="000D1BA6"/>
    <w:pPr>
      <w:spacing w:before="240"/>
    </w:pPr>
  </w:style>
  <w:style w:type="paragraph" w:customStyle="1" w:styleId="Reference">
    <w:name w:val="Reference"/>
    <w:basedOn w:val="BodyText"/>
    <w:rsid w:val="000D1BA6"/>
    <w:pPr>
      <w:spacing w:before="120"/>
      <w:ind w:left="340" w:hanging="340"/>
    </w:pPr>
  </w:style>
  <w:style w:type="paragraph" w:customStyle="1" w:styleId="SequenceInfo">
    <w:name w:val="Sequence Info"/>
    <w:basedOn w:val="BodyText"/>
    <w:semiHidden/>
    <w:rsid w:val="000D1BA6"/>
    <w:rPr>
      <w:vanish/>
      <w:sz w:val="16"/>
    </w:rPr>
  </w:style>
  <w:style w:type="paragraph" w:customStyle="1" w:styleId="SideNote">
    <w:name w:val="Side Note"/>
    <w:basedOn w:val="BodyText"/>
    <w:next w:val="BodyText"/>
    <w:semiHidden/>
    <w:rsid w:val="000D1BA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D1BA6"/>
    <w:pPr>
      <w:framePr w:wrap="around"/>
      <w:numPr>
        <w:numId w:val="11"/>
      </w:numPr>
      <w:tabs>
        <w:tab w:val="left" w:pos="227"/>
      </w:tabs>
    </w:pPr>
  </w:style>
  <w:style w:type="paragraph" w:customStyle="1" w:styleId="SideNoteGraphic">
    <w:name w:val="Side Note Graphic"/>
    <w:basedOn w:val="SideNote"/>
    <w:next w:val="BodyText"/>
    <w:semiHidden/>
    <w:rsid w:val="000D1BA6"/>
    <w:pPr>
      <w:framePr w:wrap="around"/>
    </w:pPr>
  </w:style>
  <w:style w:type="paragraph" w:customStyle="1" w:styleId="TableBodyText">
    <w:name w:val="Table Body Text"/>
    <w:basedOn w:val="BodyText"/>
    <w:link w:val="TableBodyTextChar"/>
    <w:rsid w:val="000D1BA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0D1BA6"/>
    <w:pPr>
      <w:numPr>
        <w:numId w:val="12"/>
      </w:numPr>
      <w:jc w:val="left"/>
    </w:pPr>
  </w:style>
  <w:style w:type="paragraph" w:customStyle="1" w:styleId="TableColumnHeading">
    <w:name w:val="Table Column Heading"/>
    <w:basedOn w:val="TableBodyText"/>
    <w:rsid w:val="000D1BA6"/>
    <w:pPr>
      <w:spacing w:before="80" w:after="80"/>
    </w:pPr>
    <w:rPr>
      <w:i/>
    </w:rPr>
  </w:style>
  <w:style w:type="paragraph" w:styleId="TOC2">
    <w:name w:val="toc 2"/>
    <w:basedOn w:val="TOC1"/>
    <w:rsid w:val="000D1BA6"/>
    <w:pPr>
      <w:ind w:left="1134" w:hanging="624"/>
    </w:pPr>
    <w:rPr>
      <w:b w:val="0"/>
    </w:rPr>
  </w:style>
  <w:style w:type="paragraph" w:styleId="TOC3">
    <w:name w:val="toc 3"/>
    <w:basedOn w:val="TOC2"/>
    <w:rsid w:val="000D1BA6"/>
    <w:pPr>
      <w:spacing w:before="60"/>
      <w:ind w:left="1190" w:hanging="680"/>
    </w:pPr>
  </w:style>
  <w:style w:type="paragraph" w:styleId="TableofFigures">
    <w:name w:val="table of figures"/>
    <w:basedOn w:val="TOC3"/>
    <w:next w:val="BodyText"/>
    <w:semiHidden/>
    <w:rsid w:val="000D1BA6"/>
    <w:pPr>
      <w:ind w:left="737" w:hanging="737"/>
    </w:pPr>
  </w:style>
  <w:style w:type="paragraph" w:customStyle="1" w:styleId="TableTitle">
    <w:name w:val="Table Title"/>
    <w:basedOn w:val="Caption"/>
    <w:next w:val="Subtitle"/>
    <w:qFormat/>
    <w:rsid w:val="000D1BA6"/>
    <w:pPr>
      <w:spacing w:before="120"/>
    </w:pPr>
  </w:style>
  <w:style w:type="paragraph" w:customStyle="1" w:styleId="TableUnitsRow">
    <w:name w:val="Table Units Row"/>
    <w:basedOn w:val="TableBodyText"/>
    <w:rsid w:val="000D1BA6"/>
    <w:pPr>
      <w:spacing w:before="40"/>
    </w:pPr>
  </w:style>
  <w:style w:type="paragraph" w:styleId="TOC1">
    <w:name w:val="toc 1"/>
    <w:basedOn w:val="Normal"/>
    <w:next w:val="TOC2"/>
    <w:link w:val="TOC1Char"/>
    <w:rsid w:val="000D1BA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D1BA6"/>
    <w:pPr>
      <w:ind w:left="1191" w:firstLine="0"/>
    </w:pPr>
  </w:style>
  <w:style w:type="character" w:styleId="Hyperlink">
    <w:name w:val="Hyperlink"/>
    <w:uiPriority w:val="99"/>
    <w:rsid w:val="00544082"/>
    <w:rPr>
      <w:color w:val="0000FF"/>
      <w:u w:val="single"/>
    </w:rPr>
  </w:style>
  <w:style w:type="paragraph" w:styleId="BalloonText">
    <w:name w:val="Balloon Text"/>
    <w:basedOn w:val="Normal"/>
    <w:link w:val="BalloonTextChar"/>
    <w:rsid w:val="000D1BA6"/>
    <w:rPr>
      <w:rFonts w:ascii="Tahoma" w:hAnsi="Tahoma" w:cs="Tahoma"/>
      <w:sz w:val="16"/>
      <w:szCs w:val="1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0D1BA6"/>
    <w:rPr>
      <w:sz w:val="24"/>
    </w:rPr>
  </w:style>
  <w:style w:type="character" w:customStyle="1" w:styleId="BoxContinuedChar">
    <w:name w:val="Box Continued Char"/>
    <w:link w:val="BoxContinued"/>
    <w:semiHidden/>
    <w:rsid w:val="007B7C30"/>
    <w:rPr>
      <w:rFonts w:ascii="Arial" w:hAnsi="Arial"/>
      <w:sz w:val="18"/>
    </w:rPr>
  </w:style>
  <w:style w:type="character" w:customStyle="1" w:styleId="ContinuedChar">
    <w:name w:val="Continued Char"/>
    <w:basedOn w:val="BoxContinuedChar"/>
    <w:link w:val="Continued"/>
    <w:rsid w:val="007B7C30"/>
    <w:rPr>
      <w:rFonts w:ascii="Arial" w:hAnsi="Arial"/>
      <w:sz w:val="18"/>
    </w:rPr>
  </w:style>
  <w:style w:type="character" w:customStyle="1" w:styleId="NoteChar">
    <w:name w:val="Note Char"/>
    <w:link w:val="Note"/>
    <w:rsid w:val="008F7A04"/>
    <w:rPr>
      <w:rFonts w:ascii="Arial" w:hAnsi="Arial"/>
      <w:sz w:val="18"/>
    </w:rPr>
  </w:style>
  <w:style w:type="character" w:customStyle="1" w:styleId="SourceChar">
    <w:name w:val="Source Char"/>
    <w:basedOn w:val="NoteChar"/>
    <w:link w:val="Source"/>
    <w:rsid w:val="008F7A04"/>
    <w:rPr>
      <w:rFonts w:ascii="Arial" w:hAnsi="Arial"/>
      <w:sz w:val="18"/>
    </w:rPr>
  </w:style>
  <w:style w:type="paragraph" w:styleId="CommentSubject">
    <w:name w:val="annotation subject"/>
    <w:basedOn w:val="CommentText"/>
    <w:next w:val="CommentText"/>
    <w:semiHidden/>
    <w:rsid w:val="00737678"/>
    <w:pPr>
      <w:spacing w:before="0" w:line="240" w:lineRule="auto"/>
      <w:ind w:left="0" w:firstLine="0"/>
    </w:pPr>
    <w:rPr>
      <w:b/>
      <w:bCs/>
      <w:szCs w:val="20"/>
    </w:rPr>
  </w:style>
  <w:style w:type="character" w:customStyle="1" w:styleId="ListBulletChar">
    <w:name w:val="List Bullet Char"/>
    <w:link w:val="ListBullet"/>
    <w:rsid w:val="00263996"/>
    <w:rPr>
      <w:sz w:val="24"/>
    </w:rPr>
  </w:style>
  <w:style w:type="paragraph" w:customStyle="1" w:styleId="RecBBullet2">
    <w:name w:val="RecB Bullet 2"/>
    <w:basedOn w:val="ListBullet2"/>
    <w:semiHidden/>
    <w:rsid w:val="000D1BA6"/>
    <w:pPr>
      <w:pBdr>
        <w:left w:val="single" w:sz="24" w:space="29" w:color="C0C0C0"/>
      </w:pBdr>
    </w:pPr>
    <w:rPr>
      <w:b/>
      <w:i/>
    </w:rPr>
  </w:style>
  <w:style w:type="character" w:customStyle="1" w:styleId="BalloonTextChar">
    <w:name w:val="Balloon Text Char"/>
    <w:basedOn w:val="DefaultParagraphFont"/>
    <w:link w:val="BalloonText"/>
    <w:rsid w:val="000D1BA6"/>
    <w:rPr>
      <w:rFonts w:ascii="Tahoma" w:hAnsi="Tahoma" w:cs="Tahoma"/>
      <w:sz w:val="16"/>
      <w:szCs w:val="16"/>
    </w:rPr>
  </w:style>
  <w:style w:type="character" w:customStyle="1" w:styleId="SubtitleChar">
    <w:name w:val="Subtitle Char"/>
    <w:basedOn w:val="DefaultParagraphFont"/>
    <w:link w:val="Subtitle"/>
    <w:rsid w:val="000D1BA6"/>
    <w:rPr>
      <w:rFonts w:ascii="Arial" w:hAnsi="Arial"/>
      <w:szCs w:val="24"/>
    </w:rPr>
  </w:style>
  <w:style w:type="paragraph" w:customStyle="1" w:styleId="BoxListBullet3">
    <w:name w:val="Box List Bullet 3"/>
    <w:basedOn w:val="ListBullet3"/>
    <w:rsid w:val="000D1BA6"/>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D1BA6"/>
    <w:rPr>
      <w:i/>
      <w:iCs/>
    </w:rPr>
  </w:style>
  <w:style w:type="paragraph" w:customStyle="1" w:styleId="BoxQuoteBullet">
    <w:name w:val="Box Quote Bullet"/>
    <w:basedOn w:val="BoxQuote"/>
    <w:next w:val="Box"/>
    <w:rsid w:val="000D1BA6"/>
    <w:pPr>
      <w:numPr>
        <w:numId w:val="15"/>
      </w:numPr>
      <w:ind w:left="568" w:hanging="284"/>
    </w:pPr>
  </w:style>
  <w:style w:type="paragraph" w:customStyle="1" w:styleId="InformationRequestBullet">
    <w:name w:val="Information Request Bullet"/>
    <w:basedOn w:val="ListBullet"/>
    <w:next w:val="BodyText"/>
    <w:rsid w:val="000D1BA6"/>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0D1BA6"/>
    <w:pPr>
      <w:keepNext/>
      <w:spacing w:before="360" w:line="80" w:lineRule="exact"/>
      <w:jc w:val="left"/>
    </w:pPr>
  </w:style>
  <w:style w:type="paragraph" w:customStyle="1" w:styleId="BoxSpaceBelow">
    <w:name w:val="Box Space Below"/>
    <w:basedOn w:val="Box"/>
    <w:rsid w:val="000D1BA6"/>
    <w:pPr>
      <w:keepNext w:val="0"/>
      <w:spacing w:before="60" w:after="60" w:line="80" w:lineRule="exact"/>
    </w:pPr>
    <w:rPr>
      <w:sz w:val="14"/>
    </w:rPr>
  </w:style>
  <w:style w:type="paragraph" w:styleId="Revision">
    <w:name w:val="Revision"/>
    <w:hidden/>
    <w:uiPriority w:val="99"/>
    <w:semiHidden/>
    <w:rsid w:val="0083637A"/>
    <w:rPr>
      <w:sz w:val="26"/>
      <w:szCs w:val="24"/>
    </w:rPr>
  </w:style>
  <w:style w:type="character" w:customStyle="1" w:styleId="BoxChar">
    <w:name w:val="Box Char"/>
    <w:link w:val="Box"/>
    <w:rsid w:val="00067E96"/>
    <w:rPr>
      <w:rFonts w:ascii="Arial" w:hAnsi="Arial"/>
    </w:rPr>
  </w:style>
  <w:style w:type="character" w:customStyle="1" w:styleId="BoxListBulletChar">
    <w:name w:val="Box List Bullet Char"/>
    <w:basedOn w:val="BoxChar"/>
    <w:link w:val="BoxListBullet"/>
    <w:rsid w:val="00067E96"/>
    <w:rPr>
      <w:rFonts w:ascii="Arial" w:hAnsi="Arial"/>
    </w:rPr>
  </w:style>
  <w:style w:type="paragraph" w:customStyle="1" w:styleId="KeyPointsListBullet">
    <w:name w:val="Key Points List Bullet"/>
    <w:basedOn w:val="Normal"/>
    <w:qFormat/>
    <w:rsid w:val="000D1BA6"/>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D1BA6"/>
    <w:pPr>
      <w:numPr>
        <w:numId w:val="19"/>
      </w:numPr>
      <w:ind w:left="568" w:hanging="284"/>
    </w:pPr>
  </w:style>
  <w:style w:type="paragraph" w:customStyle="1" w:styleId="InformationRequestTitle">
    <w:name w:val="Information Request Title"/>
    <w:basedOn w:val="FindingTitle"/>
    <w:next w:val="InformationRequest"/>
    <w:rsid w:val="000D1BA6"/>
    <w:rPr>
      <w:i/>
    </w:rPr>
  </w:style>
  <w:style w:type="paragraph" w:customStyle="1" w:styleId="Space">
    <w:name w:val="Space"/>
    <w:basedOn w:val="Normal"/>
    <w:rsid w:val="000D1BA6"/>
    <w:pPr>
      <w:keepNext/>
      <w:spacing w:line="120" w:lineRule="exact"/>
      <w:jc w:val="both"/>
    </w:pPr>
    <w:rPr>
      <w:rFonts w:ascii="Arial" w:hAnsi="Arial"/>
      <w:sz w:val="20"/>
      <w:szCs w:val="20"/>
    </w:rPr>
  </w:style>
  <w:style w:type="paragraph" w:customStyle="1" w:styleId="Heading1nochapterno">
    <w:name w:val="Heading 1 (no chapter no.)"/>
    <w:basedOn w:val="Heading1"/>
    <w:rsid w:val="000D1BA6"/>
    <w:pPr>
      <w:spacing w:before="0"/>
      <w:ind w:left="0" w:firstLine="0"/>
    </w:pPr>
  </w:style>
  <w:style w:type="paragraph" w:customStyle="1" w:styleId="Heading2nosectionno">
    <w:name w:val="Heading 2 (no section no.)"/>
    <w:basedOn w:val="Heading2"/>
    <w:rsid w:val="000D1BA6"/>
    <w:pPr>
      <w:ind w:left="0" w:firstLine="0"/>
    </w:pPr>
  </w:style>
  <w:style w:type="character" w:customStyle="1" w:styleId="Heading5Char">
    <w:name w:val="Heading 5 Char"/>
    <w:basedOn w:val="DefaultParagraphFont"/>
    <w:link w:val="Heading5"/>
    <w:rsid w:val="000D1BA6"/>
    <w:rPr>
      <w:rFonts w:ascii="Arial" w:hAnsi="Arial"/>
      <w:i/>
      <w:sz w:val="22"/>
    </w:rPr>
  </w:style>
  <w:style w:type="paragraph" w:customStyle="1" w:styleId="Figurespace">
    <w:name w:val="Figure space"/>
    <w:basedOn w:val="Box"/>
    <w:rsid w:val="000D1BA6"/>
    <w:pPr>
      <w:spacing w:before="0" w:line="120" w:lineRule="exact"/>
    </w:pPr>
  </w:style>
  <w:style w:type="paragraph" w:customStyle="1" w:styleId="FooterDraftReport">
    <w:name w:val="FooterDraftReport"/>
    <w:basedOn w:val="Footer"/>
    <w:link w:val="FooterDraftReportChar"/>
    <w:rsid w:val="000D1BA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0D1BA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D1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0D1BA6"/>
    <w:rPr>
      <w:rFonts w:ascii="Arial" w:hAnsi="Arial"/>
      <w:b/>
      <w:sz w:val="26"/>
      <w:szCs w:val="26"/>
      <w:lang w:eastAsia="en-US"/>
    </w:rPr>
  </w:style>
  <w:style w:type="paragraph" w:styleId="Footer">
    <w:name w:val="footer"/>
    <w:basedOn w:val="BodyText"/>
    <w:link w:val="FooterChar"/>
    <w:rsid w:val="000D1BA6"/>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rsid w:val="000D1BA6"/>
    <w:rPr>
      <w:rFonts w:ascii="Arial" w:hAnsi="Arial"/>
      <w:caps/>
      <w:spacing w:val="-4"/>
      <w:sz w:val="16"/>
    </w:rPr>
  </w:style>
  <w:style w:type="paragraph" w:customStyle="1" w:styleId="HeaderEven">
    <w:name w:val="Header Even"/>
    <w:basedOn w:val="Header"/>
    <w:semiHidden/>
    <w:rsid w:val="000D1BA6"/>
  </w:style>
  <w:style w:type="paragraph" w:customStyle="1" w:styleId="HeaderOdd">
    <w:name w:val="Header Odd"/>
    <w:basedOn w:val="Header"/>
    <w:semiHidden/>
    <w:rsid w:val="000D1BA6"/>
  </w:style>
  <w:style w:type="paragraph" w:customStyle="1" w:styleId="FindingNoTitle">
    <w:name w:val="Finding NoTitle"/>
    <w:basedOn w:val="Finding"/>
    <w:semiHidden/>
    <w:rsid w:val="000D1BA6"/>
    <w:pPr>
      <w:spacing w:before="240"/>
    </w:pPr>
  </w:style>
  <w:style w:type="character" w:customStyle="1" w:styleId="TableBodyTextChar">
    <w:name w:val="Table Body Text Char"/>
    <w:link w:val="TableBodyText"/>
    <w:rsid w:val="00E04929"/>
    <w:rPr>
      <w:rFonts w:ascii="Arial" w:hAnsi="Arial"/>
      <w:sz w:val="18"/>
    </w:rPr>
  </w:style>
  <w:style w:type="character" w:customStyle="1" w:styleId="TableBulletChar">
    <w:name w:val="Table Bullet Char"/>
    <w:basedOn w:val="TableBodyTextChar"/>
    <w:link w:val="TableBullet"/>
    <w:rsid w:val="00E04929"/>
    <w:rPr>
      <w:rFonts w:ascii="Arial" w:hAnsi="Arial"/>
      <w:sz w:val="18"/>
    </w:rPr>
  </w:style>
  <w:style w:type="paragraph" w:customStyle="1" w:styleId="Heading1NotTOC">
    <w:name w:val="Heading 1 Not TOC"/>
    <w:basedOn w:val="Heading1"/>
    <w:next w:val="BodyText"/>
    <w:rsid w:val="00EB5EF8"/>
    <w:rPr>
      <w:kern w:val="28"/>
      <w:szCs w:val="26"/>
      <w:lang w:eastAsia="en-US"/>
    </w:rPr>
  </w:style>
  <w:style w:type="character" w:customStyle="1" w:styleId="Heading4Char">
    <w:name w:val="Heading 4 Char"/>
    <w:basedOn w:val="DefaultParagraphFont"/>
    <w:link w:val="Heading4"/>
    <w:rsid w:val="004D31FC"/>
    <w:rPr>
      <w:rFonts w:ascii="Arial" w:hAnsi="Arial"/>
      <w:sz w:val="24"/>
    </w:rPr>
  </w:style>
  <w:style w:type="character" w:customStyle="1" w:styleId="CommentTextChar">
    <w:name w:val="Comment Text Char"/>
    <w:basedOn w:val="DefaultParagraphFont"/>
    <w:link w:val="CommentText"/>
    <w:semiHidden/>
    <w:rsid w:val="00F923F9"/>
    <w:rPr>
      <w:szCs w:val="24"/>
    </w:rPr>
  </w:style>
  <w:style w:type="paragraph" w:customStyle="1" w:styleId="DQIRowHeadings">
    <w:name w:val="DQI Row Headings"/>
    <w:basedOn w:val="Normal"/>
    <w:rsid w:val="00514B47"/>
    <w:pPr>
      <w:keepNext/>
      <w:keepLines/>
      <w:spacing w:before="120" w:line="200" w:lineRule="atLeast"/>
      <w:ind w:left="6" w:right="113"/>
    </w:pPr>
    <w:rPr>
      <w:rFonts w:ascii="Arial" w:hAnsi="Arial"/>
      <w:b/>
      <w:sz w:val="18"/>
      <w:szCs w:val="20"/>
    </w:rPr>
  </w:style>
  <w:style w:type="paragraph" w:customStyle="1" w:styleId="DQIMainRowHeadings">
    <w:name w:val="DQI Main Row Headings"/>
    <w:basedOn w:val="Normal"/>
    <w:next w:val="Normal"/>
    <w:rsid w:val="00514B47"/>
    <w:pPr>
      <w:keepNext/>
      <w:keepLines/>
      <w:spacing w:before="120" w:line="200" w:lineRule="atLeast"/>
      <w:ind w:left="6" w:right="113"/>
    </w:pPr>
    <w:rPr>
      <w:rFonts w:ascii="Arial" w:hAnsi="Arial"/>
      <w:b/>
      <w:sz w:val="18"/>
      <w:szCs w:val="20"/>
      <w:u w:val="single"/>
    </w:rPr>
  </w:style>
  <w:style w:type="paragraph" w:customStyle="1" w:styleId="Default">
    <w:name w:val="Default"/>
    <w:rsid w:val="0096016A"/>
    <w:pPr>
      <w:autoSpaceDE w:val="0"/>
      <w:autoSpaceDN w:val="0"/>
      <w:adjustRightInd w:val="0"/>
    </w:pPr>
    <w:rPr>
      <w:rFonts w:ascii="Arial" w:hAnsi="Arial" w:cs="Arial"/>
      <w:color w:val="000000"/>
      <w:sz w:val="24"/>
      <w:szCs w:val="24"/>
    </w:rPr>
  </w:style>
  <w:style w:type="character" w:customStyle="1" w:styleId="Continuedintitle">
    <w:name w:val="Continued (in title)"/>
    <w:basedOn w:val="DefaultParagraphFont"/>
    <w:rsid w:val="007E67D0"/>
    <w:rPr>
      <w:rFonts w:ascii="Arial" w:hAnsi="Arial"/>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D1BA6"/>
    <w:rPr>
      <w:sz w:val="24"/>
      <w:szCs w:val="24"/>
    </w:rPr>
  </w:style>
  <w:style w:type="paragraph" w:styleId="Heading1">
    <w:name w:val="heading 1"/>
    <w:basedOn w:val="BodyText"/>
    <w:next w:val="BodyText"/>
    <w:rsid w:val="000D1BA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D1BA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0D1BA6"/>
    <w:pPr>
      <w:spacing w:before="560" w:line="320" w:lineRule="exact"/>
      <w:ind w:left="0" w:firstLine="0"/>
      <w:outlineLvl w:val="2"/>
    </w:pPr>
    <w:rPr>
      <w:sz w:val="26"/>
    </w:rPr>
  </w:style>
  <w:style w:type="paragraph" w:styleId="Heading4">
    <w:name w:val="heading 4"/>
    <w:basedOn w:val="Heading3"/>
    <w:next w:val="BodyText"/>
    <w:link w:val="Heading4Char"/>
    <w:qFormat/>
    <w:rsid w:val="000D1BA6"/>
    <w:pPr>
      <w:spacing w:before="480"/>
      <w:outlineLvl w:val="3"/>
    </w:pPr>
    <w:rPr>
      <w:b w:val="0"/>
      <w:sz w:val="24"/>
    </w:rPr>
  </w:style>
  <w:style w:type="paragraph" w:styleId="Heading5">
    <w:name w:val="heading 5"/>
    <w:basedOn w:val="Heading4"/>
    <w:next w:val="BodyText"/>
    <w:link w:val="Heading5Char"/>
    <w:qFormat/>
    <w:rsid w:val="000D1BA6"/>
    <w:pPr>
      <w:outlineLvl w:val="4"/>
    </w:pPr>
    <w:rPr>
      <w:i/>
      <w:sz w:val="22"/>
    </w:rPr>
  </w:style>
  <w:style w:type="paragraph" w:styleId="Heading6">
    <w:name w:val="heading 6"/>
    <w:basedOn w:val="BodyText"/>
    <w:next w:val="BodyText"/>
    <w:rsid w:val="000D1BA6"/>
    <w:pPr>
      <w:spacing w:after="60"/>
      <w:jc w:val="left"/>
      <w:outlineLvl w:val="5"/>
    </w:pPr>
    <w:rPr>
      <w:i/>
      <w:sz w:val="22"/>
    </w:rPr>
  </w:style>
  <w:style w:type="paragraph" w:styleId="Heading7">
    <w:name w:val="heading 7"/>
    <w:basedOn w:val="BodyText"/>
    <w:next w:val="BodyText"/>
    <w:rsid w:val="000D1BA6"/>
    <w:pPr>
      <w:spacing w:after="60" w:line="240" w:lineRule="auto"/>
      <w:jc w:val="left"/>
      <w:outlineLvl w:val="6"/>
    </w:pPr>
    <w:rPr>
      <w:rFonts w:ascii="Arial" w:hAnsi="Arial"/>
      <w:sz w:val="20"/>
    </w:rPr>
  </w:style>
  <w:style w:type="paragraph" w:styleId="Heading8">
    <w:name w:val="heading 8"/>
    <w:basedOn w:val="BodyText"/>
    <w:next w:val="BodyText"/>
    <w:rsid w:val="000D1BA6"/>
    <w:pPr>
      <w:spacing w:after="60" w:line="240" w:lineRule="auto"/>
      <w:jc w:val="left"/>
      <w:outlineLvl w:val="7"/>
    </w:pPr>
    <w:rPr>
      <w:rFonts w:ascii="Arial" w:hAnsi="Arial"/>
      <w:i/>
      <w:sz w:val="20"/>
    </w:rPr>
  </w:style>
  <w:style w:type="paragraph" w:styleId="Heading9">
    <w:name w:val="heading 9"/>
    <w:basedOn w:val="BodyText"/>
    <w:next w:val="BodyText"/>
    <w:rsid w:val="000D1BA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D1B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BA6"/>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0D1BA6"/>
    <w:pPr>
      <w:spacing w:before="240" w:line="300" w:lineRule="atLeast"/>
      <w:jc w:val="both"/>
    </w:pPr>
    <w:rPr>
      <w:sz w:val="24"/>
    </w:rPr>
  </w:style>
  <w:style w:type="paragraph" w:customStyle="1" w:styleId="FooterEnd">
    <w:name w:val="Footer End"/>
    <w:basedOn w:val="Footer"/>
    <w:rsid w:val="000D1BA6"/>
    <w:pPr>
      <w:spacing w:before="0" w:line="20" w:lineRule="exact"/>
    </w:pPr>
  </w:style>
  <w:style w:type="paragraph" w:styleId="Header">
    <w:name w:val="header"/>
    <w:basedOn w:val="BodyText"/>
    <w:rsid w:val="000D1BA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D1BA6"/>
    <w:pPr>
      <w:spacing w:line="20" w:lineRule="exact"/>
    </w:pPr>
    <w:rPr>
      <w:sz w:val="16"/>
    </w:rPr>
  </w:style>
  <w:style w:type="character" w:styleId="PageNumber">
    <w:name w:val="page number"/>
    <w:basedOn w:val="DefaultParagraphFont"/>
    <w:rsid w:val="000D1BA6"/>
    <w:rPr>
      <w:rFonts w:ascii="Arial" w:hAnsi="Arial"/>
      <w:b/>
      <w:sz w:val="16"/>
    </w:rPr>
  </w:style>
  <w:style w:type="paragraph" w:customStyle="1" w:styleId="Abbreviation">
    <w:name w:val="Abbreviation"/>
    <w:basedOn w:val="BodyText"/>
    <w:rsid w:val="000D1BA6"/>
    <w:pPr>
      <w:spacing w:before="120"/>
      <w:ind w:left="2381" w:hanging="2381"/>
      <w:jc w:val="left"/>
    </w:pPr>
  </w:style>
  <w:style w:type="paragraph" w:customStyle="1" w:styleId="Box">
    <w:name w:val="Box"/>
    <w:basedOn w:val="BodyText"/>
    <w:link w:val="BoxChar"/>
    <w:qFormat/>
    <w:rsid w:val="000D1BA6"/>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0D1BA6"/>
    <w:pPr>
      <w:spacing w:before="180" w:line="220" w:lineRule="exact"/>
      <w:jc w:val="right"/>
    </w:pPr>
    <w:rPr>
      <w:rFonts w:ascii="Arial" w:hAnsi="Arial"/>
      <w:sz w:val="18"/>
    </w:rPr>
  </w:style>
  <w:style w:type="paragraph" w:customStyle="1" w:styleId="BoxHeading1">
    <w:name w:val="Box Heading 1"/>
    <w:basedOn w:val="BodyText"/>
    <w:next w:val="Box"/>
    <w:rsid w:val="000D1BA6"/>
    <w:pPr>
      <w:keepNext/>
      <w:spacing w:before="200" w:line="280" w:lineRule="atLeast"/>
    </w:pPr>
    <w:rPr>
      <w:rFonts w:ascii="Arial" w:hAnsi="Arial"/>
      <w:b/>
      <w:sz w:val="22"/>
    </w:rPr>
  </w:style>
  <w:style w:type="paragraph" w:customStyle="1" w:styleId="BoxHeading2">
    <w:name w:val="Box Heading 2"/>
    <w:basedOn w:val="BoxHeading1"/>
    <w:next w:val="Normal"/>
    <w:rsid w:val="000D1BA6"/>
    <w:rPr>
      <w:b w:val="0"/>
      <w:i/>
    </w:rPr>
  </w:style>
  <w:style w:type="paragraph" w:customStyle="1" w:styleId="BoxListBullet">
    <w:name w:val="Box List Bullet"/>
    <w:basedOn w:val="BodyText"/>
    <w:link w:val="BoxListBulletChar"/>
    <w:rsid w:val="000D1BA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0D1BA6"/>
    <w:pPr>
      <w:numPr>
        <w:numId w:val="2"/>
      </w:numPr>
      <w:ind w:left="568" w:hanging="284"/>
    </w:pPr>
  </w:style>
  <w:style w:type="paragraph" w:customStyle="1" w:styleId="BoxListNumber">
    <w:name w:val="Box List Number"/>
    <w:basedOn w:val="BodyText"/>
    <w:rsid w:val="000D1BA6"/>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D1BA6"/>
    <w:pPr>
      <w:numPr>
        <w:ilvl w:val="1"/>
      </w:numPr>
      <w:ind w:left="681" w:hanging="397"/>
    </w:pPr>
  </w:style>
  <w:style w:type="paragraph" w:customStyle="1" w:styleId="BoxQuote">
    <w:name w:val="Box Quote"/>
    <w:basedOn w:val="BodyText"/>
    <w:next w:val="Box"/>
    <w:qFormat/>
    <w:rsid w:val="000D1BA6"/>
    <w:pPr>
      <w:keepNext/>
      <w:spacing w:before="60" w:line="240" w:lineRule="exact"/>
      <w:ind w:left="284"/>
    </w:pPr>
    <w:rPr>
      <w:rFonts w:ascii="Arial" w:hAnsi="Arial"/>
      <w:sz w:val="18"/>
    </w:rPr>
  </w:style>
  <w:style w:type="paragraph" w:customStyle="1" w:styleId="Note">
    <w:name w:val="Note"/>
    <w:basedOn w:val="BodyText"/>
    <w:next w:val="BodyText"/>
    <w:link w:val="NoteChar"/>
    <w:rsid w:val="000D1BA6"/>
    <w:pPr>
      <w:keepLines/>
      <w:spacing w:before="80" w:line="220" w:lineRule="exact"/>
    </w:pPr>
    <w:rPr>
      <w:rFonts w:ascii="Arial" w:hAnsi="Arial"/>
      <w:sz w:val="18"/>
    </w:rPr>
  </w:style>
  <w:style w:type="paragraph" w:customStyle="1" w:styleId="Source">
    <w:name w:val="Source"/>
    <w:basedOn w:val="Normal"/>
    <w:next w:val="BodyText"/>
    <w:link w:val="SourceChar"/>
    <w:rsid w:val="000D1BA6"/>
    <w:pPr>
      <w:keepLines/>
      <w:spacing w:before="80" w:line="220" w:lineRule="exact"/>
      <w:jc w:val="both"/>
    </w:pPr>
    <w:rPr>
      <w:rFonts w:ascii="Arial" w:hAnsi="Arial"/>
      <w:sz w:val="18"/>
      <w:szCs w:val="20"/>
    </w:rPr>
  </w:style>
  <w:style w:type="paragraph" w:customStyle="1" w:styleId="BoxSource">
    <w:name w:val="Box Source"/>
    <w:basedOn w:val="Source"/>
    <w:next w:val="BodyText"/>
    <w:rsid w:val="000D1BA6"/>
    <w:pPr>
      <w:spacing w:before="120"/>
    </w:pPr>
  </w:style>
  <w:style w:type="paragraph" w:styleId="Caption">
    <w:name w:val="caption"/>
    <w:basedOn w:val="Normal"/>
    <w:next w:val="BodyText"/>
    <w:rsid w:val="000D1BA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D1BA6"/>
    <w:pPr>
      <w:spacing w:before="120" w:after="0"/>
    </w:pPr>
  </w:style>
  <w:style w:type="paragraph" w:customStyle="1" w:styleId="BoxSubtitle">
    <w:name w:val="Box Subtitle"/>
    <w:basedOn w:val="BoxTitle"/>
    <w:next w:val="Normal"/>
    <w:rsid w:val="000D1BA6"/>
    <w:pPr>
      <w:spacing w:after="80" w:line="200" w:lineRule="exact"/>
      <w:ind w:firstLine="0"/>
    </w:pPr>
    <w:rPr>
      <w:b w:val="0"/>
      <w:sz w:val="20"/>
    </w:rPr>
  </w:style>
  <w:style w:type="paragraph" w:customStyle="1" w:styleId="Chapter">
    <w:name w:val="Chapter"/>
    <w:basedOn w:val="Heading1"/>
    <w:next w:val="BodyText"/>
    <w:semiHidden/>
    <w:rsid w:val="000D1BA6"/>
    <w:pPr>
      <w:ind w:left="0" w:firstLine="0"/>
      <w:outlineLvl w:val="9"/>
    </w:pPr>
  </w:style>
  <w:style w:type="paragraph" w:customStyle="1" w:styleId="ChapterSummary">
    <w:name w:val="Chapter Summary"/>
    <w:basedOn w:val="BodyText"/>
    <w:rsid w:val="000D1BA6"/>
    <w:pPr>
      <w:spacing w:line="280" w:lineRule="atLeast"/>
      <w:ind w:left="907"/>
    </w:pPr>
    <w:rPr>
      <w:rFonts w:ascii="Arial" w:hAnsi="Arial"/>
      <w:b/>
      <w:sz w:val="20"/>
    </w:rPr>
  </w:style>
  <w:style w:type="character" w:styleId="CommentReference">
    <w:name w:val="annotation reference"/>
    <w:basedOn w:val="DefaultParagraphFont"/>
    <w:rsid w:val="000D1BA6"/>
    <w:rPr>
      <w:b/>
      <w:vanish/>
      <w:color w:val="FF00FF"/>
      <w:sz w:val="20"/>
    </w:rPr>
  </w:style>
  <w:style w:type="paragraph" w:styleId="CommentText">
    <w:name w:val="annotation text"/>
    <w:basedOn w:val="Normal"/>
    <w:link w:val="CommentTextChar"/>
    <w:semiHidden/>
    <w:rsid w:val="000D1BA6"/>
    <w:pPr>
      <w:spacing w:before="120" w:line="240" w:lineRule="atLeast"/>
      <w:ind w:left="567" w:hanging="567"/>
    </w:pPr>
    <w:rPr>
      <w:sz w:val="20"/>
    </w:rPr>
  </w:style>
  <w:style w:type="paragraph" w:customStyle="1" w:styleId="Continued">
    <w:name w:val="Continued"/>
    <w:basedOn w:val="BoxContinued"/>
    <w:next w:val="BodyText"/>
    <w:link w:val="ContinuedChar"/>
    <w:rsid w:val="000D1BA6"/>
  </w:style>
  <w:style w:type="character" w:customStyle="1" w:styleId="DocumentInfo">
    <w:name w:val="Document Info"/>
    <w:basedOn w:val="DefaultParagraphFont"/>
    <w:semiHidden/>
    <w:rsid w:val="000D1BA6"/>
    <w:rPr>
      <w:rFonts w:ascii="Arial" w:hAnsi="Arial"/>
      <w:sz w:val="14"/>
    </w:rPr>
  </w:style>
  <w:style w:type="character" w:customStyle="1" w:styleId="DraftingNote">
    <w:name w:val="Drafting Note"/>
    <w:basedOn w:val="DefaultParagraphFont"/>
    <w:rsid w:val="000D1BA6"/>
    <w:rPr>
      <w:b/>
      <w:color w:val="FF0000"/>
      <w:sz w:val="24"/>
      <w:u w:val="dotted"/>
    </w:rPr>
  </w:style>
  <w:style w:type="paragraph" w:customStyle="1" w:styleId="Figure">
    <w:name w:val="Figure"/>
    <w:basedOn w:val="BodyText"/>
    <w:rsid w:val="000D1BA6"/>
    <w:pPr>
      <w:keepNext/>
      <w:spacing w:before="120" w:after="120" w:line="240" w:lineRule="atLeast"/>
      <w:jc w:val="center"/>
    </w:pPr>
  </w:style>
  <w:style w:type="paragraph" w:customStyle="1" w:styleId="FigureTitle">
    <w:name w:val="Figure Title"/>
    <w:basedOn w:val="Caption"/>
    <w:next w:val="Subtitle"/>
    <w:rsid w:val="000D1BA6"/>
    <w:pPr>
      <w:spacing w:before="120"/>
    </w:pPr>
  </w:style>
  <w:style w:type="paragraph" w:styleId="Subtitle">
    <w:name w:val="Subtitle"/>
    <w:basedOn w:val="Caption"/>
    <w:link w:val="SubtitleChar"/>
    <w:qFormat/>
    <w:rsid w:val="000D1BA6"/>
    <w:pPr>
      <w:spacing w:before="0" w:line="200" w:lineRule="exact"/>
      <w:ind w:firstLine="0"/>
    </w:pPr>
    <w:rPr>
      <w:b w:val="0"/>
      <w:sz w:val="20"/>
    </w:rPr>
  </w:style>
  <w:style w:type="paragraph" w:customStyle="1" w:styleId="Finding">
    <w:name w:val="Finding"/>
    <w:basedOn w:val="BodyText"/>
    <w:rsid w:val="000D1BA6"/>
    <w:pPr>
      <w:keepLines/>
      <w:spacing w:before="120" w:line="280" w:lineRule="atLeast"/>
    </w:pPr>
    <w:rPr>
      <w:rFonts w:ascii="Arial" w:hAnsi="Arial"/>
      <w:sz w:val="22"/>
    </w:rPr>
  </w:style>
  <w:style w:type="paragraph" w:customStyle="1" w:styleId="FindingBullet">
    <w:name w:val="Finding Bullet"/>
    <w:basedOn w:val="Finding"/>
    <w:rsid w:val="000D1BA6"/>
    <w:pPr>
      <w:numPr>
        <w:numId w:val="3"/>
      </w:numPr>
      <w:spacing w:before="80"/>
    </w:pPr>
  </w:style>
  <w:style w:type="paragraph" w:customStyle="1" w:styleId="RecTitle">
    <w:name w:val="Rec Title"/>
    <w:basedOn w:val="BodyText"/>
    <w:next w:val="Rec"/>
    <w:qFormat/>
    <w:rsid w:val="000D1BA6"/>
    <w:pPr>
      <w:keepNext/>
      <w:keepLines/>
      <w:spacing w:line="280" w:lineRule="atLeast"/>
    </w:pPr>
    <w:rPr>
      <w:rFonts w:ascii="Arial" w:hAnsi="Arial"/>
      <w:caps/>
      <w:sz w:val="18"/>
    </w:rPr>
  </w:style>
  <w:style w:type="paragraph" w:customStyle="1" w:styleId="FindingTitle">
    <w:name w:val="Finding Title"/>
    <w:basedOn w:val="RecTitle"/>
    <w:next w:val="Finding"/>
    <w:rsid w:val="000D1BA6"/>
  </w:style>
  <w:style w:type="character" w:styleId="FootnoteReference">
    <w:name w:val="footnote reference"/>
    <w:basedOn w:val="DefaultParagraphFont"/>
    <w:semiHidden/>
    <w:rsid w:val="000D1BA6"/>
    <w:rPr>
      <w:rFonts w:ascii="Times New Roman" w:hAnsi="Times New Roman"/>
      <w:position w:val="6"/>
      <w:sz w:val="20"/>
      <w:vertAlign w:val="baseline"/>
    </w:rPr>
  </w:style>
  <w:style w:type="paragraph" w:styleId="FootnoteText">
    <w:name w:val="footnote text"/>
    <w:basedOn w:val="BodyText"/>
    <w:rsid w:val="000D1BA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D1BA6"/>
    <w:rPr>
      <w:i/>
    </w:rPr>
  </w:style>
  <w:style w:type="paragraph" w:customStyle="1" w:styleId="Jurisdictioncommentsbodytext">
    <w:name w:val="Jurisdiction comments body text"/>
    <w:rsid w:val="000D1BA6"/>
    <w:pPr>
      <w:spacing w:after="140"/>
      <w:jc w:val="both"/>
    </w:pPr>
    <w:rPr>
      <w:rFonts w:ascii="Arial" w:hAnsi="Arial"/>
      <w:sz w:val="24"/>
      <w:lang w:eastAsia="en-US"/>
    </w:rPr>
  </w:style>
  <w:style w:type="paragraph" w:customStyle="1" w:styleId="Jurisdictioncommentsheading">
    <w:name w:val="Jurisdiction comments heading"/>
    <w:rsid w:val="000D1BA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D1BA6"/>
    <w:pPr>
      <w:numPr>
        <w:numId w:val="4"/>
      </w:numPr>
      <w:spacing w:after="140"/>
      <w:jc w:val="both"/>
    </w:pPr>
    <w:rPr>
      <w:rFonts w:ascii="Arial" w:hAnsi="Arial"/>
      <w:sz w:val="24"/>
      <w:lang w:eastAsia="en-US"/>
    </w:rPr>
  </w:style>
  <w:style w:type="paragraph" w:styleId="ListBullet">
    <w:name w:val="List Bullet"/>
    <w:basedOn w:val="BodyText"/>
    <w:link w:val="ListBulletChar"/>
    <w:rsid w:val="000D1BA6"/>
    <w:pPr>
      <w:numPr>
        <w:numId w:val="5"/>
      </w:numPr>
      <w:spacing w:before="120"/>
    </w:pPr>
  </w:style>
  <w:style w:type="paragraph" w:styleId="ListBullet2">
    <w:name w:val="List Bullet 2"/>
    <w:basedOn w:val="BodyText"/>
    <w:rsid w:val="000D1BA6"/>
    <w:pPr>
      <w:numPr>
        <w:numId w:val="6"/>
      </w:numPr>
      <w:spacing w:before="120"/>
    </w:pPr>
  </w:style>
  <w:style w:type="paragraph" w:styleId="ListBullet3">
    <w:name w:val="List Bullet 3"/>
    <w:basedOn w:val="BodyText"/>
    <w:rsid w:val="000D1BA6"/>
    <w:pPr>
      <w:numPr>
        <w:numId w:val="7"/>
      </w:numPr>
      <w:spacing w:before="120"/>
      <w:ind w:left="1020" w:hanging="340"/>
    </w:pPr>
  </w:style>
  <w:style w:type="paragraph" w:styleId="ListNumber">
    <w:name w:val="List Number"/>
    <w:basedOn w:val="BodyText"/>
    <w:rsid w:val="000D1BA6"/>
    <w:pPr>
      <w:numPr>
        <w:numId w:val="13"/>
      </w:numPr>
      <w:spacing w:before="120"/>
    </w:pPr>
  </w:style>
  <w:style w:type="paragraph" w:styleId="ListNumber2">
    <w:name w:val="List Number 2"/>
    <w:basedOn w:val="ListNumber"/>
    <w:rsid w:val="000D1BA6"/>
    <w:pPr>
      <w:numPr>
        <w:ilvl w:val="1"/>
      </w:numPr>
    </w:pPr>
  </w:style>
  <w:style w:type="paragraph" w:styleId="ListNumber3">
    <w:name w:val="List Number 3"/>
    <w:basedOn w:val="ListNumber2"/>
    <w:rsid w:val="000D1BA6"/>
    <w:pPr>
      <w:numPr>
        <w:ilvl w:val="2"/>
      </w:numPr>
    </w:pPr>
  </w:style>
  <w:style w:type="character" w:customStyle="1" w:styleId="NoteLabel">
    <w:name w:val="Note Label"/>
    <w:basedOn w:val="DefaultParagraphFont"/>
    <w:rsid w:val="000D1BA6"/>
    <w:rPr>
      <w:rFonts w:ascii="Arial" w:hAnsi="Arial"/>
      <w:b/>
      <w:position w:val="6"/>
      <w:sz w:val="18"/>
    </w:rPr>
  </w:style>
  <w:style w:type="paragraph" w:customStyle="1" w:styleId="PartDivider">
    <w:name w:val="Part Divider"/>
    <w:basedOn w:val="BodyText"/>
    <w:next w:val="BodyText"/>
    <w:semiHidden/>
    <w:rsid w:val="000D1BA6"/>
    <w:pPr>
      <w:spacing w:before="0" w:line="40" w:lineRule="exact"/>
      <w:jc w:val="right"/>
    </w:pPr>
    <w:rPr>
      <w:smallCaps/>
      <w:sz w:val="16"/>
    </w:rPr>
  </w:style>
  <w:style w:type="paragraph" w:customStyle="1" w:styleId="PartNumber">
    <w:name w:val="Part Number"/>
    <w:basedOn w:val="BodyText"/>
    <w:next w:val="BodyText"/>
    <w:semiHidden/>
    <w:rsid w:val="000D1BA6"/>
    <w:pPr>
      <w:spacing w:before="4000" w:line="320" w:lineRule="exact"/>
      <w:ind w:left="6634"/>
      <w:jc w:val="right"/>
    </w:pPr>
    <w:rPr>
      <w:smallCaps/>
      <w:spacing w:val="60"/>
      <w:sz w:val="32"/>
    </w:rPr>
  </w:style>
  <w:style w:type="paragraph" w:customStyle="1" w:styleId="PartTitle">
    <w:name w:val="Part Title"/>
    <w:basedOn w:val="BodyText"/>
    <w:semiHidden/>
    <w:rsid w:val="000D1BA6"/>
    <w:pPr>
      <w:spacing w:before="160" w:after="1360" w:line="520" w:lineRule="exact"/>
      <w:ind w:right="2381"/>
      <w:jc w:val="right"/>
    </w:pPr>
    <w:rPr>
      <w:smallCaps/>
      <w:sz w:val="52"/>
    </w:rPr>
  </w:style>
  <w:style w:type="paragraph" w:styleId="Quote">
    <w:name w:val="Quote"/>
    <w:basedOn w:val="BodyText"/>
    <w:next w:val="BodyText"/>
    <w:qFormat/>
    <w:rsid w:val="000D1BA6"/>
    <w:pPr>
      <w:spacing w:before="120" w:line="280" w:lineRule="exact"/>
      <w:ind w:left="340"/>
    </w:pPr>
    <w:rPr>
      <w:sz w:val="22"/>
    </w:rPr>
  </w:style>
  <w:style w:type="paragraph" w:customStyle="1" w:styleId="QuoteBullet">
    <w:name w:val="Quote Bullet"/>
    <w:basedOn w:val="Quote"/>
    <w:rsid w:val="000D1BA6"/>
    <w:pPr>
      <w:numPr>
        <w:numId w:val="8"/>
      </w:numPr>
    </w:pPr>
  </w:style>
  <w:style w:type="paragraph" w:customStyle="1" w:styleId="Rec">
    <w:name w:val="Rec"/>
    <w:basedOn w:val="BodyText"/>
    <w:qFormat/>
    <w:rsid w:val="000D1BA6"/>
    <w:pPr>
      <w:keepLines/>
      <w:spacing w:before="120" w:line="280" w:lineRule="atLeast"/>
    </w:pPr>
    <w:rPr>
      <w:rFonts w:ascii="Arial" w:hAnsi="Arial"/>
      <w:sz w:val="22"/>
    </w:rPr>
  </w:style>
  <w:style w:type="paragraph" w:customStyle="1" w:styleId="RecBullet">
    <w:name w:val="Rec Bullet"/>
    <w:basedOn w:val="Rec"/>
    <w:rsid w:val="000D1BA6"/>
    <w:pPr>
      <w:numPr>
        <w:numId w:val="9"/>
      </w:numPr>
      <w:spacing w:before="80"/>
    </w:pPr>
  </w:style>
  <w:style w:type="paragraph" w:customStyle="1" w:styleId="RecB">
    <w:name w:val="RecB"/>
    <w:basedOn w:val="Normal"/>
    <w:rsid w:val="000D1BA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D1BA6"/>
    <w:pPr>
      <w:numPr>
        <w:numId w:val="10"/>
      </w:numPr>
      <w:spacing w:before="80"/>
    </w:pPr>
  </w:style>
  <w:style w:type="paragraph" w:customStyle="1" w:styleId="RecBNoTitle">
    <w:name w:val="RecB NoTitle"/>
    <w:basedOn w:val="RecB"/>
    <w:rsid w:val="000D1BA6"/>
    <w:pPr>
      <w:spacing w:before="240"/>
    </w:pPr>
  </w:style>
  <w:style w:type="paragraph" w:customStyle="1" w:styleId="Reference">
    <w:name w:val="Reference"/>
    <w:basedOn w:val="BodyText"/>
    <w:rsid w:val="000D1BA6"/>
    <w:pPr>
      <w:spacing w:before="120"/>
      <w:ind w:left="340" w:hanging="340"/>
    </w:pPr>
  </w:style>
  <w:style w:type="paragraph" w:customStyle="1" w:styleId="SequenceInfo">
    <w:name w:val="Sequence Info"/>
    <w:basedOn w:val="BodyText"/>
    <w:semiHidden/>
    <w:rsid w:val="000D1BA6"/>
    <w:rPr>
      <w:vanish/>
      <w:sz w:val="16"/>
    </w:rPr>
  </w:style>
  <w:style w:type="paragraph" w:customStyle="1" w:styleId="SideNote">
    <w:name w:val="Side Note"/>
    <w:basedOn w:val="BodyText"/>
    <w:next w:val="BodyText"/>
    <w:semiHidden/>
    <w:rsid w:val="000D1BA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D1BA6"/>
    <w:pPr>
      <w:framePr w:wrap="around"/>
      <w:numPr>
        <w:numId w:val="11"/>
      </w:numPr>
      <w:tabs>
        <w:tab w:val="left" w:pos="227"/>
      </w:tabs>
    </w:pPr>
  </w:style>
  <w:style w:type="paragraph" w:customStyle="1" w:styleId="SideNoteGraphic">
    <w:name w:val="Side Note Graphic"/>
    <w:basedOn w:val="SideNote"/>
    <w:next w:val="BodyText"/>
    <w:semiHidden/>
    <w:rsid w:val="000D1BA6"/>
    <w:pPr>
      <w:framePr w:wrap="around"/>
    </w:pPr>
  </w:style>
  <w:style w:type="paragraph" w:customStyle="1" w:styleId="TableBodyText">
    <w:name w:val="Table Body Text"/>
    <w:basedOn w:val="BodyText"/>
    <w:link w:val="TableBodyTextChar"/>
    <w:rsid w:val="000D1BA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0D1BA6"/>
    <w:pPr>
      <w:numPr>
        <w:numId w:val="12"/>
      </w:numPr>
      <w:jc w:val="left"/>
    </w:pPr>
  </w:style>
  <w:style w:type="paragraph" w:customStyle="1" w:styleId="TableColumnHeading">
    <w:name w:val="Table Column Heading"/>
    <w:basedOn w:val="TableBodyText"/>
    <w:rsid w:val="000D1BA6"/>
    <w:pPr>
      <w:spacing w:before="80" w:after="80"/>
    </w:pPr>
    <w:rPr>
      <w:i/>
    </w:rPr>
  </w:style>
  <w:style w:type="paragraph" w:styleId="TOC2">
    <w:name w:val="toc 2"/>
    <w:basedOn w:val="TOC1"/>
    <w:rsid w:val="000D1BA6"/>
    <w:pPr>
      <w:ind w:left="1134" w:hanging="624"/>
    </w:pPr>
    <w:rPr>
      <w:b w:val="0"/>
    </w:rPr>
  </w:style>
  <w:style w:type="paragraph" w:styleId="TOC3">
    <w:name w:val="toc 3"/>
    <w:basedOn w:val="TOC2"/>
    <w:rsid w:val="000D1BA6"/>
    <w:pPr>
      <w:spacing w:before="60"/>
      <w:ind w:left="1190" w:hanging="680"/>
    </w:pPr>
  </w:style>
  <w:style w:type="paragraph" w:styleId="TableofFigures">
    <w:name w:val="table of figures"/>
    <w:basedOn w:val="TOC3"/>
    <w:next w:val="BodyText"/>
    <w:semiHidden/>
    <w:rsid w:val="000D1BA6"/>
    <w:pPr>
      <w:ind w:left="737" w:hanging="737"/>
    </w:pPr>
  </w:style>
  <w:style w:type="paragraph" w:customStyle="1" w:styleId="TableTitle">
    <w:name w:val="Table Title"/>
    <w:basedOn w:val="Caption"/>
    <w:next w:val="Subtitle"/>
    <w:qFormat/>
    <w:rsid w:val="000D1BA6"/>
    <w:pPr>
      <w:spacing w:before="120"/>
    </w:pPr>
  </w:style>
  <w:style w:type="paragraph" w:customStyle="1" w:styleId="TableUnitsRow">
    <w:name w:val="Table Units Row"/>
    <w:basedOn w:val="TableBodyText"/>
    <w:rsid w:val="000D1BA6"/>
    <w:pPr>
      <w:spacing w:before="40"/>
    </w:pPr>
  </w:style>
  <w:style w:type="paragraph" w:styleId="TOC1">
    <w:name w:val="toc 1"/>
    <w:basedOn w:val="Normal"/>
    <w:next w:val="TOC2"/>
    <w:link w:val="TOC1Char"/>
    <w:rsid w:val="000D1BA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D1BA6"/>
    <w:pPr>
      <w:ind w:left="1191" w:firstLine="0"/>
    </w:pPr>
  </w:style>
  <w:style w:type="character" w:styleId="Hyperlink">
    <w:name w:val="Hyperlink"/>
    <w:uiPriority w:val="99"/>
    <w:rsid w:val="00544082"/>
    <w:rPr>
      <w:color w:val="0000FF"/>
      <w:u w:val="single"/>
    </w:rPr>
  </w:style>
  <w:style w:type="paragraph" w:styleId="BalloonText">
    <w:name w:val="Balloon Text"/>
    <w:basedOn w:val="Normal"/>
    <w:link w:val="BalloonTextChar"/>
    <w:rsid w:val="000D1BA6"/>
    <w:rPr>
      <w:rFonts w:ascii="Tahoma" w:hAnsi="Tahoma" w:cs="Tahoma"/>
      <w:sz w:val="16"/>
      <w:szCs w:val="1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0D1BA6"/>
    <w:rPr>
      <w:sz w:val="24"/>
    </w:rPr>
  </w:style>
  <w:style w:type="character" w:customStyle="1" w:styleId="BoxContinuedChar">
    <w:name w:val="Box Continued Char"/>
    <w:link w:val="BoxContinued"/>
    <w:semiHidden/>
    <w:rsid w:val="007B7C30"/>
    <w:rPr>
      <w:rFonts w:ascii="Arial" w:hAnsi="Arial"/>
      <w:sz w:val="18"/>
    </w:rPr>
  </w:style>
  <w:style w:type="character" w:customStyle="1" w:styleId="ContinuedChar">
    <w:name w:val="Continued Char"/>
    <w:basedOn w:val="BoxContinuedChar"/>
    <w:link w:val="Continued"/>
    <w:rsid w:val="007B7C30"/>
    <w:rPr>
      <w:rFonts w:ascii="Arial" w:hAnsi="Arial"/>
      <w:sz w:val="18"/>
    </w:rPr>
  </w:style>
  <w:style w:type="character" w:customStyle="1" w:styleId="NoteChar">
    <w:name w:val="Note Char"/>
    <w:link w:val="Note"/>
    <w:rsid w:val="008F7A04"/>
    <w:rPr>
      <w:rFonts w:ascii="Arial" w:hAnsi="Arial"/>
      <w:sz w:val="18"/>
    </w:rPr>
  </w:style>
  <w:style w:type="character" w:customStyle="1" w:styleId="SourceChar">
    <w:name w:val="Source Char"/>
    <w:basedOn w:val="NoteChar"/>
    <w:link w:val="Source"/>
    <w:rsid w:val="008F7A04"/>
    <w:rPr>
      <w:rFonts w:ascii="Arial" w:hAnsi="Arial"/>
      <w:sz w:val="18"/>
    </w:rPr>
  </w:style>
  <w:style w:type="paragraph" w:styleId="CommentSubject">
    <w:name w:val="annotation subject"/>
    <w:basedOn w:val="CommentText"/>
    <w:next w:val="CommentText"/>
    <w:semiHidden/>
    <w:rsid w:val="00737678"/>
    <w:pPr>
      <w:spacing w:before="0" w:line="240" w:lineRule="auto"/>
      <w:ind w:left="0" w:firstLine="0"/>
    </w:pPr>
    <w:rPr>
      <w:b/>
      <w:bCs/>
      <w:szCs w:val="20"/>
    </w:rPr>
  </w:style>
  <w:style w:type="character" w:customStyle="1" w:styleId="ListBulletChar">
    <w:name w:val="List Bullet Char"/>
    <w:link w:val="ListBullet"/>
    <w:rsid w:val="00263996"/>
    <w:rPr>
      <w:sz w:val="24"/>
    </w:rPr>
  </w:style>
  <w:style w:type="paragraph" w:customStyle="1" w:styleId="RecBBullet2">
    <w:name w:val="RecB Bullet 2"/>
    <w:basedOn w:val="ListBullet2"/>
    <w:semiHidden/>
    <w:rsid w:val="000D1BA6"/>
    <w:pPr>
      <w:pBdr>
        <w:left w:val="single" w:sz="24" w:space="29" w:color="C0C0C0"/>
      </w:pBdr>
    </w:pPr>
    <w:rPr>
      <w:b/>
      <w:i/>
    </w:rPr>
  </w:style>
  <w:style w:type="character" w:customStyle="1" w:styleId="BalloonTextChar">
    <w:name w:val="Balloon Text Char"/>
    <w:basedOn w:val="DefaultParagraphFont"/>
    <w:link w:val="BalloonText"/>
    <w:rsid w:val="000D1BA6"/>
    <w:rPr>
      <w:rFonts w:ascii="Tahoma" w:hAnsi="Tahoma" w:cs="Tahoma"/>
      <w:sz w:val="16"/>
      <w:szCs w:val="16"/>
    </w:rPr>
  </w:style>
  <w:style w:type="character" w:customStyle="1" w:styleId="SubtitleChar">
    <w:name w:val="Subtitle Char"/>
    <w:basedOn w:val="DefaultParagraphFont"/>
    <w:link w:val="Subtitle"/>
    <w:rsid w:val="000D1BA6"/>
    <w:rPr>
      <w:rFonts w:ascii="Arial" w:hAnsi="Arial"/>
      <w:szCs w:val="24"/>
    </w:rPr>
  </w:style>
  <w:style w:type="paragraph" w:customStyle="1" w:styleId="BoxListBullet3">
    <w:name w:val="Box List Bullet 3"/>
    <w:basedOn w:val="ListBullet3"/>
    <w:rsid w:val="000D1BA6"/>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D1BA6"/>
    <w:rPr>
      <w:i/>
      <w:iCs/>
    </w:rPr>
  </w:style>
  <w:style w:type="paragraph" w:customStyle="1" w:styleId="BoxQuoteBullet">
    <w:name w:val="Box Quote Bullet"/>
    <w:basedOn w:val="BoxQuote"/>
    <w:next w:val="Box"/>
    <w:rsid w:val="000D1BA6"/>
    <w:pPr>
      <w:numPr>
        <w:numId w:val="15"/>
      </w:numPr>
      <w:ind w:left="568" w:hanging="284"/>
    </w:pPr>
  </w:style>
  <w:style w:type="paragraph" w:customStyle="1" w:styleId="InformationRequestBullet">
    <w:name w:val="Information Request Bullet"/>
    <w:basedOn w:val="ListBullet"/>
    <w:next w:val="BodyText"/>
    <w:rsid w:val="000D1BA6"/>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0D1BA6"/>
    <w:pPr>
      <w:keepNext/>
      <w:spacing w:before="360" w:line="80" w:lineRule="exact"/>
      <w:jc w:val="left"/>
    </w:pPr>
  </w:style>
  <w:style w:type="paragraph" w:customStyle="1" w:styleId="BoxSpaceBelow">
    <w:name w:val="Box Space Below"/>
    <w:basedOn w:val="Box"/>
    <w:rsid w:val="000D1BA6"/>
    <w:pPr>
      <w:keepNext w:val="0"/>
      <w:spacing w:before="60" w:after="60" w:line="80" w:lineRule="exact"/>
    </w:pPr>
    <w:rPr>
      <w:sz w:val="14"/>
    </w:rPr>
  </w:style>
  <w:style w:type="paragraph" w:styleId="Revision">
    <w:name w:val="Revision"/>
    <w:hidden/>
    <w:uiPriority w:val="99"/>
    <w:semiHidden/>
    <w:rsid w:val="0083637A"/>
    <w:rPr>
      <w:sz w:val="26"/>
      <w:szCs w:val="24"/>
    </w:rPr>
  </w:style>
  <w:style w:type="character" w:customStyle="1" w:styleId="BoxChar">
    <w:name w:val="Box Char"/>
    <w:link w:val="Box"/>
    <w:rsid w:val="00067E96"/>
    <w:rPr>
      <w:rFonts w:ascii="Arial" w:hAnsi="Arial"/>
    </w:rPr>
  </w:style>
  <w:style w:type="character" w:customStyle="1" w:styleId="BoxListBulletChar">
    <w:name w:val="Box List Bullet Char"/>
    <w:basedOn w:val="BoxChar"/>
    <w:link w:val="BoxListBullet"/>
    <w:rsid w:val="00067E96"/>
    <w:rPr>
      <w:rFonts w:ascii="Arial" w:hAnsi="Arial"/>
    </w:rPr>
  </w:style>
  <w:style w:type="paragraph" w:customStyle="1" w:styleId="KeyPointsListBullet">
    <w:name w:val="Key Points List Bullet"/>
    <w:basedOn w:val="Normal"/>
    <w:qFormat/>
    <w:rsid w:val="000D1BA6"/>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D1BA6"/>
    <w:pPr>
      <w:numPr>
        <w:numId w:val="19"/>
      </w:numPr>
      <w:ind w:left="568" w:hanging="284"/>
    </w:pPr>
  </w:style>
  <w:style w:type="paragraph" w:customStyle="1" w:styleId="InformationRequestTitle">
    <w:name w:val="Information Request Title"/>
    <w:basedOn w:val="FindingTitle"/>
    <w:next w:val="InformationRequest"/>
    <w:rsid w:val="000D1BA6"/>
    <w:rPr>
      <w:i/>
    </w:rPr>
  </w:style>
  <w:style w:type="paragraph" w:customStyle="1" w:styleId="Space">
    <w:name w:val="Space"/>
    <w:basedOn w:val="Normal"/>
    <w:rsid w:val="000D1BA6"/>
    <w:pPr>
      <w:keepNext/>
      <w:spacing w:line="120" w:lineRule="exact"/>
      <w:jc w:val="both"/>
    </w:pPr>
    <w:rPr>
      <w:rFonts w:ascii="Arial" w:hAnsi="Arial"/>
      <w:sz w:val="20"/>
      <w:szCs w:val="20"/>
    </w:rPr>
  </w:style>
  <w:style w:type="paragraph" w:customStyle="1" w:styleId="Heading1nochapterno">
    <w:name w:val="Heading 1 (no chapter no.)"/>
    <w:basedOn w:val="Heading1"/>
    <w:rsid w:val="000D1BA6"/>
    <w:pPr>
      <w:spacing w:before="0"/>
      <w:ind w:left="0" w:firstLine="0"/>
    </w:pPr>
  </w:style>
  <w:style w:type="paragraph" w:customStyle="1" w:styleId="Heading2nosectionno">
    <w:name w:val="Heading 2 (no section no.)"/>
    <w:basedOn w:val="Heading2"/>
    <w:rsid w:val="000D1BA6"/>
    <w:pPr>
      <w:ind w:left="0" w:firstLine="0"/>
    </w:pPr>
  </w:style>
  <w:style w:type="character" w:customStyle="1" w:styleId="Heading5Char">
    <w:name w:val="Heading 5 Char"/>
    <w:basedOn w:val="DefaultParagraphFont"/>
    <w:link w:val="Heading5"/>
    <w:rsid w:val="000D1BA6"/>
    <w:rPr>
      <w:rFonts w:ascii="Arial" w:hAnsi="Arial"/>
      <w:i/>
      <w:sz w:val="22"/>
    </w:rPr>
  </w:style>
  <w:style w:type="paragraph" w:customStyle="1" w:styleId="Figurespace">
    <w:name w:val="Figure space"/>
    <w:basedOn w:val="Box"/>
    <w:rsid w:val="000D1BA6"/>
    <w:pPr>
      <w:spacing w:before="0" w:line="120" w:lineRule="exact"/>
    </w:pPr>
  </w:style>
  <w:style w:type="paragraph" w:customStyle="1" w:styleId="FooterDraftReport">
    <w:name w:val="FooterDraftReport"/>
    <w:basedOn w:val="Footer"/>
    <w:link w:val="FooterDraftReportChar"/>
    <w:rsid w:val="000D1BA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0D1BA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D1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0D1BA6"/>
    <w:rPr>
      <w:rFonts w:ascii="Arial" w:hAnsi="Arial"/>
      <w:b/>
      <w:sz w:val="26"/>
      <w:szCs w:val="26"/>
      <w:lang w:eastAsia="en-US"/>
    </w:rPr>
  </w:style>
  <w:style w:type="paragraph" w:styleId="Footer">
    <w:name w:val="footer"/>
    <w:basedOn w:val="BodyText"/>
    <w:link w:val="FooterChar"/>
    <w:rsid w:val="000D1BA6"/>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rsid w:val="000D1BA6"/>
    <w:rPr>
      <w:rFonts w:ascii="Arial" w:hAnsi="Arial"/>
      <w:caps/>
      <w:spacing w:val="-4"/>
      <w:sz w:val="16"/>
    </w:rPr>
  </w:style>
  <w:style w:type="paragraph" w:customStyle="1" w:styleId="HeaderEven">
    <w:name w:val="Header Even"/>
    <w:basedOn w:val="Header"/>
    <w:semiHidden/>
    <w:rsid w:val="000D1BA6"/>
  </w:style>
  <w:style w:type="paragraph" w:customStyle="1" w:styleId="HeaderOdd">
    <w:name w:val="Header Odd"/>
    <w:basedOn w:val="Header"/>
    <w:semiHidden/>
    <w:rsid w:val="000D1BA6"/>
  </w:style>
  <w:style w:type="paragraph" w:customStyle="1" w:styleId="FindingNoTitle">
    <w:name w:val="Finding NoTitle"/>
    <w:basedOn w:val="Finding"/>
    <w:semiHidden/>
    <w:rsid w:val="000D1BA6"/>
    <w:pPr>
      <w:spacing w:before="240"/>
    </w:pPr>
  </w:style>
  <w:style w:type="character" w:customStyle="1" w:styleId="TableBodyTextChar">
    <w:name w:val="Table Body Text Char"/>
    <w:link w:val="TableBodyText"/>
    <w:rsid w:val="00E04929"/>
    <w:rPr>
      <w:rFonts w:ascii="Arial" w:hAnsi="Arial"/>
      <w:sz w:val="18"/>
    </w:rPr>
  </w:style>
  <w:style w:type="character" w:customStyle="1" w:styleId="TableBulletChar">
    <w:name w:val="Table Bullet Char"/>
    <w:basedOn w:val="TableBodyTextChar"/>
    <w:link w:val="TableBullet"/>
    <w:rsid w:val="00E04929"/>
    <w:rPr>
      <w:rFonts w:ascii="Arial" w:hAnsi="Arial"/>
      <w:sz w:val="18"/>
    </w:rPr>
  </w:style>
  <w:style w:type="paragraph" w:customStyle="1" w:styleId="Heading1NotTOC">
    <w:name w:val="Heading 1 Not TOC"/>
    <w:basedOn w:val="Heading1"/>
    <w:next w:val="BodyText"/>
    <w:rsid w:val="00EB5EF8"/>
    <w:rPr>
      <w:kern w:val="28"/>
      <w:szCs w:val="26"/>
      <w:lang w:eastAsia="en-US"/>
    </w:rPr>
  </w:style>
  <w:style w:type="character" w:customStyle="1" w:styleId="Heading4Char">
    <w:name w:val="Heading 4 Char"/>
    <w:basedOn w:val="DefaultParagraphFont"/>
    <w:link w:val="Heading4"/>
    <w:rsid w:val="004D31FC"/>
    <w:rPr>
      <w:rFonts w:ascii="Arial" w:hAnsi="Arial"/>
      <w:sz w:val="24"/>
    </w:rPr>
  </w:style>
  <w:style w:type="character" w:customStyle="1" w:styleId="CommentTextChar">
    <w:name w:val="Comment Text Char"/>
    <w:basedOn w:val="DefaultParagraphFont"/>
    <w:link w:val="CommentText"/>
    <w:semiHidden/>
    <w:rsid w:val="00F923F9"/>
    <w:rPr>
      <w:szCs w:val="24"/>
    </w:rPr>
  </w:style>
  <w:style w:type="paragraph" w:customStyle="1" w:styleId="DQIRowHeadings">
    <w:name w:val="DQI Row Headings"/>
    <w:basedOn w:val="Normal"/>
    <w:rsid w:val="00514B47"/>
    <w:pPr>
      <w:keepNext/>
      <w:keepLines/>
      <w:spacing w:before="120" w:line="200" w:lineRule="atLeast"/>
      <w:ind w:left="6" w:right="113"/>
    </w:pPr>
    <w:rPr>
      <w:rFonts w:ascii="Arial" w:hAnsi="Arial"/>
      <w:b/>
      <w:sz w:val="18"/>
      <w:szCs w:val="20"/>
    </w:rPr>
  </w:style>
  <w:style w:type="paragraph" w:customStyle="1" w:styleId="DQIMainRowHeadings">
    <w:name w:val="DQI Main Row Headings"/>
    <w:basedOn w:val="Normal"/>
    <w:next w:val="Normal"/>
    <w:rsid w:val="00514B47"/>
    <w:pPr>
      <w:keepNext/>
      <w:keepLines/>
      <w:spacing w:before="120" w:line="200" w:lineRule="atLeast"/>
      <w:ind w:left="6" w:right="113"/>
    </w:pPr>
    <w:rPr>
      <w:rFonts w:ascii="Arial" w:hAnsi="Arial"/>
      <w:b/>
      <w:sz w:val="18"/>
      <w:szCs w:val="20"/>
      <w:u w:val="single"/>
    </w:rPr>
  </w:style>
  <w:style w:type="paragraph" w:customStyle="1" w:styleId="Default">
    <w:name w:val="Default"/>
    <w:rsid w:val="0096016A"/>
    <w:pPr>
      <w:autoSpaceDE w:val="0"/>
      <w:autoSpaceDN w:val="0"/>
      <w:adjustRightInd w:val="0"/>
    </w:pPr>
    <w:rPr>
      <w:rFonts w:ascii="Arial" w:hAnsi="Arial" w:cs="Arial"/>
      <w:color w:val="000000"/>
      <w:sz w:val="24"/>
      <w:szCs w:val="24"/>
    </w:rPr>
  </w:style>
  <w:style w:type="character" w:customStyle="1" w:styleId="Continuedintitle">
    <w:name w:val="Continued (in title)"/>
    <w:basedOn w:val="DefaultParagraphFont"/>
    <w:rsid w:val="007E67D0"/>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44373">
      <w:bodyDiv w:val="1"/>
      <w:marLeft w:val="0"/>
      <w:marRight w:val="0"/>
      <w:marTop w:val="0"/>
      <w:marBottom w:val="0"/>
      <w:divBdr>
        <w:top w:val="none" w:sz="0" w:space="0" w:color="auto"/>
        <w:left w:val="none" w:sz="0" w:space="0" w:color="auto"/>
        <w:bottom w:val="none" w:sz="0" w:space="0" w:color="auto"/>
        <w:right w:val="none" w:sz="0" w:space="0" w:color="auto"/>
      </w:divBdr>
    </w:div>
    <w:div w:id="189924018">
      <w:bodyDiv w:val="1"/>
      <w:marLeft w:val="0"/>
      <w:marRight w:val="0"/>
      <w:marTop w:val="0"/>
      <w:marBottom w:val="0"/>
      <w:divBdr>
        <w:top w:val="none" w:sz="0" w:space="0" w:color="auto"/>
        <w:left w:val="none" w:sz="0" w:space="0" w:color="auto"/>
        <w:bottom w:val="none" w:sz="0" w:space="0" w:color="auto"/>
        <w:right w:val="none" w:sz="0" w:space="0" w:color="auto"/>
      </w:divBdr>
    </w:div>
    <w:div w:id="204026910">
      <w:bodyDiv w:val="1"/>
      <w:marLeft w:val="0"/>
      <w:marRight w:val="0"/>
      <w:marTop w:val="0"/>
      <w:marBottom w:val="0"/>
      <w:divBdr>
        <w:top w:val="none" w:sz="0" w:space="0" w:color="auto"/>
        <w:left w:val="none" w:sz="0" w:space="0" w:color="auto"/>
        <w:bottom w:val="none" w:sz="0" w:space="0" w:color="auto"/>
        <w:right w:val="none" w:sz="0" w:space="0" w:color="auto"/>
      </w:divBdr>
    </w:div>
    <w:div w:id="311908317">
      <w:bodyDiv w:val="1"/>
      <w:marLeft w:val="0"/>
      <w:marRight w:val="0"/>
      <w:marTop w:val="0"/>
      <w:marBottom w:val="0"/>
      <w:divBdr>
        <w:top w:val="none" w:sz="0" w:space="0" w:color="auto"/>
        <w:left w:val="none" w:sz="0" w:space="0" w:color="auto"/>
        <w:bottom w:val="none" w:sz="0" w:space="0" w:color="auto"/>
        <w:right w:val="none" w:sz="0" w:space="0" w:color="auto"/>
      </w:divBdr>
    </w:div>
    <w:div w:id="447551779">
      <w:bodyDiv w:val="1"/>
      <w:marLeft w:val="0"/>
      <w:marRight w:val="0"/>
      <w:marTop w:val="0"/>
      <w:marBottom w:val="0"/>
      <w:divBdr>
        <w:top w:val="none" w:sz="0" w:space="0" w:color="auto"/>
        <w:left w:val="none" w:sz="0" w:space="0" w:color="auto"/>
        <w:bottom w:val="none" w:sz="0" w:space="0" w:color="auto"/>
        <w:right w:val="none" w:sz="0" w:space="0" w:color="auto"/>
      </w:divBdr>
    </w:div>
    <w:div w:id="461654550">
      <w:bodyDiv w:val="1"/>
      <w:marLeft w:val="0"/>
      <w:marRight w:val="0"/>
      <w:marTop w:val="0"/>
      <w:marBottom w:val="0"/>
      <w:divBdr>
        <w:top w:val="none" w:sz="0" w:space="0" w:color="auto"/>
        <w:left w:val="none" w:sz="0" w:space="0" w:color="auto"/>
        <w:bottom w:val="none" w:sz="0" w:space="0" w:color="auto"/>
        <w:right w:val="none" w:sz="0" w:space="0" w:color="auto"/>
      </w:divBdr>
    </w:div>
    <w:div w:id="652415493">
      <w:bodyDiv w:val="1"/>
      <w:marLeft w:val="0"/>
      <w:marRight w:val="0"/>
      <w:marTop w:val="0"/>
      <w:marBottom w:val="0"/>
      <w:divBdr>
        <w:top w:val="none" w:sz="0" w:space="0" w:color="auto"/>
        <w:left w:val="none" w:sz="0" w:space="0" w:color="auto"/>
        <w:bottom w:val="none" w:sz="0" w:space="0" w:color="auto"/>
        <w:right w:val="none" w:sz="0" w:space="0" w:color="auto"/>
      </w:divBdr>
    </w:div>
    <w:div w:id="712995660">
      <w:bodyDiv w:val="1"/>
      <w:marLeft w:val="0"/>
      <w:marRight w:val="0"/>
      <w:marTop w:val="0"/>
      <w:marBottom w:val="0"/>
      <w:divBdr>
        <w:top w:val="none" w:sz="0" w:space="0" w:color="auto"/>
        <w:left w:val="none" w:sz="0" w:space="0" w:color="auto"/>
        <w:bottom w:val="none" w:sz="0" w:space="0" w:color="auto"/>
        <w:right w:val="none" w:sz="0" w:space="0" w:color="auto"/>
      </w:divBdr>
    </w:div>
    <w:div w:id="717630769">
      <w:bodyDiv w:val="1"/>
      <w:marLeft w:val="0"/>
      <w:marRight w:val="0"/>
      <w:marTop w:val="0"/>
      <w:marBottom w:val="0"/>
      <w:divBdr>
        <w:top w:val="none" w:sz="0" w:space="0" w:color="auto"/>
        <w:left w:val="none" w:sz="0" w:space="0" w:color="auto"/>
        <w:bottom w:val="none" w:sz="0" w:space="0" w:color="auto"/>
        <w:right w:val="none" w:sz="0" w:space="0" w:color="auto"/>
      </w:divBdr>
    </w:div>
    <w:div w:id="811361420">
      <w:bodyDiv w:val="1"/>
      <w:marLeft w:val="0"/>
      <w:marRight w:val="0"/>
      <w:marTop w:val="0"/>
      <w:marBottom w:val="0"/>
      <w:divBdr>
        <w:top w:val="none" w:sz="0" w:space="0" w:color="auto"/>
        <w:left w:val="none" w:sz="0" w:space="0" w:color="auto"/>
        <w:bottom w:val="none" w:sz="0" w:space="0" w:color="auto"/>
        <w:right w:val="none" w:sz="0" w:space="0" w:color="auto"/>
      </w:divBdr>
    </w:div>
    <w:div w:id="873540867">
      <w:bodyDiv w:val="1"/>
      <w:marLeft w:val="0"/>
      <w:marRight w:val="0"/>
      <w:marTop w:val="0"/>
      <w:marBottom w:val="0"/>
      <w:divBdr>
        <w:top w:val="none" w:sz="0" w:space="0" w:color="auto"/>
        <w:left w:val="none" w:sz="0" w:space="0" w:color="auto"/>
        <w:bottom w:val="none" w:sz="0" w:space="0" w:color="auto"/>
        <w:right w:val="none" w:sz="0" w:space="0" w:color="auto"/>
      </w:divBdr>
    </w:div>
    <w:div w:id="883178880">
      <w:bodyDiv w:val="1"/>
      <w:marLeft w:val="0"/>
      <w:marRight w:val="0"/>
      <w:marTop w:val="0"/>
      <w:marBottom w:val="0"/>
      <w:divBdr>
        <w:top w:val="none" w:sz="0" w:space="0" w:color="auto"/>
        <w:left w:val="none" w:sz="0" w:space="0" w:color="auto"/>
        <w:bottom w:val="none" w:sz="0" w:space="0" w:color="auto"/>
        <w:right w:val="none" w:sz="0" w:space="0" w:color="auto"/>
      </w:divBdr>
    </w:div>
    <w:div w:id="931820676">
      <w:bodyDiv w:val="1"/>
      <w:marLeft w:val="0"/>
      <w:marRight w:val="0"/>
      <w:marTop w:val="0"/>
      <w:marBottom w:val="0"/>
      <w:divBdr>
        <w:top w:val="none" w:sz="0" w:space="0" w:color="auto"/>
        <w:left w:val="none" w:sz="0" w:space="0" w:color="auto"/>
        <w:bottom w:val="none" w:sz="0" w:space="0" w:color="auto"/>
        <w:right w:val="none" w:sz="0" w:space="0" w:color="auto"/>
      </w:divBdr>
    </w:div>
    <w:div w:id="998117746">
      <w:bodyDiv w:val="1"/>
      <w:marLeft w:val="0"/>
      <w:marRight w:val="0"/>
      <w:marTop w:val="0"/>
      <w:marBottom w:val="0"/>
      <w:divBdr>
        <w:top w:val="none" w:sz="0" w:space="0" w:color="auto"/>
        <w:left w:val="none" w:sz="0" w:space="0" w:color="auto"/>
        <w:bottom w:val="none" w:sz="0" w:space="0" w:color="auto"/>
        <w:right w:val="none" w:sz="0" w:space="0" w:color="auto"/>
      </w:divBdr>
    </w:div>
    <w:div w:id="1006593141">
      <w:bodyDiv w:val="1"/>
      <w:marLeft w:val="0"/>
      <w:marRight w:val="0"/>
      <w:marTop w:val="0"/>
      <w:marBottom w:val="0"/>
      <w:divBdr>
        <w:top w:val="none" w:sz="0" w:space="0" w:color="auto"/>
        <w:left w:val="none" w:sz="0" w:space="0" w:color="auto"/>
        <w:bottom w:val="none" w:sz="0" w:space="0" w:color="auto"/>
        <w:right w:val="none" w:sz="0" w:space="0" w:color="auto"/>
      </w:divBdr>
    </w:div>
    <w:div w:id="1022125066">
      <w:bodyDiv w:val="1"/>
      <w:marLeft w:val="0"/>
      <w:marRight w:val="0"/>
      <w:marTop w:val="0"/>
      <w:marBottom w:val="0"/>
      <w:divBdr>
        <w:top w:val="none" w:sz="0" w:space="0" w:color="auto"/>
        <w:left w:val="none" w:sz="0" w:space="0" w:color="auto"/>
        <w:bottom w:val="none" w:sz="0" w:space="0" w:color="auto"/>
        <w:right w:val="none" w:sz="0" w:space="0" w:color="auto"/>
      </w:divBdr>
      <w:divsChild>
        <w:div w:id="681594146">
          <w:marLeft w:val="0"/>
          <w:marRight w:val="0"/>
          <w:marTop w:val="0"/>
          <w:marBottom w:val="0"/>
          <w:divBdr>
            <w:top w:val="none" w:sz="0" w:space="0" w:color="auto"/>
            <w:left w:val="none" w:sz="0" w:space="0" w:color="auto"/>
            <w:bottom w:val="none" w:sz="0" w:space="0" w:color="auto"/>
            <w:right w:val="none" w:sz="0" w:space="0" w:color="auto"/>
          </w:divBdr>
        </w:div>
      </w:divsChild>
    </w:div>
    <w:div w:id="1026950725">
      <w:bodyDiv w:val="1"/>
      <w:marLeft w:val="0"/>
      <w:marRight w:val="0"/>
      <w:marTop w:val="0"/>
      <w:marBottom w:val="0"/>
      <w:divBdr>
        <w:top w:val="none" w:sz="0" w:space="0" w:color="auto"/>
        <w:left w:val="none" w:sz="0" w:space="0" w:color="auto"/>
        <w:bottom w:val="none" w:sz="0" w:space="0" w:color="auto"/>
        <w:right w:val="none" w:sz="0" w:space="0" w:color="auto"/>
      </w:divBdr>
    </w:div>
    <w:div w:id="1036153432">
      <w:bodyDiv w:val="1"/>
      <w:marLeft w:val="0"/>
      <w:marRight w:val="0"/>
      <w:marTop w:val="0"/>
      <w:marBottom w:val="0"/>
      <w:divBdr>
        <w:top w:val="none" w:sz="0" w:space="0" w:color="auto"/>
        <w:left w:val="none" w:sz="0" w:space="0" w:color="auto"/>
        <w:bottom w:val="none" w:sz="0" w:space="0" w:color="auto"/>
        <w:right w:val="none" w:sz="0" w:space="0" w:color="auto"/>
      </w:divBdr>
    </w:div>
    <w:div w:id="1063605051">
      <w:bodyDiv w:val="1"/>
      <w:marLeft w:val="0"/>
      <w:marRight w:val="0"/>
      <w:marTop w:val="0"/>
      <w:marBottom w:val="0"/>
      <w:divBdr>
        <w:top w:val="none" w:sz="0" w:space="0" w:color="auto"/>
        <w:left w:val="none" w:sz="0" w:space="0" w:color="auto"/>
        <w:bottom w:val="none" w:sz="0" w:space="0" w:color="auto"/>
        <w:right w:val="none" w:sz="0" w:space="0" w:color="auto"/>
      </w:divBdr>
    </w:div>
    <w:div w:id="1075203314">
      <w:bodyDiv w:val="1"/>
      <w:marLeft w:val="0"/>
      <w:marRight w:val="0"/>
      <w:marTop w:val="0"/>
      <w:marBottom w:val="0"/>
      <w:divBdr>
        <w:top w:val="none" w:sz="0" w:space="0" w:color="auto"/>
        <w:left w:val="none" w:sz="0" w:space="0" w:color="auto"/>
        <w:bottom w:val="none" w:sz="0" w:space="0" w:color="auto"/>
        <w:right w:val="none" w:sz="0" w:space="0" w:color="auto"/>
      </w:divBdr>
    </w:div>
    <w:div w:id="1116217448">
      <w:bodyDiv w:val="1"/>
      <w:marLeft w:val="0"/>
      <w:marRight w:val="0"/>
      <w:marTop w:val="0"/>
      <w:marBottom w:val="0"/>
      <w:divBdr>
        <w:top w:val="none" w:sz="0" w:space="0" w:color="auto"/>
        <w:left w:val="none" w:sz="0" w:space="0" w:color="auto"/>
        <w:bottom w:val="none" w:sz="0" w:space="0" w:color="auto"/>
        <w:right w:val="none" w:sz="0" w:space="0" w:color="auto"/>
      </w:divBdr>
    </w:div>
    <w:div w:id="1130900975">
      <w:bodyDiv w:val="1"/>
      <w:marLeft w:val="0"/>
      <w:marRight w:val="0"/>
      <w:marTop w:val="0"/>
      <w:marBottom w:val="0"/>
      <w:divBdr>
        <w:top w:val="none" w:sz="0" w:space="0" w:color="auto"/>
        <w:left w:val="none" w:sz="0" w:space="0" w:color="auto"/>
        <w:bottom w:val="none" w:sz="0" w:space="0" w:color="auto"/>
        <w:right w:val="none" w:sz="0" w:space="0" w:color="auto"/>
      </w:divBdr>
    </w:div>
    <w:div w:id="1270159356">
      <w:bodyDiv w:val="1"/>
      <w:marLeft w:val="0"/>
      <w:marRight w:val="0"/>
      <w:marTop w:val="0"/>
      <w:marBottom w:val="0"/>
      <w:divBdr>
        <w:top w:val="none" w:sz="0" w:space="0" w:color="auto"/>
        <w:left w:val="none" w:sz="0" w:space="0" w:color="auto"/>
        <w:bottom w:val="none" w:sz="0" w:space="0" w:color="auto"/>
        <w:right w:val="none" w:sz="0" w:space="0" w:color="auto"/>
      </w:divBdr>
    </w:div>
    <w:div w:id="1404720332">
      <w:bodyDiv w:val="1"/>
      <w:marLeft w:val="0"/>
      <w:marRight w:val="0"/>
      <w:marTop w:val="0"/>
      <w:marBottom w:val="0"/>
      <w:divBdr>
        <w:top w:val="none" w:sz="0" w:space="0" w:color="auto"/>
        <w:left w:val="none" w:sz="0" w:space="0" w:color="auto"/>
        <w:bottom w:val="none" w:sz="0" w:space="0" w:color="auto"/>
        <w:right w:val="none" w:sz="0" w:space="0" w:color="auto"/>
      </w:divBdr>
    </w:div>
    <w:div w:id="1467046281">
      <w:bodyDiv w:val="1"/>
      <w:marLeft w:val="0"/>
      <w:marRight w:val="0"/>
      <w:marTop w:val="0"/>
      <w:marBottom w:val="0"/>
      <w:divBdr>
        <w:top w:val="none" w:sz="0" w:space="0" w:color="auto"/>
        <w:left w:val="none" w:sz="0" w:space="0" w:color="auto"/>
        <w:bottom w:val="none" w:sz="0" w:space="0" w:color="auto"/>
        <w:right w:val="none" w:sz="0" w:space="0" w:color="auto"/>
      </w:divBdr>
    </w:div>
    <w:div w:id="1494951454">
      <w:bodyDiv w:val="1"/>
      <w:marLeft w:val="0"/>
      <w:marRight w:val="0"/>
      <w:marTop w:val="0"/>
      <w:marBottom w:val="0"/>
      <w:divBdr>
        <w:top w:val="none" w:sz="0" w:space="0" w:color="auto"/>
        <w:left w:val="none" w:sz="0" w:space="0" w:color="auto"/>
        <w:bottom w:val="none" w:sz="0" w:space="0" w:color="auto"/>
        <w:right w:val="none" w:sz="0" w:space="0" w:color="auto"/>
      </w:divBdr>
    </w:div>
    <w:div w:id="1611812176">
      <w:bodyDiv w:val="1"/>
      <w:marLeft w:val="0"/>
      <w:marRight w:val="0"/>
      <w:marTop w:val="0"/>
      <w:marBottom w:val="0"/>
      <w:divBdr>
        <w:top w:val="none" w:sz="0" w:space="0" w:color="auto"/>
        <w:left w:val="none" w:sz="0" w:space="0" w:color="auto"/>
        <w:bottom w:val="none" w:sz="0" w:space="0" w:color="auto"/>
        <w:right w:val="none" w:sz="0" w:space="0" w:color="auto"/>
      </w:divBdr>
    </w:div>
    <w:div w:id="1726678878">
      <w:bodyDiv w:val="1"/>
      <w:marLeft w:val="0"/>
      <w:marRight w:val="0"/>
      <w:marTop w:val="0"/>
      <w:marBottom w:val="0"/>
      <w:divBdr>
        <w:top w:val="none" w:sz="0" w:space="0" w:color="auto"/>
        <w:left w:val="none" w:sz="0" w:space="0" w:color="auto"/>
        <w:bottom w:val="none" w:sz="0" w:space="0" w:color="auto"/>
        <w:right w:val="none" w:sz="0" w:space="0" w:color="auto"/>
      </w:divBdr>
      <w:divsChild>
        <w:div w:id="750273517">
          <w:marLeft w:val="0"/>
          <w:marRight w:val="0"/>
          <w:marTop w:val="0"/>
          <w:marBottom w:val="0"/>
          <w:divBdr>
            <w:top w:val="none" w:sz="0" w:space="0" w:color="auto"/>
            <w:left w:val="none" w:sz="0" w:space="0" w:color="auto"/>
            <w:bottom w:val="none" w:sz="0" w:space="0" w:color="auto"/>
            <w:right w:val="none" w:sz="0" w:space="0" w:color="auto"/>
          </w:divBdr>
          <w:divsChild>
            <w:div w:id="425157490">
              <w:marLeft w:val="0"/>
              <w:marRight w:val="0"/>
              <w:marTop w:val="0"/>
              <w:marBottom w:val="0"/>
              <w:divBdr>
                <w:top w:val="none" w:sz="0" w:space="0" w:color="auto"/>
                <w:left w:val="none" w:sz="0" w:space="0" w:color="auto"/>
                <w:bottom w:val="none" w:sz="0" w:space="0" w:color="auto"/>
                <w:right w:val="none" w:sz="0" w:space="0" w:color="auto"/>
              </w:divBdr>
              <w:divsChild>
                <w:div w:id="1219315998">
                  <w:marLeft w:val="0"/>
                  <w:marRight w:val="0"/>
                  <w:marTop w:val="0"/>
                  <w:marBottom w:val="0"/>
                  <w:divBdr>
                    <w:top w:val="none" w:sz="0" w:space="0" w:color="auto"/>
                    <w:left w:val="none" w:sz="0" w:space="0" w:color="auto"/>
                    <w:bottom w:val="none" w:sz="0" w:space="0" w:color="auto"/>
                    <w:right w:val="none" w:sz="0" w:space="0" w:color="auto"/>
                  </w:divBdr>
                  <w:divsChild>
                    <w:div w:id="345668145">
                      <w:marLeft w:val="0"/>
                      <w:marRight w:val="0"/>
                      <w:marTop w:val="0"/>
                      <w:marBottom w:val="0"/>
                      <w:divBdr>
                        <w:top w:val="none" w:sz="0" w:space="0" w:color="auto"/>
                        <w:left w:val="none" w:sz="0" w:space="0" w:color="auto"/>
                        <w:bottom w:val="none" w:sz="0" w:space="0" w:color="auto"/>
                        <w:right w:val="none" w:sz="0" w:space="0" w:color="auto"/>
                      </w:divBdr>
                      <w:divsChild>
                        <w:div w:id="1841001604">
                          <w:marLeft w:val="0"/>
                          <w:marRight w:val="0"/>
                          <w:marTop w:val="0"/>
                          <w:marBottom w:val="0"/>
                          <w:divBdr>
                            <w:top w:val="none" w:sz="0" w:space="0" w:color="auto"/>
                            <w:left w:val="none" w:sz="0" w:space="0" w:color="auto"/>
                            <w:bottom w:val="none" w:sz="0" w:space="0" w:color="auto"/>
                            <w:right w:val="none" w:sz="0" w:space="0" w:color="auto"/>
                          </w:divBdr>
                          <w:divsChild>
                            <w:div w:id="746264911">
                              <w:marLeft w:val="0"/>
                              <w:marRight w:val="0"/>
                              <w:marTop w:val="0"/>
                              <w:marBottom w:val="0"/>
                              <w:divBdr>
                                <w:top w:val="none" w:sz="0" w:space="0" w:color="auto"/>
                                <w:left w:val="none" w:sz="0" w:space="0" w:color="auto"/>
                                <w:bottom w:val="none" w:sz="0" w:space="0" w:color="auto"/>
                                <w:right w:val="none" w:sz="0" w:space="0" w:color="auto"/>
                              </w:divBdr>
                              <w:divsChild>
                                <w:div w:id="1176074873">
                                  <w:marLeft w:val="0"/>
                                  <w:marRight w:val="0"/>
                                  <w:marTop w:val="0"/>
                                  <w:marBottom w:val="0"/>
                                  <w:divBdr>
                                    <w:top w:val="none" w:sz="0" w:space="0" w:color="auto"/>
                                    <w:left w:val="none" w:sz="0" w:space="0" w:color="auto"/>
                                    <w:bottom w:val="none" w:sz="0" w:space="0" w:color="auto"/>
                                    <w:right w:val="none" w:sz="0" w:space="0" w:color="auto"/>
                                  </w:divBdr>
                                  <w:divsChild>
                                    <w:div w:id="2032221453">
                                      <w:marLeft w:val="0"/>
                                      <w:marRight w:val="0"/>
                                      <w:marTop w:val="0"/>
                                      <w:marBottom w:val="0"/>
                                      <w:divBdr>
                                        <w:top w:val="none" w:sz="0" w:space="0" w:color="auto"/>
                                        <w:left w:val="none" w:sz="0" w:space="0" w:color="auto"/>
                                        <w:bottom w:val="none" w:sz="0" w:space="0" w:color="auto"/>
                                        <w:right w:val="none" w:sz="0" w:space="0" w:color="auto"/>
                                      </w:divBdr>
                                      <w:divsChild>
                                        <w:div w:id="1378164351">
                                          <w:marLeft w:val="0"/>
                                          <w:marRight w:val="0"/>
                                          <w:marTop w:val="0"/>
                                          <w:marBottom w:val="0"/>
                                          <w:divBdr>
                                            <w:top w:val="none" w:sz="0" w:space="0" w:color="auto"/>
                                            <w:left w:val="none" w:sz="0" w:space="0" w:color="auto"/>
                                            <w:bottom w:val="none" w:sz="0" w:space="0" w:color="auto"/>
                                            <w:right w:val="none" w:sz="0" w:space="0" w:color="auto"/>
                                          </w:divBdr>
                                          <w:divsChild>
                                            <w:div w:id="951933483">
                                              <w:marLeft w:val="0"/>
                                              <w:marRight w:val="0"/>
                                              <w:marTop w:val="0"/>
                                              <w:marBottom w:val="0"/>
                                              <w:divBdr>
                                                <w:top w:val="none" w:sz="0" w:space="0" w:color="auto"/>
                                                <w:left w:val="none" w:sz="0" w:space="0" w:color="auto"/>
                                                <w:bottom w:val="none" w:sz="0" w:space="0" w:color="auto"/>
                                                <w:right w:val="none" w:sz="0" w:space="0" w:color="auto"/>
                                              </w:divBdr>
                                              <w:divsChild>
                                                <w:div w:id="65079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0065292">
      <w:bodyDiv w:val="1"/>
      <w:marLeft w:val="0"/>
      <w:marRight w:val="0"/>
      <w:marTop w:val="0"/>
      <w:marBottom w:val="0"/>
      <w:divBdr>
        <w:top w:val="none" w:sz="0" w:space="0" w:color="auto"/>
        <w:left w:val="none" w:sz="0" w:space="0" w:color="auto"/>
        <w:bottom w:val="none" w:sz="0" w:space="0" w:color="auto"/>
        <w:right w:val="none" w:sz="0" w:space="0" w:color="auto"/>
      </w:divBdr>
    </w:div>
    <w:div w:id="196715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F5276-2469-464B-87F6-75F592001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144</TotalTime>
  <Pages>16</Pages>
  <Words>4853</Words>
  <Characters>27682</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Sector overview G Housing and homelessness - Report on Government Services 2016</vt:lpstr>
    </vt:vector>
  </TitlesOfParts>
  <Company>Productivity Commission</Company>
  <LinksUpToDate>false</LinksUpToDate>
  <CharactersWithSpaces>32471</CharactersWithSpaces>
  <SharedDoc>false</SharedDoc>
  <HLinks>
    <vt:vector size="180" baseType="variant">
      <vt:variant>
        <vt:i4>131130</vt:i4>
      </vt:variant>
      <vt:variant>
        <vt:i4>321</vt:i4>
      </vt:variant>
      <vt:variant>
        <vt:i4>0</vt:i4>
      </vt:variant>
      <vt:variant>
        <vt:i4>5</vt:i4>
      </vt:variant>
      <vt:variant>
        <vt:lpwstr>C:\Users\svassiliou\AppData\Local\Microsoft\Windows\Temporary Internet Files\Content.MSO\E7C0528E.xlsm</vt:lpwstr>
      </vt:variant>
      <vt:variant>
        <vt:lpwstr>'Table GA.32'!A1</vt:lpwstr>
      </vt:variant>
      <vt:variant>
        <vt:i4>65594</vt:i4>
      </vt:variant>
      <vt:variant>
        <vt:i4>318</vt:i4>
      </vt:variant>
      <vt:variant>
        <vt:i4>0</vt:i4>
      </vt:variant>
      <vt:variant>
        <vt:i4>5</vt:i4>
      </vt:variant>
      <vt:variant>
        <vt:lpwstr>C:\Users\svassiliou\AppData\Local\Microsoft\Windows\Temporary Internet Files\Content.MSO\E7C0528E.xlsm</vt:lpwstr>
      </vt:variant>
      <vt:variant>
        <vt:lpwstr>'Table GA.31'!A1</vt:lpwstr>
      </vt:variant>
      <vt:variant>
        <vt:i4>58</vt:i4>
      </vt:variant>
      <vt:variant>
        <vt:i4>315</vt:i4>
      </vt:variant>
      <vt:variant>
        <vt:i4>0</vt:i4>
      </vt:variant>
      <vt:variant>
        <vt:i4>5</vt:i4>
      </vt:variant>
      <vt:variant>
        <vt:lpwstr>C:\Users\svassiliou\AppData\Local\Microsoft\Windows\Temporary Internet Files\Content.MSO\E7C0528E.xlsm</vt:lpwstr>
      </vt:variant>
      <vt:variant>
        <vt:lpwstr>'Table GA.30'!A1</vt:lpwstr>
      </vt:variant>
      <vt:variant>
        <vt:i4>589883</vt:i4>
      </vt:variant>
      <vt:variant>
        <vt:i4>312</vt:i4>
      </vt:variant>
      <vt:variant>
        <vt:i4>0</vt:i4>
      </vt:variant>
      <vt:variant>
        <vt:i4>5</vt:i4>
      </vt:variant>
      <vt:variant>
        <vt:lpwstr>C:\Users\svassiliou\AppData\Local\Microsoft\Windows\Temporary Internet Files\Content.MSO\E7C0528E.xlsm</vt:lpwstr>
      </vt:variant>
      <vt:variant>
        <vt:lpwstr>'Table GA.29'!A1</vt:lpwstr>
      </vt:variant>
      <vt:variant>
        <vt:i4>524347</vt:i4>
      </vt:variant>
      <vt:variant>
        <vt:i4>309</vt:i4>
      </vt:variant>
      <vt:variant>
        <vt:i4>0</vt:i4>
      </vt:variant>
      <vt:variant>
        <vt:i4>5</vt:i4>
      </vt:variant>
      <vt:variant>
        <vt:lpwstr>C:\Users\svassiliou\AppData\Local\Microsoft\Windows\Temporary Internet Files\Content.MSO\E7C0528E.xlsm</vt:lpwstr>
      </vt:variant>
      <vt:variant>
        <vt:lpwstr>'Table GA.28'!A1</vt:lpwstr>
      </vt:variant>
      <vt:variant>
        <vt:i4>458811</vt:i4>
      </vt:variant>
      <vt:variant>
        <vt:i4>306</vt:i4>
      </vt:variant>
      <vt:variant>
        <vt:i4>0</vt:i4>
      </vt:variant>
      <vt:variant>
        <vt:i4>5</vt:i4>
      </vt:variant>
      <vt:variant>
        <vt:lpwstr>C:\Users\svassiliou\AppData\Local\Microsoft\Windows\Temporary Internet Files\Content.MSO\E7C0528E.xlsm</vt:lpwstr>
      </vt:variant>
      <vt:variant>
        <vt:lpwstr>'Table GA.27'!A1</vt:lpwstr>
      </vt:variant>
      <vt:variant>
        <vt:i4>393275</vt:i4>
      </vt:variant>
      <vt:variant>
        <vt:i4>303</vt:i4>
      </vt:variant>
      <vt:variant>
        <vt:i4>0</vt:i4>
      </vt:variant>
      <vt:variant>
        <vt:i4>5</vt:i4>
      </vt:variant>
      <vt:variant>
        <vt:lpwstr>C:\Users\svassiliou\AppData\Local\Microsoft\Windows\Temporary Internet Files\Content.MSO\E7C0528E.xlsm</vt:lpwstr>
      </vt:variant>
      <vt:variant>
        <vt:lpwstr>'Table GA.26'!A1</vt:lpwstr>
      </vt:variant>
      <vt:variant>
        <vt:i4>327739</vt:i4>
      </vt:variant>
      <vt:variant>
        <vt:i4>300</vt:i4>
      </vt:variant>
      <vt:variant>
        <vt:i4>0</vt:i4>
      </vt:variant>
      <vt:variant>
        <vt:i4>5</vt:i4>
      </vt:variant>
      <vt:variant>
        <vt:lpwstr>C:\Users\svassiliou\AppData\Local\Microsoft\Windows\Temporary Internet Files\Content.MSO\E7C0528E.xlsm</vt:lpwstr>
      </vt:variant>
      <vt:variant>
        <vt:lpwstr>'Table GA.25'!A1</vt:lpwstr>
      </vt:variant>
      <vt:variant>
        <vt:i4>262203</vt:i4>
      </vt:variant>
      <vt:variant>
        <vt:i4>297</vt:i4>
      </vt:variant>
      <vt:variant>
        <vt:i4>0</vt:i4>
      </vt:variant>
      <vt:variant>
        <vt:i4>5</vt:i4>
      </vt:variant>
      <vt:variant>
        <vt:lpwstr>C:\Users\svassiliou\AppData\Local\Microsoft\Windows\Temporary Internet Files\Content.MSO\E7C0528E.xlsm</vt:lpwstr>
      </vt:variant>
      <vt:variant>
        <vt:lpwstr>'Table GA.24'!A1</vt:lpwstr>
      </vt:variant>
      <vt:variant>
        <vt:i4>196667</vt:i4>
      </vt:variant>
      <vt:variant>
        <vt:i4>294</vt:i4>
      </vt:variant>
      <vt:variant>
        <vt:i4>0</vt:i4>
      </vt:variant>
      <vt:variant>
        <vt:i4>5</vt:i4>
      </vt:variant>
      <vt:variant>
        <vt:lpwstr>C:\Users\svassiliou\AppData\Local\Microsoft\Windows\Temporary Internet Files\Content.MSO\E7C0528E.xlsm</vt:lpwstr>
      </vt:variant>
      <vt:variant>
        <vt:lpwstr>'Table GA.23'!A1</vt:lpwstr>
      </vt:variant>
      <vt:variant>
        <vt:i4>131131</vt:i4>
      </vt:variant>
      <vt:variant>
        <vt:i4>291</vt:i4>
      </vt:variant>
      <vt:variant>
        <vt:i4>0</vt:i4>
      </vt:variant>
      <vt:variant>
        <vt:i4>5</vt:i4>
      </vt:variant>
      <vt:variant>
        <vt:lpwstr>C:\Users\svassiliou\AppData\Local\Microsoft\Windows\Temporary Internet Files\Content.MSO\E7C0528E.xlsm</vt:lpwstr>
      </vt:variant>
      <vt:variant>
        <vt:lpwstr>'Table GA.22'!A1</vt:lpwstr>
      </vt:variant>
      <vt:variant>
        <vt:i4>65595</vt:i4>
      </vt:variant>
      <vt:variant>
        <vt:i4>288</vt:i4>
      </vt:variant>
      <vt:variant>
        <vt:i4>0</vt:i4>
      </vt:variant>
      <vt:variant>
        <vt:i4>5</vt:i4>
      </vt:variant>
      <vt:variant>
        <vt:lpwstr>C:\Users\svassiliou\AppData\Local\Microsoft\Windows\Temporary Internet Files\Content.MSO\E7C0528E.xlsm</vt:lpwstr>
      </vt:variant>
      <vt:variant>
        <vt:lpwstr>'Table GA.21'!A1</vt:lpwstr>
      </vt:variant>
      <vt:variant>
        <vt:i4>59</vt:i4>
      </vt:variant>
      <vt:variant>
        <vt:i4>285</vt:i4>
      </vt:variant>
      <vt:variant>
        <vt:i4>0</vt:i4>
      </vt:variant>
      <vt:variant>
        <vt:i4>5</vt:i4>
      </vt:variant>
      <vt:variant>
        <vt:lpwstr>C:\Users\svassiliou\AppData\Local\Microsoft\Windows\Temporary Internet Files\Content.MSO\E7C0528E.xlsm</vt:lpwstr>
      </vt:variant>
      <vt:variant>
        <vt:lpwstr>'Table GA.20'!A1</vt:lpwstr>
      </vt:variant>
      <vt:variant>
        <vt:i4>589880</vt:i4>
      </vt:variant>
      <vt:variant>
        <vt:i4>282</vt:i4>
      </vt:variant>
      <vt:variant>
        <vt:i4>0</vt:i4>
      </vt:variant>
      <vt:variant>
        <vt:i4>5</vt:i4>
      </vt:variant>
      <vt:variant>
        <vt:lpwstr>C:\Users\svassiliou\AppData\Local\Microsoft\Windows\Temporary Internet Files\Content.MSO\E7C0528E.xlsm</vt:lpwstr>
      </vt:variant>
      <vt:variant>
        <vt:lpwstr>'Table GA.19'!A1</vt:lpwstr>
      </vt:variant>
      <vt:variant>
        <vt:i4>524344</vt:i4>
      </vt:variant>
      <vt:variant>
        <vt:i4>279</vt:i4>
      </vt:variant>
      <vt:variant>
        <vt:i4>0</vt:i4>
      </vt:variant>
      <vt:variant>
        <vt:i4>5</vt:i4>
      </vt:variant>
      <vt:variant>
        <vt:lpwstr>C:\Users\svassiliou\AppData\Local\Microsoft\Windows\Temporary Internet Files\Content.MSO\E7C0528E.xlsm</vt:lpwstr>
      </vt:variant>
      <vt:variant>
        <vt:lpwstr>'Table GA.18'!A1</vt:lpwstr>
      </vt:variant>
      <vt:variant>
        <vt:i4>458808</vt:i4>
      </vt:variant>
      <vt:variant>
        <vt:i4>276</vt:i4>
      </vt:variant>
      <vt:variant>
        <vt:i4>0</vt:i4>
      </vt:variant>
      <vt:variant>
        <vt:i4>5</vt:i4>
      </vt:variant>
      <vt:variant>
        <vt:lpwstr>C:\Users\svassiliou\AppData\Local\Microsoft\Windows\Temporary Internet Files\Content.MSO\E7C0528E.xlsm</vt:lpwstr>
      </vt:variant>
      <vt:variant>
        <vt:lpwstr>'Table GA.17'!A1</vt:lpwstr>
      </vt:variant>
      <vt:variant>
        <vt:i4>393272</vt:i4>
      </vt:variant>
      <vt:variant>
        <vt:i4>273</vt:i4>
      </vt:variant>
      <vt:variant>
        <vt:i4>0</vt:i4>
      </vt:variant>
      <vt:variant>
        <vt:i4>5</vt:i4>
      </vt:variant>
      <vt:variant>
        <vt:lpwstr>C:\Users\svassiliou\AppData\Local\Microsoft\Windows\Temporary Internet Files\Content.MSO\E7C0528E.xlsm</vt:lpwstr>
      </vt:variant>
      <vt:variant>
        <vt:lpwstr>'Table GA.16'!A1</vt:lpwstr>
      </vt:variant>
      <vt:variant>
        <vt:i4>327736</vt:i4>
      </vt:variant>
      <vt:variant>
        <vt:i4>270</vt:i4>
      </vt:variant>
      <vt:variant>
        <vt:i4>0</vt:i4>
      </vt:variant>
      <vt:variant>
        <vt:i4>5</vt:i4>
      </vt:variant>
      <vt:variant>
        <vt:lpwstr>C:\Users\svassiliou\AppData\Local\Microsoft\Windows\Temporary Internet Files\Content.MSO\E7C0528E.xlsm</vt:lpwstr>
      </vt:variant>
      <vt:variant>
        <vt:lpwstr>'Table GA.15'!A1</vt:lpwstr>
      </vt:variant>
      <vt:variant>
        <vt:i4>262200</vt:i4>
      </vt:variant>
      <vt:variant>
        <vt:i4>267</vt:i4>
      </vt:variant>
      <vt:variant>
        <vt:i4>0</vt:i4>
      </vt:variant>
      <vt:variant>
        <vt:i4>5</vt:i4>
      </vt:variant>
      <vt:variant>
        <vt:lpwstr>C:\Users\svassiliou\AppData\Local\Microsoft\Windows\Temporary Internet Files\Content.MSO\E7C0528E.xlsm</vt:lpwstr>
      </vt:variant>
      <vt:variant>
        <vt:lpwstr>'Table GA.14'!A1</vt:lpwstr>
      </vt:variant>
      <vt:variant>
        <vt:i4>196664</vt:i4>
      </vt:variant>
      <vt:variant>
        <vt:i4>264</vt:i4>
      </vt:variant>
      <vt:variant>
        <vt:i4>0</vt:i4>
      </vt:variant>
      <vt:variant>
        <vt:i4>5</vt:i4>
      </vt:variant>
      <vt:variant>
        <vt:lpwstr>C:\Users\svassiliou\AppData\Local\Microsoft\Windows\Temporary Internet Files\Content.MSO\E7C0528E.xlsm</vt:lpwstr>
      </vt:variant>
      <vt:variant>
        <vt:lpwstr>'Table GA.13'!A1</vt:lpwstr>
      </vt:variant>
      <vt:variant>
        <vt:i4>131128</vt:i4>
      </vt:variant>
      <vt:variant>
        <vt:i4>261</vt:i4>
      </vt:variant>
      <vt:variant>
        <vt:i4>0</vt:i4>
      </vt:variant>
      <vt:variant>
        <vt:i4>5</vt:i4>
      </vt:variant>
      <vt:variant>
        <vt:lpwstr>C:\Users\svassiliou\AppData\Local\Microsoft\Windows\Temporary Internet Files\Content.MSO\E7C0528E.xlsm</vt:lpwstr>
      </vt:variant>
      <vt:variant>
        <vt:lpwstr>'Table GA.12'!A1</vt:lpwstr>
      </vt:variant>
      <vt:variant>
        <vt:i4>65592</vt:i4>
      </vt:variant>
      <vt:variant>
        <vt:i4>258</vt:i4>
      </vt:variant>
      <vt:variant>
        <vt:i4>0</vt:i4>
      </vt:variant>
      <vt:variant>
        <vt:i4>5</vt:i4>
      </vt:variant>
      <vt:variant>
        <vt:lpwstr>C:\Users\svassiliou\AppData\Local\Microsoft\Windows\Temporary Internet Files\Content.MSO\E7C0528E.xlsm</vt:lpwstr>
      </vt:variant>
      <vt:variant>
        <vt:lpwstr>'Table GA.11'!A1</vt:lpwstr>
      </vt:variant>
      <vt:variant>
        <vt:i4>56</vt:i4>
      </vt:variant>
      <vt:variant>
        <vt:i4>255</vt:i4>
      </vt:variant>
      <vt:variant>
        <vt:i4>0</vt:i4>
      </vt:variant>
      <vt:variant>
        <vt:i4>5</vt:i4>
      </vt:variant>
      <vt:variant>
        <vt:lpwstr>C:\Users\svassiliou\AppData\Local\Microsoft\Windows\Temporary Internet Files\Content.MSO\E7C0528E.xlsm</vt:lpwstr>
      </vt:variant>
      <vt:variant>
        <vt:lpwstr>'Table GA.10'!A1</vt:lpwstr>
      </vt:variant>
      <vt:variant>
        <vt:i4>1507382</vt:i4>
      </vt:variant>
      <vt:variant>
        <vt:i4>38</vt:i4>
      </vt:variant>
      <vt:variant>
        <vt:i4>0</vt:i4>
      </vt:variant>
      <vt:variant>
        <vt:i4>5</vt:i4>
      </vt:variant>
      <vt:variant>
        <vt:lpwstr/>
      </vt:variant>
      <vt:variant>
        <vt:lpwstr>_Toc306106371</vt:lpwstr>
      </vt:variant>
      <vt:variant>
        <vt:i4>1507382</vt:i4>
      </vt:variant>
      <vt:variant>
        <vt:i4>32</vt:i4>
      </vt:variant>
      <vt:variant>
        <vt:i4>0</vt:i4>
      </vt:variant>
      <vt:variant>
        <vt:i4>5</vt:i4>
      </vt:variant>
      <vt:variant>
        <vt:lpwstr/>
      </vt:variant>
      <vt:variant>
        <vt:lpwstr>_Toc306106370</vt:lpwstr>
      </vt:variant>
      <vt:variant>
        <vt:i4>1441846</vt:i4>
      </vt:variant>
      <vt:variant>
        <vt:i4>26</vt:i4>
      </vt:variant>
      <vt:variant>
        <vt:i4>0</vt:i4>
      </vt:variant>
      <vt:variant>
        <vt:i4>5</vt:i4>
      </vt:variant>
      <vt:variant>
        <vt:lpwstr/>
      </vt:variant>
      <vt:variant>
        <vt:lpwstr>_Toc306106369</vt:lpwstr>
      </vt:variant>
      <vt:variant>
        <vt:i4>1441846</vt:i4>
      </vt:variant>
      <vt:variant>
        <vt:i4>20</vt:i4>
      </vt:variant>
      <vt:variant>
        <vt:i4>0</vt:i4>
      </vt:variant>
      <vt:variant>
        <vt:i4>5</vt:i4>
      </vt:variant>
      <vt:variant>
        <vt:lpwstr/>
      </vt:variant>
      <vt:variant>
        <vt:lpwstr>_Toc306106368</vt:lpwstr>
      </vt:variant>
      <vt:variant>
        <vt:i4>1441846</vt:i4>
      </vt:variant>
      <vt:variant>
        <vt:i4>14</vt:i4>
      </vt:variant>
      <vt:variant>
        <vt:i4>0</vt:i4>
      </vt:variant>
      <vt:variant>
        <vt:i4>5</vt:i4>
      </vt:variant>
      <vt:variant>
        <vt:lpwstr/>
      </vt:variant>
      <vt:variant>
        <vt:lpwstr>_Toc306106367</vt:lpwstr>
      </vt:variant>
      <vt:variant>
        <vt:i4>1441846</vt:i4>
      </vt:variant>
      <vt:variant>
        <vt:i4>8</vt:i4>
      </vt:variant>
      <vt:variant>
        <vt:i4>0</vt:i4>
      </vt:variant>
      <vt:variant>
        <vt:i4>5</vt:i4>
      </vt:variant>
      <vt:variant>
        <vt:lpwstr/>
      </vt:variant>
      <vt:variant>
        <vt:lpwstr>_Toc306106366</vt:lpwstr>
      </vt:variant>
      <vt:variant>
        <vt:i4>1441846</vt:i4>
      </vt:variant>
      <vt:variant>
        <vt:i4>2</vt:i4>
      </vt:variant>
      <vt:variant>
        <vt:i4>0</vt:i4>
      </vt:variant>
      <vt:variant>
        <vt:i4>5</vt:i4>
      </vt:variant>
      <vt:variant>
        <vt:lpwstr/>
      </vt:variant>
      <vt:variant>
        <vt:lpwstr>_Toc306106365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G Housing and homelessness - Report on Government Services 2016</dc:title>
  <dc:creator>Steering Committee for the Review of Government Service Provision</dc:creator>
  <cp:lastModifiedBy>Frech, Tanya</cp:lastModifiedBy>
  <cp:revision>54</cp:revision>
  <cp:lastPrinted>2016-12-22T23:30:00Z</cp:lastPrinted>
  <dcterms:created xsi:type="dcterms:W3CDTF">2016-11-28T00:01:00Z</dcterms:created>
  <dcterms:modified xsi:type="dcterms:W3CDTF">2017-01-05T23:39:00Z</dcterms:modified>
</cp:coreProperties>
</file>