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191C5" w14:textId="77777777" w:rsidR="00061391" w:rsidRDefault="00A64223" w:rsidP="00036F39">
      <w:pPr>
        <w:pStyle w:val="Heading1"/>
      </w:pPr>
      <w:bookmarkStart w:id="0" w:name="ChapterNumber"/>
      <w:bookmarkStart w:id="1" w:name="_Toc338082263"/>
      <w:bookmarkStart w:id="2" w:name="_Toc340063209"/>
      <w:bookmarkStart w:id="3" w:name="_Toc401156652"/>
      <w:bookmarkStart w:id="4" w:name="_Toc430790758"/>
      <w:bookmarkStart w:id="5" w:name="_Toc458687988"/>
      <w:bookmarkStart w:id="6" w:name="_GoBack"/>
      <w:bookmarkEnd w:id="6"/>
      <w:r>
        <w:t>7</w:t>
      </w:r>
      <w:bookmarkEnd w:id="0"/>
      <w:r>
        <w:tab/>
      </w:r>
      <w:bookmarkStart w:id="7" w:name="ChapterTitle"/>
      <w:r w:rsidRPr="00036F39">
        <w:t>Cour</w:t>
      </w:r>
      <w:bookmarkEnd w:id="7"/>
      <w:r w:rsidR="00A52D66" w:rsidRPr="00036F39">
        <w:t>ts</w:t>
      </w:r>
      <w:bookmarkEnd w:id="1"/>
      <w:bookmarkEnd w:id="2"/>
      <w:bookmarkEnd w:id="3"/>
      <w:bookmarkEnd w:id="4"/>
      <w:bookmarkEnd w:id="5"/>
    </w:p>
    <w:p w14:paraId="59F1DCE6" w14:textId="77777777" w:rsidR="00F73032" w:rsidRPr="0008681A" w:rsidRDefault="0032681E" w:rsidP="00BB6331">
      <w:pPr>
        <w:pStyle w:val="Heading4"/>
        <w:rPr>
          <w:sz w:val="26"/>
          <w:szCs w:val="26"/>
        </w:rPr>
      </w:pPr>
      <w:bookmarkStart w:id="8" w:name="begin"/>
      <w:bookmarkEnd w:id="8"/>
      <w:r w:rsidRPr="0008681A">
        <w:rPr>
          <w:sz w:val="26"/>
          <w:szCs w:val="26"/>
        </w:rPr>
        <w:t>CONTENTS</w:t>
      </w:r>
    </w:p>
    <w:sdt>
      <w:sdtPr>
        <w:rPr>
          <w:rFonts w:ascii="Times New Roman" w:hAnsi="Times New Roman"/>
          <w:b w:val="0"/>
          <w:kern w:val="28"/>
          <w:sz w:val="52"/>
          <w:szCs w:val="20"/>
          <w:lang w:eastAsia="en-AU"/>
        </w:rPr>
        <w:id w:val="1318073517"/>
        <w:docPartObj>
          <w:docPartGallery w:val="Table of Contents"/>
          <w:docPartUnique/>
        </w:docPartObj>
      </w:sdtPr>
      <w:sdtEndPr>
        <w:rPr>
          <w:rFonts w:ascii="Arial" w:hAnsi="Arial"/>
          <w:kern w:val="0"/>
          <w:sz w:val="26"/>
          <w:szCs w:val="26"/>
          <w:lang w:eastAsia="en-US"/>
        </w:rPr>
      </w:sdtEndPr>
      <w:sdtContent>
        <w:p w14:paraId="2EB45573" w14:textId="717921AF" w:rsidR="003D596B" w:rsidRPr="002C42BD" w:rsidRDefault="003D596B" w:rsidP="002C42BD">
          <w:pPr>
            <w:pStyle w:val="TOC1"/>
            <w:spacing w:before="0" w:line="240" w:lineRule="auto"/>
            <w:rPr>
              <w:rFonts w:asciiTheme="minorHAnsi" w:eastAsiaTheme="minorEastAsia" w:hAnsiTheme="minorHAnsi" w:cstheme="minorBidi"/>
              <w:b w:val="0"/>
              <w:noProof/>
              <w:sz w:val="16"/>
              <w:szCs w:val="16"/>
              <w:lang w:eastAsia="en-AU"/>
            </w:rPr>
          </w:pPr>
        </w:p>
        <w:p w14:paraId="573EEADA" w14:textId="0245B50F" w:rsidR="003D596B" w:rsidRDefault="003D596B" w:rsidP="008D2A86">
          <w:pPr>
            <w:pStyle w:val="TOC2"/>
            <w:tabs>
              <w:tab w:val="left" w:pos="1134"/>
            </w:tabs>
            <w:spacing w:before="0"/>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Profile of court services</w:t>
          </w:r>
          <w:r>
            <w:rPr>
              <w:noProof/>
            </w:rPr>
            <w:tab/>
          </w:r>
          <w:r w:rsidR="008850E6">
            <w:rPr>
              <w:noProof/>
            </w:rPr>
            <w:t>7.</w:t>
          </w:r>
          <w:r w:rsidR="002602F1">
            <w:rPr>
              <w:noProof/>
            </w:rPr>
            <w:t>1</w:t>
          </w:r>
        </w:p>
        <w:p w14:paraId="23C49160" w14:textId="364E7F51"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8850E6">
            <w:rPr>
              <w:noProof/>
            </w:rPr>
            <w:t>7.</w:t>
          </w:r>
          <w:r w:rsidR="002602F1">
            <w:rPr>
              <w:noProof/>
            </w:rPr>
            <w:t>10</w:t>
          </w:r>
        </w:p>
        <w:p w14:paraId="4709E418" w14:textId="0FF25493"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8850E6">
            <w:rPr>
              <w:noProof/>
            </w:rPr>
            <w:t>7.</w:t>
          </w:r>
          <w:r w:rsidR="002602F1">
            <w:rPr>
              <w:noProof/>
            </w:rPr>
            <w:t>11</w:t>
          </w:r>
        </w:p>
        <w:p w14:paraId="61804CDA" w14:textId="47E407AC"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Definitions of key terms</w:t>
          </w:r>
          <w:r>
            <w:rPr>
              <w:noProof/>
            </w:rPr>
            <w:tab/>
          </w:r>
          <w:r w:rsidR="008850E6">
            <w:rPr>
              <w:noProof/>
            </w:rPr>
            <w:t>7.</w:t>
          </w:r>
          <w:r w:rsidR="00F51D72">
            <w:rPr>
              <w:noProof/>
            </w:rPr>
            <w:t>29</w:t>
          </w:r>
          <w:r w:rsidR="00F51D72">
            <w:rPr>
              <w:rFonts w:asciiTheme="minorHAnsi" w:eastAsiaTheme="minorEastAsia" w:hAnsiTheme="minorHAnsi" w:cstheme="minorBidi"/>
              <w:noProof/>
              <w:sz w:val="22"/>
              <w:szCs w:val="22"/>
              <w:lang w:eastAsia="en-AU"/>
            </w:rPr>
            <w:t xml:space="preserve"> </w:t>
          </w:r>
        </w:p>
        <w:p w14:paraId="121122C3" w14:textId="1EB129EA"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References</w:t>
          </w:r>
          <w:r>
            <w:rPr>
              <w:noProof/>
            </w:rPr>
            <w:tab/>
          </w:r>
          <w:r w:rsidR="008850E6">
            <w:rPr>
              <w:noProof/>
            </w:rPr>
            <w:t>7.</w:t>
          </w:r>
          <w:r w:rsidR="002602F1">
            <w:rPr>
              <w:noProof/>
            </w:rPr>
            <w:t>30</w:t>
          </w:r>
        </w:p>
        <w:p w14:paraId="366F44F8" w14:textId="473FB114" w:rsidR="00D64EA5" w:rsidRDefault="00501CDB" w:rsidP="0008681A">
          <w:pPr>
            <w:pStyle w:val="TOC2"/>
            <w:tabs>
              <w:tab w:val="left" w:pos="1134"/>
            </w:tabs>
            <w:ind w:left="0" w:firstLine="0"/>
          </w:pPr>
        </w:p>
      </w:sdtContent>
    </w:sdt>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A1F7F" w14:paraId="5AAE3F88" w14:textId="77777777" w:rsidTr="006C41C6">
        <w:tc>
          <w:tcPr>
            <w:tcW w:w="8789" w:type="dxa"/>
            <w:tcBorders>
              <w:top w:val="single" w:sz="6" w:space="0" w:color="78A22F"/>
              <w:left w:val="nil"/>
              <w:bottom w:val="nil"/>
              <w:right w:val="nil"/>
            </w:tcBorders>
            <w:shd w:val="clear" w:color="auto" w:fill="F2F2F2"/>
          </w:tcPr>
          <w:p w14:paraId="04981D72" w14:textId="77777777" w:rsidR="00AA1F7F" w:rsidRDefault="00AA1F7F" w:rsidP="00AA1F7F">
            <w:pPr>
              <w:pStyle w:val="BoxTitle"/>
            </w:pPr>
            <w:r>
              <w:t>Attachment tables</w:t>
            </w:r>
          </w:p>
        </w:tc>
      </w:tr>
      <w:tr w:rsidR="00AA1F7F" w14:paraId="3EE0D5AD" w14:textId="77777777" w:rsidTr="006C41C6">
        <w:trPr>
          <w:cantSplit/>
        </w:trPr>
        <w:tc>
          <w:tcPr>
            <w:tcW w:w="8789" w:type="dxa"/>
            <w:tcBorders>
              <w:top w:val="nil"/>
              <w:left w:val="nil"/>
              <w:bottom w:val="nil"/>
              <w:right w:val="nil"/>
            </w:tcBorders>
            <w:shd w:val="clear" w:color="auto" w:fill="F2F2F2"/>
          </w:tcPr>
          <w:p w14:paraId="69C8292F" w14:textId="4100489E" w:rsidR="00AA1F7F" w:rsidRDefault="00AA1F7F" w:rsidP="0013625F">
            <w:pPr>
              <w:pStyle w:val="Box"/>
              <w:spacing w:after="120"/>
            </w:pPr>
            <w:r>
              <w:t>Attachment tables are identified in references throughout this chapter by a ‘7A’ prefix (for example, table 7</w:t>
            </w:r>
            <w:r w:rsidRPr="00C75DAB">
              <w:t>A</w:t>
            </w:r>
            <w:r w:rsidR="003D7784">
              <w:t>.1) and are ava</w:t>
            </w:r>
            <w:r w:rsidR="004915CA">
              <w:t xml:space="preserve">ilable </w:t>
            </w:r>
            <w:r w:rsidR="00CB77C0" w:rsidRPr="00B04C33">
              <w:t>from</w:t>
            </w:r>
            <w:r w:rsidR="004915CA">
              <w:t xml:space="preserve"> the</w:t>
            </w:r>
            <w:r>
              <w:t xml:space="preserve"> website </w:t>
            </w:r>
            <w:r w:rsidRPr="0012457E">
              <w:t>www.pc.gov.au</w:t>
            </w:r>
            <w:r w:rsidRPr="00B04C33">
              <w:t>/</w:t>
            </w:r>
            <w:r w:rsidR="004915CA" w:rsidRPr="00B04C33">
              <w:t>rogs/</w:t>
            </w:r>
            <w:r w:rsidR="004915CA" w:rsidRPr="00031CBE">
              <w:t>201</w:t>
            </w:r>
            <w:r w:rsidR="00FF6BD8" w:rsidRPr="00031CBE">
              <w:t>8</w:t>
            </w:r>
            <w:r w:rsidRPr="003C4BB2">
              <w:t>.</w:t>
            </w:r>
          </w:p>
        </w:tc>
      </w:tr>
      <w:tr w:rsidR="00AA1F7F" w:rsidRPr="000863A5" w14:paraId="0229C870" w14:textId="77777777" w:rsidTr="006C41C6">
        <w:tc>
          <w:tcPr>
            <w:tcW w:w="8789" w:type="dxa"/>
            <w:tcBorders>
              <w:top w:val="single" w:sz="6" w:space="0" w:color="78A22F"/>
              <w:left w:val="nil"/>
              <w:bottom w:val="nil"/>
              <w:right w:val="nil"/>
            </w:tcBorders>
          </w:tcPr>
          <w:p w14:paraId="52723360" w14:textId="77777777" w:rsidR="00AA1F7F" w:rsidRPr="00626D32" w:rsidRDefault="00AA1F7F" w:rsidP="00710BFC">
            <w:pPr>
              <w:pStyle w:val="BoxSpaceBelow"/>
            </w:pPr>
          </w:p>
        </w:tc>
      </w:tr>
    </w:tbl>
    <w:p w14:paraId="519330A5" w14:textId="4D15BD89" w:rsidR="00835255" w:rsidRDefault="00835255" w:rsidP="00DF2105">
      <w:pPr>
        <w:pStyle w:val="BodyText"/>
      </w:pPr>
      <w:r w:rsidRPr="006432D4">
        <w:t>This chapter focuses</w:t>
      </w:r>
      <w:r w:rsidR="00B13973" w:rsidRPr="006432D4">
        <w:t xml:space="preserve"> </w:t>
      </w:r>
      <w:r w:rsidRPr="006432D4">
        <w:t xml:space="preserve">on </w:t>
      </w:r>
      <w:r w:rsidR="00A56B15" w:rsidRPr="006432D4">
        <w:t xml:space="preserve">performance information for court </w:t>
      </w:r>
      <w:r w:rsidRPr="006432D4">
        <w:t xml:space="preserve">administrative support </w:t>
      </w:r>
      <w:r w:rsidR="00A56B15" w:rsidRPr="006432D4">
        <w:t xml:space="preserve">services </w:t>
      </w:r>
      <w:r w:rsidR="002520EE">
        <w:t xml:space="preserve">for </w:t>
      </w:r>
      <w:r w:rsidR="00A56B15">
        <w:t>Australian, State and Territory</w:t>
      </w:r>
      <w:r w:rsidR="002520EE">
        <w:t xml:space="preserve"> courts, not on</w:t>
      </w:r>
      <w:r>
        <w:t xml:space="preserve"> </w:t>
      </w:r>
      <w:r w:rsidRPr="007E5F31">
        <w:t>judicial</w:t>
      </w:r>
      <w:r>
        <w:t xml:space="preserve"> decisions made in the courts</w:t>
      </w:r>
      <w:r w:rsidRPr="001052D7">
        <w:t>.</w:t>
      </w:r>
      <w:r>
        <w:t xml:space="preserve"> </w:t>
      </w:r>
    </w:p>
    <w:p w14:paraId="2DB808C9" w14:textId="61B4FB83" w:rsidR="009275C5" w:rsidRDefault="009275C5" w:rsidP="003450C0">
      <w:pPr>
        <w:pStyle w:val="BodyText"/>
      </w:pPr>
      <w:r w:rsidRPr="00F62A78">
        <w:t xml:space="preserve">Further information on the Report on Government Services including other reported service areas, the glossary and list of abbreviations is available at </w:t>
      </w:r>
      <w:r w:rsidRPr="00310671">
        <w:t>www.pc.gov.au/rogs/2018</w:t>
      </w:r>
      <w:r w:rsidRPr="00E20DF4">
        <w:t>.</w:t>
      </w:r>
    </w:p>
    <w:p w14:paraId="0C8F0C0F" w14:textId="77777777" w:rsidR="00772244" w:rsidRDefault="00772244" w:rsidP="00772244">
      <w:pPr>
        <w:pStyle w:val="Heading2"/>
        <w:numPr>
          <w:ilvl w:val="1"/>
          <w:numId w:val="13"/>
        </w:numPr>
      </w:pPr>
      <w:bookmarkStart w:id="9" w:name="_Toc458687989"/>
      <w:r w:rsidRPr="001052D7">
        <w:t>Profile of court services</w:t>
      </w:r>
      <w:bookmarkEnd w:id="9"/>
    </w:p>
    <w:p w14:paraId="4C2FA289" w14:textId="33BC74D6" w:rsidR="00A56B15" w:rsidRPr="006432D4" w:rsidRDefault="00A56B15" w:rsidP="00371BC8">
      <w:pPr>
        <w:pStyle w:val="Heading3"/>
      </w:pPr>
      <w:r w:rsidRPr="006432D4">
        <w:t>Service overview</w:t>
      </w:r>
    </w:p>
    <w:p w14:paraId="05E27C50" w14:textId="77777777" w:rsidR="00A56B15" w:rsidRPr="006432D4" w:rsidRDefault="00A56B15" w:rsidP="00A56B15">
      <w:pPr>
        <w:pStyle w:val="BodyText"/>
      </w:pPr>
      <w:r w:rsidRPr="006432D4">
        <w:t>The primary support functions of court administration services are to:</w:t>
      </w:r>
    </w:p>
    <w:p w14:paraId="5CC7BAE3" w14:textId="77777777" w:rsidR="00A56B15" w:rsidRPr="006432D4" w:rsidRDefault="00A56B15" w:rsidP="00A56B15">
      <w:pPr>
        <w:pStyle w:val="ListBullet"/>
      </w:pPr>
      <w:r w:rsidRPr="006432D4">
        <w:t>manage court facilities and staff, including buildings, security and ancillary services such as registries, libraries and transcription services</w:t>
      </w:r>
    </w:p>
    <w:p w14:paraId="75598EA6" w14:textId="77777777" w:rsidR="00A56B15" w:rsidRPr="006432D4" w:rsidRDefault="00A56B15" w:rsidP="00A56B15">
      <w:pPr>
        <w:pStyle w:val="ListBullet"/>
      </w:pPr>
      <w:r w:rsidRPr="006432D4">
        <w:t>provide case management services, including client information, scheduling and case flow management</w:t>
      </w:r>
    </w:p>
    <w:p w14:paraId="07C25DA2" w14:textId="77777777" w:rsidR="00A56B15" w:rsidRPr="006432D4" w:rsidRDefault="00A56B15" w:rsidP="00A56B15">
      <w:pPr>
        <w:pStyle w:val="ListBullet"/>
      </w:pPr>
      <w:r w:rsidRPr="006432D4">
        <w:t>enforce court orders through the sheriff’s department or a similar mechanism.</w:t>
      </w:r>
    </w:p>
    <w:p w14:paraId="202F7828" w14:textId="4A41E515" w:rsidR="003A356B" w:rsidRDefault="001B08E5" w:rsidP="00DF2105">
      <w:pPr>
        <w:pStyle w:val="BodyText"/>
      </w:pPr>
      <w:r w:rsidRPr="006432D4">
        <w:t xml:space="preserve">Court support services are reported for </w:t>
      </w:r>
      <w:r w:rsidR="003A356B" w:rsidRPr="006432D4">
        <w:t xml:space="preserve">the State and Territory supreme, district/county and </w:t>
      </w:r>
      <w:r w:rsidR="003A356B" w:rsidRPr="00671F37">
        <w:t>magistrates’ (including children’s) courts, coroners’ courts and probate registries</w:t>
      </w:r>
      <w:r>
        <w:t>,</w:t>
      </w:r>
      <w:r w:rsidR="00270BA7">
        <w:t xml:space="preserve"> and for</w:t>
      </w:r>
      <w:r w:rsidR="003A356B" w:rsidRPr="00671F37">
        <w:t xml:space="preserve"> </w:t>
      </w:r>
      <w:r w:rsidR="003A356B" w:rsidRPr="00671F37">
        <w:lastRenderedPageBreak/>
        <w:t>the Federal Court of</w:t>
      </w:r>
      <w:r w:rsidR="003A356B" w:rsidRPr="001052D7">
        <w:t xml:space="preserve"> Australia, the Family Court of Australia, the Family Court of WA and the Federal </w:t>
      </w:r>
      <w:r w:rsidR="003A356B">
        <w:t>Circuit Court of Australia</w:t>
      </w:r>
      <w:r w:rsidR="00E82019">
        <w:t>.</w:t>
      </w:r>
      <w:r w:rsidR="003A356B">
        <w:t xml:space="preserve"> </w:t>
      </w:r>
    </w:p>
    <w:p w14:paraId="582169ED" w14:textId="438752C4" w:rsidR="003A356B" w:rsidRPr="006432D4" w:rsidRDefault="001B08E5" w:rsidP="00DF2105">
      <w:pPr>
        <w:pStyle w:val="BodyText"/>
      </w:pPr>
      <w:r>
        <w:t>T</w:t>
      </w:r>
      <w:r w:rsidR="003A356B" w:rsidRPr="001052D7">
        <w:t xml:space="preserve">he High Court of Australia, tribunals and specialist jurisdiction courts (for example, </w:t>
      </w:r>
      <w:r w:rsidR="003A356B" w:rsidRPr="006432D4">
        <w:t>Indigenous courts, circle sentencing courts, drug courts and electronic infringement and enforcement systems)</w:t>
      </w:r>
      <w:r w:rsidR="00FF6FA1" w:rsidRPr="006432D4">
        <w:t xml:space="preserve"> </w:t>
      </w:r>
      <w:r w:rsidR="00F33FF5" w:rsidRPr="006432D4">
        <w:t>are excluded</w:t>
      </w:r>
      <w:r w:rsidR="00FF6FA1" w:rsidRPr="006432D4">
        <w:t>.</w:t>
      </w:r>
      <w:r w:rsidR="003A356B" w:rsidRPr="006432D4">
        <w:t xml:space="preserve"> </w:t>
      </w:r>
    </w:p>
    <w:p w14:paraId="66CE4E66" w14:textId="77777777" w:rsidR="00371BC8" w:rsidRDefault="00371BC8" w:rsidP="00371BC8">
      <w:pPr>
        <w:pStyle w:val="Heading3"/>
      </w:pPr>
      <w:r>
        <w:t>Roles and responsibilities</w:t>
      </w:r>
    </w:p>
    <w:p w14:paraId="13A2982E" w14:textId="77777777" w:rsidR="00371BC8" w:rsidRDefault="00371BC8" w:rsidP="00371BC8">
      <w:pPr>
        <w:pStyle w:val="Heading4"/>
      </w:pPr>
      <w:r>
        <w:t>State and Territory court levels</w:t>
      </w:r>
    </w:p>
    <w:p w14:paraId="5FB4D4E8" w14:textId="57A02A57" w:rsidR="00371BC8" w:rsidRDefault="00371BC8" w:rsidP="00371BC8">
      <w:pPr>
        <w:pStyle w:val="BodyText"/>
      </w:pPr>
      <w:r w:rsidRPr="006432D4">
        <w:t>There is a hierarchy of courts within each State and Terr</w:t>
      </w:r>
      <w:r w:rsidR="00DD6049" w:rsidRPr="006432D4">
        <w:t>itory</w:t>
      </w:r>
      <w:r w:rsidR="00026DA1" w:rsidRPr="006432D4">
        <w:t xml:space="preserve"> (see </w:t>
      </w:r>
      <w:r w:rsidR="009275C5">
        <w:t>f</w:t>
      </w:r>
      <w:r w:rsidR="009275C5" w:rsidRPr="006432D4">
        <w:t xml:space="preserve">igure </w:t>
      </w:r>
      <w:r w:rsidR="00026DA1" w:rsidRPr="006432D4">
        <w:t>7.1)</w:t>
      </w:r>
      <w:r w:rsidR="00DD6049" w:rsidRPr="006432D4">
        <w:t xml:space="preserve">. Supreme </w:t>
      </w:r>
      <w:r w:rsidR="00DD6049">
        <w:t>c</w:t>
      </w:r>
      <w:r w:rsidR="00BC62E9">
        <w:t>ourt</w:t>
      </w:r>
      <w:r w:rsidR="00DD6049">
        <w:t xml:space="preserve">s hear </w:t>
      </w:r>
      <w:r>
        <w:t xml:space="preserve">disputes of greater seriousness than those heard in the other courts. </w:t>
      </w:r>
      <w:r w:rsidR="00DD6049">
        <w:t xml:space="preserve">Supreme courts also develop the law and operate as </w:t>
      </w:r>
      <w:r>
        <w:t>court</w:t>
      </w:r>
      <w:r w:rsidR="00DD6049">
        <w:t>s</w:t>
      </w:r>
      <w:r>
        <w:t xml:space="preserve"> of judicial review or appeal. For the majority of states and territories, the hierarchy of courts </w:t>
      </w:r>
      <w:r w:rsidR="005D67CC">
        <w:t>is</w:t>
      </w:r>
      <w:r>
        <w:t xml:space="preserve"> as outlined below (although Tasmania, the ACT and </w:t>
      </w:r>
      <w:r w:rsidR="00ED323A">
        <w:t xml:space="preserve">the </w:t>
      </w:r>
      <w:r>
        <w:t xml:space="preserve">NT do not have a </w:t>
      </w:r>
      <w:r w:rsidR="003B6914">
        <w:t>district/county c</w:t>
      </w:r>
      <w:r w:rsidR="00BC62E9">
        <w:t>ourt</w:t>
      </w:r>
      <w:r>
        <w:t>):</w:t>
      </w:r>
    </w:p>
    <w:p w14:paraId="3758AAF6" w14:textId="6544E81C" w:rsidR="00371BC8" w:rsidRPr="006432D4" w:rsidRDefault="005D67CC" w:rsidP="00371BC8">
      <w:pPr>
        <w:pStyle w:val="ListBullet"/>
      </w:pPr>
      <w:r w:rsidRPr="006432D4">
        <w:t>supreme c</w:t>
      </w:r>
      <w:r w:rsidR="00BC62E9" w:rsidRPr="006432D4">
        <w:t>ourt</w:t>
      </w:r>
      <w:r w:rsidRPr="006432D4">
        <w:t>s</w:t>
      </w:r>
      <w:r w:rsidR="007278BF" w:rsidRPr="006432D4">
        <w:t xml:space="preserve"> (includes probate)</w:t>
      </w:r>
    </w:p>
    <w:p w14:paraId="5FA381AC" w14:textId="77777777" w:rsidR="00371BC8" w:rsidRPr="006432D4" w:rsidRDefault="005D67CC" w:rsidP="00371BC8">
      <w:pPr>
        <w:pStyle w:val="ListBullet"/>
      </w:pPr>
      <w:r w:rsidRPr="006432D4">
        <w:t>district/county c</w:t>
      </w:r>
      <w:r w:rsidR="00BC62E9" w:rsidRPr="006432D4">
        <w:t>ourt</w:t>
      </w:r>
      <w:r w:rsidRPr="006432D4">
        <w:t>s</w:t>
      </w:r>
    </w:p>
    <w:p w14:paraId="1EB28950" w14:textId="49A9D625" w:rsidR="00371BC8" w:rsidRPr="006432D4" w:rsidRDefault="005D67CC" w:rsidP="00371BC8">
      <w:pPr>
        <w:pStyle w:val="ListBullet"/>
      </w:pPr>
      <w:r w:rsidRPr="006432D4">
        <w:t>magistrates’ c</w:t>
      </w:r>
      <w:r w:rsidR="00BC62E9" w:rsidRPr="006432D4">
        <w:t>ourt</w:t>
      </w:r>
      <w:r w:rsidRPr="006432D4">
        <w:t>s</w:t>
      </w:r>
      <w:r w:rsidR="007278BF" w:rsidRPr="006432D4">
        <w:t xml:space="preserve"> (includes children’s and coroners’ courts)</w:t>
      </w:r>
      <w:r w:rsidR="00371BC8" w:rsidRPr="006432D4">
        <w:t>.</w:t>
      </w:r>
    </w:p>
    <w:p w14:paraId="426E688C" w14:textId="778CD375" w:rsidR="001052D7" w:rsidRPr="006432D4" w:rsidRDefault="006902E1" w:rsidP="00371BC8">
      <w:pPr>
        <w:pStyle w:val="BodyText"/>
        <w:rPr>
          <w:strike/>
        </w:rPr>
      </w:pPr>
      <w:r w:rsidRPr="006432D4">
        <w:t>D</w:t>
      </w:r>
      <w:r w:rsidR="00182056" w:rsidRPr="006432D4">
        <w:t>ifferences in S</w:t>
      </w:r>
      <w:r w:rsidR="00C75DAB" w:rsidRPr="006432D4">
        <w:t>tate and Territory court levels</w:t>
      </w:r>
      <w:r w:rsidR="00182056" w:rsidRPr="006432D4">
        <w:t xml:space="preserve"> </w:t>
      </w:r>
      <w:r w:rsidR="00C75DAB" w:rsidRPr="006432D4">
        <w:t>mean</w:t>
      </w:r>
      <w:r w:rsidR="00371BC8" w:rsidRPr="006432D4">
        <w:t xml:space="preserve"> that the allocation of cases to courts </w:t>
      </w:r>
      <w:r w:rsidR="00202DF7" w:rsidRPr="006432D4">
        <w:t xml:space="preserve">and seriousness of cases heard </w:t>
      </w:r>
      <w:r w:rsidR="00371BC8" w:rsidRPr="006432D4">
        <w:t>varies across states and territories (</w:t>
      </w:r>
      <w:r w:rsidR="00D6614C" w:rsidRPr="006432D4">
        <w:t>further information</w:t>
      </w:r>
      <w:r w:rsidR="007278BF" w:rsidRPr="006432D4">
        <w:t xml:space="preserve"> about court levels</w:t>
      </w:r>
      <w:r w:rsidR="00D6614C" w:rsidRPr="006432D4">
        <w:t xml:space="preserve"> </w:t>
      </w:r>
      <w:r w:rsidR="004B663D" w:rsidRPr="006432D4">
        <w:t>is contained</w:t>
      </w:r>
      <w:r w:rsidR="00D6614C" w:rsidRPr="006432D4">
        <w:t xml:space="preserve"> in </w:t>
      </w:r>
      <w:r w:rsidR="00200E2E">
        <w:t>tables 7A.33</w:t>
      </w:r>
      <w:r w:rsidR="003C4BB2">
        <w:t>–</w:t>
      </w:r>
      <w:r w:rsidR="00200E2E">
        <w:t>37</w:t>
      </w:r>
      <w:r w:rsidR="00371BC8" w:rsidRPr="006432D4">
        <w:t xml:space="preserve">). </w:t>
      </w:r>
    </w:p>
    <w:p w14:paraId="751FEF4A" w14:textId="34FEBD2A" w:rsidR="003D4E89" w:rsidRPr="006432D4" w:rsidRDefault="003D4E89" w:rsidP="003D4E89">
      <w:pPr>
        <w:pStyle w:val="Heading4"/>
      </w:pPr>
      <w:r w:rsidRPr="006432D4">
        <w:t xml:space="preserve">Australian </w:t>
      </w:r>
      <w:r w:rsidR="00DF14F4" w:rsidRPr="006432D4">
        <w:t>court levels</w:t>
      </w:r>
    </w:p>
    <w:p w14:paraId="4130D02F" w14:textId="70992164" w:rsidR="00EC37E4" w:rsidRPr="006432D4" w:rsidRDefault="00EC37E4" w:rsidP="00DF2105">
      <w:pPr>
        <w:pStyle w:val="BodyText"/>
      </w:pPr>
      <w:r w:rsidRPr="006432D4">
        <w:t xml:space="preserve">Australian courts hear and determine civil matters arising under laws made by the Australian </w:t>
      </w:r>
      <w:r w:rsidR="003C4BB2">
        <w:t>G</w:t>
      </w:r>
      <w:r w:rsidRPr="006432D4">
        <w:t xml:space="preserve">overnment. The hierarchy of Australian courts </w:t>
      </w:r>
      <w:r w:rsidR="009275C5">
        <w:t xml:space="preserve">(see figure 7.1) </w:t>
      </w:r>
      <w:r w:rsidRPr="006432D4">
        <w:t>is as follows:</w:t>
      </w:r>
    </w:p>
    <w:p w14:paraId="08AF7A76" w14:textId="77777777" w:rsidR="00EC37E4" w:rsidRPr="006432D4" w:rsidRDefault="00EC37E4" w:rsidP="00EC37E4">
      <w:pPr>
        <w:pStyle w:val="ListBullet"/>
      </w:pPr>
      <w:r w:rsidRPr="006432D4">
        <w:t>the High Court of Australia</w:t>
      </w:r>
    </w:p>
    <w:p w14:paraId="4EF9BD1C" w14:textId="77777777" w:rsidR="00EC37E4" w:rsidRPr="006432D4" w:rsidRDefault="00EC37E4" w:rsidP="00EC37E4">
      <w:pPr>
        <w:pStyle w:val="ListBullet"/>
      </w:pPr>
      <w:r w:rsidRPr="006432D4">
        <w:t>the Federal Court of Australia and the Family Court of Australia</w:t>
      </w:r>
    </w:p>
    <w:p w14:paraId="5DD8B682" w14:textId="77777777" w:rsidR="00EC37E4" w:rsidRPr="006432D4" w:rsidRDefault="00EC37E4" w:rsidP="00EC37E4">
      <w:pPr>
        <w:pStyle w:val="ListBullet"/>
      </w:pPr>
      <w:r w:rsidRPr="006432D4">
        <w:t>the Federal Circuit Court of Australia.</w:t>
      </w:r>
    </w:p>
    <w:p w14:paraId="5DDE832C" w14:textId="3FC77705" w:rsidR="00EC37E4" w:rsidRPr="006432D4" w:rsidRDefault="00EC37E4" w:rsidP="00EC37E4">
      <w:pPr>
        <w:pStyle w:val="BodyText"/>
      </w:pPr>
      <w:r w:rsidRPr="006432D4">
        <w:t>Detailed information about the Federal Court</w:t>
      </w:r>
      <w:r w:rsidR="009952E2" w:rsidRPr="006432D4">
        <w:t xml:space="preserve"> of Australia, the Family Court</w:t>
      </w:r>
      <w:r w:rsidRPr="006432D4">
        <w:t xml:space="preserve"> and the Federal Circuit Court </w:t>
      </w:r>
      <w:r w:rsidR="009952E2" w:rsidRPr="006432D4">
        <w:t>is</w:t>
      </w:r>
      <w:r w:rsidR="00144516">
        <w:t xml:space="preserve"> available in table 7A.37</w:t>
      </w:r>
      <w:r w:rsidRPr="006432D4">
        <w:t>.</w:t>
      </w:r>
    </w:p>
    <w:p w14:paraId="19C640FE" w14:textId="77777777" w:rsidR="003E43DA" w:rsidRDefault="003E43DA" w:rsidP="00A046AB">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E43DA" w14:paraId="263A0B70" w14:textId="77777777" w:rsidTr="000F5ADF">
        <w:tc>
          <w:tcPr>
            <w:tcW w:w="8789" w:type="dxa"/>
            <w:tcBorders>
              <w:top w:val="single" w:sz="6" w:space="0" w:color="78A22F"/>
              <w:left w:val="nil"/>
              <w:bottom w:val="nil"/>
              <w:right w:val="nil"/>
            </w:tcBorders>
            <w:shd w:val="clear" w:color="auto" w:fill="auto"/>
          </w:tcPr>
          <w:p w14:paraId="5EF6341C" w14:textId="71AD2494" w:rsidR="003E43DA" w:rsidRPr="003E43DA" w:rsidRDefault="003E43DA" w:rsidP="00DF2105">
            <w:pPr>
              <w:pStyle w:val="FigureTitle"/>
            </w:pPr>
            <w:r w:rsidRPr="00784A05">
              <w:rPr>
                <w:b w:val="0"/>
              </w:rPr>
              <w:t xml:space="preserve">Figure </w:t>
            </w:r>
            <w:r>
              <w:rPr>
                <w:b w:val="0"/>
              </w:rPr>
              <w:t>7.</w:t>
            </w:r>
            <w:r w:rsidR="002602F1">
              <w:rPr>
                <w:b w:val="0"/>
                <w:noProof/>
              </w:rPr>
              <w:t>1</w:t>
            </w:r>
            <w:r>
              <w:tab/>
            </w:r>
            <w:r w:rsidRPr="00322965">
              <w:t>Major relationships of courts in Australia</w:t>
            </w:r>
            <w:r w:rsidRPr="008416E0">
              <w:rPr>
                <w:rStyle w:val="NoteLabel"/>
                <w:b/>
              </w:rPr>
              <w:t>a</w:t>
            </w:r>
            <w:r w:rsidR="003E4F21">
              <w:rPr>
                <w:rStyle w:val="NoteLabel"/>
                <w:b/>
              </w:rPr>
              <w:t>, b</w:t>
            </w:r>
          </w:p>
        </w:tc>
      </w:tr>
      <w:tr w:rsidR="003E43DA" w14:paraId="69065F33" w14:textId="77777777" w:rsidTr="000F5ADF">
        <w:tc>
          <w:tcPr>
            <w:tcW w:w="8789" w:type="dxa"/>
            <w:tcBorders>
              <w:top w:val="nil"/>
              <w:left w:val="nil"/>
              <w:bottom w:val="nil"/>
              <w:right w:val="nil"/>
            </w:tcBorders>
            <w:shd w:val="clear" w:color="auto" w:fill="auto"/>
            <w:tcMar>
              <w:top w:w="28" w:type="dxa"/>
              <w:bottom w:w="28" w:type="dxa"/>
            </w:tcMar>
          </w:tcPr>
          <w:tbl>
            <w:tblPr>
              <w:tblW w:w="8983" w:type="dxa"/>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983"/>
            </w:tblGrid>
            <w:tr w:rsidR="003E43DA" w14:paraId="696C9A36" w14:textId="77777777" w:rsidTr="00A046AB">
              <w:trPr>
                <w:trHeight w:val="8537"/>
              </w:trPr>
              <w:tc>
                <w:tcPr>
                  <w:tcW w:w="5000" w:type="pct"/>
                  <w:tcBorders>
                    <w:top w:val="nil"/>
                    <w:bottom w:val="nil"/>
                  </w:tcBorders>
                </w:tcPr>
                <w:p w14:paraId="1BD5856E" w14:textId="0AC18A97" w:rsidR="003E43DA" w:rsidRDefault="00185B2A" w:rsidP="00A046AB">
                  <w:r>
                    <w:rPr>
                      <w:noProof/>
                    </w:rPr>
                    <w:drawing>
                      <wp:inline distT="0" distB="0" distL="0" distR="0" wp14:anchorId="287D6659" wp14:editId="0356DBEF">
                        <wp:extent cx="5730240" cy="5669280"/>
                        <wp:effectExtent l="0" t="0" r="3810" b="7620"/>
                        <wp:docPr id="17" name="Picture 17" descr="More details can be found within the text surrounding this image." title="Figure 7.1 Major relationships of court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5669280"/>
                                </a:xfrm>
                                <a:prstGeom prst="rect">
                                  <a:avLst/>
                                </a:prstGeom>
                                <a:noFill/>
                              </pic:spPr>
                            </pic:pic>
                          </a:graphicData>
                        </a:graphic>
                      </wp:inline>
                    </w:drawing>
                  </w:r>
                </w:p>
              </w:tc>
            </w:tr>
          </w:tbl>
          <w:p w14:paraId="0664EDE0" w14:textId="77777777" w:rsidR="003E43DA" w:rsidRDefault="003E43DA" w:rsidP="00240A1A">
            <w:pPr>
              <w:pStyle w:val="Figure"/>
            </w:pPr>
          </w:p>
        </w:tc>
      </w:tr>
      <w:tr w:rsidR="003E43DA" w:rsidRPr="00176D3F" w14:paraId="07B7A113" w14:textId="77777777" w:rsidTr="000F5ADF">
        <w:tc>
          <w:tcPr>
            <w:tcW w:w="8789" w:type="dxa"/>
            <w:tcBorders>
              <w:top w:val="nil"/>
              <w:left w:val="nil"/>
              <w:bottom w:val="nil"/>
              <w:right w:val="nil"/>
            </w:tcBorders>
            <w:shd w:val="clear" w:color="auto" w:fill="auto"/>
          </w:tcPr>
          <w:p w14:paraId="347F038A" w14:textId="77777777" w:rsidR="003E43DA" w:rsidRPr="00176D3F" w:rsidRDefault="003E43DA" w:rsidP="00516FC9">
            <w:pPr>
              <w:pStyle w:val="Note"/>
              <w:spacing w:before="0"/>
            </w:pPr>
            <w:r>
              <w:rPr>
                <w:rStyle w:val="NoteLabel"/>
              </w:rPr>
              <w:t>a</w:t>
            </w:r>
            <w:r w:rsidR="00DE62F1" w:rsidRPr="00322965">
              <w:t xml:space="preserve"> In some jurisdictions, appeals from lower courts or </w:t>
            </w:r>
            <w:r w:rsidR="00DE62F1">
              <w:t>district/county court</w:t>
            </w:r>
            <w:r w:rsidR="00DE62F1" w:rsidRPr="00322965">
              <w:t xml:space="preserve">s may go directly to the full court or court of appeal at the </w:t>
            </w:r>
            <w:r w:rsidR="00DE62F1">
              <w:t xml:space="preserve">supreme/federal level; appeals from the Federal Circuit Court can also be heard by a single judge exercising the Federal/Family Courts’ appellate jurisdiction. </w:t>
            </w:r>
            <w:r>
              <w:rPr>
                <w:rStyle w:val="NoteLabel"/>
              </w:rPr>
              <w:t>b</w:t>
            </w:r>
            <w:r w:rsidR="00DE62F1">
              <w:t xml:space="preserve"> </w:t>
            </w:r>
            <w:r w:rsidR="00291A49" w:rsidRPr="00322965">
              <w:t xml:space="preserve">Appeals from </w:t>
            </w:r>
            <w:r w:rsidR="00291A49">
              <w:t>f</w:t>
            </w:r>
            <w:r w:rsidR="00291A49" w:rsidRPr="00322965">
              <w:t>ederal, State and Territory tribunals may go to any high</w:t>
            </w:r>
            <w:r w:rsidR="00291A49">
              <w:t>er court in their jurisdiction.</w:t>
            </w:r>
          </w:p>
        </w:tc>
      </w:tr>
      <w:tr w:rsidR="009275C5" w:rsidRPr="00176D3F" w14:paraId="6BA5625A" w14:textId="77777777" w:rsidTr="000F5ADF">
        <w:tc>
          <w:tcPr>
            <w:tcW w:w="8789" w:type="dxa"/>
            <w:tcBorders>
              <w:top w:val="nil"/>
              <w:left w:val="nil"/>
              <w:bottom w:val="nil"/>
              <w:right w:val="nil"/>
            </w:tcBorders>
            <w:shd w:val="clear" w:color="auto" w:fill="auto"/>
          </w:tcPr>
          <w:p w14:paraId="08A98D7B" w14:textId="77777777" w:rsidR="009275C5" w:rsidRDefault="009275C5" w:rsidP="00EC6750">
            <w:pPr>
              <w:pStyle w:val="Figurespace"/>
              <w:rPr>
                <w:rStyle w:val="NoteLabel"/>
                <w:szCs w:val="24"/>
              </w:rPr>
            </w:pPr>
          </w:p>
        </w:tc>
      </w:tr>
      <w:tr w:rsidR="003E43DA" w:rsidRPr="000863A5" w14:paraId="7DD8C850" w14:textId="77777777" w:rsidTr="000F5ADF">
        <w:tc>
          <w:tcPr>
            <w:tcW w:w="8789" w:type="dxa"/>
            <w:tcBorders>
              <w:top w:val="single" w:sz="6" w:space="0" w:color="78A22F"/>
              <w:left w:val="nil"/>
              <w:bottom w:val="nil"/>
              <w:right w:val="nil"/>
            </w:tcBorders>
          </w:tcPr>
          <w:p w14:paraId="2AAB0482" w14:textId="77777777" w:rsidR="003E43DA" w:rsidRPr="00626D32" w:rsidRDefault="003E43DA" w:rsidP="00516FC9">
            <w:pPr>
              <w:pStyle w:val="BoxSpaceBelow"/>
              <w:spacing w:before="0" w:after="0"/>
            </w:pPr>
          </w:p>
        </w:tc>
      </w:tr>
    </w:tbl>
    <w:p w14:paraId="0089A425" w14:textId="00781986" w:rsidR="00322965" w:rsidRPr="006432D4" w:rsidRDefault="00EE27E5" w:rsidP="00322965">
      <w:pPr>
        <w:pStyle w:val="Heading3"/>
        <w:rPr>
          <w:rFonts w:ascii="Arial Bold" w:hAnsi="Arial Bold"/>
        </w:rPr>
      </w:pPr>
      <w:r w:rsidRPr="006432D4">
        <w:rPr>
          <w:rFonts w:ascii="Arial Bold" w:hAnsi="Arial Bold"/>
        </w:rPr>
        <w:t>Funding</w:t>
      </w:r>
    </w:p>
    <w:p w14:paraId="0C864EE9" w14:textId="44889037" w:rsidR="00322965" w:rsidRPr="006432D4" w:rsidRDefault="0003439B" w:rsidP="006A6E8D">
      <w:pPr>
        <w:pStyle w:val="BodyText"/>
        <w:spacing w:before="160"/>
      </w:pPr>
      <w:r w:rsidRPr="006432D4">
        <w:t xml:space="preserve">Nationally in 2016-17, total recurrent expenditure by Australian, State and Territory courts in this Report was almost </w:t>
      </w:r>
      <w:r w:rsidR="00F029C2">
        <w:t>$1.82</w:t>
      </w:r>
      <w:r w:rsidRPr="00F029C2">
        <w:t xml:space="preserve"> </w:t>
      </w:r>
      <w:r w:rsidRPr="006432D4">
        <w:t>billion (table 7.1). Expenditure in some states and territories is apportioned (estimated) between the criminal and civil jurisdictions of courts so</w:t>
      </w:r>
      <w:r w:rsidR="009B25F9" w:rsidRPr="006432D4">
        <w:t xml:space="preserve"> caution should be used when</w:t>
      </w:r>
      <w:r w:rsidRPr="006432D4">
        <w:t xml:space="preserve"> co</w:t>
      </w:r>
      <w:r w:rsidR="009B25F9" w:rsidRPr="006432D4">
        <w:t xml:space="preserve">mparing criminal and civil expenditure </w:t>
      </w:r>
      <w:r w:rsidRPr="006432D4">
        <w:t>across states and territories</w:t>
      </w:r>
      <w:r w:rsidR="009B25F9" w:rsidRPr="006432D4">
        <w:t>.</w:t>
      </w:r>
      <w:r w:rsidR="00C14E21" w:rsidRPr="006432D4">
        <w:t xml:space="preserve"> </w:t>
      </w:r>
    </w:p>
    <w:p w14:paraId="178DEE5B" w14:textId="5E6AF8E1" w:rsidR="005D34C6" w:rsidRPr="009A2CA2" w:rsidRDefault="00A83ADF" w:rsidP="006A6E8D">
      <w:pPr>
        <w:pStyle w:val="BodyText"/>
        <w:spacing w:before="160"/>
      </w:pPr>
      <w:r>
        <w:lastRenderedPageBreak/>
        <w:t xml:space="preserve">Total recurrent expenditure less </w:t>
      </w:r>
      <w:r w:rsidR="00AD556D">
        <w:t xml:space="preserve">court </w:t>
      </w:r>
      <w:r>
        <w:t xml:space="preserve">income, for the Australian, State </w:t>
      </w:r>
      <w:r w:rsidRPr="007907DB">
        <w:t>and Territory courts</w:t>
      </w:r>
      <w:r>
        <w:t xml:space="preserve"> </w:t>
      </w:r>
      <w:r w:rsidRPr="007907DB">
        <w:t xml:space="preserve">in this Report </w:t>
      </w:r>
      <w:r w:rsidRPr="009044B7">
        <w:t>was</w:t>
      </w:r>
      <w:r w:rsidR="00F029C2">
        <w:t xml:space="preserve"> approximately</w:t>
      </w:r>
      <w:r w:rsidRPr="00FC27FB">
        <w:t xml:space="preserve"> $</w:t>
      </w:r>
      <w:r w:rsidRPr="00F029C2">
        <w:t>1.</w:t>
      </w:r>
      <w:r w:rsidR="00F029C2" w:rsidRPr="00F029C2">
        <w:t>44</w:t>
      </w:r>
      <w:r w:rsidRPr="00F029C2">
        <w:t xml:space="preserve"> </w:t>
      </w:r>
      <w:r w:rsidRPr="00FC27FB">
        <w:t xml:space="preserve">billion </w:t>
      </w:r>
      <w:r w:rsidRPr="009044B7">
        <w:t xml:space="preserve">in </w:t>
      </w:r>
      <w:r w:rsidRPr="004F4754">
        <w:t>201</w:t>
      </w:r>
      <w:r>
        <w:t>6</w:t>
      </w:r>
      <w:r w:rsidRPr="004F4754">
        <w:noBreakHyphen/>
        <w:t>1</w:t>
      </w:r>
      <w:r>
        <w:t>7</w:t>
      </w:r>
      <w:r w:rsidRPr="004F4754">
        <w:t xml:space="preserve"> </w:t>
      </w:r>
      <w:r w:rsidRPr="00BB76ED">
        <w:t>(table</w:t>
      </w:r>
      <w:r w:rsidR="00B33692" w:rsidRPr="00BB76ED">
        <w:t>s</w:t>
      </w:r>
      <w:r w:rsidRPr="00BB76ED">
        <w:t> 7</w:t>
      </w:r>
      <w:r w:rsidR="00B33692" w:rsidRPr="00BB76ED">
        <w:t>A</w:t>
      </w:r>
      <w:r w:rsidRPr="00BB76ED">
        <w:t>.1</w:t>
      </w:r>
      <w:r w:rsidR="001F0592" w:rsidRPr="00BB76ED">
        <w:t>2−13</w:t>
      </w:r>
      <w:r w:rsidRPr="00BB76ED">
        <w:t xml:space="preserve">). </w:t>
      </w:r>
      <w:r w:rsidR="00322965">
        <w:t>Court income is derived from court fees, library revenue, court reporting revenue, sheriff and bailiff revenue, probate revenue, mediation revenue, rental income and any other sources of revenue (excluding fines).</w:t>
      </w:r>
      <w:r w:rsidR="00C14E21">
        <w:t xml:space="preserve"> </w:t>
      </w:r>
      <w:r w:rsidR="00C14E21" w:rsidRPr="009A2CA2">
        <w:t>The civil jurisdiction of courts accounts for the vast majority of income received</w:t>
      </w:r>
      <w:r w:rsidR="00FF75AF" w:rsidRPr="009A2CA2">
        <w:t xml:space="preserve"> (</w:t>
      </w:r>
      <w:r w:rsidR="008B7154" w:rsidRPr="009A2CA2">
        <w:t>t</w:t>
      </w:r>
      <w:r w:rsidR="00FF75AF" w:rsidRPr="009A2CA2">
        <w:t>able 7A.13)</w:t>
      </w:r>
      <w:r w:rsidR="00C14E21" w:rsidRPr="009A2CA2">
        <w:t>.</w:t>
      </w:r>
      <w:r w:rsidR="00322965" w:rsidRPr="009A2CA2">
        <w:t xml:space="preserve"> </w:t>
      </w:r>
    </w:p>
    <w:p w14:paraId="0F2939BE" w14:textId="4E9D4B33" w:rsidR="00A83ADF" w:rsidRPr="007907DB" w:rsidRDefault="00A83ADF" w:rsidP="00A83ADF">
      <w:pPr>
        <w:pStyle w:val="BodyText"/>
        <w:spacing w:before="16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3129A" w14:paraId="5E441897" w14:textId="77777777" w:rsidTr="000F5ADF">
        <w:tc>
          <w:tcPr>
            <w:tcW w:w="8789" w:type="dxa"/>
            <w:tcBorders>
              <w:top w:val="single" w:sz="6" w:space="0" w:color="78A22F" w:themeColor="accent1"/>
              <w:left w:val="nil"/>
              <w:bottom w:val="nil"/>
              <w:right w:val="nil"/>
            </w:tcBorders>
            <w:shd w:val="clear" w:color="auto" w:fill="auto"/>
          </w:tcPr>
          <w:p w14:paraId="347742A2" w14:textId="07EE4A2A" w:rsidR="00B3129A" w:rsidRPr="00784A05" w:rsidRDefault="00B3129A" w:rsidP="00A83ADF">
            <w:pPr>
              <w:pStyle w:val="TableTitle"/>
            </w:pPr>
            <w:r>
              <w:rPr>
                <w:b w:val="0"/>
              </w:rPr>
              <w:t>Table 7.</w:t>
            </w:r>
            <w:r w:rsidR="002602F1">
              <w:rPr>
                <w:b w:val="0"/>
                <w:noProof/>
              </w:rPr>
              <w:t>1</w:t>
            </w:r>
            <w:r w:rsidR="003A4C83">
              <w:tab/>
              <w:t>Courts’ recurrent expenditure</w:t>
            </w:r>
            <w:r w:rsidR="003A4C83" w:rsidRPr="00C75DAB">
              <w:t xml:space="preserve">, </w:t>
            </w:r>
            <w:r w:rsidR="003A4C83" w:rsidRPr="001D27A0">
              <w:rPr>
                <w:rFonts w:ascii="Arial Bold" w:hAnsi="Arial Bold"/>
              </w:rPr>
              <w:t>201</w:t>
            </w:r>
            <w:r w:rsidR="008C3AE6" w:rsidRPr="001D27A0">
              <w:rPr>
                <w:rFonts w:ascii="Arial Bold" w:hAnsi="Arial Bold"/>
              </w:rPr>
              <w:t>6</w:t>
            </w:r>
            <w:r w:rsidR="003A4C83" w:rsidRPr="001D27A0">
              <w:rPr>
                <w:rFonts w:ascii="Arial Bold" w:hAnsi="Arial Bold"/>
              </w:rPr>
              <w:t>-1</w:t>
            </w:r>
            <w:r w:rsidR="008C3AE6" w:rsidRPr="001D27A0">
              <w:rPr>
                <w:rFonts w:ascii="Arial Bold" w:hAnsi="Arial Bold"/>
              </w:rPr>
              <w:t>7</w:t>
            </w:r>
            <w:r w:rsidR="003A4C83" w:rsidRPr="001D27A0">
              <w:t xml:space="preserve"> </w:t>
            </w:r>
            <w:r w:rsidR="003A4C83" w:rsidRPr="00C75DAB">
              <w:t>($ million)</w:t>
            </w:r>
            <w:r w:rsidR="003A4C83" w:rsidRPr="00C75DAB">
              <w:rPr>
                <w:rStyle w:val="NoteLabel"/>
                <w:b/>
              </w:rPr>
              <w:t>a,</w:t>
            </w:r>
            <w:r w:rsidR="003A4C83">
              <w:rPr>
                <w:rStyle w:val="NoteLabel"/>
                <w:b/>
              </w:rPr>
              <w:t xml:space="preserve"> b</w:t>
            </w:r>
            <w:r w:rsidR="003E4F21">
              <w:rPr>
                <w:rStyle w:val="NoteLabel"/>
                <w:b/>
              </w:rPr>
              <w:t>, c</w:t>
            </w:r>
          </w:p>
        </w:tc>
      </w:tr>
      <w:tr w:rsidR="004B4EEA" w14:paraId="11AA6EB6" w14:textId="77777777" w:rsidTr="000F5ADF">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976"/>
              <w:gridCol w:w="766"/>
              <w:gridCol w:w="705"/>
              <w:gridCol w:w="626"/>
              <w:gridCol w:w="586"/>
              <w:gridCol w:w="570"/>
              <w:gridCol w:w="545"/>
              <w:gridCol w:w="552"/>
              <w:gridCol w:w="646"/>
              <w:gridCol w:w="648"/>
              <w:gridCol w:w="732"/>
            </w:tblGrid>
            <w:tr w:rsidR="004B4EEA" w:rsidRPr="00B3129A" w14:paraId="6BFDB83F" w14:textId="77777777" w:rsidTr="004D526A">
              <w:tc>
                <w:tcPr>
                  <w:tcW w:w="1976" w:type="dxa"/>
                  <w:tcBorders>
                    <w:top w:val="single" w:sz="6" w:space="0" w:color="BFBFBF"/>
                    <w:bottom w:val="single" w:sz="6" w:space="0" w:color="BFBFBF"/>
                  </w:tcBorders>
                </w:tcPr>
                <w:p w14:paraId="75704D97" w14:textId="77777777" w:rsidR="004B4EEA" w:rsidRPr="00B3129A" w:rsidRDefault="004B4EEA" w:rsidP="004B4EEA">
                  <w:pPr>
                    <w:pStyle w:val="TableColumnHeading"/>
                    <w:jc w:val="left"/>
                  </w:pPr>
                </w:p>
              </w:tc>
              <w:tc>
                <w:tcPr>
                  <w:tcW w:w="766" w:type="dxa"/>
                  <w:tcBorders>
                    <w:top w:val="single" w:sz="6" w:space="0" w:color="BFBFBF"/>
                    <w:bottom w:val="single" w:sz="6" w:space="0" w:color="BFBFBF"/>
                  </w:tcBorders>
                </w:tcPr>
                <w:p w14:paraId="705D99E8" w14:textId="14039050" w:rsidR="004B4EEA" w:rsidRPr="00B3129A" w:rsidRDefault="004B4EEA" w:rsidP="000D334D">
                  <w:pPr>
                    <w:pStyle w:val="TableColumnHeading"/>
                    <w:ind w:left="0"/>
                  </w:pPr>
                  <w:r>
                    <w:br/>
                  </w:r>
                  <w:r w:rsidRPr="00B3129A">
                    <w:t>NSW</w:t>
                  </w:r>
                </w:p>
              </w:tc>
              <w:tc>
                <w:tcPr>
                  <w:tcW w:w="705" w:type="dxa"/>
                  <w:tcBorders>
                    <w:top w:val="single" w:sz="6" w:space="0" w:color="BFBFBF"/>
                    <w:bottom w:val="single" w:sz="6" w:space="0" w:color="BFBFBF"/>
                  </w:tcBorders>
                </w:tcPr>
                <w:p w14:paraId="51E64374" w14:textId="77777777" w:rsidR="004B4EEA" w:rsidRPr="00B3129A" w:rsidRDefault="004B4EEA" w:rsidP="000D334D">
                  <w:pPr>
                    <w:pStyle w:val="TableColumnHeading"/>
                    <w:ind w:left="0"/>
                  </w:pPr>
                  <w:r>
                    <w:br/>
                  </w:r>
                  <w:r w:rsidRPr="00B3129A">
                    <w:t>Vic</w:t>
                  </w:r>
                </w:p>
              </w:tc>
              <w:tc>
                <w:tcPr>
                  <w:tcW w:w="626" w:type="dxa"/>
                  <w:tcBorders>
                    <w:top w:val="single" w:sz="6" w:space="0" w:color="BFBFBF"/>
                    <w:bottom w:val="single" w:sz="6" w:space="0" w:color="BFBFBF"/>
                  </w:tcBorders>
                </w:tcPr>
                <w:p w14:paraId="09B6A1D2" w14:textId="77777777" w:rsidR="004B4EEA" w:rsidRPr="00B3129A" w:rsidRDefault="004B4EEA" w:rsidP="000D334D">
                  <w:pPr>
                    <w:pStyle w:val="TableColumnHeading"/>
                    <w:ind w:left="0"/>
                  </w:pPr>
                  <w:r>
                    <w:br/>
                  </w:r>
                  <w:r w:rsidRPr="00B3129A">
                    <w:t>Qld</w:t>
                  </w:r>
                </w:p>
              </w:tc>
              <w:tc>
                <w:tcPr>
                  <w:tcW w:w="586" w:type="dxa"/>
                  <w:tcBorders>
                    <w:top w:val="single" w:sz="6" w:space="0" w:color="BFBFBF"/>
                    <w:bottom w:val="single" w:sz="6" w:space="0" w:color="BFBFBF"/>
                  </w:tcBorders>
                </w:tcPr>
                <w:p w14:paraId="3E6A9F40" w14:textId="77777777" w:rsidR="004B4EEA" w:rsidRPr="00B3129A" w:rsidRDefault="004B4EEA" w:rsidP="000D334D">
                  <w:pPr>
                    <w:pStyle w:val="TableColumnHeading"/>
                    <w:ind w:left="0"/>
                  </w:pPr>
                  <w:r>
                    <w:br/>
                  </w:r>
                  <w:r w:rsidRPr="00B3129A">
                    <w:t>WA</w:t>
                  </w:r>
                </w:p>
              </w:tc>
              <w:tc>
                <w:tcPr>
                  <w:tcW w:w="570" w:type="dxa"/>
                  <w:tcBorders>
                    <w:top w:val="single" w:sz="6" w:space="0" w:color="BFBFBF"/>
                    <w:bottom w:val="single" w:sz="6" w:space="0" w:color="BFBFBF"/>
                  </w:tcBorders>
                </w:tcPr>
                <w:p w14:paraId="1B6C294D" w14:textId="77777777" w:rsidR="004B4EEA" w:rsidRPr="00B3129A" w:rsidRDefault="004B4EEA" w:rsidP="000D334D">
                  <w:pPr>
                    <w:pStyle w:val="TableColumnHeading"/>
                    <w:ind w:left="0"/>
                  </w:pPr>
                  <w:r>
                    <w:br/>
                  </w:r>
                  <w:r w:rsidRPr="00B3129A">
                    <w:t>SA</w:t>
                  </w:r>
                </w:p>
              </w:tc>
              <w:tc>
                <w:tcPr>
                  <w:tcW w:w="545" w:type="dxa"/>
                  <w:tcBorders>
                    <w:top w:val="single" w:sz="6" w:space="0" w:color="BFBFBF"/>
                    <w:bottom w:val="single" w:sz="6" w:space="0" w:color="BFBFBF"/>
                  </w:tcBorders>
                </w:tcPr>
                <w:p w14:paraId="1F793AA7" w14:textId="77777777" w:rsidR="004B4EEA" w:rsidRPr="00B3129A" w:rsidRDefault="004B4EEA" w:rsidP="000D334D">
                  <w:pPr>
                    <w:pStyle w:val="TableColumnHeading"/>
                    <w:ind w:left="0"/>
                  </w:pPr>
                  <w:r>
                    <w:br/>
                  </w:r>
                  <w:r w:rsidRPr="00B3129A">
                    <w:t>Tas</w:t>
                  </w:r>
                </w:p>
              </w:tc>
              <w:tc>
                <w:tcPr>
                  <w:tcW w:w="552" w:type="dxa"/>
                  <w:tcBorders>
                    <w:top w:val="single" w:sz="6" w:space="0" w:color="BFBFBF"/>
                    <w:bottom w:val="single" w:sz="6" w:space="0" w:color="BFBFBF"/>
                  </w:tcBorders>
                </w:tcPr>
                <w:p w14:paraId="08CBDDAE" w14:textId="77777777" w:rsidR="004B4EEA" w:rsidRPr="00B3129A" w:rsidRDefault="004B4EEA" w:rsidP="000D334D">
                  <w:pPr>
                    <w:pStyle w:val="TableColumnHeading"/>
                    <w:ind w:left="0"/>
                  </w:pPr>
                  <w:r>
                    <w:br/>
                  </w:r>
                  <w:r w:rsidRPr="00B3129A">
                    <w:t>ACT</w:t>
                  </w:r>
                </w:p>
              </w:tc>
              <w:tc>
                <w:tcPr>
                  <w:tcW w:w="646" w:type="dxa"/>
                  <w:tcBorders>
                    <w:top w:val="single" w:sz="6" w:space="0" w:color="BFBFBF"/>
                    <w:bottom w:val="single" w:sz="6" w:space="0" w:color="BFBFBF"/>
                  </w:tcBorders>
                </w:tcPr>
                <w:p w14:paraId="10041ADB" w14:textId="77777777" w:rsidR="004B4EEA" w:rsidRPr="00B3129A" w:rsidRDefault="004B4EEA" w:rsidP="000D334D">
                  <w:pPr>
                    <w:pStyle w:val="TableColumnHeading"/>
                    <w:ind w:left="0"/>
                  </w:pPr>
                  <w:r>
                    <w:br/>
                  </w:r>
                  <w:r w:rsidRPr="00B3129A">
                    <w:t>NT</w:t>
                  </w:r>
                </w:p>
              </w:tc>
              <w:tc>
                <w:tcPr>
                  <w:tcW w:w="648" w:type="dxa"/>
                  <w:tcBorders>
                    <w:top w:val="single" w:sz="6" w:space="0" w:color="BFBFBF"/>
                    <w:bottom w:val="single" w:sz="6" w:space="0" w:color="BFBFBF"/>
                  </w:tcBorders>
                </w:tcPr>
                <w:p w14:paraId="0886F158" w14:textId="77777777" w:rsidR="004B4EEA" w:rsidRPr="00B3129A" w:rsidRDefault="004B4EEA" w:rsidP="000D334D">
                  <w:pPr>
                    <w:pStyle w:val="TableColumnHeading"/>
                    <w:ind w:left="0"/>
                    <w:rPr>
                      <w:szCs w:val="18"/>
                    </w:rPr>
                  </w:pPr>
                  <w:r w:rsidRPr="00B3129A">
                    <w:rPr>
                      <w:szCs w:val="18"/>
                    </w:rPr>
                    <w:t>Aust courts</w:t>
                  </w:r>
                </w:p>
              </w:tc>
              <w:tc>
                <w:tcPr>
                  <w:tcW w:w="732" w:type="dxa"/>
                  <w:tcBorders>
                    <w:top w:val="single" w:sz="6" w:space="0" w:color="BFBFBF"/>
                    <w:bottom w:val="single" w:sz="6" w:space="0" w:color="BFBFBF"/>
                  </w:tcBorders>
                </w:tcPr>
                <w:p w14:paraId="3BE56FC5" w14:textId="77777777" w:rsidR="004B4EEA" w:rsidRPr="00B3129A" w:rsidRDefault="004B4EEA" w:rsidP="004B4EEA">
                  <w:pPr>
                    <w:pStyle w:val="TableColumnHeading"/>
                    <w:ind w:right="28"/>
                  </w:pPr>
                  <w:r>
                    <w:br/>
                  </w:r>
                  <w:r w:rsidRPr="00B3129A">
                    <w:t>Total</w:t>
                  </w:r>
                </w:p>
              </w:tc>
            </w:tr>
            <w:tr w:rsidR="00634903" w:rsidRPr="00736456" w14:paraId="0E275767" w14:textId="77777777" w:rsidTr="004D526A">
              <w:tc>
                <w:tcPr>
                  <w:tcW w:w="1976" w:type="dxa"/>
                  <w:tcBorders>
                    <w:top w:val="single" w:sz="6" w:space="0" w:color="BFBFBF"/>
                  </w:tcBorders>
                </w:tcPr>
                <w:p w14:paraId="127B6786" w14:textId="77777777" w:rsidR="00634903" w:rsidRPr="00736456" w:rsidRDefault="00634903" w:rsidP="008F63DC">
                  <w:pPr>
                    <w:pStyle w:val="TableBodyText"/>
                    <w:spacing w:before="80" w:line="240" w:lineRule="auto"/>
                    <w:jc w:val="left"/>
                    <w:rPr>
                      <w:rStyle w:val="NoteLabel"/>
                    </w:rPr>
                  </w:pPr>
                  <w:r w:rsidRPr="00736456">
                    <w:t>Civil</w:t>
                  </w:r>
                </w:p>
              </w:tc>
              <w:tc>
                <w:tcPr>
                  <w:tcW w:w="766" w:type="dxa"/>
                  <w:tcBorders>
                    <w:top w:val="single" w:sz="6" w:space="0" w:color="BFBFBF"/>
                  </w:tcBorders>
                  <w:vAlign w:val="bottom"/>
                </w:tcPr>
                <w:p w14:paraId="233F4C42" w14:textId="03D7641B" w:rsidR="00634903" w:rsidRPr="004B4EEA" w:rsidRDefault="00634903" w:rsidP="00634903">
                  <w:pPr>
                    <w:pStyle w:val="TableBodyText"/>
                  </w:pPr>
                  <w:r>
                    <w:t xml:space="preserve">  164.4</w:t>
                  </w:r>
                </w:p>
              </w:tc>
              <w:tc>
                <w:tcPr>
                  <w:tcW w:w="705" w:type="dxa"/>
                  <w:tcBorders>
                    <w:top w:val="single" w:sz="6" w:space="0" w:color="BFBFBF"/>
                  </w:tcBorders>
                  <w:shd w:val="clear" w:color="auto" w:fill="auto"/>
                  <w:vAlign w:val="bottom"/>
                </w:tcPr>
                <w:p w14:paraId="4E5D4BE1" w14:textId="79280C9D" w:rsidR="00634903" w:rsidRPr="00FC27FB" w:rsidRDefault="00634903" w:rsidP="00634903">
                  <w:pPr>
                    <w:pStyle w:val="TableBodyText"/>
                  </w:pPr>
                  <w:r>
                    <w:t xml:space="preserve">  165.3</w:t>
                  </w:r>
                </w:p>
              </w:tc>
              <w:tc>
                <w:tcPr>
                  <w:tcW w:w="626" w:type="dxa"/>
                  <w:tcBorders>
                    <w:top w:val="single" w:sz="6" w:space="0" w:color="BFBFBF"/>
                  </w:tcBorders>
                  <w:vAlign w:val="bottom"/>
                </w:tcPr>
                <w:p w14:paraId="6C34D0A6" w14:textId="1078D4B4" w:rsidR="00634903" w:rsidRPr="004B4EEA" w:rsidRDefault="00634903" w:rsidP="00634903">
                  <w:pPr>
                    <w:pStyle w:val="TableBodyText"/>
                  </w:pPr>
                  <w:r>
                    <w:t xml:space="preserve">  65.6</w:t>
                  </w:r>
                </w:p>
              </w:tc>
              <w:tc>
                <w:tcPr>
                  <w:tcW w:w="586" w:type="dxa"/>
                  <w:tcBorders>
                    <w:top w:val="single" w:sz="6" w:space="0" w:color="BFBFBF"/>
                  </w:tcBorders>
                  <w:vAlign w:val="bottom"/>
                </w:tcPr>
                <w:p w14:paraId="41356F4F" w14:textId="0684C600" w:rsidR="00634903" w:rsidRPr="004B4EEA" w:rsidRDefault="00634903" w:rsidP="00634903">
                  <w:pPr>
                    <w:pStyle w:val="TableBodyText"/>
                  </w:pPr>
                  <w:r>
                    <w:t xml:space="preserve">  90.6</w:t>
                  </w:r>
                </w:p>
              </w:tc>
              <w:tc>
                <w:tcPr>
                  <w:tcW w:w="570" w:type="dxa"/>
                  <w:tcBorders>
                    <w:top w:val="single" w:sz="6" w:space="0" w:color="BFBFBF"/>
                  </w:tcBorders>
                  <w:vAlign w:val="bottom"/>
                </w:tcPr>
                <w:p w14:paraId="39FBFF0B" w14:textId="2EACA1DA" w:rsidR="00634903" w:rsidRPr="004B4EEA" w:rsidRDefault="00634903" w:rsidP="00634903">
                  <w:pPr>
                    <w:pStyle w:val="TableBodyText"/>
                  </w:pPr>
                  <w:r>
                    <w:t xml:space="preserve">  30.5</w:t>
                  </w:r>
                </w:p>
              </w:tc>
              <w:tc>
                <w:tcPr>
                  <w:tcW w:w="545" w:type="dxa"/>
                  <w:tcBorders>
                    <w:top w:val="single" w:sz="6" w:space="0" w:color="BFBFBF"/>
                  </w:tcBorders>
                  <w:vAlign w:val="bottom"/>
                </w:tcPr>
                <w:p w14:paraId="13741E91" w14:textId="2FC9F659" w:rsidR="00634903" w:rsidRPr="004B4EEA" w:rsidRDefault="00634903" w:rsidP="00634903">
                  <w:pPr>
                    <w:pStyle w:val="TableBodyText"/>
                  </w:pPr>
                  <w:r>
                    <w:t xml:space="preserve">  7.3</w:t>
                  </w:r>
                </w:p>
              </w:tc>
              <w:tc>
                <w:tcPr>
                  <w:tcW w:w="552" w:type="dxa"/>
                  <w:tcBorders>
                    <w:top w:val="single" w:sz="6" w:space="0" w:color="BFBFBF"/>
                  </w:tcBorders>
                  <w:vAlign w:val="bottom"/>
                </w:tcPr>
                <w:p w14:paraId="68C564C9" w14:textId="4005CEB1" w:rsidR="00634903" w:rsidRPr="004B4EEA" w:rsidRDefault="00634903" w:rsidP="00634903">
                  <w:pPr>
                    <w:pStyle w:val="TableBodyText"/>
                  </w:pPr>
                  <w:r>
                    <w:t>13.0</w:t>
                  </w:r>
                </w:p>
              </w:tc>
              <w:tc>
                <w:tcPr>
                  <w:tcW w:w="646" w:type="dxa"/>
                  <w:tcBorders>
                    <w:top w:val="single" w:sz="6" w:space="0" w:color="BFBFBF"/>
                  </w:tcBorders>
                  <w:vAlign w:val="bottom"/>
                </w:tcPr>
                <w:p w14:paraId="77B85120" w14:textId="7DBF43FE" w:rsidR="00634903" w:rsidRPr="004B4EEA" w:rsidRDefault="00634903" w:rsidP="00634903">
                  <w:pPr>
                    <w:pStyle w:val="TableBodyText"/>
                  </w:pPr>
                  <w:r>
                    <w:t xml:space="preserve">  11.2</w:t>
                  </w:r>
                </w:p>
              </w:tc>
              <w:tc>
                <w:tcPr>
                  <w:tcW w:w="648" w:type="dxa"/>
                  <w:tcBorders>
                    <w:top w:val="single" w:sz="6" w:space="0" w:color="BFBFBF"/>
                  </w:tcBorders>
                  <w:vAlign w:val="bottom"/>
                </w:tcPr>
                <w:p w14:paraId="750D3E38" w14:textId="2DA06E39" w:rsidR="00634903" w:rsidRPr="004B4EEA" w:rsidRDefault="00634903" w:rsidP="00634903">
                  <w:pPr>
                    <w:pStyle w:val="TableBodyText"/>
                  </w:pPr>
                  <w:r>
                    <w:t xml:space="preserve">  97.9</w:t>
                  </w:r>
                </w:p>
              </w:tc>
              <w:tc>
                <w:tcPr>
                  <w:tcW w:w="732" w:type="dxa"/>
                  <w:tcBorders>
                    <w:top w:val="single" w:sz="6" w:space="0" w:color="BFBFBF"/>
                  </w:tcBorders>
                  <w:shd w:val="clear" w:color="auto" w:fill="auto"/>
                  <w:vAlign w:val="bottom"/>
                </w:tcPr>
                <w:p w14:paraId="1818E574" w14:textId="7EB1396D" w:rsidR="00634903" w:rsidRPr="00FC27FB" w:rsidRDefault="00634903" w:rsidP="000D334D">
                  <w:pPr>
                    <w:pStyle w:val="TableBodyText"/>
                    <w:ind w:right="0"/>
                  </w:pPr>
                  <w:r>
                    <w:t xml:space="preserve">  645.9</w:t>
                  </w:r>
                </w:p>
              </w:tc>
            </w:tr>
            <w:tr w:rsidR="00634903" w:rsidRPr="00736456" w14:paraId="0A807E83" w14:textId="77777777" w:rsidTr="008F63DC">
              <w:tc>
                <w:tcPr>
                  <w:tcW w:w="1976" w:type="dxa"/>
                </w:tcPr>
                <w:p w14:paraId="1650D01B" w14:textId="77777777" w:rsidR="00634903" w:rsidRPr="00736456" w:rsidRDefault="00634903" w:rsidP="00634903">
                  <w:pPr>
                    <w:pStyle w:val="TableBodyText"/>
                    <w:spacing w:before="40" w:line="240" w:lineRule="auto"/>
                    <w:jc w:val="left"/>
                    <w:rPr>
                      <w:rStyle w:val="NoteLabel"/>
                    </w:rPr>
                  </w:pPr>
                  <w:r w:rsidRPr="00736456">
                    <w:t>Criminal</w:t>
                  </w:r>
                </w:p>
              </w:tc>
              <w:tc>
                <w:tcPr>
                  <w:tcW w:w="766" w:type="dxa"/>
                  <w:vAlign w:val="bottom"/>
                </w:tcPr>
                <w:p w14:paraId="354C4C70" w14:textId="6FF4F7B1" w:rsidR="00634903" w:rsidRPr="004B4EEA" w:rsidRDefault="00634903" w:rsidP="00634903">
                  <w:pPr>
                    <w:pStyle w:val="TableBodyText"/>
                  </w:pPr>
                  <w:r>
                    <w:t xml:space="preserve">  235.5</w:t>
                  </w:r>
                </w:p>
              </w:tc>
              <w:tc>
                <w:tcPr>
                  <w:tcW w:w="705" w:type="dxa"/>
                  <w:shd w:val="clear" w:color="auto" w:fill="auto"/>
                  <w:vAlign w:val="bottom"/>
                </w:tcPr>
                <w:p w14:paraId="4B1D3A1B" w14:textId="23CF2D20" w:rsidR="00634903" w:rsidRPr="00FC27FB" w:rsidRDefault="00634903" w:rsidP="00634903">
                  <w:pPr>
                    <w:pStyle w:val="TableBodyText"/>
                  </w:pPr>
                  <w:r>
                    <w:t xml:space="preserve">  220.2</w:t>
                  </w:r>
                </w:p>
              </w:tc>
              <w:tc>
                <w:tcPr>
                  <w:tcW w:w="626" w:type="dxa"/>
                  <w:vAlign w:val="bottom"/>
                </w:tcPr>
                <w:p w14:paraId="3B4AFA58" w14:textId="336687B7" w:rsidR="00634903" w:rsidRPr="004B4EEA" w:rsidRDefault="00634903" w:rsidP="00634903">
                  <w:pPr>
                    <w:pStyle w:val="TableBodyText"/>
                  </w:pPr>
                  <w:r>
                    <w:t>167.6</w:t>
                  </w:r>
                </w:p>
              </w:tc>
              <w:tc>
                <w:tcPr>
                  <w:tcW w:w="586" w:type="dxa"/>
                  <w:vAlign w:val="bottom"/>
                </w:tcPr>
                <w:p w14:paraId="4672E852" w14:textId="39DC21DE" w:rsidR="00634903" w:rsidRPr="004B4EEA" w:rsidRDefault="00634903" w:rsidP="00634903">
                  <w:pPr>
                    <w:pStyle w:val="TableBodyText"/>
                  </w:pPr>
                  <w:r>
                    <w:t>131.5</w:t>
                  </w:r>
                </w:p>
              </w:tc>
              <w:tc>
                <w:tcPr>
                  <w:tcW w:w="570" w:type="dxa"/>
                  <w:vAlign w:val="bottom"/>
                </w:tcPr>
                <w:p w14:paraId="41477046" w14:textId="6AEA7DDB" w:rsidR="00634903" w:rsidRPr="004B4EEA" w:rsidRDefault="00634903" w:rsidP="00634903">
                  <w:pPr>
                    <w:pStyle w:val="TableBodyText"/>
                  </w:pPr>
                  <w:r>
                    <w:t xml:space="preserve">  72.7</w:t>
                  </w:r>
                </w:p>
              </w:tc>
              <w:tc>
                <w:tcPr>
                  <w:tcW w:w="545" w:type="dxa"/>
                  <w:vAlign w:val="bottom"/>
                </w:tcPr>
                <w:p w14:paraId="6CAB0924" w14:textId="61B8BC69" w:rsidR="00634903" w:rsidRPr="004B4EEA" w:rsidRDefault="00634903" w:rsidP="00634903">
                  <w:pPr>
                    <w:pStyle w:val="TableBodyText"/>
                  </w:pPr>
                  <w:r>
                    <w:t>17.7</w:t>
                  </w:r>
                </w:p>
              </w:tc>
              <w:tc>
                <w:tcPr>
                  <w:tcW w:w="552" w:type="dxa"/>
                  <w:vAlign w:val="bottom"/>
                </w:tcPr>
                <w:p w14:paraId="788A9081" w14:textId="18641A5A" w:rsidR="00634903" w:rsidRPr="004B4EEA" w:rsidRDefault="00634903" w:rsidP="00634903">
                  <w:pPr>
                    <w:pStyle w:val="TableBodyText"/>
                  </w:pPr>
                  <w:r>
                    <w:t>18.0</w:t>
                  </w:r>
                </w:p>
              </w:tc>
              <w:tc>
                <w:tcPr>
                  <w:tcW w:w="646" w:type="dxa"/>
                  <w:shd w:val="clear" w:color="auto" w:fill="auto"/>
                  <w:vAlign w:val="bottom"/>
                </w:tcPr>
                <w:p w14:paraId="76D68A63" w14:textId="58C23FA6" w:rsidR="00634903" w:rsidRPr="004B4EEA" w:rsidRDefault="009E106A" w:rsidP="009E106A">
                  <w:pPr>
                    <w:pStyle w:val="TableBodyText"/>
                  </w:pPr>
                  <w:r>
                    <w:t xml:space="preserve">  </w:t>
                  </w:r>
                  <w:r w:rsidRPr="00240CB3">
                    <w:t>29</w:t>
                  </w:r>
                  <w:r w:rsidR="00634903" w:rsidRPr="00240CB3">
                    <w:t>.</w:t>
                  </w:r>
                  <w:r w:rsidRPr="00240CB3">
                    <w:t>5</w:t>
                  </w:r>
                </w:p>
              </w:tc>
              <w:tc>
                <w:tcPr>
                  <w:tcW w:w="648" w:type="dxa"/>
                  <w:vAlign w:val="bottom"/>
                </w:tcPr>
                <w:p w14:paraId="1F87FCF7" w14:textId="6314610E" w:rsidR="00634903" w:rsidRPr="004B4EEA" w:rsidRDefault="00634903" w:rsidP="00634903">
                  <w:pPr>
                    <w:pStyle w:val="TableBodyText"/>
                  </w:pPr>
                  <w:r>
                    <w:t>..</w:t>
                  </w:r>
                </w:p>
              </w:tc>
              <w:tc>
                <w:tcPr>
                  <w:tcW w:w="732" w:type="dxa"/>
                  <w:shd w:val="clear" w:color="auto" w:fill="auto"/>
                  <w:vAlign w:val="bottom"/>
                </w:tcPr>
                <w:p w14:paraId="3F005317" w14:textId="5EFACACD" w:rsidR="00634903" w:rsidRPr="00FC27FB" w:rsidRDefault="00356DBA" w:rsidP="000D334D">
                  <w:pPr>
                    <w:pStyle w:val="TableBodyText"/>
                    <w:ind w:right="0"/>
                  </w:pPr>
                  <w:r>
                    <w:t xml:space="preserve">  </w:t>
                  </w:r>
                  <w:r w:rsidRPr="00240CB3">
                    <w:t>892</w:t>
                  </w:r>
                  <w:r w:rsidR="00634903" w:rsidRPr="00240CB3">
                    <w:t>.</w:t>
                  </w:r>
                  <w:r w:rsidRPr="00240CB3">
                    <w:t>7</w:t>
                  </w:r>
                </w:p>
              </w:tc>
            </w:tr>
            <w:tr w:rsidR="00634903" w:rsidRPr="00736456" w14:paraId="48B520DD" w14:textId="77777777" w:rsidTr="008F63DC">
              <w:tc>
                <w:tcPr>
                  <w:tcW w:w="1976" w:type="dxa"/>
                </w:tcPr>
                <w:p w14:paraId="7E82234E" w14:textId="77777777" w:rsidR="00634903" w:rsidRPr="00736456" w:rsidRDefault="00634903" w:rsidP="00634903">
                  <w:pPr>
                    <w:pStyle w:val="TableBodyText"/>
                    <w:spacing w:before="40"/>
                    <w:jc w:val="left"/>
                    <w:rPr>
                      <w:rStyle w:val="NoteLabel"/>
                    </w:rPr>
                  </w:pPr>
                  <w:r w:rsidRPr="00736456">
                    <w:t>Family</w:t>
                  </w:r>
                </w:p>
              </w:tc>
              <w:tc>
                <w:tcPr>
                  <w:tcW w:w="766" w:type="dxa"/>
                  <w:vAlign w:val="bottom"/>
                </w:tcPr>
                <w:p w14:paraId="61915E9F" w14:textId="62548D26" w:rsidR="00634903" w:rsidRPr="004B4EEA" w:rsidRDefault="00634903" w:rsidP="00634903">
                  <w:pPr>
                    <w:pStyle w:val="TableBodyText"/>
                  </w:pPr>
                  <w:r>
                    <w:t>..</w:t>
                  </w:r>
                </w:p>
              </w:tc>
              <w:tc>
                <w:tcPr>
                  <w:tcW w:w="705" w:type="dxa"/>
                  <w:vAlign w:val="bottom"/>
                </w:tcPr>
                <w:p w14:paraId="20E7DA32" w14:textId="60B7D68D" w:rsidR="00634903" w:rsidRPr="004B4EEA" w:rsidRDefault="00634903" w:rsidP="00634903">
                  <w:pPr>
                    <w:pStyle w:val="TableBodyText"/>
                  </w:pPr>
                  <w:r>
                    <w:t>..</w:t>
                  </w:r>
                </w:p>
              </w:tc>
              <w:tc>
                <w:tcPr>
                  <w:tcW w:w="626" w:type="dxa"/>
                  <w:vAlign w:val="bottom"/>
                </w:tcPr>
                <w:p w14:paraId="79AA813C" w14:textId="07AEC0B5" w:rsidR="00634903" w:rsidRPr="004B4EEA" w:rsidRDefault="00634903" w:rsidP="00634903">
                  <w:pPr>
                    <w:pStyle w:val="TableBodyText"/>
                  </w:pPr>
                  <w:r>
                    <w:t>..</w:t>
                  </w:r>
                </w:p>
              </w:tc>
              <w:tc>
                <w:tcPr>
                  <w:tcW w:w="586" w:type="dxa"/>
                  <w:vAlign w:val="bottom"/>
                </w:tcPr>
                <w:p w14:paraId="1D2CC92B" w14:textId="56239F4B" w:rsidR="00634903" w:rsidRPr="004B4EEA" w:rsidRDefault="00634903" w:rsidP="00634903">
                  <w:pPr>
                    <w:pStyle w:val="TableBodyText"/>
                  </w:pPr>
                  <w:r>
                    <w:t xml:space="preserve">  31.4</w:t>
                  </w:r>
                </w:p>
              </w:tc>
              <w:tc>
                <w:tcPr>
                  <w:tcW w:w="570" w:type="dxa"/>
                  <w:vAlign w:val="bottom"/>
                </w:tcPr>
                <w:p w14:paraId="5A2E3F86" w14:textId="2FA2DB49" w:rsidR="00634903" w:rsidRPr="004B4EEA" w:rsidRDefault="00634903" w:rsidP="00634903">
                  <w:pPr>
                    <w:pStyle w:val="TableBodyText"/>
                  </w:pPr>
                  <w:r>
                    <w:t>..</w:t>
                  </w:r>
                </w:p>
              </w:tc>
              <w:tc>
                <w:tcPr>
                  <w:tcW w:w="545" w:type="dxa"/>
                  <w:vAlign w:val="bottom"/>
                </w:tcPr>
                <w:p w14:paraId="3B47EDC4" w14:textId="15C34D99" w:rsidR="00634903" w:rsidRPr="004B4EEA" w:rsidRDefault="00634903" w:rsidP="00634903">
                  <w:pPr>
                    <w:pStyle w:val="TableBodyText"/>
                  </w:pPr>
                  <w:r>
                    <w:t>..</w:t>
                  </w:r>
                </w:p>
              </w:tc>
              <w:tc>
                <w:tcPr>
                  <w:tcW w:w="552" w:type="dxa"/>
                  <w:vAlign w:val="bottom"/>
                </w:tcPr>
                <w:p w14:paraId="51795C3B" w14:textId="0084A467" w:rsidR="00634903" w:rsidRPr="004B4EEA" w:rsidRDefault="00634903" w:rsidP="00634903">
                  <w:pPr>
                    <w:pStyle w:val="TableBodyText"/>
                  </w:pPr>
                  <w:r>
                    <w:t>..</w:t>
                  </w:r>
                </w:p>
              </w:tc>
              <w:tc>
                <w:tcPr>
                  <w:tcW w:w="646" w:type="dxa"/>
                  <w:vAlign w:val="bottom"/>
                </w:tcPr>
                <w:p w14:paraId="37D43015" w14:textId="7BA3B145" w:rsidR="00634903" w:rsidRPr="004B4EEA" w:rsidRDefault="00634903" w:rsidP="00634903">
                  <w:pPr>
                    <w:pStyle w:val="TableBodyText"/>
                  </w:pPr>
                  <w:r>
                    <w:t>..</w:t>
                  </w:r>
                </w:p>
              </w:tc>
              <w:tc>
                <w:tcPr>
                  <w:tcW w:w="648" w:type="dxa"/>
                  <w:vAlign w:val="bottom"/>
                </w:tcPr>
                <w:p w14:paraId="624557A4" w14:textId="51D4AA90" w:rsidR="00634903" w:rsidRPr="004B4EEA" w:rsidRDefault="00634903" w:rsidP="00634903">
                  <w:pPr>
                    <w:pStyle w:val="TableBodyText"/>
                  </w:pPr>
                  <w:r>
                    <w:t xml:space="preserve">  53.1</w:t>
                  </w:r>
                </w:p>
              </w:tc>
              <w:tc>
                <w:tcPr>
                  <w:tcW w:w="732" w:type="dxa"/>
                  <w:vAlign w:val="bottom"/>
                </w:tcPr>
                <w:p w14:paraId="19400965" w14:textId="66A03D7D" w:rsidR="00634903" w:rsidRDefault="00634903" w:rsidP="000D334D">
                  <w:pPr>
                    <w:pStyle w:val="TableBodyText"/>
                    <w:ind w:right="0"/>
                  </w:pPr>
                  <w:r>
                    <w:t xml:space="preserve">  84.6</w:t>
                  </w:r>
                </w:p>
              </w:tc>
            </w:tr>
            <w:tr w:rsidR="00634903" w:rsidRPr="00736456" w14:paraId="65E99C9C" w14:textId="77777777" w:rsidTr="008F63DC">
              <w:tc>
                <w:tcPr>
                  <w:tcW w:w="1976" w:type="dxa"/>
                </w:tcPr>
                <w:p w14:paraId="67BA8876" w14:textId="77777777" w:rsidR="00634903" w:rsidRPr="00736456" w:rsidRDefault="00634903" w:rsidP="00634903">
                  <w:pPr>
                    <w:pStyle w:val="TableBodyText"/>
                    <w:spacing w:before="20"/>
                    <w:ind w:right="17"/>
                    <w:jc w:val="left"/>
                    <w:rPr>
                      <w:rStyle w:val="NoteLabel"/>
                    </w:rPr>
                  </w:pPr>
                  <w:r w:rsidRPr="00736456">
                    <w:t xml:space="preserve">Federal </w:t>
                  </w:r>
                  <w:r>
                    <w:t>Circuit</w:t>
                  </w:r>
                </w:p>
              </w:tc>
              <w:tc>
                <w:tcPr>
                  <w:tcW w:w="766" w:type="dxa"/>
                  <w:vAlign w:val="bottom"/>
                </w:tcPr>
                <w:p w14:paraId="7A121053" w14:textId="2C63C2D2" w:rsidR="00634903" w:rsidRPr="004B4EEA" w:rsidRDefault="00634903" w:rsidP="00634903">
                  <w:pPr>
                    <w:pStyle w:val="TableBodyText"/>
                  </w:pPr>
                  <w:r>
                    <w:t>..</w:t>
                  </w:r>
                </w:p>
              </w:tc>
              <w:tc>
                <w:tcPr>
                  <w:tcW w:w="705" w:type="dxa"/>
                  <w:vAlign w:val="bottom"/>
                </w:tcPr>
                <w:p w14:paraId="22092ADA" w14:textId="0A35C709" w:rsidR="00634903" w:rsidRPr="004B4EEA" w:rsidRDefault="00634903" w:rsidP="00634903">
                  <w:pPr>
                    <w:pStyle w:val="TableBodyText"/>
                  </w:pPr>
                  <w:r>
                    <w:t>..</w:t>
                  </w:r>
                </w:p>
              </w:tc>
              <w:tc>
                <w:tcPr>
                  <w:tcW w:w="626" w:type="dxa"/>
                  <w:vAlign w:val="bottom"/>
                </w:tcPr>
                <w:p w14:paraId="54BDB9D9" w14:textId="4C216874" w:rsidR="00634903" w:rsidRPr="004B4EEA" w:rsidRDefault="00634903" w:rsidP="00634903">
                  <w:pPr>
                    <w:pStyle w:val="TableBodyText"/>
                  </w:pPr>
                  <w:r>
                    <w:t>..</w:t>
                  </w:r>
                </w:p>
              </w:tc>
              <w:tc>
                <w:tcPr>
                  <w:tcW w:w="586" w:type="dxa"/>
                  <w:vAlign w:val="bottom"/>
                </w:tcPr>
                <w:p w14:paraId="0D8F8CB5" w14:textId="38B10F38" w:rsidR="00634903" w:rsidRPr="004B4EEA" w:rsidRDefault="00634903" w:rsidP="00634903">
                  <w:pPr>
                    <w:pStyle w:val="TableBodyText"/>
                  </w:pPr>
                  <w:r>
                    <w:t>..</w:t>
                  </w:r>
                </w:p>
              </w:tc>
              <w:tc>
                <w:tcPr>
                  <w:tcW w:w="570" w:type="dxa"/>
                  <w:vAlign w:val="bottom"/>
                </w:tcPr>
                <w:p w14:paraId="5715AB2F" w14:textId="7BA1B274" w:rsidR="00634903" w:rsidRPr="004B4EEA" w:rsidRDefault="00634903" w:rsidP="00634903">
                  <w:pPr>
                    <w:pStyle w:val="TableBodyText"/>
                  </w:pPr>
                  <w:r>
                    <w:t>..</w:t>
                  </w:r>
                </w:p>
              </w:tc>
              <w:tc>
                <w:tcPr>
                  <w:tcW w:w="545" w:type="dxa"/>
                  <w:vAlign w:val="bottom"/>
                </w:tcPr>
                <w:p w14:paraId="75550316" w14:textId="0548078D" w:rsidR="00634903" w:rsidRPr="004B4EEA" w:rsidRDefault="00634903" w:rsidP="00634903">
                  <w:pPr>
                    <w:pStyle w:val="TableBodyText"/>
                  </w:pPr>
                  <w:r>
                    <w:t>..</w:t>
                  </w:r>
                </w:p>
              </w:tc>
              <w:tc>
                <w:tcPr>
                  <w:tcW w:w="552" w:type="dxa"/>
                  <w:vAlign w:val="bottom"/>
                </w:tcPr>
                <w:p w14:paraId="59645B1A" w14:textId="375665FE" w:rsidR="00634903" w:rsidRPr="004B4EEA" w:rsidRDefault="00634903" w:rsidP="00634903">
                  <w:pPr>
                    <w:pStyle w:val="TableBodyText"/>
                  </w:pPr>
                  <w:r>
                    <w:t>..</w:t>
                  </w:r>
                </w:p>
              </w:tc>
              <w:tc>
                <w:tcPr>
                  <w:tcW w:w="646" w:type="dxa"/>
                  <w:vAlign w:val="bottom"/>
                </w:tcPr>
                <w:p w14:paraId="7A07D4E0" w14:textId="08939CD7" w:rsidR="00634903" w:rsidRPr="004B4EEA" w:rsidRDefault="00634903" w:rsidP="00634903">
                  <w:pPr>
                    <w:pStyle w:val="TableBodyText"/>
                  </w:pPr>
                  <w:r>
                    <w:t>..</w:t>
                  </w:r>
                </w:p>
              </w:tc>
              <w:tc>
                <w:tcPr>
                  <w:tcW w:w="648" w:type="dxa"/>
                  <w:vAlign w:val="bottom"/>
                </w:tcPr>
                <w:p w14:paraId="197E8CD0" w14:textId="4DD9DD1E" w:rsidR="00634903" w:rsidRPr="004B4EEA" w:rsidRDefault="00634903" w:rsidP="00634903">
                  <w:pPr>
                    <w:pStyle w:val="TableBodyText"/>
                  </w:pPr>
                  <w:r>
                    <w:t>147.1</w:t>
                  </w:r>
                </w:p>
              </w:tc>
              <w:tc>
                <w:tcPr>
                  <w:tcW w:w="732" w:type="dxa"/>
                  <w:vAlign w:val="bottom"/>
                </w:tcPr>
                <w:p w14:paraId="26ECCFB8" w14:textId="3F344321" w:rsidR="00634903" w:rsidRDefault="00634903" w:rsidP="000D334D">
                  <w:pPr>
                    <w:pStyle w:val="TableBodyText"/>
                    <w:ind w:right="0"/>
                  </w:pPr>
                  <w:r>
                    <w:t xml:space="preserve">  147.1</w:t>
                  </w:r>
                </w:p>
              </w:tc>
            </w:tr>
            <w:tr w:rsidR="00634903" w:rsidRPr="00736456" w14:paraId="5C0032A4" w14:textId="77777777" w:rsidTr="008F63DC">
              <w:tc>
                <w:tcPr>
                  <w:tcW w:w="1976" w:type="dxa"/>
                </w:tcPr>
                <w:p w14:paraId="4E29F38C" w14:textId="77777777" w:rsidR="00634903" w:rsidRPr="00736456" w:rsidRDefault="00634903" w:rsidP="00634903">
                  <w:pPr>
                    <w:pStyle w:val="TableBodyText"/>
                    <w:spacing w:before="20"/>
                    <w:jc w:val="left"/>
                  </w:pPr>
                  <w:r w:rsidRPr="00736456">
                    <w:t>Coroners</w:t>
                  </w:r>
                </w:p>
              </w:tc>
              <w:tc>
                <w:tcPr>
                  <w:tcW w:w="766" w:type="dxa"/>
                  <w:vAlign w:val="bottom"/>
                </w:tcPr>
                <w:p w14:paraId="3A712AC2" w14:textId="53001FD4" w:rsidR="00634903" w:rsidRPr="004B4EEA" w:rsidRDefault="00634903" w:rsidP="00634903">
                  <w:pPr>
                    <w:pStyle w:val="TableBodyText"/>
                  </w:pPr>
                  <w:r>
                    <w:t xml:space="preserve">  6.8</w:t>
                  </w:r>
                </w:p>
              </w:tc>
              <w:tc>
                <w:tcPr>
                  <w:tcW w:w="705" w:type="dxa"/>
                  <w:vAlign w:val="bottom"/>
                </w:tcPr>
                <w:p w14:paraId="228239B5" w14:textId="46D1F5DC" w:rsidR="00634903" w:rsidRPr="004B4EEA" w:rsidRDefault="00634903" w:rsidP="00634903">
                  <w:pPr>
                    <w:pStyle w:val="TableBodyText"/>
                  </w:pPr>
                  <w:r>
                    <w:t xml:space="preserve">  13.2</w:t>
                  </w:r>
                </w:p>
              </w:tc>
              <w:tc>
                <w:tcPr>
                  <w:tcW w:w="626" w:type="dxa"/>
                  <w:vAlign w:val="bottom"/>
                </w:tcPr>
                <w:p w14:paraId="78EC9770" w14:textId="7FD1DDB2" w:rsidR="00634903" w:rsidRPr="004B4EEA" w:rsidRDefault="00634903" w:rsidP="00634903">
                  <w:pPr>
                    <w:pStyle w:val="TableBodyText"/>
                  </w:pPr>
                  <w:r>
                    <w:t xml:space="preserve">  10.7</w:t>
                  </w:r>
                </w:p>
              </w:tc>
              <w:tc>
                <w:tcPr>
                  <w:tcW w:w="586" w:type="dxa"/>
                  <w:vAlign w:val="bottom"/>
                </w:tcPr>
                <w:p w14:paraId="277A96DB" w14:textId="313301A2" w:rsidR="00634903" w:rsidRPr="004B4EEA" w:rsidRDefault="00634903" w:rsidP="00634903">
                  <w:pPr>
                    <w:pStyle w:val="TableBodyText"/>
                  </w:pPr>
                  <w:r>
                    <w:t xml:space="preserve">  6.8</w:t>
                  </w:r>
                </w:p>
              </w:tc>
              <w:tc>
                <w:tcPr>
                  <w:tcW w:w="570" w:type="dxa"/>
                  <w:vAlign w:val="bottom"/>
                </w:tcPr>
                <w:p w14:paraId="24FA0A14" w14:textId="0CD26305" w:rsidR="00634903" w:rsidRPr="004B4EEA" w:rsidRDefault="00634903" w:rsidP="00634903">
                  <w:pPr>
                    <w:pStyle w:val="TableBodyText"/>
                  </w:pPr>
                  <w:r>
                    <w:t xml:space="preserve">  3.3</w:t>
                  </w:r>
                </w:p>
              </w:tc>
              <w:tc>
                <w:tcPr>
                  <w:tcW w:w="545" w:type="dxa"/>
                  <w:vAlign w:val="bottom"/>
                </w:tcPr>
                <w:p w14:paraId="276175C9" w14:textId="7E2D6F02" w:rsidR="00634903" w:rsidRPr="004B4EEA" w:rsidRDefault="00634903" w:rsidP="00634903">
                  <w:pPr>
                    <w:pStyle w:val="TableBodyText"/>
                  </w:pPr>
                  <w:r>
                    <w:t xml:space="preserve">  1.3</w:t>
                  </w:r>
                </w:p>
              </w:tc>
              <w:tc>
                <w:tcPr>
                  <w:tcW w:w="552" w:type="dxa"/>
                  <w:vAlign w:val="bottom"/>
                </w:tcPr>
                <w:p w14:paraId="60F075A9" w14:textId="3008A8C6" w:rsidR="00634903" w:rsidRPr="004B4EEA" w:rsidRDefault="00634903" w:rsidP="00634903">
                  <w:pPr>
                    <w:pStyle w:val="TableBodyText"/>
                  </w:pPr>
                  <w:r>
                    <w:t xml:space="preserve">  1.0</w:t>
                  </w:r>
                </w:p>
              </w:tc>
              <w:tc>
                <w:tcPr>
                  <w:tcW w:w="646" w:type="dxa"/>
                  <w:vAlign w:val="bottom"/>
                </w:tcPr>
                <w:p w14:paraId="03DEC5D7" w14:textId="573F6FF2" w:rsidR="00634903" w:rsidRPr="004B4EEA" w:rsidRDefault="00634903" w:rsidP="00634903">
                  <w:pPr>
                    <w:pStyle w:val="TableBodyText"/>
                  </w:pPr>
                  <w:r>
                    <w:t xml:space="preserve">  1.0</w:t>
                  </w:r>
                </w:p>
              </w:tc>
              <w:tc>
                <w:tcPr>
                  <w:tcW w:w="648" w:type="dxa"/>
                  <w:vAlign w:val="bottom"/>
                </w:tcPr>
                <w:p w14:paraId="14587CBC" w14:textId="37B683B6" w:rsidR="00634903" w:rsidRPr="004B4EEA" w:rsidRDefault="00634903" w:rsidP="00634903">
                  <w:pPr>
                    <w:pStyle w:val="TableBodyText"/>
                  </w:pPr>
                  <w:r>
                    <w:t>..</w:t>
                  </w:r>
                </w:p>
              </w:tc>
              <w:tc>
                <w:tcPr>
                  <w:tcW w:w="732" w:type="dxa"/>
                  <w:vAlign w:val="bottom"/>
                </w:tcPr>
                <w:p w14:paraId="21B5F18B" w14:textId="6FE7AD10" w:rsidR="00634903" w:rsidRDefault="00634903" w:rsidP="000D334D">
                  <w:pPr>
                    <w:pStyle w:val="TableBodyText"/>
                    <w:ind w:right="0"/>
                  </w:pPr>
                  <w:r>
                    <w:t xml:space="preserve">  44.0</w:t>
                  </w:r>
                </w:p>
              </w:tc>
            </w:tr>
            <w:tr w:rsidR="00634903" w:rsidRPr="00736456" w14:paraId="175A794E" w14:textId="77777777" w:rsidTr="008F63DC">
              <w:tc>
                <w:tcPr>
                  <w:tcW w:w="1976" w:type="dxa"/>
                </w:tcPr>
                <w:p w14:paraId="0EA3B2EB" w14:textId="77777777" w:rsidR="00634903" w:rsidRPr="00736456" w:rsidRDefault="00634903" w:rsidP="00634903">
                  <w:pPr>
                    <w:pStyle w:val="TableBodyText"/>
                    <w:spacing w:before="20"/>
                    <w:jc w:val="left"/>
                    <w:rPr>
                      <w:rStyle w:val="NoteLabel"/>
                    </w:rPr>
                  </w:pPr>
                  <w:r w:rsidRPr="00736456">
                    <w:t>Probate — Supreme</w:t>
                  </w:r>
                </w:p>
              </w:tc>
              <w:tc>
                <w:tcPr>
                  <w:tcW w:w="766" w:type="dxa"/>
                  <w:vAlign w:val="bottom"/>
                </w:tcPr>
                <w:p w14:paraId="3913A615" w14:textId="25E737C0" w:rsidR="00634903" w:rsidRPr="004B4EEA" w:rsidRDefault="00634903" w:rsidP="00634903">
                  <w:pPr>
                    <w:pStyle w:val="TableBodyText"/>
                  </w:pPr>
                  <w:r>
                    <w:t xml:space="preserve">  1.3</w:t>
                  </w:r>
                </w:p>
              </w:tc>
              <w:tc>
                <w:tcPr>
                  <w:tcW w:w="705" w:type="dxa"/>
                  <w:vAlign w:val="bottom"/>
                </w:tcPr>
                <w:p w14:paraId="41D73CC2" w14:textId="32527AD2" w:rsidR="00634903" w:rsidRPr="004B4EEA" w:rsidRDefault="00634903" w:rsidP="00634903">
                  <w:pPr>
                    <w:pStyle w:val="TableBodyText"/>
                  </w:pPr>
                  <w:r>
                    <w:t xml:space="preserve">  0.9</w:t>
                  </w:r>
                </w:p>
              </w:tc>
              <w:tc>
                <w:tcPr>
                  <w:tcW w:w="626" w:type="dxa"/>
                  <w:vAlign w:val="bottom"/>
                </w:tcPr>
                <w:p w14:paraId="7942C31A" w14:textId="213E9B5D" w:rsidR="00634903" w:rsidRPr="004B4EEA" w:rsidRDefault="00634903" w:rsidP="00634903">
                  <w:pPr>
                    <w:pStyle w:val="TableBodyText"/>
                  </w:pPr>
                  <w:r>
                    <w:t xml:space="preserve">  0.3</w:t>
                  </w:r>
                </w:p>
              </w:tc>
              <w:tc>
                <w:tcPr>
                  <w:tcW w:w="586" w:type="dxa"/>
                  <w:vAlign w:val="bottom"/>
                </w:tcPr>
                <w:p w14:paraId="1143BA7A" w14:textId="79DB06CA" w:rsidR="00634903" w:rsidRPr="004B4EEA" w:rsidRDefault="00634903" w:rsidP="00634903">
                  <w:pPr>
                    <w:pStyle w:val="TableBodyText"/>
                  </w:pPr>
                  <w:r>
                    <w:t xml:space="preserve">  1.1</w:t>
                  </w:r>
                </w:p>
              </w:tc>
              <w:tc>
                <w:tcPr>
                  <w:tcW w:w="570" w:type="dxa"/>
                  <w:vAlign w:val="bottom"/>
                </w:tcPr>
                <w:p w14:paraId="6E55A1E0" w14:textId="62A06293" w:rsidR="00634903" w:rsidRPr="004B4EEA" w:rsidRDefault="00634903" w:rsidP="00634903">
                  <w:pPr>
                    <w:pStyle w:val="TableBodyText"/>
                  </w:pPr>
                  <w:r>
                    <w:t xml:space="preserve">  0.8</w:t>
                  </w:r>
                </w:p>
              </w:tc>
              <w:tc>
                <w:tcPr>
                  <w:tcW w:w="545" w:type="dxa"/>
                  <w:vAlign w:val="bottom"/>
                </w:tcPr>
                <w:p w14:paraId="662FFA1F" w14:textId="3DF29085" w:rsidR="00634903" w:rsidRPr="004B4EEA" w:rsidRDefault="00634903" w:rsidP="00634903">
                  <w:pPr>
                    <w:pStyle w:val="TableBodyText"/>
                  </w:pPr>
                  <w:r>
                    <w:t xml:space="preserve">  0.3</w:t>
                  </w:r>
                </w:p>
              </w:tc>
              <w:tc>
                <w:tcPr>
                  <w:tcW w:w="552" w:type="dxa"/>
                  <w:vAlign w:val="bottom"/>
                </w:tcPr>
                <w:p w14:paraId="599B58E4" w14:textId="1D9F2678" w:rsidR="00634903" w:rsidRPr="004B4EEA" w:rsidRDefault="00634903" w:rsidP="00634903">
                  <w:pPr>
                    <w:pStyle w:val="TableBodyText"/>
                  </w:pPr>
                  <w:r>
                    <w:t xml:space="preserve">  0.1</w:t>
                  </w:r>
                </w:p>
              </w:tc>
              <w:tc>
                <w:tcPr>
                  <w:tcW w:w="646" w:type="dxa"/>
                  <w:vAlign w:val="bottom"/>
                </w:tcPr>
                <w:p w14:paraId="37AE16AB" w14:textId="7D938F80" w:rsidR="00634903" w:rsidRPr="004B4EEA" w:rsidRDefault="00634903" w:rsidP="00634903">
                  <w:pPr>
                    <w:pStyle w:val="TableBodyText"/>
                  </w:pPr>
                  <w:r>
                    <w:t xml:space="preserve">  0.1</w:t>
                  </w:r>
                </w:p>
              </w:tc>
              <w:tc>
                <w:tcPr>
                  <w:tcW w:w="648" w:type="dxa"/>
                  <w:vAlign w:val="bottom"/>
                </w:tcPr>
                <w:p w14:paraId="2CA870EB" w14:textId="20F50D66" w:rsidR="00634903" w:rsidRPr="004B4EEA" w:rsidRDefault="00634903" w:rsidP="00634903">
                  <w:pPr>
                    <w:pStyle w:val="TableBodyText"/>
                  </w:pPr>
                  <w:r>
                    <w:t>..</w:t>
                  </w:r>
                </w:p>
              </w:tc>
              <w:tc>
                <w:tcPr>
                  <w:tcW w:w="732" w:type="dxa"/>
                  <w:vAlign w:val="bottom"/>
                </w:tcPr>
                <w:p w14:paraId="5500B632" w14:textId="740FCB1B" w:rsidR="00634903" w:rsidRDefault="00634903" w:rsidP="000D334D">
                  <w:pPr>
                    <w:pStyle w:val="TableBodyText"/>
                    <w:ind w:right="0"/>
                  </w:pPr>
                  <w:r>
                    <w:t xml:space="preserve">  4.7</w:t>
                  </w:r>
                </w:p>
              </w:tc>
            </w:tr>
            <w:tr w:rsidR="00634903" w:rsidRPr="00C75DAB" w14:paraId="1D80F490" w14:textId="77777777" w:rsidTr="004D526A">
              <w:tc>
                <w:tcPr>
                  <w:tcW w:w="1976" w:type="dxa"/>
                  <w:tcBorders>
                    <w:bottom w:val="single" w:sz="6" w:space="0" w:color="BFBFBF"/>
                  </w:tcBorders>
                </w:tcPr>
                <w:p w14:paraId="04EC5059" w14:textId="77777777" w:rsidR="00634903" w:rsidRPr="00C75DAB" w:rsidRDefault="00634903" w:rsidP="00634903">
                  <w:pPr>
                    <w:pStyle w:val="TableBodyText"/>
                    <w:spacing w:before="40"/>
                    <w:jc w:val="left"/>
                    <w:rPr>
                      <w:b/>
                    </w:rPr>
                  </w:pPr>
                  <w:r w:rsidRPr="00C75DAB">
                    <w:rPr>
                      <w:b/>
                    </w:rPr>
                    <w:t>Total</w:t>
                  </w:r>
                </w:p>
              </w:tc>
              <w:tc>
                <w:tcPr>
                  <w:tcW w:w="766" w:type="dxa"/>
                  <w:tcBorders>
                    <w:bottom w:val="single" w:sz="6" w:space="0" w:color="BFBFBF"/>
                  </w:tcBorders>
                  <w:vAlign w:val="bottom"/>
                </w:tcPr>
                <w:p w14:paraId="78D323D8" w14:textId="3607D37D" w:rsidR="00634903" w:rsidRPr="001A5721" w:rsidRDefault="00634903" w:rsidP="00634903">
                  <w:pPr>
                    <w:pStyle w:val="TableBodyText"/>
                    <w:rPr>
                      <w:b/>
                    </w:rPr>
                  </w:pPr>
                  <w:r w:rsidRPr="001A5721">
                    <w:rPr>
                      <w:b/>
                    </w:rPr>
                    <w:t>407.9</w:t>
                  </w:r>
                </w:p>
              </w:tc>
              <w:tc>
                <w:tcPr>
                  <w:tcW w:w="705" w:type="dxa"/>
                  <w:tcBorders>
                    <w:bottom w:val="single" w:sz="6" w:space="0" w:color="BFBFBF"/>
                  </w:tcBorders>
                  <w:shd w:val="clear" w:color="auto" w:fill="auto"/>
                  <w:vAlign w:val="bottom"/>
                </w:tcPr>
                <w:p w14:paraId="57131A8A" w14:textId="43127205" w:rsidR="00634903" w:rsidRPr="001A5721" w:rsidRDefault="00634903" w:rsidP="00634903">
                  <w:pPr>
                    <w:pStyle w:val="TableBodyText"/>
                    <w:rPr>
                      <w:b/>
                    </w:rPr>
                  </w:pPr>
                  <w:r w:rsidRPr="001A5721">
                    <w:rPr>
                      <w:b/>
                    </w:rPr>
                    <w:t>399.7</w:t>
                  </w:r>
                </w:p>
              </w:tc>
              <w:tc>
                <w:tcPr>
                  <w:tcW w:w="626" w:type="dxa"/>
                  <w:tcBorders>
                    <w:bottom w:val="single" w:sz="6" w:space="0" w:color="BFBFBF"/>
                  </w:tcBorders>
                  <w:vAlign w:val="bottom"/>
                </w:tcPr>
                <w:p w14:paraId="12EE10C1" w14:textId="19D349DC" w:rsidR="00634903" w:rsidRPr="001A5721" w:rsidRDefault="00634903" w:rsidP="00634903">
                  <w:pPr>
                    <w:pStyle w:val="TableBodyText"/>
                    <w:rPr>
                      <w:b/>
                    </w:rPr>
                  </w:pPr>
                  <w:r w:rsidRPr="001A5721">
                    <w:rPr>
                      <w:b/>
                    </w:rPr>
                    <w:t>244.2</w:t>
                  </w:r>
                </w:p>
              </w:tc>
              <w:tc>
                <w:tcPr>
                  <w:tcW w:w="586" w:type="dxa"/>
                  <w:tcBorders>
                    <w:bottom w:val="single" w:sz="6" w:space="0" w:color="BFBFBF"/>
                  </w:tcBorders>
                  <w:vAlign w:val="bottom"/>
                </w:tcPr>
                <w:p w14:paraId="52056FD0" w14:textId="6CA9C4E5" w:rsidR="00634903" w:rsidRPr="001A5721" w:rsidRDefault="00206154" w:rsidP="00206154">
                  <w:pPr>
                    <w:pStyle w:val="TableBodyText"/>
                    <w:rPr>
                      <w:b/>
                    </w:rPr>
                  </w:pPr>
                  <w:r>
                    <w:rPr>
                      <w:b/>
                    </w:rPr>
                    <w:t>261</w:t>
                  </w:r>
                  <w:r w:rsidR="00634903" w:rsidRPr="001A5721">
                    <w:rPr>
                      <w:b/>
                    </w:rPr>
                    <w:t>.</w:t>
                  </w:r>
                  <w:r>
                    <w:rPr>
                      <w:b/>
                    </w:rPr>
                    <w:t>4</w:t>
                  </w:r>
                </w:p>
              </w:tc>
              <w:tc>
                <w:tcPr>
                  <w:tcW w:w="570" w:type="dxa"/>
                  <w:tcBorders>
                    <w:bottom w:val="single" w:sz="6" w:space="0" w:color="BFBFBF"/>
                  </w:tcBorders>
                  <w:vAlign w:val="bottom"/>
                </w:tcPr>
                <w:p w14:paraId="359F6524" w14:textId="0117659B" w:rsidR="00634903" w:rsidRPr="001A5721" w:rsidRDefault="00634903" w:rsidP="00634903">
                  <w:pPr>
                    <w:pStyle w:val="TableBodyText"/>
                    <w:rPr>
                      <w:b/>
                    </w:rPr>
                  </w:pPr>
                  <w:r w:rsidRPr="001A5721">
                    <w:rPr>
                      <w:b/>
                    </w:rPr>
                    <w:t>107.3</w:t>
                  </w:r>
                </w:p>
              </w:tc>
              <w:tc>
                <w:tcPr>
                  <w:tcW w:w="545" w:type="dxa"/>
                  <w:tcBorders>
                    <w:bottom w:val="single" w:sz="6" w:space="0" w:color="BFBFBF"/>
                  </w:tcBorders>
                  <w:vAlign w:val="bottom"/>
                </w:tcPr>
                <w:p w14:paraId="3EF7E31B" w14:textId="4835B81D" w:rsidR="00634903" w:rsidRPr="001A5721" w:rsidRDefault="00634903" w:rsidP="00634903">
                  <w:pPr>
                    <w:pStyle w:val="TableBodyText"/>
                    <w:rPr>
                      <w:b/>
                    </w:rPr>
                  </w:pPr>
                  <w:r w:rsidRPr="001A5721">
                    <w:rPr>
                      <w:b/>
                    </w:rPr>
                    <w:t>26.6</w:t>
                  </w:r>
                </w:p>
              </w:tc>
              <w:tc>
                <w:tcPr>
                  <w:tcW w:w="552" w:type="dxa"/>
                  <w:tcBorders>
                    <w:bottom w:val="single" w:sz="6" w:space="0" w:color="BFBFBF"/>
                  </w:tcBorders>
                  <w:vAlign w:val="bottom"/>
                </w:tcPr>
                <w:p w14:paraId="46D05228" w14:textId="23837741" w:rsidR="00634903" w:rsidRPr="001A5721" w:rsidRDefault="00634903" w:rsidP="00634903">
                  <w:pPr>
                    <w:pStyle w:val="TableBodyText"/>
                    <w:rPr>
                      <w:b/>
                    </w:rPr>
                  </w:pPr>
                  <w:r w:rsidRPr="001A5721">
                    <w:rPr>
                      <w:b/>
                    </w:rPr>
                    <w:t>32.0</w:t>
                  </w:r>
                </w:p>
              </w:tc>
              <w:tc>
                <w:tcPr>
                  <w:tcW w:w="646" w:type="dxa"/>
                  <w:tcBorders>
                    <w:bottom w:val="single" w:sz="6" w:space="0" w:color="BFBFBF"/>
                  </w:tcBorders>
                  <w:shd w:val="clear" w:color="auto" w:fill="auto"/>
                  <w:vAlign w:val="bottom"/>
                </w:tcPr>
                <w:p w14:paraId="40ECB015" w14:textId="27C155EA" w:rsidR="00634903" w:rsidRPr="001A5721" w:rsidRDefault="007F0C22" w:rsidP="00634903">
                  <w:pPr>
                    <w:pStyle w:val="TableBodyText"/>
                    <w:rPr>
                      <w:b/>
                    </w:rPr>
                  </w:pPr>
                  <w:r>
                    <w:rPr>
                      <w:b/>
                    </w:rPr>
                    <w:t>41.8</w:t>
                  </w:r>
                </w:p>
              </w:tc>
              <w:tc>
                <w:tcPr>
                  <w:tcW w:w="648" w:type="dxa"/>
                  <w:tcBorders>
                    <w:bottom w:val="single" w:sz="6" w:space="0" w:color="BFBFBF"/>
                  </w:tcBorders>
                  <w:vAlign w:val="bottom"/>
                </w:tcPr>
                <w:p w14:paraId="532BF084" w14:textId="0105408C" w:rsidR="00634903" w:rsidRPr="001A5721" w:rsidRDefault="00634903" w:rsidP="00634903">
                  <w:pPr>
                    <w:pStyle w:val="TableBodyText"/>
                    <w:rPr>
                      <w:b/>
                    </w:rPr>
                  </w:pPr>
                  <w:r w:rsidRPr="001A5721">
                    <w:rPr>
                      <w:b/>
                    </w:rPr>
                    <w:t>298.1</w:t>
                  </w:r>
                </w:p>
              </w:tc>
              <w:tc>
                <w:tcPr>
                  <w:tcW w:w="732" w:type="dxa"/>
                  <w:tcBorders>
                    <w:bottom w:val="single" w:sz="6" w:space="0" w:color="BFBFBF"/>
                  </w:tcBorders>
                  <w:shd w:val="clear" w:color="auto" w:fill="auto"/>
                  <w:vAlign w:val="bottom"/>
                </w:tcPr>
                <w:p w14:paraId="57B6DE74" w14:textId="2CF882A2" w:rsidR="00634903" w:rsidRPr="001A5721" w:rsidRDefault="004D236C" w:rsidP="000D334D">
                  <w:pPr>
                    <w:pStyle w:val="TableBodyText"/>
                    <w:ind w:right="0"/>
                    <w:rPr>
                      <w:b/>
                      <w:szCs w:val="18"/>
                    </w:rPr>
                  </w:pPr>
                  <w:r w:rsidRPr="004D236C">
                    <w:rPr>
                      <w:b/>
                      <w:szCs w:val="18"/>
                    </w:rPr>
                    <w:t>1 819</w:t>
                  </w:r>
                  <w:r w:rsidR="00634903" w:rsidRPr="004D236C">
                    <w:rPr>
                      <w:b/>
                      <w:szCs w:val="18"/>
                    </w:rPr>
                    <w:t>.</w:t>
                  </w:r>
                  <w:r w:rsidRPr="004D236C">
                    <w:rPr>
                      <w:b/>
                      <w:szCs w:val="18"/>
                    </w:rPr>
                    <w:t>0</w:t>
                  </w:r>
                </w:p>
              </w:tc>
            </w:tr>
          </w:tbl>
          <w:p w14:paraId="44692B2E" w14:textId="77777777" w:rsidR="004B4EEA" w:rsidRDefault="004B4EEA" w:rsidP="00134D43">
            <w:pPr>
              <w:pStyle w:val="Box"/>
            </w:pPr>
          </w:p>
        </w:tc>
      </w:tr>
      <w:tr w:rsidR="00B3129A" w14:paraId="2DD8D28B" w14:textId="77777777" w:rsidTr="000F5ADF">
        <w:trPr>
          <w:cantSplit/>
        </w:trPr>
        <w:tc>
          <w:tcPr>
            <w:tcW w:w="8789" w:type="dxa"/>
            <w:tcBorders>
              <w:top w:val="nil"/>
              <w:left w:val="nil"/>
              <w:bottom w:val="nil"/>
              <w:right w:val="nil"/>
            </w:tcBorders>
            <w:shd w:val="clear" w:color="auto" w:fill="auto"/>
          </w:tcPr>
          <w:p w14:paraId="5265FE47" w14:textId="0737F5CB" w:rsidR="00B3129A" w:rsidRDefault="00B3129A" w:rsidP="00573616">
            <w:pPr>
              <w:pStyle w:val="Note"/>
              <w:rPr>
                <w:i/>
                <w:szCs w:val="24"/>
                <w:lang w:eastAsia="en-US"/>
              </w:rPr>
            </w:pPr>
            <w:r w:rsidRPr="008E77FE">
              <w:rPr>
                <w:rStyle w:val="NoteLabel"/>
              </w:rPr>
              <w:t>a</w:t>
            </w:r>
            <w:r w:rsidR="001B7C78">
              <w:t xml:space="preserve"> Totals may not sum as a result of rounding. </w:t>
            </w:r>
            <w:r w:rsidR="001B7C78">
              <w:rPr>
                <w:rStyle w:val="NoteLabel"/>
              </w:rPr>
              <w:t>b</w:t>
            </w:r>
            <w:r w:rsidR="001B7C78">
              <w:t xml:space="preserve"> Payroll tax is excluded. </w:t>
            </w:r>
            <w:r w:rsidR="003E4F21" w:rsidRPr="003450C0">
              <w:rPr>
                <w:rStyle w:val="NoteLabel"/>
              </w:rPr>
              <w:t>c</w:t>
            </w:r>
            <w:r w:rsidR="001B7C78" w:rsidRPr="003450C0">
              <w:rPr>
                <w:rStyle w:val="NoteLabel"/>
              </w:rPr>
              <w:t> </w:t>
            </w:r>
            <w:r w:rsidR="001F0592">
              <w:t>See tables 7A.9</w:t>
            </w:r>
            <w:r w:rsidR="007233C5">
              <w:t>–</w:t>
            </w:r>
            <w:r w:rsidR="001F0592">
              <w:t>10</w:t>
            </w:r>
            <w:r w:rsidR="00EE179C" w:rsidRPr="003450C0">
              <w:t xml:space="preserve"> for </w:t>
            </w:r>
            <w:r w:rsidR="00D7166D" w:rsidRPr="003450C0">
              <w:t>detailed</w:t>
            </w:r>
            <w:r w:rsidR="003E4F21" w:rsidRPr="003450C0">
              <w:t xml:space="preserve"> </w:t>
            </w:r>
            <w:r w:rsidR="00DA4AFA" w:rsidRPr="003450C0">
              <w:t xml:space="preserve">footnotes and </w:t>
            </w:r>
            <w:r w:rsidR="00EE179C" w:rsidRPr="003450C0">
              <w:t>caveats for each jurisdiction</w:t>
            </w:r>
            <w:r w:rsidR="001B7C78" w:rsidRPr="003450C0">
              <w:t>. .</w:t>
            </w:r>
            <w:r w:rsidR="001B7C78" w:rsidRPr="00A5030A">
              <w:t>.</w:t>
            </w:r>
            <w:r w:rsidR="001B7C78">
              <w:rPr>
                <w:b/>
              </w:rPr>
              <w:t xml:space="preserve"> </w:t>
            </w:r>
            <w:r w:rsidR="001B7C78" w:rsidRPr="00E92ADD">
              <w:t>Not</w:t>
            </w:r>
            <w:r w:rsidR="00A44CBA">
              <w:t xml:space="preserve"> applicable.</w:t>
            </w:r>
          </w:p>
        </w:tc>
      </w:tr>
      <w:tr w:rsidR="00B3129A" w14:paraId="360F1150" w14:textId="77777777" w:rsidTr="000F5ADF">
        <w:trPr>
          <w:cantSplit/>
        </w:trPr>
        <w:tc>
          <w:tcPr>
            <w:tcW w:w="8789" w:type="dxa"/>
            <w:tcBorders>
              <w:top w:val="nil"/>
              <w:left w:val="nil"/>
              <w:bottom w:val="nil"/>
              <w:right w:val="nil"/>
            </w:tcBorders>
            <w:shd w:val="clear" w:color="auto" w:fill="auto"/>
          </w:tcPr>
          <w:p w14:paraId="7211F5C9" w14:textId="18E00106" w:rsidR="00B3129A" w:rsidRDefault="001B7C78" w:rsidP="00240A1A">
            <w:pPr>
              <w:pStyle w:val="Source"/>
            </w:pPr>
            <w:r>
              <w:rPr>
                <w:i/>
              </w:rPr>
              <w:t>Source</w:t>
            </w:r>
            <w:r w:rsidRPr="00AF5D20">
              <w:t>:</w:t>
            </w:r>
            <w:r>
              <w:rPr>
                <w:i/>
              </w:rPr>
              <w:t xml:space="preserve"> </w:t>
            </w:r>
            <w:r w:rsidRPr="00CA6CFB">
              <w:t>Australian, State and Territory court authorities and de</w:t>
            </w:r>
            <w:r>
              <w:t xml:space="preserve">partments </w:t>
            </w:r>
            <w:r w:rsidR="005B15C4">
              <w:t>(unpublished); tables 7A.9</w:t>
            </w:r>
            <w:r>
              <w:t>–</w:t>
            </w:r>
            <w:r w:rsidRPr="00CA6CFB">
              <w:t>1</w:t>
            </w:r>
            <w:r w:rsidR="005B15C4">
              <w:t>0</w:t>
            </w:r>
            <w:r w:rsidRPr="00CA6CFB">
              <w:t>.</w:t>
            </w:r>
          </w:p>
        </w:tc>
      </w:tr>
      <w:tr w:rsidR="009275C5" w14:paraId="59083000" w14:textId="77777777" w:rsidTr="000F5ADF">
        <w:trPr>
          <w:cantSplit/>
        </w:trPr>
        <w:tc>
          <w:tcPr>
            <w:tcW w:w="8789" w:type="dxa"/>
            <w:tcBorders>
              <w:top w:val="nil"/>
              <w:left w:val="nil"/>
              <w:bottom w:val="nil"/>
              <w:right w:val="nil"/>
            </w:tcBorders>
            <w:shd w:val="clear" w:color="auto" w:fill="auto"/>
          </w:tcPr>
          <w:p w14:paraId="76E8B8D8" w14:textId="77777777" w:rsidR="009275C5" w:rsidRDefault="009275C5" w:rsidP="005B15C4">
            <w:pPr>
              <w:pStyle w:val="Box"/>
              <w:spacing w:before="0" w:line="120" w:lineRule="exact"/>
              <w:rPr>
                <w:i/>
              </w:rPr>
            </w:pPr>
          </w:p>
        </w:tc>
      </w:tr>
      <w:tr w:rsidR="00B3129A" w:rsidRPr="000863A5" w14:paraId="61499E62" w14:textId="77777777" w:rsidTr="000F5ADF">
        <w:tc>
          <w:tcPr>
            <w:tcW w:w="8789" w:type="dxa"/>
            <w:tcBorders>
              <w:top w:val="single" w:sz="6" w:space="0" w:color="78A22F" w:themeColor="accent1"/>
              <w:left w:val="nil"/>
              <w:bottom w:val="nil"/>
              <w:right w:val="nil"/>
            </w:tcBorders>
          </w:tcPr>
          <w:p w14:paraId="7B17F61D" w14:textId="77777777" w:rsidR="00B3129A" w:rsidRPr="00626D32" w:rsidRDefault="00B3129A" w:rsidP="00240A1A">
            <w:pPr>
              <w:pStyle w:val="BoxSpaceBelow"/>
            </w:pPr>
          </w:p>
        </w:tc>
      </w:tr>
    </w:tbl>
    <w:p w14:paraId="604E0C83" w14:textId="77777777" w:rsidR="00833F59" w:rsidRPr="00642867" w:rsidRDefault="00833F59" w:rsidP="00833F59">
      <w:pPr>
        <w:pStyle w:val="Heading5"/>
        <w:rPr>
          <w:rStyle w:val="DraftingNote"/>
          <w:i w:val="0"/>
          <w:color w:val="auto"/>
        </w:rPr>
      </w:pPr>
      <w:r w:rsidRPr="00F86070">
        <w:t xml:space="preserve">Cost recovery and fee relief </w:t>
      </w:r>
      <w:r>
        <w:t>in the civil courts</w:t>
      </w:r>
    </w:p>
    <w:p w14:paraId="79D3772C" w14:textId="642BB004" w:rsidR="00833F59" w:rsidRDefault="00A7197B" w:rsidP="008D0127">
      <w:pPr>
        <w:pStyle w:val="BodyText"/>
      </w:pPr>
      <w:r>
        <w:t>Court fees are mainly collected in civil courts</w:t>
      </w:r>
      <w:r w:rsidR="00133D74">
        <w:t xml:space="preserve"> and in some jurisdictions are set by government rather than court administrators.</w:t>
      </w:r>
      <w:r>
        <w:t xml:space="preserve"> </w:t>
      </w:r>
      <w:r w:rsidR="00833F59" w:rsidRPr="004C4247">
        <w:t xml:space="preserve">The level of cost recovery from the collection of </w:t>
      </w:r>
      <w:r w:rsidR="00833F59" w:rsidRPr="00472587">
        <w:t xml:space="preserve">civil </w:t>
      </w:r>
      <w:r w:rsidR="00EF1852">
        <w:t>court fees varies</w:t>
      </w:r>
      <w:r w:rsidR="00833F59" w:rsidRPr="004C4247">
        <w:t xml:space="preserve"> across court </w:t>
      </w:r>
      <w:r w:rsidR="00833F59" w:rsidRPr="00DC49DD">
        <w:t>levels</w:t>
      </w:r>
      <w:r w:rsidR="00EF1852">
        <w:t>.</w:t>
      </w:r>
      <w:r w:rsidR="00833F59" w:rsidRPr="00DC49DD">
        <w:t xml:space="preserve"> </w:t>
      </w:r>
      <w:r w:rsidR="00833F59">
        <w:t xml:space="preserve">Across states and territories, </w:t>
      </w:r>
      <w:r w:rsidR="00833F59" w:rsidRPr="00CC33BB">
        <w:t xml:space="preserve">approximately a third </w:t>
      </w:r>
      <w:r w:rsidR="00833F59">
        <w:t xml:space="preserve">of costs </w:t>
      </w:r>
      <w:r w:rsidR="00EF1852">
        <w:t xml:space="preserve">in </w:t>
      </w:r>
      <w:r w:rsidR="00F32D8E">
        <w:t>2016</w:t>
      </w:r>
      <w:r w:rsidR="00EF1852" w:rsidRPr="00CC33BB">
        <w:t>-1</w:t>
      </w:r>
      <w:r w:rsidR="00F32D8E">
        <w:t>7</w:t>
      </w:r>
      <w:r w:rsidR="00EF1852" w:rsidRPr="00CC33BB">
        <w:t xml:space="preserve"> </w:t>
      </w:r>
      <w:r w:rsidR="00833F59">
        <w:t>were recovered through court fees in the District and Magistrates’ courts</w:t>
      </w:r>
      <w:r w:rsidR="004C01D0">
        <w:t xml:space="preserve"> (table 7A.14</w:t>
      </w:r>
      <w:r w:rsidR="00EF1852">
        <w:t>)</w:t>
      </w:r>
      <w:r w:rsidR="00833F59" w:rsidRPr="00CA6C44">
        <w:t xml:space="preserve">. Cost recovery </w:t>
      </w:r>
      <w:r w:rsidR="00EF1852">
        <w:t>tends to be low</w:t>
      </w:r>
      <w:r w:rsidR="00833F59" w:rsidRPr="00CA6C44">
        <w:t xml:space="preserve"> in the children’s courts — </w:t>
      </w:r>
      <w:r w:rsidR="00833F59">
        <w:t>in these courts</w:t>
      </w:r>
      <w:r w:rsidR="00833F59" w:rsidRPr="00CA6C44">
        <w:t xml:space="preserve"> many applications do not attract a fee.</w:t>
      </w:r>
      <w:r w:rsidR="00833F59">
        <w:t xml:space="preserve"> </w:t>
      </w:r>
    </w:p>
    <w:p w14:paraId="51F1E40D" w14:textId="425CD75E" w:rsidR="004A5035" w:rsidRDefault="00833F59" w:rsidP="004A5035">
      <w:pPr>
        <w:pStyle w:val="BodyText"/>
      </w:pPr>
      <w:r>
        <w:t xml:space="preserve">Most courts in Australia are able to waive or reduce court fees to ameliorate the impact on </w:t>
      </w:r>
      <w:r w:rsidRPr="008568AC">
        <w:t>vulnerable or financially disadvantaged parties</w:t>
      </w:r>
      <w:r w:rsidR="008C370C" w:rsidRPr="008568AC">
        <w:t xml:space="preserve"> (fee relief)</w:t>
      </w:r>
      <w:r w:rsidRPr="008568AC">
        <w:t xml:space="preserve">. </w:t>
      </w:r>
      <w:r w:rsidR="004A5035" w:rsidRPr="008568AC">
        <w:t>Table 7.</w:t>
      </w:r>
      <w:r w:rsidR="00BF4DF7" w:rsidRPr="008568AC">
        <w:t>2</w:t>
      </w:r>
      <w:r w:rsidR="004A5035" w:rsidRPr="008568AC">
        <w:t xml:space="preserve"> shows that the </w:t>
      </w:r>
      <w:r w:rsidR="004A5035" w:rsidRPr="00C712BB">
        <w:t>proportion</w:t>
      </w:r>
      <w:r w:rsidR="004A5035">
        <w:t>s</w:t>
      </w:r>
      <w:r w:rsidR="004A5035" w:rsidRPr="00C712BB">
        <w:t xml:space="preserve"> of total payable civil court fees which were waived or reduced </w:t>
      </w:r>
      <w:r w:rsidR="004A5035">
        <w:t>were highest in the Family Court of WA (</w:t>
      </w:r>
      <w:r w:rsidR="001237A2">
        <w:t>27.4</w:t>
      </w:r>
      <w:r w:rsidR="004A5035">
        <w:t xml:space="preserve"> per cent) followed by the</w:t>
      </w:r>
      <w:r w:rsidR="001237A2">
        <w:t xml:space="preserve"> NT Magistrates</w:t>
      </w:r>
      <w:r w:rsidR="003F271C">
        <w:t>’</w:t>
      </w:r>
      <w:r w:rsidR="001237A2">
        <w:t xml:space="preserve"> court (23.8 per cent) and the Federal Court of</w:t>
      </w:r>
      <w:r w:rsidR="004A5035">
        <w:t xml:space="preserve"> Australia (</w:t>
      </w:r>
      <w:r w:rsidR="001237A2">
        <w:t>20</w:t>
      </w:r>
      <w:r w:rsidR="0048535C">
        <w:t>.0</w:t>
      </w:r>
      <w:r w:rsidR="004A5035">
        <w:t xml:space="preserve"> per cent)</w:t>
      </w:r>
      <w:r w:rsidR="001237A2">
        <w:t>.</w:t>
      </w:r>
    </w:p>
    <w:p w14:paraId="7262BF37" w14:textId="7CB485CF" w:rsidR="004A5035" w:rsidRPr="002D6AC8" w:rsidRDefault="004A5035" w:rsidP="004A5035">
      <w:pPr>
        <w:pStyle w:val="BodyText"/>
        <w:rPr>
          <w:rStyle w:val="DraftingNote"/>
          <w:color w:val="auto"/>
        </w:rPr>
      </w:pPr>
      <w:r>
        <w:t xml:space="preserve">Fee exemptions </w:t>
      </w:r>
      <w:r w:rsidR="00644553">
        <w:t>are</w:t>
      </w:r>
      <w:r>
        <w:t xml:space="preserve"> also available in some courts </w:t>
      </w:r>
      <w:r w:rsidR="00195148">
        <w:t xml:space="preserve">— </w:t>
      </w:r>
      <w:r>
        <w:t xml:space="preserve">this is usually where legislation exists to exempt particular categories of fees from being payable. Fee exemptions are more common in the Australian Government courts </w:t>
      </w:r>
      <w:r w:rsidR="00644553">
        <w:t xml:space="preserve">than State and Territory courts </w:t>
      </w:r>
      <w:r w:rsidR="00644553">
        <w:br/>
      </w:r>
      <w:r w:rsidR="00644553" w:rsidRPr="00BB76ED">
        <w:t>(</w:t>
      </w:r>
      <w:r w:rsidR="00F362BC" w:rsidRPr="00BB76ED">
        <w:t>table 7A.16</w:t>
      </w:r>
      <w:r w:rsidR="00644553" w:rsidRPr="002D6AC8">
        <w:t>)</w:t>
      </w:r>
      <w:r w:rsidR="003E6C06" w:rsidRPr="002D6AC8">
        <w:t xml:space="preserve">. </w:t>
      </w:r>
    </w:p>
    <w:p w14:paraId="248D514B" w14:textId="65AE9AED" w:rsidR="004A5035" w:rsidRPr="00BB76ED" w:rsidRDefault="004A5035" w:rsidP="004A5035">
      <w:pPr>
        <w:pStyle w:val="BodyText"/>
      </w:pPr>
      <w:r>
        <w:t xml:space="preserve">During </w:t>
      </w:r>
      <w:r w:rsidRPr="00CC33BB">
        <w:t>201</w:t>
      </w:r>
      <w:r>
        <w:t>6</w:t>
      </w:r>
      <w:r w:rsidRPr="00CC33BB">
        <w:noBreakHyphen/>
        <w:t>1</w:t>
      </w:r>
      <w:r>
        <w:t>7, approximately $</w:t>
      </w:r>
      <w:r w:rsidR="00BD2D72" w:rsidRPr="00BD2D72">
        <w:t>34</w:t>
      </w:r>
      <w:r w:rsidRPr="00BD2D72">
        <w:t>.</w:t>
      </w:r>
      <w:r w:rsidR="005A769B">
        <w:t>4</w:t>
      </w:r>
      <w:r w:rsidRPr="00BD2D72">
        <w:t xml:space="preserve"> </w:t>
      </w:r>
      <w:r>
        <w:t xml:space="preserve">million of civil court fees were either waived, reduced or exempted and therefore not recovered by courts </w:t>
      </w:r>
      <w:r w:rsidR="00F362BC" w:rsidRPr="00BB76ED">
        <w:t>(table 7A.16</w:t>
      </w:r>
      <w:r w:rsidRPr="00BB76ED">
        <w:t>).</w:t>
      </w:r>
    </w:p>
    <w:p w14:paraId="47C6B850" w14:textId="77777777" w:rsidR="004A5035" w:rsidRDefault="004A5035" w:rsidP="004A5035">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4A5035" w14:paraId="7DF40D46" w14:textId="77777777" w:rsidTr="000F5ADF">
        <w:tc>
          <w:tcPr>
            <w:tcW w:w="8789" w:type="dxa"/>
            <w:tcBorders>
              <w:top w:val="single" w:sz="6" w:space="0" w:color="78A22F"/>
              <w:left w:val="nil"/>
              <w:bottom w:val="nil"/>
              <w:right w:val="nil"/>
            </w:tcBorders>
            <w:shd w:val="clear" w:color="auto" w:fill="auto"/>
          </w:tcPr>
          <w:p w14:paraId="2D99BCFD" w14:textId="02E0295A" w:rsidR="004A5035" w:rsidRPr="0020479E" w:rsidRDefault="004A5035" w:rsidP="00BF4DF7">
            <w:pPr>
              <w:pStyle w:val="TableTitle"/>
              <w:rPr>
                <w:b w:val="0"/>
                <w:position w:val="6"/>
                <w:sz w:val="18"/>
              </w:rPr>
            </w:pPr>
            <w:r>
              <w:rPr>
                <w:b w:val="0"/>
              </w:rPr>
              <w:t xml:space="preserve">Table </w:t>
            </w:r>
            <w:r w:rsidR="00BF4DF7">
              <w:rPr>
                <w:b w:val="0"/>
              </w:rPr>
              <w:t>7.2</w:t>
            </w:r>
            <w:r>
              <w:tab/>
              <w:t xml:space="preserve">Proportion of total payable civil court fees which were waived or reduced, </w:t>
            </w:r>
            <w:r w:rsidRPr="001237A2">
              <w:t>2016-17 (</w:t>
            </w:r>
            <w:r>
              <w:t>per cent)</w:t>
            </w:r>
            <w:r w:rsidRPr="00D95FAE">
              <w:rPr>
                <w:rStyle w:val="NoteLabel"/>
                <w:b/>
              </w:rPr>
              <w:t>a</w:t>
            </w:r>
            <w:r w:rsidRPr="0020479E">
              <w:rPr>
                <w:rFonts w:ascii="Arial Bold" w:hAnsi="Arial Bold"/>
                <w:vertAlign w:val="superscript"/>
              </w:rPr>
              <w:t xml:space="preserve">, </w:t>
            </w:r>
            <w:r w:rsidRPr="00D95FAE">
              <w:rPr>
                <w:rStyle w:val="NoteLabel"/>
                <w:b/>
              </w:rPr>
              <w:t>b</w:t>
            </w:r>
            <w:r w:rsidR="00AA64F0">
              <w:rPr>
                <w:rStyle w:val="NoteLabel"/>
                <w:b/>
              </w:rPr>
              <w:t>, c</w:t>
            </w:r>
          </w:p>
        </w:tc>
      </w:tr>
      <w:tr w:rsidR="004A5035" w14:paraId="73B7F68D" w14:textId="77777777" w:rsidTr="000F5ADF">
        <w:trPr>
          <w:cantSplit/>
        </w:trPr>
        <w:tc>
          <w:tcPr>
            <w:tcW w:w="8789"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372"/>
              <w:gridCol w:w="741"/>
              <w:gridCol w:w="623"/>
              <w:gridCol w:w="682"/>
              <w:gridCol w:w="682"/>
              <w:gridCol w:w="682"/>
              <w:gridCol w:w="682"/>
              <w:gridCol w:w="682"/>
              <w:gridCol w:w="682"/>
              <w:gridCol w:w="677"/>
            </w:tblGrid>
            <w:tr w:rsidR="004A5035" w:rsidRPr="006B7A0B" w14:paraId="2EBC6B1C" w14:textId="77777777" w:rsidTr="00481CF3">
              <w:tc>
                <w:tcPr>
                  <w:tcW w:w="1394" w:type="pct"/>
                  <w:tcBorders>
                    <w:top w:val="single" w:sz="4" w:space="0" w:color="BFBFBF"/>
                    <w:bottom w:val="single" w:sz="4" w:space="0" w:color="BFBFBF"/>
                  </w:tcBorders>
                </w:tcPr>
                <w:p w14:paraId="16AE2EB1" w14:textId="77777777" w:rsidR="004A5035" w:rsidRDefault="004A5035" w:rsidP="00481CF3">
                  <w:pPr>
                    <w:pStyle w:val="TableColumnHeading"/>
                    <w:jc w:val="left"/>
                  </w:pPr>
                </w:p>
              </w:tc>
              <w:tc>
                <w:tcPr>
                  <w:tcW w:w="435" w:type="pct"/>
                  <w:tcBorders>
                    <w:top w:val="single" w:sz="4" w:space="0" w:color="BFBFBF"/>
                    <w:bottom w:val="single" w:sz="4" w:space="0" w:color="BFBFBF"/>
                  </w:tcBorders>
                </w:tcPr>
                <w:p w14:paraId="3342044F" w14:textId="77777777" w:rsidR="004A5035" w:rsidRDefault="004A5035" w:rsidP="000D334D">
                  <w:pPr>
                    <w:pStyle w:val="TableColumnHeading"/>
                    <w:ind w:left="0"/>
                  </w:pPr>
                  <w:r>
                    <w:br/>
                    <w:t>NSW</w:t>
                  </w:r>
                </w:p>
              </w:tc>
              <w:tc>
                <w:tcPr>
                  <w:tcW w:w="366" w:type="pct"/>
                  <w:tcBorders>
                    <w:top w:val="single" w:sz="4" w:space="0" w:color="BFBFBF"/>
                    <w:bottom w:val="single" w:sz="4" w:space="0" w:color="BFBFBF"/>
                  </w:tcBorders>
                </w:tcPr>
                <w:p w14:paraId="06AC1389" w14:textId="77777777" w:rsidR="004A5035" w:rsidRPr="009D7C90" w:rsidRDefault="004A5035" w:rsidP="000D334D">
                  <w:pPr>
                    <w:pStyle w:val="TableColumnHeading"/>
                    <w:ind w:left="0"/>
                    <w:rPr>
                      <w:rStyle w:val="NoteLabel"/>
                    </w:rPr>
                  </w:pPr>
                  <w:r>
                    <w:br/>
                    <w:t>Vic</w:t>
                  </w:r>
                </w:p>
              </w:tc>
              <w:tc>
                <w:tcPr>
                  <w:tcW w:w="401" w:type="pct"/>
                  <w:tcBorders>
                    <w:top w:val="single" w:sz="4" w:space="0" w:color="BFBFBF"/>
                    <w:bottom w:val="single" w:sz="4" w:space="0" w:color="BFBFBF"/>
                  </w:tcBorders>
                </w:tcPr>
                <w:p w14:paraId="1276112A" w14:textId="77777777" w:rsidR="004A5035" w:rsidRDefault="004A5035" w:rsidP="000D334D">
                  <w:pPr>
                    <w:pStyle w:val="TableColumnHeading"/>
                    <w:ind w:left="0"/>
                  </w:pPr>
                  <w:r>
                    <w:br/>
                    <w:t>Qld</w:t>
                  </w:r>
                </w:p>
              </w:tc>
              <w:tc>
                <w:tcPr>
                  <w:tcW w:w="401" w:type="pct"/>
                  <w:tcBorders>
                    <w:top w:val="single" w:sz="4" w:space="0" w:color="BFBFBF"/>
                    <w:bottom w:val="single" w:sz="4" w:space="0" w:color="BFBFBF"/>
                  </w:tcBorders>
                </w:tcPr>
                <w:p w14:paraId="567D3A0B" w14:textId="77777777" w:rsidR="004A5035" w:rsidRDefault="004A5035" w:rsidP="000D334D">
                  <w:pPr>
                    <w:pStyle w:val="TableColumnHeading"/>
                    <w:ind w:left="0"/>
                  </w:pPr>
                  <w:r>
                    <w:br/>
                    <w:t>WA</w:t>
                  </w:r>
                </w:p>
              </w:tc>
              <w:tc>
                <w:tcPr>
                  <w:tcW w:w="401" w:type="pct"/>
                  <w:tcBorders>
                    <w:top w:val="single" w:sz="4" w:space="0" w:color="BFBFBF"/>
                    <w:bottom w:val="single" w:sz="4" w:space="0" w:color="BFBFBF"/>
                  </w:tcBorders>
                </w:tcPr>
                <w:p w14:paraId="1D28A445" w14:textId="77777777" w:rsidR="004A5035" w:rsidRDefault="004A5035" w:rsidP="000D334D">
                  <w:pPr>
                    <w:pStyle w:val="TableColumnHeading"/>
                    <w:ind w:left="0"/>
                  </w:pPr>
                  <w:r>
                    <w:br/>
                    <w:t>SA</w:t>
                  </w:r>
                </w:p>
              </w:tc>
              <w:tc>
                <w:tcPr>
                  <w:tcW w:w="401" w:type="pct"/>
                  <w:tcBorders>
                    <w:top w:val="single" w:sz="4" w:space="0" w:color="BFBFBF"/>
                    <w:bottom w:val="single" w:sz="4" w:space="0" w:color="BFBFBF"/>
                  </w:tcBorders>
                </w:tcPr>
                <w:p w14:paraId="3B32B09A" w14:textId="77777777" w:rsidR="004A5035" w:rsidRDefault="004A5035" w:rsidP="000D334D">
                  <w:pPr>
                    <w:pStyle w:val="TableColumnHeading"/>
                    <w:ind w:left="0"/>
                  </w:pPr>
                  <w:r>
                    <w:br/>
                    <w:t>Tas</w:t>
                  </w:r>
                </w:p>
              </w:tc>
              <w:tc>
                <w:tcPr>
                  <w:tcW w:w="401" w:type="pct"/>
                  <w:tcBorders>
                    <w:top w:val="single" w:sz="4" w:space="0" w:color="BFBFBF"/>
                    <w:bottom w:val="single" w:sz="4" w:space="0" w:color="BFBFBF"/>
                  </w:tcBorders>
                </w:tcPr>
                <w:p w14:paraId="22ADCD01" w14:textId="77777777" w:rsidR="004A5035" w:rsidRDefault="004A5035" w:rsidP="000D334D">
                  <w:pPr>
                    <w:pStyle w:val="TableColumnHeading"/>
                    <w:ind w:left="0"/>
                  </w:pPr>
                  <w:r>
                    <w:br/>
                    <w:t>ACT</w:t>
                  </w:r>
                </w:p>
              </w:tc>
              <w:tc>
                <w:tcPr>
                  <w:tcW w:w="401" w:type="pct"/>
                  <w:tcBorders>
                    <w:top w:val="single" w:sz="4" w:space="0" w:color="BFBFBF"/>
                    <w:bottom w:val="single" w:sz="4" w:space="0" w:color="BFBFBF"/>
                  </w:tcBorders>
                </w:tcPr>
                <w:p w14:paraId="009E56AA" w14:textId="77777777" w:rsidR="004A5035" w:rsidRPr="009D7C90" w:rsidRDefault="004A5035" w:rsidP="000D334D">
                  <w:pPr>
                    <w:pStyle w:val="TableColumnHeading"/>
                    <w:ind w:left="0"/>
                    <w:rPr>
                      <w:rStyle w:val="NoteLabel"/>
                    </w:rPr>
                  </w:pPr>
                  <w:r>
                    <w:br/>
                    <w:t>NT</w:t>
                  </w:r>
                </w:p>
              </w:tc>
              <w:tc>
                <w:tcPr>
                  <w:tcW w:w="398" w:type="pct"/>
                  <w:tcBorders>
                    <w:top w:val="single" w:sz="4" w:space="0" w:color="BFBFBF"/>
                    <w:bottom w:val="single" w:sz="4" w:space="0" w:color="BFBFBF"/>
                  </w:tcBorders>
                </w:tcPr>
                <w:p w14:paraId="556F6D2E" w14:textId="77777777" w:rsidR="004A5035" w:rsidRPr="006B7A0B" w:rsidRDefault="004A5035" w:rsidP="00481CF3">
                  <w:pPr>
                    <w:pStyle w:val="TableColumnHeading"/>
                    <w:ind w:right="28"/>
                    <w:rPr>
                      <w:rStyle w:val="NoteLabel"/>
                      <w:spacing w:val="-4"/>
                      <w:szCs w:val="18"/>
                    </w:rPr>
                  </w:pPr>
                  <w:r>
                    <w:rPr>
                      <w:spacing w:val="-4"/>
                      <w:szCs w:val="18"/>
                    </w:rPr>
                    <w:t>Aust courts</w:t>
                  </w:r>
                </w:p>
              </w:tc>
            </w:tr>
            <w:tr w:rsidR="001237A2" w:rsidRPr="007728ED" w14:paraId="1A711B81" w14:textId="77777777" w:rsidTr="00481CF3">
              <w:trPr>
                <w:trHeight w:val="236"/>
              </w:trPr>
              <w:tc>
                <w:tcPr>
                  <w:tcW w:w="1394" w:type="pct"/>
                  <w:tcBorders>
                    <w:top w:val="single" w:sz="4" w:space="0" w:color="BFBFBF"/>
                  </w:tcBorders>
                </w:tcPr>
                <w:p w14:paraId="0D65D79C" w14:textId="77777777" w:rsidR="001237A2" w:rsidRPr="000B6D4F" w:rsidRDefault="001237A2" w:rsidP="001237A2">
                  <w:pPr>
                    <w:pStyle w:val="TableBodyText"/>
                    <w:spacing w:before="40"/>
                    <w:jc w:val="left"/>
                    <w:rPr>
                      <w:rStyle w:val="NoteLabel"/>
                    </w:rPr>
                  </w:pPr>
                  <w:r w:rsidRPr="000B6D4F">
                    <w:t>Supreme/Federal</w:t>
                  </w:r>
                </w:p>
              </w:tc>
              <w:tc>
                <w:tcPr>
                  <w:tcW w:w="435" w:type="pct"/>
                  <w:tcBorders>
                    <w:top w:val="single" w:sz="4" w:space="0" w:color="BFBFBF"/>
                  </w:tcBorders>
                  <w:vAlign w:val="center"/>
                </w:tcPr>
                <w:p w14:paraId="170D2543" w14:textId="19121C1E" w:rsidR="001237A2" w:rsidRPr="001237A2" w:rsidRDefault="001237A2" w:rsidP="001237A2">
                  <w:pPr>
                    <w:pStyle w:val="TableBodyText"/>
                  </w:pPr>
                  <w:r w:rsidRPr="001237A2">
                    <w:t xml:space="preserve">  1.2</w:t>
                  </w:r>
                </w:p>
              </w:tc>
              <w:tc>
                <w:tcPr>
                  <w:tcW w:w="366" w:type="pct"/>
                  <w:tcBorders>
                    <w:top w:val="single" w:sz="4" w:space="0" w:color="BFBFBF"/>
                  </w:tcBorders>
                  <w:vAlign w:val="center"/>
                </w:tcPr>
                <w:p w14:paraId="6E5B278C" w14:textId="66CD7AEB" w:rsidR="001237A2" w:rsidRPr="001237A2" w:rsidRDefault="001237A2" w:rsidP="001237A2">
                  <w:pPr>
                    <w:pStyle w:val="TableBodyText"/>
                  </w:pPr>
                  <w:r w:rsidRPr="001237A2">
                    <w:t xml:space="preserve">  1.8</w:t>
                  </w:r>
                </w:p>
              </w:tc>
              <w:tc>
                <w:tcPr>
                  <w:tcW w:w="401" w:type="pct"/>
                  <w:tcBorders>
                    <w:top w:val="single" w:sz="4" w:space="0" w:color="BFBFBF"/>
                  </w:tcBorders>
                  <w:vAlign w:val="center"/>
                </w:tcPr>
                <w:p w14:paraId="3A090625" w14:textId="73F18945" w:rsidR="001237A2" w:rsidRPr="001237A2" w:rsidRDefault="001237A2" w:rsidP="001237A2">
                  <w:pPr>
                    <w:pStyle w:val="TableBodyText"/>
                  </w:pPr>
                  <w:r w:rsidRPr="001237A2">
                    <w:t>na</w:t>
                  </w:r>
                </w:p>
              </w:tc>
              <w:tc>
                <w:tcPr>
                  <w:tcW w:w="401" w:type="pct"/>
                  <w:tcBorders>
                    <w:top w:val="single" w:sz="4" w:space="0" w:color="BFBFBF"/>
                  </w:tcBorders>
                  <w:vAlign w:val="center"/>
                </w:tcPr>
                <w:p w14:paraId="073D7CA8" w14:textId="142C1E98" w:rsidR="001237A2" w:rsidRPr="001237A2" w:rsidRDefault="001237A2" w:rsidP="001237A2">
                  <w:pPr>
                    <w:pStyle w:val="TableBodyText"/>
                  </w:pPr>
                  <w:r w:rsidRPr="001237A2">
                    <w:t xml:space="preserve">  5.0</w:t>
                  </w:r>
                </w:p>
              </w:tc>
              <w:tc>
                <w:tcPr>
                  <w:tcW w:w="401" w:type="pct"/>
                  <w:tcBorders>
                    <w:top w:val="single" w:sz="4" w:space="0" w:color="BFBFBF"/>
                  </w:tcBorders>
                  <w:vAlign w:val="center"/>
                </w:tcPr>
                <w:p w14:paraId="5CE3E9E2" w14:textId="7B9E70E0" w:rsidR="001237A2" w:rsidRPr="001237A2" w:rsidRDefault="001237A2" w:rsidP="001237A2">
                  <w:pPr>
                    <w:pStyle w:val="TableBodyText"/>
                  </w:pPr>
                  <w:r w:rsidRPr="001237A2">
                    <w:t xml:space="preserve">  3.6</w:t>
                  </w:r>
                </w:p>
              </w:tc>
              <w:tc>
                <w:tcPr>
                  <w:tcW w:w="401" w:type="pct"/>
                  <w:tcBorders>
                    <w:top w:val="single" w:sz="4" w:space="0" w:color="BFBFBF"/>
                  </w:tcBorders>
                  <w:vAlign w:val="center"/>
                </w:tcPr>
                <w:p w14:paraId="2E906D6D" w14:textId="085D4268" w:rsidR="001237A2" w:rsidRPr="001237A2" w:rsidRDefault="001237A2" w:rsidP="001237A2">
                  <w:pPr>
                    <w:pStyle w:val="TableBodyText"/>
                  </w:pPr>
                  <w:r w:rsidRPr="001237A2">
                    <w:t xml:space="preserve">  1.7</w:t>
                  </w:r>
                </w:p>
              </w:tc>
              <w:tc>
                <w:tcPr>
                  <w:tcW w:w="401" w:type="pct"/>
                  <w:tcBorders>
                    <w:top w:val="single" w:sz="4" w:space="0" w:color="BFBFBF"/>
                  </w:tcBorders>
                  <w:vAlign w:val="center"/>
                </w:tcPr>
                <w:p w14:paraId="75C2BEC5" w14:textId="7CC93B29" w:rsidR="001237A2" w:rsidRPr="001237A2" w:rsidRDefault="001237A2" w:rsidP="001237A2">
                  <w:pPr>
                    <w:pStyle w:val="TableBodyText"/>
                  </w:pPr>
                  <w:r w:rsidRPr="001237A2">
                    <w:t xml:space="preserve">  2.5</w:t>
                  </w:r>
                </w:p>
              </w:tc>
              <w:tc>
                <w:tcPr>
                  <w:tcW w:w="401" w:type="pct"/>
                  <w:tcBorders>
                    <w:top w:val="single" w:sz="4" w:space="0" w:color="BFBFBF"/>
                  </w:tcBorders>
                  <w:vAlign w:val="center"/>
                </w:tcPr>
                <w:p w14:paraId="4B1D730B" w14:textId="4EEF9A9D" w:rsidR="001237A2" w:rsidRPr="001237A2" w:rsidRDefault="001237A2" w:rsidP="001237A2">
                  <w:pPr>
                    <w:pStyle w:val="TableBodyText"/>
                  </w:pPr>
                  <w:r w:rsidRPr="001237A2">
                    <w:t xml:space="preserve">  0.9</w:t>
                  </w:r>
                </w:p>
              </w:tc>
              <w:tc>
                <w:tcPr>
                  <w:tcW w:w="398" w:type="pct"/>
                  <w:tcBorders>
                    <w:top w:val="single" w:sz="4" w:space="0" w:color="BFBFBF"/>
                  </w:tcBorders>
                  <w:vAlign w:val="center"/>
                </w:tcPr>
                <w:p w14:paraId="43D340FE" w14:textId="590B69A7" w:rsidR="001237A2" w:rsidRPr="001237A2" w:rsidRDefault="001237A2" w:rsidP="000D334D">
                  <w:pPr>
                    <w:pStyle w:val="TableBodyText"/>
                    <w:ind w:right="0"/>
                  </w:pPr>
                  <w:r w:rsidRPr="001237A2">
                    <w:t xml:space="preserve">  20.0</w:t>
                  </w:r>
                </w:p>
              </w:tc>
            </w:tr>
            <w:tr w:rsidR="001237A2" w:rsidRPr="007728ED" w14:paraId="0A7A40EA" w14:textId="77777777" w:rsidTr="00481CF3">
              <w:trPr>
                <w:trHeight w:val="227"/>
              </w:trPr>
              <w:tc>
                <w:tcPr>
                  <w:tcW w:w="1394" w:type="pct"/>
                </w:tcPr>
                <w:p w14:paraId="0038E56E" w14:textId="77777777" w:rsidR="001237A2" w:rsidRPr="000B6D4F" w:rsidRDefault="001237A2" w:rsidP="001237A2">
                  <w:pPr>
                    <w:pStyle w:val="TableBodyText"/>
                    <w:spacing w:before="40"/>
                    <w:jc w:val="left"/>
                    <w:rPr>
                      <w:rStyle w:val="NoteLabel"/>
                    </w:rPr>
                  </w:pPr>
                  <w:r w:rsidRPr="000B6D4F">
                    <w:t>District/County</w:t>
                  </w:r>
                </w:p>
              </w:tc>
              <w:tc>
                <w:tcPr>
                  <w:tcW w:w="435" w:type="pct"/>
                  <w:vAlign w:val="center"/>
                </w:tcPr>
                <w:p w14:paraId="21C65DF7" w14:textId="25E105BC" w:rsidR="001237A2" w:rsidRPr="001237A2" w:rsidRDefault="001237A2" w:rsidP="001237A2">
                  <w:pPr>
                    <w:pStyle w:val="TableBodyText"/>
                  </w:pPr>
                  <w:r w:rsidRPr="001237A2">
                    <w:t xml:space="preserve">  0.5</w:t>
                  </w:r>
                </w:p>
              </w:tc>
              <w:tc>
                <w:tcPr>
                  <w:tcW w:w="366" w:type="pct"/>
                  <w:vAlign w:val="center"/>
                </w:tcPr>
                <w:p w14:paraId="520F9EA1" w14:textId="44A5BD83" w:rsidR="001237A2" w:rsidRPr="001237A2" w:rsidRDefault="001237A2" w:rsidP="001237A2">
                  <w:pPr>
                    <w:pStyle w:val="TableBodyText"/>
                  </w:pPr>
                  <w:r w:rsidRPr="001237A2">
                    <w:t xml:space="preserve">  0.6</w:t>
                  </w:r>
                </w:p>
              </w:tc>
              <w:tc>
                <w:tcPr>
                  <w:tcW w:w="401" w:type="pct"/>
                  <w:vAlign w:val="center"/>
                </w:tcPr>
                <w:p w14:paraId="3C455CCE" w14:textId="2564179E" w:rsidR="001237A2" w:rsidRPr="001237A2" w:rsidRDefault="001237A2" w:rsidP="001237A2">
                  <w:pPr>
                    <w:pStyle w:val="TableBodyText"/>
                  </w:pPr>
                  <w:r w:rsidRPr="001237A2">
                    <w:t>na</w:t>
                  </w:r>
                </w:p>
              </w:tc>
              <w:tc>
                <w:tcPr>
                  <w:tcW w:w="401" w:type="pct"/>
                  <w:vAlign w:val="center"/>
                </w:tcPr>
                <w:p w14:paraId="4C062E44" w14:textId="0BEAD7C0" w:rsidR="001237A2" w:rsidRPr="001237A2" w:rsidRDefault="001237A2" w:rsidP="001237A2">
                  <w:pPr>
                    <w:pStyle w:val="TableBodyText"/>
                  </w:pPr>
                  <w:r w:rsidRPr="001237A2">
                    <w:t xml:space="preserve">  6.8</w:t>
                  </w:r>
                </w:p>
              </w:tc>
              <w:tc>
                <w:tcPr>
                  <w:tcW w:w="401" w:type="pct"/>
                  <w:vAlign w:val="center"/>
                </w:tcPr>
                <w:p w14:paraId="2429C1F8" w14:textId="4B63A1F0" w:rsidR="001237A2" w:rsidRPr="001237A2" w:rsidRDefault="001237A2" w:rsidP="001237A2">
                  <w:pPr>
                    <w:pStyle w:val="TableBodyText"/>
                  </w:pPr>
                  <w:r w:rsidRPr="001237A2">
                    <w:t xml:space="preserve">  2.2</w:t>
                  </w:r>
                </w:p>
              </w:tc>
              <w:tc>
                <w:tcPr>
                  <w:tcW w:w="401" w:type="pct"/>
                  <w:vAlign w:val="center"/>
                </w:tcPr>
                <w:p w14:paraId="710303B5" w14:textId="48484F13" w:rsidR="001237A2" w:rsidRPr="001237A2" w:rsidRDefault="001237A2" w:rsidP="001237A2">
                  <w:pPr>
                    <w:pStyle w:val="TableBodyText"/>
                  </w:pPr>
                  <w:r w:rsidRPr="001237A2">
                    <w:t>..</w:t>
                  </w:r>
                </w:p>
              </w:tc>
              <w:tc>
                <w:tcPr>
                  <w:tcW w:w="401" w:type="pct"/>
                  <w:vAlign w:val="center"/>
                </w:tcPr>
                <w:p w14:paraId="1BB234F0" w14:textId="190E7268" w:rsidR="001237A2" w:rsidRPr="001237A2" w:rsidRDefault="001237A2" w:rsidP="001237A2">
                  <w:pPr>
                    <w:pStyle w:val="TableBodyText"/>
                  </w:pPr>
                  <w:r w:rsidRPr="001237A2">
                    <w:t>..</w:t>
                  </w:r>
                </w:p>
              </w:tc>
              <w:tc>
                <w:tcPr>
                  <w:tcW w:w="401" w:type="pct"/>
                  <w:vAlign w:val="center"/>
                </w:tcPr>
                <w:p w14:paraId="1EA58A2B" w14:textId="5A47C5D7" w:rsidR="001237A2" w:rsidRPr="001237A2" w:rsidRDefault="001237A2" w:rsidP="001237A2">
                  <w:pPr>
                    <w:pStyle w:val="TableBodyText"/>
                  </w:pPr>
                  <w:r w:rsidRPr="001237A2">
                    <w:t>..</w:t>
                  </w:r>
                </w:p>
              </w:tc>
              <w:tc>
                <w:tcPr>
                  <w:tcW w:w="398" w:type="pct"/>
                  <w:vAlign w:val="center"/>
                </w:tcPr>
                <w:p w14:paraId="4FB26930" w14:textId="0E7D9C94" w:rsidR="001237A2" w:rsidRPr="001237A2" w:rsidRDefault="001237A2" w:rsidP="000D334D">
                  <w:pPr>
                    <w:pStyle w:val="TableBodyText"/>
                    <w:ind w:right="0"/>
                  </w:pPr>
                  <w:r w:rsidRPr="001237A2">
                    <w:t>..</w:t>
                  </w:r>
                </w:p>
              </w:tc>
            </w:tr>
            <w:tr w:rsidR="001237A2" w14:paraId="1F52817B" w14:textId="77777777" w:rsidTr="00481CF3">
              <w:trPr>
                <w:trHeight w:val="227"/>
              </w:trPr>
              <w:tc>
                <w:tcPr>
                  <w:tcW w:w="1394" w:type="pct"/>
                </w:tcPr>
                <w:p w14:paraId="0F1908C2" w14:textId="05875B31" w:rsidR="001237A2" w:rsidRPr="00121A7C" w:rsidRDefault="001237A2" w:rsidP="001237A2">
                  <w:pPr>
                    <w:pStyle w:val="TableBodyText"/>
                    <w:spacing w:before="40"/>
                    <w:jc w:val="left"/>
                    <w:rPr>
                      <w:rStyle w:val="NoteLabel"/>
                    </w:rPr>
                  </w:pPr>
                  <w:r>
                    <w:t>Magistrates</w:t>
                  </w:r>
                  <w:r w:rsidR="00FB0E06">
                    <w:t>’</w:t>
                  </w:r>
                  <w:r w:rsidR="007C73E3">
                    <w:t xml:space="preserve"> (only)</w:t>
                  </w:r>
                </w:p>
              </w:tc>
              <w:tc>
                <w:tcPr>
                  <w:tcW w:w="435" w:type="pct"/>
                  <w:vAlign w:val="center"/>
                </w:tcPr>
                <w:p w14:paraId="4E71B359" w14:textId="03EC9A95" w:rsidR="001237A2" w:rsidRPr="001237A2" w:rsidRDefault="001237A2" w:rsidP="001237A2">
                  <w:pPr>
                    <w:pStyle w:val="TableBodyText"/>
                  </w:pPr>
                  <w:r w:rsidRPr="001237A2">
                    <w:t xml:space="preserve">  0.3</w:t>
                  </w:r>
                </w:p>
              </w:tc>
              <w:tc>
                <w:tcPr>
                  <w:tcW w:w="366" w:type="pct"/>
                  <w:vAlign w:val="center"/>
                </w:tcPr>
                <w:p w14:paraId="7AFA31FF" w14:textId="26F2FE2D" w:rsidR="001237A2" w:rsidRPr="001237A2" w:rsidRDefault="001237A2" w:rsidP="001237A2">
                  <w:pPr>
                    <w:pStyle w:val="TableBodyText"/>
                  </w:pPr>
                  <w:r w:rsidRPr="001237A2">
                    <w:t>na</w:t>
                  </w:r>
                </w:p>
              </w:tc>
              <w:tc>
                <w:tcPr>
                  <w:tcW w:w="401" w:type="pct"/>
                  <w:vAlign w:val="center"/>
                </w:tcPr>
                <w:p w14:paraId="6B5D0D94" w14:textId="530DD917" w:rsidR="001237A2" w:rsidRPr="001237A2" w:rsidRDefault="001237A2" w:rsidP="001237A2">
                  <w:pPr>
                    <w:pStyle w:val="TableBodyText"/>
                  </w:pPr>
                  <w:r w:rsidRPr="001237A2">
                    <w:t>na</w:t>
                  </w:r>
                </w:p>
              </w:tc>
              <w:tc>
                <w:tcPr>
                  <w:tcW w:w="401" w:type="pct"/>
                  <w:vAlign w:val="center"/>
                </w:tcPr>
                <w:p w14:paraId="6BDED00A" w14:textId="554E31E7" w:rsidR="001237A2" w:rsidRPr="001237A2" w:rsidRDefault="001237A2" w:rsidP="001237A2">
                  <w:pPr>
                    <w:pStyle w:val="TableBodyText"/>
                  </w:pPr>
                  <w:r w:rsidRPr="001237A2">
                    <w:t xml:space="preserve">  2.4</w:t>
                  </w:r>
                </w:p>
              </w:tc>
              <w:tc>
                <w:tcPr>
                  <w:tcW w:w="401" w:type="pct"/>
                  <w:vAlign w:val="center"/>
                </w:tcPr>
                <w:p w14:paraId="5DDFF16A" w14:textId="33DD4FFF" w:rsidR="001237A2" w:rsidRPr="001237A2" w:rsidRDefault="001237A2" w:rsidP="001237A2">
                  <w:pPr>
                    <w:pStyle w:val="TableBodyText"/>
                  </w:pPr>
                  <w:r w:rsidRPr="001237A2">
                    <w:t xml:space="preserve">  0.4</w:t>
                  </w:r>
                </w:p>
              </w:tc>
              <w:tc>
                <w:tcPr>
                  <w:tcW w:w="401" w:type="pct"/>
                  <w:shd w:val="clear" w:color="auto" w:fill="auto"/>
                  <w:vAlign w:val="center"/>
                </w:tcPr>
                <w:p w14:paraId="733D4AFE" w14:textId="4C52C4C0" w:rsidR="001237A2" w:rsidRPr="001237A2" w:rsidRDefault="001237A2" w:rsidP="001237A2">
                  <w:pPr>
                    <w:pStyle w:val="TableBodyText"/>
                  </w:pPr>
                  <w:r w:rsidRPr="001237A2">
                    <w:t>na</w:t>
                  </w:r>
                </w:p>
              </w:tc>
              <w:tc>
                <w:tcPr>
                  <w:tcW w:w="401" w:type="pct"/>
                  <w:vAlign w:val="center"/>
                </w:tcPr>
                <w:p w14:paraId="1172EA29" w14:textId="54213FDA" w:rsidR="001237A2" w:rsidRPr="001237A2" w:rsidRDefault="00475D7F" w:rsidP="001237A2">
                  <w:pPr>
                    <w:pStyle w:val="TableBodyText"/>
                  </w:pPr>
                  <w:r>
                    <w:t xml:space="preserve">  </w:t>
                  </w:r>
                  <w:r w:rsidRPr="00AD0A9E">
                    <w:t>0.6</w:t>
                  </w:r>
                </w:p>
              </w:tc>
              <w:tc>
                <w:tcPr>
                  <w:tcW w:w="401" w:type="pct"/>
                  <w:vAlign w:val="center"/>
                </w:tcPr>
                <w:p w14:paraId="008DF25A" w14:textId="69D421CD" w:rsidR="001237A2" w:rsidRPr="001237A2" w:rsidRDefault="001237A2" w:rsidP="001237A2">
                  <w:pPr>
                    <w:pStyle w:val="TableBodyText"/>
                  </w:pPr>
                  <w:r w:rsidRPr="001237A2">
                    <w:t xml:space="preserve">  23.8</w:t>
                  </w:r>
                </w:p>
              </w:tc>
              <w:tc>
                <w:tcPr>
                  <w:tcW w:w="398" w:type="pct"/>
                  <w:vAlign w:val="center"/>
                </w:tcPr>
                <w:p w14:paraId="609716CC" w14:textId="0A21B06F" w:rsidR="001237A2" w:rsidRPr="001237A2" w:rsidRDefault="001237A2" w:rsidP="000D334D">
                  <w:pPr>
                    <w:pStyle w:val="TableBodyText"/>
                    <w:ind w:right="0"/>
                  </w:pPr>
                  <w:r w:rsidRPr="001237A2">
                    <w:t>..</w:t>
                  </w:r>
                </w:p>
              </w:tc>
            </w:tr>
            <w:tr w:rsidR="001237A2" w14:paraId="152A68B9" w14:textId="77777777" w:rsidTr="00481CF3">
              <w:trPr>
                <w:trHeight w:val="286"/>
              </w:trPr>
              <w:tc>
                <w:tcPr>
                  <w:tcW w:w="1394" w:type="pct"/>
                </w:tcPr>
                <w:p w14:paraId="3B3E03CE" w14:textId="77777777" w:rsidR="001237A2" w:rsidRPr="005E6DA1" w:rsidRDefault="001237A2" w:rsidP="001237A2">
                  <w:pPr>
                    <w:pStyle w:val="TableBodyText"/>
                    <w:spacing w:before="40"/>
                    <w:jc w:val="left"/>
                  </w:pPr>
                  <w:r w:rsidRPr="005E6DA1">
                    <w:t>Family</w:t>
                  </w:r>
                </w:p>
              </w:tc>
              <w:tc>
                <w:tcPr>
                  <w:tcW w:w="435" w:type="pct"/>
                  <w:vAlign w:val="center"/>
                </w:tcPr>
                <w:p w14:paraId="5524D18C" w14:textId="497A4892" w:rsidR="001237A2" w:rsidRPr="001237A2" w:rsidRDefault="001237A2" w:rsidP="001237A2">
                  <w:pPr>
                    <w:pStyle w:val="TableBodyText"/>
                  </w:pPr>
                  <w:r w:rsidRPr="001237A2">
                    <w:t>..</w:t>
                  </w:r>
                </w:p>
              </w:tc>
              <w:tc>
                <w:tcPr>
                  <w:tcW w:w="366" w:type="pct"/>
                  <w:vAlign w:val="center"/>
                </w:tcPr>
                <w:p w14:paraId="0087CE4A" w14:textId="733EF65B" w:rsidR="001237A2" w:rsidRPr="001237A2" w:rsidRDefault="001237A2" w:rsidP="001237A2">
                  <w:pPr>
                    <w:pStyle w:val="TableBodyText"/>
                  </w:pPr>
                  <w:r w:rsidRPr="001237A2">
                    <w:t>..</w:t>
                  </w:r>
                </w:p>
              </w:tc>
              <w:tc>
                <w:tcPr>
                  <w:tcW w:w="401" w:type="pct"/>
                  <w:vAlign w:val="center"/>
                </w:tcPr>
                <w:p w14:paraId="7501ABF8" w14:textId="517E01C9" w:rsidR="001237A2" w:rsidRPr="001237A2" w:rsidRDefault="001237A2" w:rsidP="001237A2">
                  <w:pPr>
                    <w:pStyle w:val="TableBodyText"/>
                  </w:pPr>
                  <w:r w:rsidRPr="001237A2">
                    <w:t>..</w:t>
                  </w:r>
                </w:p>
              </w:tc>
              <w:tc>
                <w:tcPr>
                  <w:tcW w:w="401" w:type="pct"/>
                  <w:vAlign w:val="center"/>
                </w:tcPr>
                <w:p w14:paraId="5C2F470C" w14:textId="6A175841" w:rsidR="001237A2" w:rsidRPr="001237A2" w:rsidRDefault="001237A2" w:rsidP="001237A2">
                  <w:pPr>
                    <w:pStyle w:val="TableBodyText"/>
                  </w:pPr>
                  <w:r w:rsidRPr="001237A2">
                    <w:t xml:space="preserve">  27.4</w:t>
                  </w:r>
                </w:p>
              </w:tc>
              <w:tc>
                <w:tcPr>
                  <w:tcW w:w="401" w:type="pct"/>
                  <w:vAlign w:val="center"/>
                </w:tcPr>
                <w:p w14:paraId="1CC589A1" w14:textId="1CA1A675" w:rsidR="001237A2" w:rsidRPr="001237A2" w:rsidRDefault="001237A2" w:rsidP="001237A2">
                  <w:pPr>
                    <w:pStyle w:val="TableBodyText"/>
                  </w:pPr>
                  <w:r w:rsidRPr="001237A2">
                    <w:t>..</w:t>
                  </w:r>
                </w:p>
              </w:tc>
              <w:tc>
                <w:tcPr>
                  <w:tcW w:w="401" w:type="pct"/>
                  <w:vAlign w:val="center"/>
                </w:tcPr>
                <w:p w14:paraId="613D990A" w14:textId="007B9F1D" w:rsidR="001237A2" w:rsidRPr="001237A2" w:rsidRDefault="001237A2" w:rsidP="001237A2">
                  <w:pPr>
                    <w:pStyle w:val="TableBodyText"/>
                  </w:pPr>
                  <w:r w:rsidRPr="001237A2">
                    <w:t>..</w:t>
                  </w:r>
                </w:p>
              </w:tc>
              <w:tc>
                <w:tcPr>
                  <w:tcW w:w="401" w:type="pct"/>
                  <w:vAlign w:val="center"/>
                </w:tcPr>
                <w:p w14:paraId="1324ED47" w14:textId="2193CF63" w:rsidR="001237A2" w:rsidRPr="001237A2" w:rsidRDefault="001237A2" w:rsidP="001237A2">
                  <w:pPr>
                    <w:pStyle w:val="TableBodyText"/>
                  </w:pPr>
                  <w:r w:rsidRPr="001237A2">
                    <w:t>..</w:t>
                  </w:r>
                </w:p>
              </w:tc>
              <w:tc>
                <w:tcPr>
                  <w:tcW w:w="401" w:type="pct"/>
                  <w:vAlign w:val="center"/>
                </w:tcPr>
                <w:p w14:paraId="0AAF6BB4" w14:textId="3E87D71E" w:rsidR="001237A2" w:rsidRPr="001237A2" w:rsidRDefault="001237A2" w:rsidP="001237A2">
                  <w:pPr>
                    <w:pStyle w:val="TableBodyText"/>
                  </w:pPr>
                  <w:r w:rsidRPr="001237A2">
                    <w:t>..</w:t>
                  </w:r>
                </w:p>
              </w:tc>
              <w:tc>
                <w:tcPr>
                  <w:tcW w:w="398" w:type="pct"/>
                  <w:vAlign w:val="center"/>
                </w:tcPr>
                <w:p w14:paraId="06C380A2" w14:textId="7C546A2E" w:rsidR="001237A2" w:rsidRPr="001237A2" w:rsidRDefault="001237A2" w:rsidP="000D334D">
                  <w:pPr>
                    <w:pStyle w:val="TableBodyText"/>
                    <w:ind w:right="0"/>
                  </w:pPr>
                  <w:r w:rsidRPr="001237A2">
                    <w:t xml:space="preserve">  19.7</w:t>
                  </w:r>
                </w:p>
              </w:tc>
            </w:tr>
            <w:tr w:rsidR="001237A2" w14:paraId="0E6A0E9F" w14:textId="77777777" w:rsidTr="00481CF3">
              <w:trPr>
                <w:trHeight w:val="227"/>
              </w:trPr>
              <w:tc>
                <w:tcPr>
                  <w:tcW w:w="1394" w:type="pct"/>
                  <w:tcBorders>
                    <w:bottom w:val="single" w:sz="4" w:space="0" w:color="BFBFBF"/>
                  </w:tcBorders>
                </w:tcPr>
                <w:p w14:paraId="17003895" w14:textId="77777777" w:rsidR="001237A2" w:rsidRPr="00770AC6" w:rsidRDefault="001237A2" w:rsidP="001237A2">
                  <w:pPr>
                    <w:pStyle w:val="TableBodyText"/>
                    <w:spacing w:before="40"/>
                    <w:jc w:val="left"/>
                    <w:rPr>
                      <w:rStyle w:val="NoteLabel"/>
                    </w:rPr>
                  </w:pPr>
                  <w:r w:rsidRPr="005E6DA1">
                    <w:t xml:space="preserve">Federal </w:t>
                  </w:r>
                  <w:r>
                    <w:t>Circuit</w:t>
                  </w:r>
                </w:p>
              </w:tc>
              <w:tc>
                <w:tcPr>
                  <w:tcW w:w="435" w:type="pct"/>
                  <w:tcBorders>
                    <w:bottom w:val="single" w:sz="4" w:space="0" w:color="BFBFBF"/>
                  </w:tcBorders>
                  <w:vAlign w:val="center"/>
                </w:tcPr>
                <w:p w14:paraId="7E876885" w14:textId="4D7A6BC8" w:rsidR="001237A2" w:rsidRPr="001237A2" w:rsidRDefault="001237A2" w:rsidP="001237A2">
                  <w:pPr>
                    <w:pStyle w:val="TableBodyText"/>
                  </w:pPr>
                  <w:r w:rsidRPr="001237A2">
                    <w:t>..</w:t>
                  </w:r>
                </w:p>
              </w:tc>
              <w:tc>
                <w:tcPr>
                  <w:tcW w:w="366" w:type="pct"/>
                  <w:tcBorders>
                    <w:bottom w:val="single" w:sz="4" w:space="0" w:color="BFBFBF"/>
                  </w:tcBorders>
                  <w:vAlign w:val="center"/>
                </w:tcPr>
                <w:p w14:paraId="2BC19F98" w14:textId="6C85C845" w:rsidR="001237A2" w:rsidRPr="001237A2" w:rsidRDefault="001237A2" w:rsidP="001237A2">
                  <w:pPr>
                    <w:pStyle w:val="TableBodyText"/>
                  </w:pPr>
                  <w:r w:rsidRPr="001237A2">
                    <w:t>..</w:t>
                  </w:r>
                </w:p>
              </w:tc>
              <w:tc>
                <w:tcPr>
                  <w:tcW w:w="401" w:type="pct"/>
                  <w:tcBorders>
                    <w:bottom w:val="single" w:sz="4" w:space="0" w:color="BFBFBF"/>
                  </w:tcBorders>
                  <w:vAlign w:val="center"/>
                </w:tcPr>
                <w:p w14:paraId="3E1445A3" w14:textId="6360FF7E" w:rsidR="001237A2" w:rsidRPr="001237A2" w:rsidRDefault="001237A2" w:rsidP="001237A2">
                  <w:pPr>
                    <w:pStyle w:val="TableBodyText"/>
                  </w:pPr>
                  <w:r w:rsidRPr="001237A2">
                    <w:t>..</w:t>
                  </w:r>
                </w:p>
              </w:tc>
              <w:tc>
                <w:tcPr>
                  <w:tcW w:w="401" w:type="pct"/>
                  <w:tcBorders>
                    <w:bottom w:val="single" w:sz="4" w:space="0" w:color="BFBFBF"/>
                  </w:tcBorders>
                  <w:vAlign w:val="center"/>
                </w:tcPr>
                <w:p w14:paraId="2AC059A1" w14:textId="1B366B81" w:rsidR="001237A2" w:rsidRPr="001237A2" w:rsidRDefault="001237A2" w:rsidP="001237A2">
                  <w:pPr>
                    <w:pStyle w:val="TableBodyText"/>
                  </w:pPr>
                  <w:r w:rsidRPr="001237A2">
                    <w:t>..</w:t>
                  </w:r>
                </w:p>
              </w:tc>
              <w:tc>
                <w:tcPr>
                  <w:tcW w:w="401" w:type="pct"/>
                  <w:tcBorders>
                    <w:bottom w:val="single" w:sz="4" w:space="0" w:color="BFBFBF"/>
                  </w:tcBorders>
                  <w:vAlign w:val="center"/>
                </w:tcPr>
                <w:p w14:paraId="303B400B" w14:textId="11C6E877" w:rsidR="001237A2" w:rsidRPr="001237A2" w:rsidRDefault="001237A2" w:rsidP="001237A2">
                  <w:pPr>
                    <w:pStyle w:val="TableBodyText"/>
                  </w:pPr>
                  <w:r w:rsidRPr="001237A2">
                    <w:t>..</w:t>
                  </w:r>
                </w:p>
              </w:tc>
              <w:tc>
                <w:tcPr>
                  <w:tcW w:w="401" w:type="pct"/>
                  <w:tcBorders>
                    <w:bottom w:val="single" w:sz="4" w:space="0" w:color="BFBFBF"/>
                  </w:tcBorders>
                  <w:vAlign w:val="center"/>
                </w:tcPr>
                <w:p w14:paraId="6C14B591" w14:textId="16D0E457" w:rsidR="001237A2" w:rsidRPr="001237A2" w:rsidRDefault="001237A2" w:rsidP="001237A2">
                  <w:pPr>
                    <w:pStyle w:val="TableBodyText"/>
                  </w:pPr>
                  <w:r w:rsidRPr="001237A2">
                    <w:t>..</w:t>
                  </w:r>
                </w:p>
              </w:tc>
              <w:tc>
                <w:tcPr>
                  <w:tcW w:w="401" w:type="pct"/>
                  <w:tcBorders>
                    <w:bottom w:val="single" w:sz="4" w:space="0" w:color="BFBFBF"/>
                  </w:tcBorders>
                  <w:vAlign w:val="center"/>
                </w:tcPr>
                <w:p w14:paraId="71867821" w14:textId="66D49F8A" w:rsidR="001237A2" w:rsidRPr="001237A2" w:rsidRDefault="001237A2" w:rsidP="001237A2">
                  <w:pPr>
                    <w:pStyle w:val="TableBodyText"/>
                  </w:pPr>
                  <w:r w:rsidRPr="001237A2">
                    <w:t>..</w:t>
                  </w:r>
                </w:p>
              </w:tc>
              <w:tc>
                <w:tcPr>
                  <w:tcW w:w="401" w:type="pct"/>
                  <w:tcBorders>
                    <w:bottom w:val="single" w:sz="4" w:space="0" w:color="BFBFBF"/>
                  </w:tcBorders>
                  <w:vAlign w:val="center"/>
                </w:tcPr>
                <w:p w14:paraId="4EBB7EF3" w14:textId="05F96B58" w:rsidR="001237A2" w:rsidRPr="001237A2" w:rsidRDefault="001237A2" w:rsidP="001237A2">
                  <w:pPr>
                    <w:pStyle w:val="TableBodyText"/>
                  </w:pPr>
                  <w:r w:rsidRPr="001237A2">
                    <w:t>..</w:t>
                  </w:r>
                </w:p>
              </w:tc>
              <w:tc>
                <w:tcPr>
                  <w:tcW w:w="398" w:type="pct"/>
                  <w:tcBorders>
                    <w:bottom w:val="single" w:sz="4" w:space="0" w:color="BFBFBF"/>
                  </w:tcBorders>
                  <w:vAlign w:val="center"/>
                </w:tcPr>
                <w:p w14:paraId="0A021EF3" w14:textId="4C97CC42" w:rsidR="001237A2" w:rsidRPr="001237A2" w:rsidRDefault="001237A2" w:rsidP="000D334D">
                  <w:pPr>
                    <w:pStyle w:val="TableBodyText"/>
                    <w:ind w:right="0"/>
                  </w:pPr>
                  <w:r w:rsidRPr="001237A2">
                    <w:t xml:space="preserve">  19.4</w:t>
                  </w:r>
                </w:p>
              </w:tc>
            </w:tr>
          </w:tbl>
          <w:p w14:paraId="15BFA209" w14:textId="77777777" w:rsidR="004A5035" w:rsidRDefault="004A5035" w:rsidP="00481CF3">
            <w:pPr>
              <w:pStyle w:val="Box"/>
            </w:pPr>
          </w:p>
        </w:tc>
      </w:tr>
      <w:tr w:rsidR="004A5035" w14:paraId="3E1E02D8" w14:textId="77777777" w:rsidTr="000F5ADF">
        <w:trPr>
          <w:cantSplit/>
        </w:trPr>
        <w:tc>
          <w:tcPr>
            <w:tcW w:w="8789" w:type="dxa"/>
            <w:tcBorders>
              <w:top w:val="nil"/>
              <w:left w:val="nil"/>
              <w:bottom w:val="nil"/>
              <w:right w:val="nil"/>
            </w:tcBorders>
            <w:shd w:val="clear" w:color="auto" w:fill="auto"/>
          </w:tcPr>
          <w:p w14:paraId="737A83C5" w14:textId="63D72FAC" w:rsidR="004A5035" w:rsidRDefault="004A5035" w:rsidP="00481CF3">
            <w:pPr>
              <w:pStyle w:val="Note"/>
              <w:rPr>
                <w:i/>
              </w:rPr>
            </w:pPr>
            <w:r w:rsidRPr="005A68E9">
              <w:rPr>
                <w:rStyle w:val="NoteLabel"/>
              </w:rPr>
              <w:t>a</w:t>
            </w:r>
            <w:r w:rsidRPr="005A68E9">
              <w:t xml:space="preserve"> Total payable civil court fees include court fees collected, waived or reduced. Excludes enforcement, transcript, probate and mediation fees. </w:t>
            </w:r>
            <w:r w:rsidRPr="005A68E9">
              <w:rPr>
                <w:rStyle w:val="NoteLabel"/>
              </w:rPr>
              <w:t>b</w:t>
            </w:r>
            <w:r w:rsidRPr="005A68E9">
              <w:t> Queensland has no provision for waiving fees and is currently unable to provide data on fee reductions.</w:t>
            </w:r>
            <w:r w:rsidR="00AA64F0">
              <w:t xml:space="preserve"> </w:t>
            </w:r>
            <w:r w:rsidR="00AA64F0">
              <w:rPr>
                <w:rStyle w:val="NoteLabel"/>
              </w:rPr>
              <w:t>c</w:t>
            </w:r>
            <w:r w:rsidR="00AA64F0">
              <w:t> The NT Magistrates</w:t>
            </w:r>
            <w:r w:rsidR="00FB0E06">
              <w:t>’</w:t>
            </w:r>
            <w:r w:rsidR="00AA64F0">
              <w:t xml:space="preserve"> court granted fee waivers for a large number of statements of claim</w:t>
            </w:r>
            <w:r w:rsidR="00EF6F52">
              <w:t xml:space="preserve"> lodged</w:t>
            </w:r>
            <w:r w:rsidRPr="005A68E9">
              <w:t xml:space="preserve"> </w:t>
            </w:r>
            <w:r w:rsidR="00AA64F0">
              <w:t xml:space="preserve">during the financial year. </w:t>
            </w:r>
            <w:r w:rsidRPr="005A68E9">
              <w:rPr>
                <w:b/>
              </w:rPr>
              <w:t>na </w:t>
            </w:r>
            <w:r w:rsidRPr="005A68E9">
              <w:t xml:space="preserve">Not available. </w:t>
            </w:r>
            <w:r w:rsidRPr="007233C5">
              <w:t>..</w:t>
            </w:r>
            <w:r w:rsidRPr="005A68E9">
              <w:rPr>
                <w:b/>
              </w:rPr>
              <w:t> </w:t>
            </w:r>
            <w:r w:rsidRPr="005A68E9">
              <w:t>Not applicable</w:t>
            </w:r>
            <w:r>
              <w:t>.</w:t>
            </w:r>
          </w:p>
        </w:tc>
      </w:tr>
      <w:tr w:rsidR="004A5035" w14:paraId="1B895641" w14:textId="77777777" w:rsidTr="000F5ADF">
        <w:trPr>
          <w:cantSplit/>
        </w:trPr>
        <w:tc>
          <w:tcPr>
            <w:tcW w:w="8789" w:type="dxa"/>
            <w:tcBorders>
              <w:top w:val="nil"/>
              <w:left w:val="nil"/>
              <w:bottom w:val="nil"/>
              <w:right w:val="nil"/>
            </w:tcBorders>
            <w:shd w:val="clear" w:color="auto" w:fill="auto"/>
          </w:tcPr>
          <w:p w14:paraId="205FF010" w14:textId="77777777" w:rsidR="004A5035" w:rsidRDefault="004A5035" w:rsidP="00481CF3">
            <w:pPr>
              <w:pStyle w:val="Source"/>
            </w:pPr>
            <w:r>
              <w:rPr>
                <w:i/>
              </w:rPr>
              <w:t>Source</w:t>
            </w:r>
            <w:r w:rsidRPr="00AF5D20">
              <w:t>:</w:t>
            </w:r>
            <w:r w:rsidRPr="005A68E9">
              <w:t xml:space="preserve"> Australian, State and Territory court authorities and departments (unpublished)</w:t>
            </w:r>
            <w:r>
              <w:t>.</w:t>
            </w:r>
          </w:p>
        </w:tc>
      </w:tr>
      <w:tr w:rsidR="004A5035" w14:paraId="7586490F" w14:textId="77777777" w:rsidTr="000F5ADF">
        <w:trPr>
          <w:cantSplit/>
        </w:trPr>
        <w:tc>
          <w:tcPr>
            <w:tcW w:w="8789" w:type="dxa"/>
            <w:tcBorders>
              <w:top w:val="nil"/>
              <w:left w:val="nil"/>
              <w:bottom w:val="single" w:sz="6" w:space="0" w:color="78A22F"/>
              <w:right w:val="nil"/>
            </w:tcBorders>
            <w:shd w:val="clear" w:color="auto" w:fill="auto"/>
          </w:tcPr>
          <w:p w14:paraId="7EBEB72E" w14:textId="77777777" w:rsidR="004A5035" w:rsidRDefault="004A5035" w:rsidP="00481CF3">
            <w:pPr>
              <w:pStyle w:val="Box"/>
              <w:spacing w:before="0" w:line="120" w:lineRule="exact"/>
            </w:pPr>
          </w:p>
        </w:tc>
      </w:tr>
      <w:tr w:rsidR="004A5035" w:rsidRPr="000863A5" w14:paraId="10D77507" w14:textId="77777777" w:rsidTr="000F5ADF">
        <w:tc>
          <w:tcPr>
            <w:tcW w:w="8789" w:type="dxa"/>
            <w:tcBorders>
              <w:top w:val="single" w:sz="6" w:space="0" w:color="78A22F"/>
              <w:left w:val="nil"/>
              <w:bottom w:val="nil"/>
              <w:right w:val="nil"/>
            </w:tcBorders>
          </w:tcPr>
          <w:p w14:paraId="3BADAD20" w14:textId="77777777" w:rsidR="004A5035" w:rsidRPr="00626D32" w:rsidRDefault="004A5035" w:rsidP="00481CF3">
            <w:pPr>
              <w:pStyle w:val="BoxSpaceBelow"/>
            </w:pPr>
          </w:p>
        </w:tc>
      </w:tr>
    </w:tbl>
    <w:p w14:paraId="5F941A29" w14:textId="77777777" w:rsidR="003A3E27" w:rsidRDefault="003A3E27" w:rsidP="00E22551">
      <w:pPr>
        <w:pStyle w:val="Heading3"/>
        <w:spacing w:before="480"/>
      </w:pPr>
      <w:r>
        <w:t>Size and scope of court activity</w:t>
      </w:r>
    </w:p>
    <w:p w14:paraId="4FBC833D" w14:textId="77777777" w:rsidR="00933970" w:rsidRPr="00836361" w:rsidRDefault="00933970" w:rsidP="003962E4">
      <w:pPr>
        <w:pStyle w:val="Heading4"/>
        <w:rPr>
          <w:rStyle w:val="DraftingNote"/>
          <w:color w:val="auto"/>
        </w:rPr>
      </w:pPr>
      <w:r w:rsidRPr="002F4282">
        <w:t>Staffing</w:t>
      </w:r>
      <w:r w:rsidR="00B2315C" w:rsidRPr="002F4282">
        <w:t xml:space="preserve"> </w:t>
      </w:r>
    </w:p>
    <w:p w14:paraId="0E03AE07" w14:textId="3DA2FD21" w:rsidR="00933970" w:rsidRPr="00431DA3" w:rsidRDefault="00933970" w:rsidP="00836361">
      <w:pPr>
        <w:pStyle w:val="BodyText"/>
      </w:pPr>
      <w:r w:rsidRPr="00431DA3">
        <w:t>Descriptive information on the numbers of judicial officers and full time equivalent st</w:t>
      </w:r>
      <w:r w:rsidR="00E65451">
        <w:t>aff can be found in tables 7A.24–26</w:t>
      </w:r>
      <w:r w:rsidRPr="00431DA3">
        <w:t>.</w:t>
      </w:r>
    </w:p>
    <w:p w14:paraId="3E38077A" w14:textId="77777777" w:rsidR="003962E4" w:rsidRDefault="003962E4" w:rsidP="00E22551">
      <w:pPr>
        <w:pStyle w:val="Heading4"/>
        <w:spacing w:before="360"/>
      </w:pPr>
      <w:r>
        <w:t>Lodgments</w:t>
      </w:r>
    </w:p>
    <w:p w14:paraId="0537C854" w14:textId="30D5A1F2" w:rsidR="003A3E27" w:rsidRPr="00DF2105" w:rsidRDefault="003962E4" w:rsidP="00B704B3">
      <w:pPr>
        <w:pStyle w:val="BodyText"/>
        <w:rPr>
          <w:strike/>
        </w:rPr>
      </w:pPr>
      <w:r>
        <w:t xml:space="preserve">Lodgments are matters initiated in the court </w:t>
      </w:r>
      <w:r w:rsidRPr="00295FA5">
        <w:t>system</w:t>
      </w:r>
      <w:r w:rsidR="000E0DE8" w:rsidRPr="00295FA5">
        <w:t xml:space="preserve"> and provide the basis for court workload as well as reflect</w:t>
      </w:r>
      <w:r w:rsidR="009D385B" w:rsidRPr="00295FA5">
        <w:t>ing</w:t>
      </w:r>
      <w:r w:rsidR="000E0DE8" w:rsidRPr="00295FA5">
        <w:t xml:space="preserve"> community demand for court </w:t>
      </w:r>
      <w:r w:rsidR="000E0DE8" w:rsidRPr="00FC5229">
        <w:rPr>
          <w:color w:val="000000" w:themeColor="text1"/>
        </w:rPr>
        <w:t>services (</w:t>
      </w:r>
      <w:r w:rsidR="009952E2" w:rsidRPr="00FC5229">
        <w:rPr>
          <w:color w:val="000000" w:themeColor="text1"/>
        </w:rPr>
        <w:t xml:space="preserve">see </w:t>
      </w:r>
      <w:r w:rsidR="002F38B9" w:rsidRPr="00FC5229">
        <w:rPr>
          <w:color w:val="000000" w:themeColor="text1"/>
        </w:rPr>
        <w:t>t</w:t>
      </w:r>
      <w:r w:rsidR="000E0DE8" w:rsidRPr="00FC5229">
        <w:rPr>
          <w:color w:val="000000" w:themeColor="text1"/>
        </w:rPr>
        <w:t>able</w:t>
      </w:r>
      <w:r w:rsidR="004758FA" w:rsidRPr="00FC5229">
        <w:rPr>
          <w:color w:val="000000" w:themeColor="text1"/>
        </w:rPr>
        <w:t>s</w:t>
      </w:r>
      <w:r w:rsidR="000E0DE8" w:rsidRPr="00FC5229">
        <w:rPr>
          <w:color w:val="000000" w:themeColor="text1"/>
        </w:rPr>
        <w:t xml:space="preserve"> 7A.1</w:t>
      </w:r>
      <w:r w:rsidR="003C4BB2">
        <w:rPr>
          <w:color w:val="000000" w:themeColor="text1"/>
        </w:rPr>
        <w:t>–</w:t>
      </w:r>
      <w:r w:rsidR="007E2198" w:rsidRPr="00FC5229">
        <w:rPr>
          <w:color w:val="000000" w:themeColor="text1"/>
        </w:rPr>
        <w:t>2</w:t>
      </w:r>
      <w:r w:rsidR="004758FA" w:rsidRPr="00FC5229">
        <w:rPr>
          <w:color w:val="000000" w:themeColor="text1"/>
        </w:rPr>
        <w:t xml:space="preserve"> </w:t>
      </w:r>
      <w:r w:rsidR="009952E2" w:rsidRPr="00FC5229">
        <w:rPr>
          <w:color w:val="000000" w:themeColor="text1"/>
        </w:rPr>
        <w:t>for</w:t>
      </w:r>
      <w:r w:rsidR="000E0DE8" w:rsidRPr="00FC5229">
        <w:rPr>
          <w:color w:val="000000" w:themeColor="text1"/>
        </w:rPr>
        <w:t xml:space="preserve"> </w:t>
      </w:r>
      <w:r w:rsidR="002F38B9" w:rsidRPr="00295FA5">
        <w:t xml:space="preserve">further </w:t>
      </w:r>
      <w:r w:rsidR="000E0DE8" w:rsidRPr="00295FA5">
        <w:t>information)</w:t>
      </w:r>
      <w:r w:rsidRPr="00295FA5">
        <w:t xml:space="preserve">. </w:t>
      </w:r>
    </w:p>
    <w:p w14:paraId="1B942FC9" w14:textId="7FBEB299" w:rsidR="0089394E" w:rsidRDefault="0089394E" w:rsidP="00DF2105">
      <w:pPr>
        <w:pStyle w:val="Heading5"/>
      </w:pPr>
      <w:r>
        <w:t>State and territory courts</w:t>
      </w:r>
    </w:p>
    <w:p w14:paraId="31182092" w14:textId="38B0C519" w:rsidR="00711C1D" w:rsidRDefault="003A3E27" w:rsidP="000B5CEA">
      <w:pPr>
        <w:pStyle w:val="BodyText"/>
      </w:pPr>
      <w:r w:rsidRPr="001E01DB">
        <w:t xml:space="preserve">Nationally, there were </w:t>
      </w:r>
      <w:r w:rsidR="004C0AEA" w:rsidRPr="00AD0A9E">
        <w:t>825</w:t>
      </w:r>
      <w:r w:rsidR="00E728BF" w:rsidRPr="00AD0A9E">
        <w:t> </w:t>
      </w:r>
      <w:r w:rsidR="004C0AEA" w:rsidRPr="00AD0A9E">
        <w:t>202</w:t>
      </w:r>
      <w:r w:rsidR="001346FE" w:rsidRPr="00E728BF">
        <w:t xml:space="preserve"> </w:t>
      </w:r>
      <w:r w:rsidR="001346FE">
        <w:t>criminal</w:t>
      </w:r>
      <w:r w:rsidR="00246735">
        <w:t xml:space="preserve"> </w:t>
      </w:r>
      <w:r w:rsidR="000B5CEA" w:rsidRPr="002A2587">
        <w:t xml:space="preserve">lodgments registered in </w:t>
      </w:r>
      <w:r w:rsidR="002A7490">
        <w:t>the supreme, district/county,</w:t>
      </w:r>
      <w:r w:rsidR="000B5CEA" w:rsidRPr="002A2587">
        <w:t xml:space="preserve"> magistrates’ </w:t>
      </w:r>
      <w:r w:rsidR="002A7490">
        <w:t xml:space="preserve">and children’s </w:t>
      </w:r>
      <w:r w:rsidR="000B5CEA" w:rsidRPr="002A2587">
        <w:t xml:space="preserve">courts </w:t>
      </w:r>
      <w:r w:rsidR="000B5CEA" w:rsidRPr="00980FD3">
        <w:t>in 201</w:t>
      </w:r>
      <w:r w:rsidR="00F71E0E">
        <w:t>6</w:t>
      </w:r>
      <w:r w:rsidR="000B5CEA" w:rsidRPr="00980FD3">
        <w:noBreakHyphen/>
        <w:t>1</w:t>
      </w:r>
      <w:r w:rsidR="00F71E0E">
        <w:t>7</w:t>
      </w:r>
      <w:r w:rsidR="000B5CEA" w:rsidRPr="00980FD3">
        <w:t xml:space="preserve"> </w:t>
      </w:r>
      <w:r w:rsidR="000B5CEA" w:rsidRPr="00A31A94">
        <w:t>(</w:t>
      </w:r>
      <w:r w:rsidR="000B5CEA">
        <w:t>table 7</w:t>
      </w:r>
      <w:r w:rsidR="000710EF">
        <w:t>A</w:t>
      </w:r>
      <w:r w:rsidR="000B5CEA" w:rsidRPr="00A31A94">
        <w:t>.</w:t>
      </w:r>
      <w:r w:rsidR="000710EF">
        <w:t>1</w:t>
      </w:r>
      <w:r w:rsidR="000B5CEA" w:rsidRPr="00A31A94">
        <w:t>)</w:t>
      </w:r>
      <w:r w:rsidR="001346FE">
        <w:t xml:space="preserve"> compared with</w:t>
      </w:r>
      <w:r w:rsidR="00034CEC" w:rsidRPr="00DF2105">
        <w:rPr>
          <w:color w:val="FF0000"/>
        </w:rPr>
        <w:t xml:space="preserve"> </w:t>
      </w:r>
      <w:r w:rsidR="00E728BF" w:rsidRPr="00E728BF">
        <w:t>436 333</w:t>
      </w:r>
      <w:r w:rsidR="00034CEC" w:rsidRPr="00E728BF">
        <w:t xml:space="preserve"> </w:t>
      </w:r>
      <w:r w:rsidR="001346FE" w:rsidRPr="00E728BF">
        <w:t xml:space="preserve">civil </w:t>
      </w:r>
      <w:r w:rsidR="009952E2" w:rsidRPr="00295FA5">
        <w:t>lodgments</w:t>
      </w:r>
      <w:r w:rsidR="00FC5229">
        <w:t xml:space="preserve"> (table 7A.2</w:t>
      </w:r>
      <w:r w:rsidR="00034CEC" w:rsidRPr="00295FA5">
        <w:t>).</w:t>
      </w:r>
      <w:r w:rsidR="00DF6EC7" w:rsidRPr="00295FA5">
        <w:t xml:space="preserve"> An additional </w:t>
      </w:r>
      <w:r w:rsidR="00494B1F" w:rsidRPr="00494B1F">
        <w:t>75 775</w:t>
      </w:r>
      <w:r w:rsidR="00DF6EC7" w:rsidRPr="00494B1F">
        <w:t xml:space="preserve"> </w:t>
      </w:r>
      <w:r w:rsidR="00DF6EC7" w:rsidRPr="00295FA5">
        <w:t>probate matters were lodged in the supreme courts (table 7</w:t>
      </w:r>
      <w:r w:rsidR="0084732B" w:rsidRPr="00295FA5">
        <w:t>A</w:t>
      </w:r>
      <w:r w:rsidR="00DF6EC7" w:rsidRPr="00295FA5">
        <w:t>.</w:t>
      </w:r>
      <w:r w:rsidR="00FC5229">
        <w:t>2</w:t>
      </w:r>
      <w:r w:rsidR="00DF6EC7" w:rsidRPr="00295FA5">
        <w:t>).</w:t>
      </w:r>
      <w:r w:rsidR="00C472D7" w:rsidRPr="00295FA5">
        <w:t xml:space="preserve"> Lodgments were higher in the criminal courts than civil courts across all states and territories (</w:t>
      </w:r>
      <w:r w:rsidR="002C64D9">
        <w:t>f</w:t>
      </w:r>
      <w:r w:rsidR="002C64D9" w:rsidRPr="00295FA5">
        <w:t xml:space="preserve">igure </w:t>
      </w:r>
      <w:r w:rsidR="00C472D7" w:rsidRPr="00295FA5">
        <w:t>7.2).</w:t>
      </w:r>
      <w:r w:rsidR="00F71E0E" w:rsidRPr="00295FA5">
        <w:t xml:space="preserve"> </w:t>
      </w:r>
      <w:r w:rsidR="00711C1D" w:rsidRPr="00D025E3">
        <w:t xml:space="preserve">In the coroners’ courts, there </w:t>
      </w:r>
      <w:r w:rsidR="00711C1D" w:rsidRPr="00DE57B1">
        <w:t xml:space="preserve">were </w:t>
      </w:r>
      <w:r w:rsidR="00494B1F">
        <w:t>24 296</w:t>
      </w:r>
      <w:r w:rsidR="00332123">
        <w:t xml:space="preserve"> </w:t>
      </w:r>
      <w:r w:rsidR="00711C1D" w:rsidRPr="00D025E3">
        <w:t>deaths and fires</w:t>
      </w:r>
      <w:r w:rsidR="00332123">
        <w:t xml:space="preserve"> reported</w:t>
      </w:r>
      <w:r w:rsidR="009952E2">
        <w:t>, with rates</w:t>
      </w:r>
      <w:r w:rsidR="00711C1D">
        <w:t xml:space="preserve"> vary</w:t>
      </w:r>
      <w:r w:rsidR="009952E2">
        <w:t>ing</w:t>
      </w:r>
      <w:r w:rsidR="00711C1D">
        <w:t xml:space="preserve"> across jurisdictions as a result of different re</w:t>
      </w:r>
      <w:r w:rsidR="00FC5229">
        <w:t>porting requirements (table 7A.2</w:t>
      </w:r>
      <w:r w:rsidR="00711C1D">
        <w:t>).</w:t>
      </w:r>
    </w:p>
    <w:p w14:paraId="1326D92C" w14:textId="374F8198" w:rsidR="004758FA" w:rsidRPr="009D2096" w:rsidRDefault="004758FA" w:rsidP="00FD517E">
      <w:pPr>
        <w:pStyle w:val="BodyText"/>
        <w:spacing w:after="60"/>
      </w:pPr>
      <w:r w:rsidRPr="009D2096">
        <w:t>The vast majority of both criminal and civil matters in Aust</w:t>
      </w:r>
      <w:r w:rsidR="004733A9" w:rsidRPr="009D2096">
        <w:t>ralia</w:t>
      </w:r>
      <w:r w:rsidRPr="009D2096">
        <w:t xml:space="preserve"> in 201</w:t>
      </w:r>
      <w:r w:rsidR="00C26B3A" w:rsidRPr="009D2096">
        <w:t>6</w:t>
      </w:r>
      <w:r w:rsidRPr="009D2096">
        <w:noBreakHyphen/>
        <w:t>1</w:t>
      </w:r>
      <w:r w:rsidR="00C26B3A" w:rsidRPr="009D2096">
        <w:t>7</w:t>
      </w:r>
      <w:r w:rsidRPr="009D2096">
        <w:t xml:space="preserve"> were lodged in magistrates’ courts (</w:t>
      </w:r>
      <w:r w:rsidR="00F50359" w:rsidRPr="009D2096">
        <w:t xml:space="preserve">see </w:t>
      </w:r>
      <w:r w:rsidR="002C64D9">
        <w:t>f</w:t>
      </w:r>
      <w:r w:rsidR="002C64D9" w:rsidRPr="009D2096">
        <w:t xml:space="preserve">igure </w:t>
      </w:r>
      <w:r w:rsidR="00F50359" w:rsidRPr="009D2096">
        <w:t xml:space="preserve">7.2). </w:t>
      </w:r>
      <w:r w:rsidRPr="009D2096">
        <w:t>The number of l</w:t>
      </w:r>
      <w:r w:rsidR="008C5786">
        <w:t>odgments per 100 000 people can a</w:t>
      </w:r>
      <w:r w:rsidRPr="009D2096">
        <w:t>ssist in understanding the comparative workload of a court in relation to the population of the State or Territory</w:t>
      </w:r>
      <w:r w:rsidR="00367437" w:rsidRPr="009D2096">
        <w:t xml:space="preserve"> (see t</w:t>
      </w:r>
      <w:r w:rsidR="00DA42D6">
        <w:t>ables 7A.3 (criminal) and 7A.4</w:t>
      </w:r>
      <w:r w:rsidRPr="009D2096">
        <w:t xml:space="preserve"> (civil) </w:t>
      </w:r>
      <w:r w:rsidR="00367437" w:rsidRPr="009D2096">
        <w:t xml:space="preserve">for </w:t>
      </w:r>
      <w:r w:rsidRPr="009D2096">
        <w:t xml:space="preserve">data </w:t>
      </w:r>
      <w:r w:rsidR="00367437" w:rsidRPr="009D2096">
        <w:t>by</w:t>
      </w:r>
      <w:r w:rsidRPr="009D2096">
        <w:t xml:space="preserve"> State and Territory</w:t>
      </w:r>
      <w:r w:rsidR="00367437" w:rsidRPr="009D2096">
        <w:t>)</w:t>
      </w:r>
      <w:r w:rsidRPr="009D2096">
        <w:t>.</w:t>
      </w:r>
    </w:p>
    <w:p w14:paraId="5A6C40F5" w14:textId="67E9C5DA" w:rsidR="002C3131" w:rsidRDefault="002C3131" w:rsidP="00FD517E">
      <w:pPr>
        <w:pStyle w:val="BoxSpaceAbove"/>
        <w:spacing w:before="16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C3131" w14:paraId="57792CEB" w14:textId="77777777" w:rsidTr="000F5ADF">
        <w:trPr>
          <w:tblHeader/>
        </w:trPr>
        <w:tc>
          <w:tcPr>
            <w:tcW w:w="8789" w:type="dxa"/>
            <w:tcBorders>
              <w:top w:val="single" w:sz="6" w:space="0" w:color="78A22F"/>
              <w:left w:val="nil"/>
              <w:bottom w:val="nil"/>
              <w:right w:val="nil"/>
            </w:tcBorders>
            <w:shd w:val="clear" w:color="auto" w:fill="auto"/>
          </w:tcPr>
          <w:p w14:paraId="06110F00" w14:textId="76179C9D" w:rsidR="002C3131" w:rsidRPr="00176D3F" w:rsidRDefault="002C3131" w:rsidP="00F8716A">
            <w:pPr>
              <w:pStyle w:val="FigureTitle"/>
            </w:pPr>
            <w:r w:rsidRPr="00784A05">
              <w:rPr>
                <w:b w:val="0"/>
              </w:rPr>
              <w:t xml:space="preserve">Figure </w:t>
            </w:r>
            <w:r w:rsidR="004B272B">
              <w:rPr>
                <w:b w:val="0"/>
              </w:rPr>
              <w:t>7.</w:t>
            </w:r>
            <w:r w:rsidR="002602F1">
              <w:rPr>
                <w:b w:val="0"/>
                <w:noProof/>
              </w:rPr>
              <w:t>2</w:t>
            </w:r>
            <w:r w:rsidR="00330E6C">
              <w:tab/>
              <w:t xml:space="preserve">Court lodgments – criminal and civil, by court level, </w:t>
            </w:r>
            <w:r w:rsidR="00195148">
              <w:br/>
            </w:r>
            <w:r w:rsidR="00313083" w:rsidRPr="00313083">
              <w:t>2016</w:t>
            </w:r>
            <w:r w:rsidR="00313083" w:rsidRPr="00195148">
              <w:t>-17</w:t>
            </w:r>
            <w:r w:rsidR="002C64D9" w:rsidRPr="00195148">
              <w:rPr>
                <w:rStyle w:val="NoteLabel"/>
                <w:b/>
                <w:szCs w:val="20"/>
              </w:rPr>
              <w:t>a, b</w:t>
            </w:r>
            <w:r w:rsidR="00600324" w:rsidRPr="00195148">
              <w:rPr>
                <w:rStyle w:val="NoteLabel"/>
                <w:b/>
                <w:szCs w:val="20"/>
              </w:rPr>
              <w:t xml:space="preserve"> </w:t>
            </w:r>
          </w:p>
        </w:tc>
      </w:tr>
      <w:tr w:rsidR="002C3131" w14:paraId="7F002808" w14:textId="77777777" w:rsidTr="000F5ADF">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C3131" w:rsidRPr="00B1465D" w14:paraId="18096743" w14:textId="77777777" w:rsidTr="009E793F">
              <w:trPr>
                <w:tblHeader/>
                <w:jc w:val="center"/>
              </w:trPr>
              <w:tc>
                <w:tcPr>
                  <w:tcW w:w="5000" w:type="pct"/>
                  <w:tcBorders>
                    <w:top w:val="nil"/>
                    <w:bottom w:val="nil"/>
                  </w:tcBorders>
                </w:tcPr>
                <w:p w14:paraId="5EBD1CDE" w14:textId="76A9781E" w:rsidR="002C3131" w:rsidRPr="00B1465D" w:rsidRDefault="009E793F" w:rsidP="009E793F">
                  <w:pPr>
                    <w:pStyle w:val="Figure"/>
                    <w:spacing w:before="60" w:after="60"/>
                    <w:jc w:val="left"/>
                    <w:rPr>
                      <w:rFonts w:ascii="Arial" w:hAnsi="Arial" w:cs="Arial"/>
                      <w:sz w:val="18"/>
                      <w:szCs w:val="18"/>
                    </w:rPr>
                  </w:pPr>
                  <w:r>
                    <w:rPr>
                      <w:rFonts w:ascii="Arial" w:hAnsi="Arial" w:cs="Arial"/>
                      <w:noProof/>
                      <w:sz w:val="18"/>
                      <w:szCs w:val="18"/>
                    </w:rPr>
                    <w:drawing>
                      <wp:inline distT="0" distB="0" distL="0" distR="0" wp14:anchorId="7D72A99A" wp14:editId="3DC1E935">
                        <wp:extent cx="3459480" cy="2522220"/>
                        <wp:effectExtent l="0" t="0" r="7620" b="0"/>
                        <wp:docPr id="28" name="Picture 28" descr="More details can be found within the text surrounding this image." title="Figure 7.2 Court lodgments – criminal and civil, by court leve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2522220"/>
                                </a:xfrm>
                                <a:prstGeom prst="rect">
                                  <a:avLst/>
                                </a:prstGeom>
                                <a:noFill/>
                              </pic:spPr>
                            </pic:pic>
                          </a:graphicData>
                        </a:graphic>
                      </wp:inline>
                    </w:drawing>
                  </w:r>
                  <w:r w:rsidR="00DC58B9">
                    <w:rPr>
                      <w:rFonts w:ascii="Arial" w:hAnsi="Arial" w:cs="Arial"/>
                      <w:noProof/>
                      <w:sz w:val="18"/>
                      <w:szCs w:val="18"/>
                    </w:rPr>
                    <w:drawing>
                      <wp:inline distT="0" distB="0" distL="0" distR="0" wp14:anchorId="2939EE32" wp14:editId="3FE333FA">
                        <wp:extent cx="1805940" cy="2522220"/>
                        <wp:effectExtent l="0" t="0" r="3810" b="0"/>
                        <wp:docPr id="1" name="Picture 1" descr="More details can be found within the text surrounding this image." title="Figure 7.2 Court lodgments – criminal and civil, by court leve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2522220"/>
                                </a:xfrm>
                                <a:prstGeom prst="rect">
                                  <a:avLst/>
                                </a:prstGeom>
                                <a:noFill/>
                              </pic:spPr>
                            </pic:pic>
                          </a:graphicData>
                        </a:graphic>
                      </wp:inline>
                    </w:drawing>
                  </w:r>
                  <w:r w:rsidR="002C3131">
                    <w:rPr>
                      <w:rFonts w:ascii="Arial" w:hAnsi="Arial" w:cs="Arial"/>
                      <w:sz w:val="18"/>
                      <w:szCs w:val="18"/>
                    </w:rPr>
                    <w:br/>
                  </w:r>
                  <w:r w:rsidR="00AB288A" w:rsidRPr="00DF2105">
                    <w:rPr>
                      <w:rFonts w:ascii="Arial" w:hAnsi="Arial" w:cs="Arial"/>
                      <w:noProof/>
                      <w:color w:val="FF0000"/>
                      <w:sz w:val="18"/>
                      <w:szCs w:val="18"/>
                    </w:rPr>
                    <w:drawing>
                      <wp:inline distT="0" distB="0" distL="0" distR="0" wp14:anchorId="4FD8CDC4" wp14:editId="0E861779">
                        <wp:extent cx="4838700" cy="251460"/>
                        <wp:effectExtent l="0" t="0" r="0" b="0"/>
                        <wp:docPr id="31" name="Picture 31" descr="Legend to Figure 7.2 &#10;&#10;Dark Green: Magistrates'&#10;Blue: Supreme&#10;Bright Green: District&#10;Black: Children's&#10;&#10;More details can be found within the text surrounding this image." title="Figure 7.2 Court lodgments – criminal and civil, by court leve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0" cy="251460"/>
                                </a:xfrm>
                                <a:prstGeom prst="rect">
                                  <a:avLst/>
                                </a:prstGeom>
                                <a:noFill/>
                                <a:ln>
                                  <a:noFill/>
                                </a:ln>
                              </pic:spPr>
                            </pic:pic>
                          </a:graphicData>
                        </a:graphic>
                      </wp:inline>
                    </w:drawing>
                  </w:r>
                </w:p>
              </w:tc>
            </w:tr>
          </w:tbl>
          <w:p w14:paraId="3BCB3D6C" w14:textId="77777777" w:rsidR="002C3131" w:rsidRDefault="002C3131" w:rsidP="00766414">
            <w:pPr>
              <w:pStyle w:val="Figure"/>
            </w:pPr>
          </w:p>
        </w:tc>
      </w:tr>
      <w:tr w:rsidR="002C3131" w:rsidRPr="00176D3F" w14:paraId="34457772" w14:textId="77777777" w:rsidTr="000F5ADF">
        <w:tc>
          <w:tcPr>
            <w:tcW w:w="8789" w:type="dxa"/>
            <w:tcBorders>
              <w:top w:val="nil"/>
              <w:left w:val="nil"/>
              <w:bottom w:val="nil"/>
              <w:right w:val="nil"/>
            </w:tcBorders>
            <w:shd w:val="clear" w:color="auto" w:fill="auto"/>
          </w:tcPr>
          <w:p w14:paraId="440CA5E7" w14:textId="5FE4537B" w:rsidR="002C3131" w:rsidRPr="00176D3F" w:rsidRDefault="002C3131" w:rsidP="003C4BB2">
            <w:pPr>
              <w:pStyle w:val="Note"/>
            </w:pPr>
            <w:r>
              <w:rPr>
                <w:rStyle w:val="NoteLabel"/>
              </w:rPr>
              <w:t>a</w:t>
            </w:r>
            <w:r w:rsidR="00330E6C">
              <w:t xml:space="preserve"> </w:t>
            </w:r>
            <w:r w:rsidR="00330E6C" w:rsidRPr="00360C66">
              <w:t>See table</w:t>
            </w:r>
            <w:r w:rsidR="00A54718">
              <w:t>s</w:t>
            </w:r>
            <w:r w:rsidR="00C05BAA">
              <w:t xml:space="preserve"> 7A.1</w:t>
            </w:r>
            <w:r w:rsidR="003C4BB2">
              <w:t>–</w:t>
            </w:r>
            <w:r w:rsidR="00210089">
              <w:t>2</w:t>
            </w:r>
            <w:r w:rsidR="00330E6C" w:rsidRPr="00360C66">
              <w:t xml:space="preserve"> for detailed footnotes and caveats</w:t>
            </w:r>
            <w:r w:rsidR="00330E6C">
              <w:t>.</w:t>
            </w:r>
            <w:r w:rsidR="00C472D7">
              <w:rPr>
                <w:rStyle w:val="NoteLabel"/>
              </w:rPr>
              <w:t xml:space="preserve"> b</w:t>
            </w:r>
            <w:r w:rsidR="004D4B98">
              <w:t xml:space="preserve"> Excludes probate, </w:t>
            </w:r>
            <w:r w:rsidR="00C472D7">
              <w:t xml:space="preserve">coroners’ </w:t>
            </w:r>
            <w:r w:rsidR="004D4B98">
              <w:t xml:space="preserve">and federal </w:t>
            </w:r>
            <w:r w:rsidR="00C472D7">
              <w:t>court</w:t>
            </w:r>
            <w:r w:rsidR="00367437">
              <w:t>s</w:t>
            </w:r>
            <w:r w:rsidR="00C472D7">
              <w:t>.</w:t>
            </w:r>
          </w:p>
        </w:tc>
      </w:tr>
      <w:tr w:rsidR="002C3131" w:rsidRPr="00176D3F" w14:paraId="7F5219C3" w14:textId="77777777" w:rsidTr="000F5ADF">
        <w:tc>
          <w:tcPr>
            <w:tcW w:w="8789" w:type="dxa"/>
            <w:tcBorders>
              <w:top w:val="nil"/>
              <w:left w:val="nil"/>
              <w:bottom w:val="nil"/>
              <w:right w:val="nil"/>
            </w:tcBorders>
            <w:shd w:val="clear" w:color="auto" w:fill="auto"/>
          </w:tcPr>
          <w:p w14:paraId="680412CC" w14:textId="4D57A9E5" w:rsidR="002C3131" w:rsidRPr="00176D3F" w:rsidRDefault="00330E6C" w:rsidP="003C4BB2">
            <w:pPr>
              <w:pStyle w:val="Source"/>
            </w:pPr>
            <w:r>
              <w:rPr>
                <w:i/>
              </w:rPr>
              <w:t>S</w:t>
            </w:r>
            <w:r w:rsidR="002C3131" w:rsidRPr="00784A05">
              <w:rPr>
                <w:i/>
              </w:rPr>
              <w:t>ource</w:t>
            </w:r>
            <w:r w:rsidR="002C3131" w:rsidRPr="00176D3F">
              <w:t xml:space="preserve">: </w:t>
            </w:r>
            <w:r w:rsidRPr="00F241C5">
              <w:t xml:space="preserve">State and Territory court authorities and departments (unpublished); </w:t>
            </w:r>
            <w:r>
              <w:t>table</w:t>
            </w:r>
            <w:r w:rsidR="009E712F">
              <w:t>s</w:t>
            </w:r>
            <w:r>
              <w:t> 7</w:t>
            </w:r>
            <w:r w:rsidR="00210089">
              <w:t>A.1</w:t>
            </w:r>
            <w:r w:rsidR="003C4BB2">
              <w:t>–</w:t>
            </w:r>
            <w:r w:rsidR="00210089">
              <w:t>2</w:t>
            </w:r>
            <w:r w:rsidR="009E712F">
              <w:t>.</w:t>
            </w:r>
          </w:p>
        </w:tc>
      </w:tr>
      <w:tr w:rsidR="002C3131" w14:paraId="7689C767" w14:textId="77777777" w:rsidTr="000F5ADF">
        <w:tc>
          <w:tcPr>
            <w:tcW w:w="8789" w:type="dxa"/>
            <w:tcBorders>
              <w:top w:val="nil"/>
              <w:left w:val="nil"/>
              <w:bottom w:val="single" w:sz="6" w:space="0" w:color="78A22F"/>
              <w:right w:val="nil"/>
            </w:tcBorders>
            <w:shd w:val="clear" w:color="auto" w:fill="auto"/>
          </w:tcPr>
          <w:p w14:paraId="0BB33F23" w14:textId="77777777" w:rsidR="002C3131" w:rsidRDefault="002C3131" w:rsidP="00766414">
            <w:pPr>
              <w:pStyle w:val="Figurespace"/>
            </w:pPr>
          </w:p>
        </w:tc>
      </w:tr>
      <w:tr w:rsidR="002C3131" w:rsidRPr="000863A5" w14:paraId="6C650176" w14:textId="77777777" w:rsidTr="000F5ADF">
        <w:tc>
          <w:tcPr>
            <w:tcW w:w="8789" w:type="dxa"/>
            <w:tcBorders>
              <w:top w:val="single" w:sz="6" w:space="0" w:color="78A22F"/>
              <w:left w:val="nil"/>
              <w:bottom w:val="nil"/>
              <w:right w:val="nil"/>
            </w:tcBorders>
          </w:tcPr>
          <w:p w14:paraId="1EB3A245" w14:textId="0E581AD5" w:rsidR="002C3131" w:rsidRPr="00626D32" w:rsidRDefault="002C3131" w:rsidP="00766414">
            <w:pPr>
              <w:pStyle w:val="BoxSpaceBelow"/>
            </w:pPr>
          </w:p>
        </w:tc>
      </w:tr>
    </w:tbl>
    <w:p w14:paraId="181CCAF0" w14:textId="371DA037" w:rsidR="00733140" w:rsidRPr="006C14A2" w:rsidRDefault="0089394E" w:rsidP="00FD517E">
      <w:pPr>
        <w:pStyle w:val="Heading5"/>
        <w:spacing w:before="240"/>
      </w:pPr>
      <w:r w:rsidRPr="006C14A2">
        <w:t xml:space="preserve">Australian </w:t>
      </w:r>
      <w:r w:rsidR="003C4BB2">
        <w:t>G</w:t>
      </w:r>
      <w:r w:rsidRPr="006C14A2">
        <w:t xml:space="preserve">overnment courts </w:t>
      </w:r>
    </w:p>
    <w:p w14:paraId="27479725" w14:textId="7052987B" w:rsidR="00675248" w:rsidRPr="006C14A2" w:rsidRDefault="00074BE2" w:rsidP="00675248">
      <w:pPr>
        <w:pStyle w:val="BodyText"/>
      </w:pPr>
      <w:r w:rsidRPr="006C14A2">
        <w:t xml:space="preserve">In 2016-17 there </w:t>
      </w:r>
      <w:r w:rsidRPr="00F8619E">
        <w:t xml:space="preserve">were </w:t>
      </w:r>
      <w:r w:rsidR="00F8619E" w:rsidRPr="00F8619E">
        <w:t>5695</w:t>
      </w:r>
      <w:r w:rsidR="0089394E" w:rsidRPr="00F8619E">
        <w:t xml:space="preserve"> lodgments in the Federal Court of Australia, </w:t>
      </w:r>
      <w:r w:rsidR="00F8619E" w:rsidRPr="00F8619E">
        <w:t>21 085</w:t>
      </w:r>
      <w:r w:rsidR="0089394E" w:rsidRPr="00F8619E">
        <w:t xml:space="preserve"> lodgments in the Fami</w:t>
      </w:r>
      <w:r w:rsidRPr="00F8619E">
        <w:t xml:space="preserve">ly Court of Australia and </w:t>
      </w:r>
      <w:r w:rsidR="00F8619E" w:rsidRPr="00F8619E">
        <w:t>95 181</w:t>
      </w:r>
      <w:r w:rsidR="0089394E" w:rsidRPr="00F8619E">
        <w:t xml:space="preserve"> </w:t>
      </w:r>
      <w:r w:rsidR="0089394E" w:rsidRPr="006C14A2">
        <w:t xml:space="preserve">lodgments in the Federal Circuit Court </w:t>
      </w:r>
      <w:r w:rsidR="00B9164A">
        <w:t>(table </w:t>
      </w:r>
      <w:r w:rsidR="00210089">
        <w:t>7A.2</w:t>
      </w:r>
      <w:r w:rsidR="0089394E" w:rsidRPr="006C14A2">
        <w:t>)</w:t>
      </w:r>
      <w:r w:rsidR="00675248" w:rsidRPr="006C14A2">
        <w:t>.</w:t>
      </w:r>
    </w:p>
    <w:p w14:paraId="1D15FA03" w14:textId="007E3DF6" w:rsidR="00285107" w:rsidRDefault="00285107" w:rsidP="00FD517E">
      <w:pPr>
        <w:pStyle w:val="Heading4"/>
        <w:spacing w:before="360"/>
      </w:pPr>
      <w:r>
        <w:t>Finalisations</w:t>
      </w:r>
    </w:p>
    <w:p w14:paraId="542DA745" w14:textId="048E2B10" w:rsidR="00A15194" w:rsidRDefault="00285107" w:rsidP="00A15194">
      <w:pPr>
        <w:pStyle w:val="BodyText"/>
      </w:pPr>
      <w:r>
        <w:t>Finalisations represent the completion of matters in the court system</w:t>
      </w:r>
      <w:r w:rsidR="00A90C6B">
        <w:t xml:space="preserve"> so that they cease to be an item of work for the court</w:t>
      </w:r>
      <w:r>
        <w:t>. Each lodgment can be finalised only once. Matters may be finalised by adjudication, transfer</w:t>
      </w:r>
      <w:r w:rsidR="00123FE2">
        <w:t>,</w:t>
      </w:r>
      <w:r>
        <w:t xml:space="preserve"> or another non</w:t>
      </w:r>
      <w:r w:rsidR="00851C78">
        <w:noBreakHyphen/>
      </w:r>
      <w:r>
        <w:t>adjudicated method (such as withdrawal</w:t>
      </w:r>
      <w:r w:rsidR="008A4F47">
        <w:t xml:space="preserve"> of a matter by the prosecution</w:t>
      </w:r>
      <w:r>
        <w:t xml:space="preserve"> or settlement by the parties</w:t>
      </w:r>
      <w:r w:rsidR="008A4F47">
        <w:t xml:space="preserve"> involved</w:t>
      </w:r>
      <w:r>
        <w:t>)</w:t>
      </w:r>
      <w:r w:rsidR="00675248">
        <w:rPr>
          <w:rStyle w:val="FootnoteReference"/>
        </w:rPr>
        <w:footnoteReference w:id="1"/>
      </w:r>
      <w:r>
        <w:t>.</w:t>
      </w:r>
      <w:r w:rsidR="00370850">
        <w:t xml:space="preserve"> </w:t>
      </w:r>
    </w:p>
    <w:p w14:paraId="320E74D9" w14:textId="7B957104" w:rsidR="00A15194" w:rsidRPr="007A1616" w:rsidRDefault="00A15194" w:rsidP="00A15194">
      <w:pPr>
        <w:pStyle w:val="BodyText"/>
      </w:pPr>
      <w:r>
        <w:t xml:space="preserve">Most cases which are finalised in the criminal and civil courts do not proceed to trial. Generally, cases which proceed to trial are more time-consuming and resource intensive. </w:t>
      </w:r>
      <w:r w:rsidR="00102073">
        <w:t>In the criminal courts, t</w:t>
      </w:r>
      <w:r>
        <w:t>he proportions of all finalised non-appeal cases which were finalised</w:t>
      </w:r>
      <w:r w:rsidR="00102073">
        <w:t xml:space="preserve"> </w:t>
      </w:r>
      <w:r>
        <w:t>following the commencement of a trial</w:t>
      </w:r>
      <w:r w:rsidR="00102073">
        <w:t xml:space="preserve"> i</w:t>
      </w:r>
      <w:r w:rsidRPr="007A1616">
        <w:t xml:space="preserve">n </w:t>
      </w:r>
      <w:r w:rsidRPr="00E8348A">
        <w:t>2016</w:t>
      </w:r>
      <w:r w:rsidRPr="00E8348A">
        <w:noBreakHyphen/>
        <w:t xml:space="preserve">17 </w:t>
      </w:r>
      <w:r w:rsidRPr="007A1616">
        <w:t xml:space="preserve">varied from </w:t>
      </w:r>
      <w:r w:rsidR="00DE6F51">
        <w:t>3</w:t>
      </w:r>
      <w:r w:rsidRPr="007A1616">
        <w:t xml:space="preserve"> to </w:t>
      </w:r>
      <w:r w:rsidR="00102073">
        <w:t xml:space="preserve">53 per cent in the </w:t>
      </w:r>
      <w:r w:rsidR="00102073">
        <w:lastRenderedPageBreak/>
        <w:t>Supreme</w:t>
      </w:r>
      <w:r w:rsidRPr="007A1616">
        <w:t xml:space="preserve"> courts and from </w:t>
      </w:r>
      <w:r w:rsidR="00102073">
        <w:t>8</w:t>
      </w:r>
      <w:r w:rsidRPr="007A1616">
        <w:t xml:space="preserve"> to </w:t>
      </w:r>
      <w:r w:rsidR="00102073">
        <w:t>18</w:t>
      </w:r>
      <w:r w:rsidRPr="007A1616">
        <w:t xml:space="preserve"> per cent i</w:t>
      </w:r>
      <w:r w:rsidR="00532A73">
        <w:t xml:space="preserve">n the </w:t>
      </w:r>
      <w:r w:rsidR="00102073">
        <w:t>District</w:t>
      </w:r>
      <w:r w:rsidR="00532A73">
        <w:t xml:space="preserve"> courts</w:t>
      </w:r>
      <w:r w:rsidRPr="007A1616">
        <w:t>.</w:t>
      </w:r>
      <w:r w:rsidR="00836E3B">
        <w:t xml:space="preserve"> Proportions in the Magistrates’ courts were lower still.</w:t>
      </w:r>
    </w:p>
    <w:p w14:paraId="60F9D663" w14:textId="2F44631F" w:rsidR="00285107" w:rsidRPr="006C14A2" w:rsidRDefault="00B8045A" w:rsidP="00675248">
      <w:pPr>
        <w:pStyle w:val="Heading5"/>
      </w:pPr>
      <w:r w:rsidRPr="006C14A2">
        <w:t>State and territory courts</w:t>
      </w:r>
    </w:p>
    <w:p w14:paraId="6BA27299" w14:textId="4A1EDB8D" w:rsidR="00285107" w:rsidRDefault="003D75A9" w:rsidP="00C033C5">
      <w:pPr>
        <w:pStyle w:val="BodyText"/>
      </w:pPr>
      <w:r w:rsidRPr="007907DB">
        <w:t xml:space="preserve">In </w:t>
      </w:r>
      <w:r w:rsidR="00C0042E" w:rsidRPr="001C48F5">
        <w:t>201</w:t>
      </w:r>
      <w:r w:rsidR="001406F8" w:rsidRPr="001C48F5">
        <w:t>6</w:t>
      </w:r>
      <w:r w:rsidR="00C15653">
        <w:rPr>
          <w:color w:val="000000" w:themeColor="text1"/>
        </w:rPr>
        <w:t>–</w:t>
      </w:r>
      <w:r w:rsidR="00C0042E" w:rsidRPr="001C48F5">
        <w:t>1</w:t>
      </w:r>
      <w:r w:rsidR="001406F8" w:rsidRPr="001C48F5">
        <w:t>7</w:t>
      </w:r>
      <w:r w:rsidR="00D72689" w:rsidRPr="001C48F5">
        <w:t xml:space="preserve">, </w:t>
      </w:r>
      <w:r w:rsidR="00D72689" w:rsidRPr="00312009">
        <w:t xml:space="preserve">there </w:t>
      </w:r>
      <w:r w:rsidR="00D72689" w:rsidRPr="001C48F5">
        <w:t>were</w:t>
      </w:r>
      <w:r w:rsidRPr="001C48F5">
        <w:t xml:space="preserve"> </w:t>
      </w:r>
      <w:r w:rsidR="00745EE7" w:rsidRPr="00B00A13">
        <w:t>864</w:t>
      </w:r>
      <w:r w:rsidR="00026CD1" w:rsidRPr="00B00A13">
        <w:t> </w:t>
      </w:r>
      <w:r w:rsidR="00745EE7" w:rsidRPr="00B00A13">
        <w:t>923</w:t>
      </w:r>
      <w:r w:rsidR="001406F8" w:rsidRPr="001C48F5">
        <w:t xml:space="preserve"> </w:t>
      </w:r>
      <w:r w:rsidR="00285107" w:rsidRPr="001406F8">
        <w:t xml:space="preserve">criminal </w:t>
      </w:r>
      <w:r w:rsidR="00285107" w:rsidRPr="007907DB">
        <w:t xml:space="preserve">finalisations in the </w:t>
      </w:r>
      <w:r w:rsidR="006A22B8" w:rsidRPr="007907DB">
        <w:t>s</w:t>
      </w:r>
      <w:r w:rsidR="00BC62E9" w:rsidRPr="007907DB">
        <w:t>upreme</w:t>
      </w:r>
      <w:r w:rsidR="00285107" w:rsidRPr="007907DB">
        <w:t xml:space="preserve">, </w:t>
      </w:r>
      <w:r w:rsidR="00F43AAD" w:rsidRPr="007907DB">
        <w:t>district/county</w:t>
      </w:r>
      <w:r w:rsidR="006B6C97">
        <w:t>,</w:t>
      </w:r>
      <w:r w:rsidR="00285107" w:rsidRPr="007907DB">
        <w:t xml:space="preserve"> </w:t>
      </w:r>
      <w:r w:rsidR="006A22B8" w:rsidRPr="007907DB">
        <w:t>m</w:t>
      </w:r>
      <w:r w:rsidR="00BC62E9" w:rsidRPr="007907DB">
        <w:t>agistra</w:t>
      </w:r>
      <w:r w:rsidR="006A22B8" w:rsidRPr="007907DB">
        <w:t>tes’</w:t>
      </w:r>
      <w:r w:rsidR="006B6C97">
        <w:t xml:space="preserve"> and children’s</w:t>
      </w:r>
      <w:r w:rsidR="006A22B8" w:rsidRPr="007907DB">
        <w:t xml:space="preserve"> c</w:t>
      </w:r>
      <w:r w:rsidR="00BC62E9" w:rsidRPr="007907DB">
        <w:t>ourt</w:t>
      </w:r>
      <w:r w:rsidR="00D72689">
        <w:t>s</w:t>
      </w:r>
      <w:r w:rsidR="00E75964" w:rsidRPr="007907DB">
        <w:t xml:space="preserve"> </w:t>
      </w:r>
      <w:r w:rsidR="00397B0D" w:rsidRPr="00681B7B">
        <w:t xml:space="preserve">and </w:t>
      </w:r>
      <w:r w:rsidR="00681B7B" w:rsidRPr="00681B7B">
        <w:t>440</w:t>
      </w:r>
      <w:r w:rsidR="00195148">
        <w:t> </w:t>
      </w:r>
      <w:r w:rsidR="00681B7B" w:rsidRPr="00681B7B">
        <w:t>523</w:t>
      </w:r>
      <w:r w:rsidR="001406F8" w:rsidRPr="00681B7B">
        <w:t xml:space="preserve"> </w:t>
      </w:r>
      <w:r w:rsidR="00625000" w:rsidRPr="00681B7B">
        <w:t xml:space="preserve">civil </w:t>
      </w:r>
      <w:r w:rsidR="00397B0D" w:rsidRPr="00625000">
        <w:t>finalisation</w:t>
      </w:r>
      <w:r w:rsidR="00BF5BC0" w:rsidRPr="00625000">
        <w:t>s in the</w:t>
      </w:r>
      <w:r w:rsidR="00625000" w:rsidRPr="00625000">
        <w:t>se</w:t>
      </w:r>
      <w:r w:rsidR="00BF5BC0" w:rsidRPr="00625000">
        <w:t xml:space="preserve"> courts </w:t>
      </w:r>
      <w:r w:rsidR="00A20E34">
        <w:t>(tables</w:t>
      </w:r>
      <w:r w:rsidR="00195148">
        <w:t> </w:t>
      </w:r>
      <w:r w:rsidR="00A20E34">
        <w:t>7A.5</w:t>
      </w:r>
      <w:r w:rsidR="00B13716">
        <w:rPr>
          <w:color w:val="000000" w:themeColor="text1"/>
        </w:rPr>
        <w:t>–</w:t>
      </w:r>
      <w:r w:rsidR="00A20E34">
        <w:t>6</w:t>
      </w:r>
      <w:r w:rsidR="00165A9D" w:rsidRPr="006C14A2">
        <w:t>)</w:t>
      </w:r>
      <w:r w:rsidR="00397B0D" w:rsidRPr="006C14A2">
        <w:t>.</w:t>
      </w:r>
      <w:r w:rsidR="00165A9D" w:rsidRPr="006C14A2">
        <w:t xml:space="preserve"> The pattern of finalisations across states and territories (figure 7.</w:t>
      </w:r>
      <w:r w:rsidR="00C26B3A" w:rsidRPr="006C14A2">
        <w:t>3</w:t>
      </w:r>
      <w:r w:rsidR="00165A9D" w:rsidRPr="006C14A2">
        <w:t xml:space="preserve">) is similar to that of </w:t>
      </w:r>
      <w:r w:rsidR="00302785" w:rsidRPr="006C14A2">
        <w:t xml:space="preserve">lodgments, </w:t>
      </w:r>
      <w:r w:rsidR="00367437" w:rsidRPr="006C14A2">
        <w:t xml:space="preserve">but </w:t>
      </w:r>
      <w:r w:rsidR="00302785" w:rsidRPr="006C14A2">
        <w:t>lodgments will not equal finalisations in any given year because not all matters lodged in one year will be finalised in the same year</w:t>
      </w:r>
      <w:r w:rsidR="00165A9D" w:rsidRPr="006C14A2">
        <w:t>.</w:t>
      </w:r>
      <w:r w:rsidR="00397B0D" w:rsidRPr="006C14A2">
        <w:t xml:space="preserve"> </w:t>
      </w:r>
      <w:r w:rsidR="005108AA" w:rsidRPr="006C14A2">
        <w:t xml:space="preserve">There </w:t>
      </w:r>
      <w:r w:rsidR="001406F8" w:rsidRPr="006C14A2">
        <w:t xml:space="preserve">were an additional </w:t>
      </w:r>
      <w:r w:rsidR="00D95084" w:rsidRPr="00D95084">
        <w:t>22 779</w:t>
      </w:r>
      <w:r w:rsidR="005108AA" w:rsidRPr="00D95084">
        <w:t xml:space="preserve"> </w:t>
      </w:r>
      <w:r w:rsidR="005108AA" w:rsidRPr="006C14A2">
        <w:t>cases finalised in the coroners’ courts</w:t>
      </w:r>
      <w:r w:rsidR="005108AA">
        <w:t xml:space="preserve">. </w:t>
      </w:r>
      <w:r w:rsidR="00397B0D" w:rsidRPr="00625000">
        <w:t xml:space="preserve">The </w:t>
      </w:r>
      <w:r w:rsidR="008151B3" w:rsidRPr="00625000">
        <w:t>number of finalisations per 100 </w:t>
      </w:r>
      <w:r w:rsidR="00397B0D" w:rsidRPr="00625000">
        <w:t>000 people is av</w:t>
      </w:r>
      <w:r w:rsidR="00166142">
        <w:t>ailable in tables 7A.7</w:t>
      </w:r>
      <w:r w:rsidR="00166142">
        <w:rPr>
          <w:color w:val="000000" w:themeColor="text1"/>
        </w:rPr>
        <w:t>–</w:t>
      </w:r>
      <w:r w:rsidR="00A20E34">
        <w:t>8</w:t>
      </w:r>
      <w:r w:rsidR="00285107" w:rsidRPr="00625000">
        <w:t>.</w:t>
      </w:r>
    </w:p>
    <w:p w14:paraId="60370E2B" w14:textId="502AA954" w:rsidR="00AB4060" w:rsidRDefault="00AB4060" w:rsidP="00AB406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B4060" w:rsidRPr="00236657" w14:paraId="3DD4910C" w14:textId="77777777" w:rsidTr="000F5ADF">
        <w:trPr>
          <w:cantSplit/>
        </w:trPr>
        <w:tc>
          <w:tcPr>
            <w:tcW w:w="8789" w:type="dxa"/>
            <w:tcBorders>
              <w:top w:val="single" w:sz="6" w:space="0" w:color="78A22F"/>
              <w:left w:val="nil"/>
              <w:bottom w:val="nil"/>
              <w:right w:val="nil"/>
            </w:tcBorders>
            <w:shd w:val="clear" w:color="auto" w:fill="auto"/>
          </w:tcPr>
          <w:p w14:paraId="73707F67" w14:textId="7BE800CA" w:rsidR="00AB4060" w:rsidRPr="00236657" w:rsidRDefault="00AB4060" w:rsidP="00DF2105">
            <w:pPr>
              <w:pStyle w:val="FigureTitle"/>
              <w:rPr>
                <w:rStyle w:val="DraftingNote"/>
                <w:color w:val="auto"/>
              </w:rPr>
            </w:pPr>
            <w:r w:rsidRPr="00236657">
              <w:rPr>
                <w:b w:val="0"/>
              </w:rPr>
              <w:t>Figure 7.</w:t>
            </w:r>
            <w:r w:rsidR="00C26B3A" w:rsidRPr="00236657">
              <w:rPr>
                <w:b w:val="0"/>
              </w:rPr>
              <w:t>3</w:t>
            </w:r>
            <w:r w:rsidRPr="00236657">
              <w:tab/>
              <w:t>Court finalisations – criminal</w:t>
            </w:r>
            <w:r w:rsidR="001406F8" w:rsidRPr="00236657">
              <w:t xml:space="preserve"> and civil, by court level, </w:t>
            </w:r>
            <w:r w:rsidR="00084115">
              <w:br/>
            </w:r>
            <w:r w:rsidR="001406F8" w:rsidRPr="00236657">
              <w:t>201</w:t>
            </w:r>
            <w:r w:rsidR="00AB288A" w:rsidRPr="00236657">
              <w:t>6</w:t>
            </w:r>
            <w:r w:rsidR="00084115" w:rsidRPr="00313083">
              <w:t>-</w:t>
            </w:r>
            <w:r w:rsidRPr="00236657">
              <w:t>1</w:t>
            </w:r>
            <w:r w:rsidR="00AB288A" w:rsidRPr="00236657">
              <w:t>7</w:t>
            </w:r>
            <w:r w:rsidR="002C64D9" w:rsidRPr="00236657">
              <w:rPr>
                <w:rStyle w:val="NoteLabel"/>
                <w:b/>
                <w:szCs w:val="20"/>
              </w:rPr>
              <w:t xml:space="preserve">a, b </w:t>
            </w:r>
          </w:p>
        </w:tc>
      </w:tr>
      <w:tr w:rsidR="00107C0F" w:rsidRPr="00107C0F" w14:paraId="220C50C2" w14:textId="77777777" w:rsidTr="000F5ADF">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107C0F" w:rsidRPr="00107C0F" w14:paraId="45D55F02" w14:textId="77777777" w:rsidTr="00766414">
              <w:trPr>
                <w:tblHeader/>
                <w:jc w:val="center"/>
              </w:trPr>
              <w:tc>
                <w:tcPr>
                  <w:tcW w:w="5000" w:type="pct"/>
                  <w:tcBorders>
                    <w:top w:val="nil"/>
                    <w:bottom w:val="nil"/>
                  </w:tcBorders>
                </w:tcPr>
                <w:p w14:paraId="1ECD5227" w14:textId="50AA6AA1" w:rsidR="00AB4060" w:rsidRPr="00DF2105" w:rsidRDefault="00AB288A" w:rsidP="00766414">
                  <w:pPr>
                    <w:pStyle w:val="Figure"/>
                    <w:spacing w:before="60" w:after="60"/>
                    <w:rPr>
                      <w:rFonts w:ascii="Arial" w:hAnsi="Arial" w:cs="Arial"/>
                      <w:color w:val="FF0000"/>
                      <w:sz w:val="18"/>
                      <w:szCs w:val="18"/>
                    </w:rPr>
                  </w:pPr>
                  <w:r>
                    <w:rPr>
                      <w:rFonts w:ascii="Arial" w:hAnsi="Arial" w:cs="Arial"/>
                      <w:noProof/>
                      <w:color w:val="FF0000"/>
                      <w:sz w:val="18"/>
                      <w:szCs w:val="18"/>
                    </w:rPr>
                    <w:drawing>
                      <wp:inline distT="0" distB="0" distL="0" distR="0" wp14:anchorId="14AC4751" wp14:editId="6327D200">
                        <wp:extent cx="3566160" cy="2529840"/>
                        <wp:effectExtent l="0" t="0" r="0" b="3810"/>
                        <wp:docPr id="32" name="Picture 32" descr="More details can be found within the text surrounding this image." title="Figure 7.3 Court finalisations – criminal and civil, by court leve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160" cy="2529840"/>
                                </a:xfrm>
                                <a:prstGeom prst="rect">
                                  <a:avLst/>
                                </a:prstGeom>
                                <a:noFill/>
                              </pic:spPr>
                            </pic:pic>
                          </a:graphicData>
                        </a:graphic>
                      </wp:inline>
                    </w:drawing>
                  </w:r>
                  <w:r w:rsidR="000E51F9">
                    <w:rPr>
                      <w:rFonts w:ascii="Arial" w:hAnsi="Arial" w:cs="Arial"/>
                      <w:noProof/>
                      <w:color w:val="FF0000"/>
                      <w:sz w:val="18"/>
                      <w:szCs w:val="18"/>
                    </w:rPr>
                    <w:drawing>
                      <wp:inline distT="0" distB="0" distL="0" distR="0" wp14:anchorId="70BB754C" wp14:editId="45394254">
                        <wp:extent cx="1805940" cy="2529840"/>
                        <wp:effectExtent l="0" t="0" r="3810" b="3810"/>
                        <wp:docPr id="2" name="Picture 2" descr="More details can be found within the text surrounding this image." title="Figure 7.3 Court finalisations – criminal and civil, by court leve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5940" cy="2529840"/>
                                </a:xfrm>
                                <a:prstGeom prst="rect">
                                  <a:avLst/>
                                </a:prstGeom>
                                <a:noFill/>
                              </pic:spPr>
                            </pic:pic>
                          </a:graphicData>
                        </a:graphic>
                      </wp:inline>
                    </w:drawing>
                  </w:r>
                  <w:r w:rsidR="00AB4060" w:rsidRPr="00DF2105">
                    <w:rPr>
                      <w:rFonts w:ascii="Arial" w:hAnsi="Arial" w:cs="Arial"/>
                      <w:color w:val="FF0000"/>
                      <w:sz w:val="18"/>
                      <w:szCs w:val="18"/>
                    </w:rPr>
                    <w:br/>
                  </w:r>
                  <w:r w:rsidR="00AB4060" w:rsidRPr="00DF2105">
                    <w:rPr>
                      <w:rFonts w:ascii="Arial" w:hAnsi="Arial" w:cs="Arial"/>
                      <w:noProof/>
                      <w:color w:val="FF0000"/>
                      <w:sz w:val="18"/>
                      <w:szCs w:val="18"/>
                    </w:rPr>
                    <w:drawing>
                      <wp:inline distT="0" distB="0" distL="0" distR="0" wp14:anchorId="279DD83B" wp14:editId="40B274FF">
                        <wp:extent cx="4838700" cy="251460"/>
                        <wp:effectExtent l="0" t="0" r="0" b="0"/>
                        <wp:docPr id="5" name="Picture 5" descr="More details can be found within the text surrounding this image." title="Figure 7.3 Court finalisations – criminal and civil, by court leve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0" cy="251460"/>
                                </a:xfrm>
                                <a:prstGeom prst="rect">
                                  <a:avLst/>
                                </a:prstGeom>
                                <a:noFill/>
                                <a:ln>
                                  <a:noFill/>
                                </a:ln>
                              </pic:spPr>
                            </pic:pic>
                          </a:graphicData>
                        </a:graphic>
                      </wp:inline>
                    </w:drawing>
                  </w:r>
                </w:p>
              </w:tc>
            </w:tr>
          </w:tbl>
          <w:p w14:paraId="25AABC73" w14:textId="77777777" w:rsidR="00AB4060" w:rsidRPr="00DF2105" w:rsidRDefault="00AB4060" w:rsidP="00766414">
            <w:pPr>
              <w:pStyle w:val="Figure"/>
              <w:rPr>
                <w:color w:val="FF0000"/>
              </w:rPr>
            </w:pPr>
          </w:p>
        </w:tc>
      </w:tr>
      <w:tr w:rsidR="00AB4060" w:rsidRPr="00176D3F" w14:paraId="349DC688" w14:textId="77777777" w:rsidTr="000F5ADF">
        <w:tc>
          <w:tcPr>
            <w:tcW w:w="8789" w:type="dxa"/>
            <w:tcBorders>
              <w:top w:val="nil"/>
              <w:left w:val="nil"/>
              <w:bottom w:val="nil"/>
              <w:right w:val="nil"/>
            </w:tcBorders>
            <w:shd w:val="clear" w:color="auto" w:fill="auto"/>
          </w:tcPr>
          <w:p w14:paraId="4D82F92B" w14:textId="02B4F3DE" w:rsidR="00AB4060" w:rsidRPr="00176D3F" w:rsidRDefault="00AB4060" w:rsidP="000F5ADF">
            <w:pPr>
              <w:pStyle w:val="Note"/>
            </w:pPr>
            <w:r>
              <w:rPr>
                <w:rStyle w:val="NoteLabel"/>
              </w:rPr>
              <w:t>a</w:t>
            </w:r>
            <w:r>
              <w:t xml:space="preserve"> </w:t>
            </w:r>
            <w:r w:rsidRPr="00360C66">
              <w:t>See table</w:t>
            </w:r>
            <w:r w:rsidR="00C05BAA">
              <w:t>s 7A.5</w:t>
            </w:r>
            <w:r w:rsidR="00D529A3">
              <w:rPr>
                <w:color w:val="000000" w:themeColor="text1"/>
              </w:rPr>
              <w:t>–</w:t>
            </w:r>
            <w:r w:rsidR="00C05BAA">
              <w:t>6</w:t>
            </w:r>
            <w:r w:rsidRPr="00360C66">
              <w:t xml:space="preserve"> for detailed footnotes and caveats</w:t>
            </w:r>
            <w:r>
              <w:t>.</w:t>
            </w:r>
            <w:r>
              <w:rPr>
                <w:rStyle w:val="NoteLabel"/>
              </w:rPr>
              <w:t xml:space="preserve"> b</w:t>
            </w:r>
            <w:r w:rsidR="00BD1EDD">
              <w:t xml:space="preserve"> Excludes probate, </w:t>
            </w:r>
            <w:r>
              <w:t>coroners’</w:t>
            </w:r>
            <w:r w:rsidR="00BD1EDD">
              <w:t xml:space="preserve"> and federal</w:t>
            </w:r>
            <w:r>
              <w:t xml:space="preserve"> court</w:t>
            </w:r>
            <w:r w:rsidR="00367437">
              <w:t>s</w:t>
            </w:r>
            <w:r>
              <w:t>.</w:t>
            </w:r>
          </w:p>
        </w:tc>
      </w:tr>
      <w:tr w:rsidR="00AB4060" w:rsidRPr="00176D3F" w14:paraId="671948AA" w14:textId="77777777" w:rsidTr="000F5ADF">
        <w:tc>
          <w:tcPr>
            <w:tcW w:w="8789" w:type="dxa"/>
            <w:tcBorders>
              <w:top w:val="nil"/>
              <w:left w:val="nil"/>
              <w:bottom w:val="nil"/>
              <w:right w:val="nil"/>
            </w:tcBorders>
            <w:shd w:val="clear" w:color="auto" w:fill="auto"/>
          </w:tcPr>
          <w:p w14:paraId="23D61611" w14:textId="77A9DF0F" w:rsidR="00AB4060" w:rsidRPr="00176D3F" w:rsidRDefault="00AB4060" w:rsidP="00D529A3">
            <w:pPr>
              <w:pStyle w:val="Source"/>
            </w:pPr>
            <w:r>
              <w:rPr>
                <w:i/>
              </w:rPr>
              <w:t>S</w:t>
            </w:r>
            <w:r w:rsidRPr="00784A05">
              <w:rPr>
                <w:i/>
              </w:rPr>
              <w:t>ource</w:t>
            </w:r>
            <w:r w:rsidRPr="00176D3F">
              <w:t xml:space="preserve">: </w:t>
            </w:r>
            <w:r w:rsidRPr="00F241C5">
              <w:t xml:space="preserve">State and Territory court authorities and departments (unpublished); </w:t>
            </w:r>
            <w:r>
              <w:t>table</w:t>
            </w:r>
            <w:r w:rsidR="009E712F">
              <w:t>s</w:t>
            </w:r>
            <w:r>
              <w:t> 7</w:t>
            </w:r>
            <w:r w:rsidR="00D529A3">
              <w:t>A.5</w:t>
            </w:r>
            <w:r w:rsidR="00D529A3">
              <w:rPr>
                <w:color w:val="000000" w:themeColor="text1"/>
              </w:rPr>
              <w:t>–</w:t>
            </w:r>
            <w:r w:rsidR="00C05BAA">
              <w:t>6</w:t>
            </w:r>
            <w:r w:rsidRPr="00F241C5">
              <w:t>.</w:t>
            </w:r>
          </w:p>
        </w:tc>
      </w:tr>
      <w:tr w:rsidR="00AB4060" w14:paraId="00320DED" w14:textId="77777777" w:rsidTr="000F5ADF">
        <w:tc>
          <w:tcPr>
            <w:tcW w:w="8789" w:type="dxa"/>
            <w:tcBorders>
              <w:top w:val="nil"/>
              <w:left w:val="nil"/>
              <w:bottom w:val="single" w:sz="6" w:space="0" w:color="78A22F"/>
              <w:right w:val="nil"/>
            </w:tcBorders>
            <w:shd w:val="clear" w:color="auto" w:fill="auto"/>
          </w:tcPr>
          <w:p w14:paraId="50058E54" w14:textId="77777777" w:rsidR="00AB4060" w:rsidRDefault="00AB4060" w:rsidP="00766414">
            <w:pPr>
              <w:pStyle w:val="Figurespace"/>
            </w:pPr>
          </w:p>
        </w:tc>
      </w:tr>
      <w:tr w:rsidR="00AB4060" w:rsidRPr="000863A5" w14:paraId="72798047" w14:textId="77777777" w:rsidTr="000F5ADF">
        <w:tc>
          <w:tcPr>
            <w:tcW w:w="8789" w:type="dxa"/>
            <w:tcBorders>
              <w:top w:val="single" w:sz="6" w:space="0" w:color="78A22F"/>
              <w:left w:val="nil"/>
              <w:bottom w:val="nil"/>
              <w:right w:val="nil"/>
            </w:tcBorders>
          </w:tcPr>
          <w:p w14:paraId="1B4CF5AC" w14:textId="0FAEECBC" w:rsidR="00AB4060" w:rsidRPr="00626D32" w:rsidRDefault="00AB4060" w:rsidP="00766414">
            <w:pPr>
              <w:pStyle w:val="BoxSpaceBelow"/>
            </w:pPr>
          </w:p>
        </w:tc>
      </w:tr>
    </w:tbl>
    <w:p w14:paraId="59CA6373" w14:textId="069838A6" w:rsidR="00B8045A" w:rsidRPr="00873336" w:rsidRDefault="00B8045A" w:rsidP="00B8045A">
      <w:pPr>
        <w:pStyle w:val="Heading5"/>
      </w:pPr>
      <w:r w:rsidRPr="00873336">
        <w:t xml:space="preserve">Australian </w:t>
      </w:r>
      <w:r w:rsidR="003C4BB2">
        <w:t>G</w:t>
      </w:r>
      <w:r w:rsidRPr="00873336">
        <w:t>overnment courts</w:t>
      </w:r>
      <w:r w:rsidR="002E23BD" w:rsidRPr="00873336">
        <w:t xml:space="preserve"> </w:t>
      </w:r>
    </w:p>
    <w:p w14:paraId="527181E7" w14:textId="2D2ABCC9" w:rsidR="00AB4060" w:rsidRPr="00873336" w:rsidRDefault="00107C0F" w:rsidP="00C033C5">
      <w:pPr>
        <w:pStyle w:val="BodyText"/>
      </w:pPr>
      <w:r w:rsidRPr="00873336">
        <w:t>In 2016-17</w:t>
      </w:r>
      <w:r w:rsidR="00B8045A" w:rsidRPr="00873336">
        <w:t xml:space="preserve"> there were </w:t>
      </w:r>
      <w:r w:rsidR="00967874" w:rsidRPr="00967874">
        <w:t>5633</w:t>
      </w:r>
      <w:r w:rsidR="00B8045A" w:rsidRPr="00967874">
        <w:t xml:space="preserve"> c</w:t>
      </w:r>
      <w:r w:rsidR="00B8045A" w:rsidRPr="00873336">
        <w:t>ases finalised in the Federal Court of Australia</w:t>
      </w:r>
      <w:r w:rsidR="00B8045A" w:rsidRPr="00967874">
        <w:t xml:space="preserve">, </w:t>
      </w:r>
      <w:r w:rsidR="00967874" w:rsidRPr="00967874">
        <w:t>20 624</w:t>
      </w:r>
      <w:r w:rsidR="00B8045A" w:rsidRPr="00967874">
        <w:t xml:space="preserve"> </w:t>
      </w:r>
      <w:r w:rsidR="00B8045A" w:rsidRPr="00873336">
        <w:t>cases finalised in the Fami</w:t>
      </w:r>
      <w:r w:rsidRPr="00873336">
        <w:t xml:space="preserve">ly Court of Australia and </w:t>
      </w:r>
      <w:r w:rsidR="00967874" w:rsidRPr="00967874">
        <w:t>90 770</w:t>
      </w:r>
      <w:r w:rsidR="00B8045A" w:rsidRPr="00967874">
        <w:t xml:space="preserve"> cases </w:t>
      </w:r>
      <w:r w:rsidR="00B8045A" w:rsidRPr="00873336">
        <w:t>finalis</w:t>
      </w:r>
      <w:r w:rsidR="002E23BD" w:rsidRPr="00873336">
        <w:t>ed in the Federal Circuit Court</w:t>
      </w:r>
      <w:r w:rsidR="00E80DE0">
        <w:t xml:space="preserve"> (table 7A.6</w:t>
      </w:r>
      <w:r w:rsidR="002E23BD" w:rsidRPr="00873336">
        <w:t>).</w:t>
      </w:r>
    </w:p>
    <w:p w14:paraId="0CD1B639" w14:textId="6F28C308" w:rsidR="00C80E83" w:rsidRPr="006A1014" w:rsidRDefault="00C80E83">
      <w:pPr>
        <w:pStyle w:val="Heading4"/>
      </w:pPr>
      <w:r w:rsidRPr="00E22551">
        <w:lastRenderedPageBreak/>
        <w:t xml:space="preserve">Lodgments and finalisations in criminal courts </w:t>
      </w:r>
      <w:r w:rsidR="005B48A6">
        <w:rPr>
          <w:rFonts w:cs="Arial"/>
        </w:rPr>
        <w:t>—</w:t>
      </w:r>
      <w:r w:rsidR="005B48A6">
        <w:t xml:space="preserve"> </w:t>
      </w:r>
      <w:r w:rsidRPr="00E22551">
        <w:t>Aboriginal and Tor</w:t>
      </w:r>
      <w:r w:rsidR="000A0613">
        <w:t>res Strait Islander Australians</w:t>
      </w:r>
    </w:p>
    <w:p w14:paraId="64485C08" w14:textId="7BC68565" w:rsidR="00606075" w:rsidRPr="00E22551" w:rsidRDefault="000D0AA3">
      <w:pPr>
        <w:pStyle w:val="BodyText"/>
      </w:pPr>
      <w:r w:rsidRPr="000C1EAB">
        <w:t>T</w:t>
      </w:r>
      <w:r w:rsidR="00676783" w:rsidRPr="000C1EAB">
        <w:t xml:space="preserve">he proportions of all criminal non-appeal matters lodged and finalised in the Supreme, District, Magistrates’ and Children’s courts </w:t>
      </w:r>
      <w:r w:rsidR="00496640" w:rsidRPr="000C1EAB">
        <w:t xml:space="preserve">involving Aboriginal and Torres Strait Islander defendants, </w:t>
      </w:r>
      <w:r w:rsidRPr="000C1EAB">
        <w:t xml:space="preserve">show that </w:t>
      </w:r>
      <w:r w:rsidR="00676783" w:rsidRPr="000C1EAB">
        <w:t xml:space="preserve">Aboriginal and Torres Strait Islander </w:t>
      </w:r>
      <w:r w:rsidR="00496640" w:rsidRPr="000C1EAB">
        <w:t xml:space="preserve">people </w:t>
      </w:r>
      <w:r w:rsidRPr="000C1EAB">
        <w:t xml:space="preserve">are overrepresented in </w:t>
      </w:r>
      <w:r w:rsidR="00481CF3" w:rsidRPr="000C1EAB">
        <w:t xml:space="preserve">the </w:t>
      </w:r>
      <w:r w:rsidRPr="000C1EAB">
        <w:t>criminal court</w:t>
      </w:r>
      <w:r w:rsidR="00496640" w:rsidRPr="000C1EAB">
        <w:t>s</w:t>
      </w:r>
      <w:r w:rsidR="00367437" w:rsidRPr="000C1EAB">
        <w:t xml:space="preserve"> relative to their representation in the community</w:t>
      </w:r>
      <w:r w:rsidR="00E10B9D" w:rsidRPr="000C1EAB">
        <w:t xml:space="preserve"> (table 7.3</w:t>
      </w:r>
      <w:r w:rsidRPr="000C1EAB">
        <w:t>)</w:t>
      </w:r>
      <w:r w:rsidR="00676783" w:rsidRPr="000C1EAB">
        <w:t>.</w:t>
      </w:r>
      <w:r w:rsidR="00481CF3" w:rsidRPr="000C1EAB">
        <w:t xml:space="preserve"> </w:t>
      </w:r>
      <w:r w:rsidR="00367437" w:rsidRPr="000C1EAB">
        <w:t>Indigenous</w:t>
      </w:r>
      <w:r w:rsidR="0067192A" w:rsidRPr="000C1EAB">
        <w:t xml:space="preserve"> status is based on self</w:t>
      </w:r>
      <w:r w:rsidR="0067192A" w:rsidRPr="000C1EAB">
        <w:noBreakHyphen/>
      </w:r>
      <w:r w:rsidR="00606075" w:rsidRPr="000C1EAB">
        <w:t>identification by the individual who comes into contact with police</w:t>
      </w:r>
      <w:r w:rsidR="00367437" w:rsidRPr="000C1EAB">
        <w:t>, with this</w:t>
      </w:r>
      <w:r w:rsidR="00606075" w:rsidRPr="000C1EAB">
        <w:t xml:space="preserve"> information transferred from police systems to the courts when the defendant’s </w:t>
      </w:r>
      <w:r w:rsidR="00606075" w:rsidRPr="00E22551">
        <w:t xml:space="preserve">matter is lodged in the courts. </w:t>
      </w:r>
      <w:r w:rsidR="000A0613">
        <w:t>D</w:t>
      </w:r>
      <w:r w:rsidR="00606075" w:rsidRPr="00E22551">
        <w:t xml:space="preserve">ata are presented for </w:t>
      </w:r>
      <w:r w:rsidR="00501462" w:rsidRPr="00F45EFE">
        <w:t>four</w:t>
      </w:r>
      <w:r w:rsidR="00606075" w:rsidRPr="00F45EFE">
        <w:t xml:space="preserve"> jurisdictions only (Q</w:t>
      </w:r>
      <w:r w:rsidR="00321CF8">
        <w:t>ueensland</w:t>
      </w:r>
      <w:r w:rsidR="00606075" w:rsidRPr="00F45EFE">
        <w:t xml:space="preserve">, </w:t>
      </w:r>
      <w:r w:rsidR="00501462" w:rsidRPr="00F45EFE">
        <w:t xml:space="preserve">WA, </w:t>
      </w:r>
      <w:r w:rsidR="00606075" w:rsidRPr="00F45EFE">
        <w:t xml:space="preserve">SA and </w:t>
      </w:r>
      <w:r w:rsidR="00321CF8">
        <w:t xml:space="preserve">the </w:t>
      </w:r>
      <w:r w:rsidR="00606075" w:rsidRPr="00F45EFE">
        <w:t>NT) –</w:t>
      </w:r>
      <w:r w:rsidR="00606075" w:rsidRPr="00E22551">
        <w:t xml:space="preserve"> </w:t>
      </w:r>
      <w:r w:rsidR="00367437">
        <w:t>for other jurisdictions information on Indigenous</w:t>
      </w:r>
      <w:r w:rsidR="00606075" w:rsidRPr="00E22551">
        <w:t xml:space="preserve"> status </w:t>
      </w:r>
      <w:r w:rsidR="00367437">
        <w:t>is</w:t>
      </w:r>
      <w:r w:rsidR="00606075" w:rsidRPr="00E22551">
        <w:t xml:space="preserve"> either not available or not currently considered to be of sufficient quality </w:t>
      </w:r>
      <w:r w:rsidR="00367437">
        <w:t>for publication</w:t>
      </w:r>
      <w:r w:rsidR="00606075" w:rsidRPr="00E22551">
        <w:t>.</w:t>
      </w:r>
    </w:p>
    <w:p w14:paraId="5437CCFE" w14:textId="77777777" w:rsidR="00880179" w:rsidRPr="00E22551" w:rsidRDefault="00880179" w:rsidP="00E22551">
      <w:pPr>
        <w:pStyle w:val="BoxSpaceAbove"/>
        <w:keepNext w:val="0"/>
        <w:rPr>
          <w:rStyle w:val="DraftingNote"/>
          <w:rFonts w:ascii="Arial" w:hAnsi="Arial"/>
          <w:color w:val="auto"/>
        </w:rPr>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880179" w14:paraId="149CCB55" w14:textId="77777777" w:rsidTr="00367E39">
        <w:tc>
          <w:tcPr>
            <w:tcW w:w="8789" w:type="dxa"/>
            <w:tcBorders>
              <w:top w:val="single" w:sz="6" w:space="0" w:color="78A22F" w:themeColor="accent1"/>
              <w:left w:val="nil"/>
              <w:bottom w:val="nil"/>
              <w:right w:val="nil"/>
            </w:tcBorders>
            <w:shd w:val="clear" w:color="auto" w:fill="auto"/>
          </w:tcPr>
          <w:p w14:paraId="7BC0201C" w14:textId="0AB190D6" w:rsidR="00880179" w:rsidRPr="00784A05" w:rsidRDefault="00880179" w:rsidP="00E10B9D">
            <w:pPr>
              <w:pStyle w:val="TableTitle"/>
            </w:pPr>
            <w:r>
              <w:rPr>
                <w:b w:val="0"/>
              </w:rPr>
              <w:t>Table 7.</w:t>
            </w:r>
            <w:r w:rsidR="00E10B9D">
              <w:rPr>
                <w:b w:val="0"/>
              </w:rPr>
              <w:t>3</w:t>
            </w:r>
            <w:r>
              <w:tab/>
              <w:t xml:space="preserve">Proportion of </w:t>
            </w:r>
            <w:r w:rsidR="004E02C6">
              <w:t xml:space="preserve">non-appeal </w:t>
            </w:r>
            <w:r>
              <w:t xml:space="preserve">criminal court </w:t>
            </w:r>
            <w:r w:rsidR="000D0AA3">
              <w:t>lodgments and finalisations</w:t>
            </w:r>
            <w:r>
              <w:t xml:space="preserve"> involving Aboriginal and Torres Strait Islander defendants</w:t>
            </w:r>
            <w:r w:rsidRPr="001E01DB">
              <w:t xml:space="preserve">, </w:t>
            </w:r>
            <w:r w:rsidRPr="00171EFD">
              <w:t>201</w:t>
            </w:r>
            <w:r w:rsidR="00107C0F" w:rsidRPr="00171EFD">
              <w:t>6</w:t>
            </w:r>
            <w:r w:rsidRPr="00171EFD">
              <w:t>-1</w:t>
            </w:r>
            <w:r w:rsidR="00107C0F" w:rsidRPr="00171EFD">
              <w:t>7</w:t>
            </w:r>
            <w:r w:rsidRPr="00171EFD">
              <w:t xml:space="preserve"> </w:t>
            </w:r>
            <w:r w:rsidRPr="001E01DB">
              <w:t>(</w:t>
            </w:r>
            <w:r>
              <w:t>per cent</w:t>
            </w:r>
            <w:r w:rsidRPr="001E01DB">
              <w:t>)</w:t>
            </w:r>
            <w:r w:rsidRPr="001E01DB">
              <w:rPr>
                <w:rStyle w:val="NoteLabel"/>
                <w:b/>
              </w:rPr>
              <w:t>a</w:t>
            </w:r>
          </w:p>
        </w:tc>
      </w:tr>
      <w:tr w:rsidR="00880179" w14:paraId="380AB560" w14:textId="77777777" w:rsidTr="00367E39">
        <w:trPr>
          <w:cantSplit/>
        </w:trPr>
        <w:tc>
          <w:tcPr>
            <w:tcW w:w="8789" w:type="dxa"/>
            <w:tcBorders>
              <w:top w:val="nil"/>
              <w:left w:val="nil"/>
              <w:bottom w:val="nil"/>
              <w:right w:val="nil"/>
            </w:tcBorders>
            <w:shd w:val="clear" w:color="auto" w:fill="auto"/>
          </w:tcPr>
          <w:tbl>
            <w:tblPr>
              <w:tblW w:w="8483" w:type="dxa"/>
              <w:tblCellMar>
                <w:left w:w="0" w:type="dxa"/>
                <w:right w:w="0" w:type="dxa"/>
              </w:tblCellMar>
              <w:tblLook w:val="0000" w:firstRow="0" w:lastRow="0" w:firstColumn="0" w:lastColumn="0" w:noHBand="0" w:noVBand="0"/>
            </w:tblPr>
            <w:tblGrid>
              <w:gridCol w:w="1963"/>
              <w:gridCol w:w="708"/>
              <w:gridCol w:w="709"/>
              <w:gridCol w:w="709"/>
              <w:gridCol w:w="709"/>
              <w:gridCol w:w="708"/>
              <w:gridCol w:w="709"/>
              <w:gridCol w:w="709"/>
              <w:gridCol w:w="709"/>
              <w:gridCol w:w="850"/>
            </w:tblGrid>
            <w:tr w:rsidR="00880179" w:rsidRPr="00EB64F9" w14:paraId="56C712A7" w14:textId="77777777" w:rsidTr="004332DD">
              <w:tc>
                <w:tcPr>
                  <w:tcW w:w="1963" w:type="dxa"/>
                  <w:tcBorders>
                    <w:top w:val="single" w:sz="6" w:space="0" w:color="BFBFBF"/>
                    <w:bottom w:val="single" w:sz="6" w:space="0" w:color="BFBFBF"/>
                  </w:tcBorders>
                </w:tcPr>
                <w:p w14:paraId="5E314AC7" w14:textId="77777777" w:rsidR="00880179" w:rsidRPr="00EB64F9" w:rsidRDefault="00880179" w:rsidP="00E22551">
                  <w:pPr>
                    <w:pStyle w:val="TableColumnHeading"/>
                    <w:ind w:left="0"/>
                    <w:jc w:val="left"/>
                    <w:rPr>
                      <w:szCs w:val="24"/>
                    </w:rPr>
                  </w:pPr>
                </w:p>
              </w:tc>
              <w:tc>
                <w:tcPr>
                  <w:tcW w:w="708" w:type="dxa"/>
                  <w:tcBorders>
                    <w:top w:val="single" w:sz="6" w:space="0" w:color="BFBFBF"/>
                    <w:bottom w:val="single" w:sz="6" w:space="0" w:color="BFBFBF"/>
                  </w:tcBorders>
                </w:tcPr>
                <w:p w14:paraId="240E9866" w14:textId="77777777" w:rsidR="00880179" w:rsidRPr="00704986" w:rsidRDefault="00880179" w:rsidP="00787670">
                  <w:pPr>
                    <w:pStyle w:val="TableColumnHeading"/>
                    <w:ind w:left="0"/>
                  </w:pPr>
                  <w:r w:rsidRPr="00704986">
                    <w:t>NSW</w:t>
                  </w:r>
                </w:p>
              </w:tc>
              <w:tc>
                <w:tcPr>
                  <w:tcW w:w="709" w:type="dxa"/>
                  <w:tcBorders>
                    <w:top w:val="single" w:sz="6" w:space="0" w:color="BFBFBF"/>
                    <w:bottom w:val="single" w:sz="6" w:space="0" w:color="BFBFBF"/>
                  </w:tcBorders>
                </w:tcPr>
                <w:p w14:paraId="5EF94E4E" w14:textId="77777777" w:rsidR="00880179" w:rsidRPr="00C70C24" w:rsidRDefault="00880179" w:rsidP="00787670">
                  <w:pPr>
                    <w:pStyle w:val="TableColumnHeading"/>
                    <w:ind w:left="0"/>
                  </w:pPr>
                  <w:r w:rsidRPr="00C70C24">
                    <w:t>Vic</w:t>
                  </w:r>
                </w:p>
              </w:tc>
              <w:tc>
                <w:tcPr>
                  <w:tcW w:w="709" w:type="dxa"/>
                  <w:tcBorders>
                    <w:top w:val="single" w:sz="6" w:space="0" w:color="BFBFBF"/>
                    <w:bottom w:val="single" w:sz="6" w:space="0" w:color="BFBFBF"/>
                  </w:tcBorders>
                  <w:shd w:val="clear" w:color="auto" w:fill="auto"/>
                </w:tcPr>
                <w:p w14:paraId="1D3DEA98" w14:textId="77777777" w:rsidR="00880179" w:rsidRPr="00787670" w:rsidRDefault="00880179" w:rsidP="00787670">
                  <w:pPr>
                    <w:pStyle w:val="TableColumnHeading"/>
                    <w:ind w:left="0"/>
                  </w:pPr>
                  <w:r w:rsidRPr="00787670">
                    <w:t>Qld</w:t>
                  </w:r>
                </w:p>
              </w:tc>
              <w:tc>
                <w:tcPr>
                  <w:tcW w:w="709" w:type="dxa"/>
                  <w:tcBorders>
                    <w:top w:val="single" w:sz="6" w:space="0" w:color="BFBFBF"/>
                    <w:bottom w:val="single" w:sz="6" w:space="0" w:color="BFBFBF"/>
                  </w:tcBorders>
                  <w:shd w:val="clear" w:color="auto" w:fill="auto"/>
                </w:tcPr>
                <w:p w14:paraId="6B5D7E0A" w14:textId="77777777" w:rsidR="00880179" w:rsidRPr="00787670" w:rsidRDefault="00880179" w:rsidP="00787670">
                  <w:pPr>
                    <w:pStyle w:val="TableColumnHeading"/>
                    <w:ind w:left="0"/>
                  </w:pPr>
                  <w:r w:rsidRPr="00787670">
                    <w:t>WA</w:t>
                  </w:r>
                </w:p>
              </w:tc>
              <w:tc>
                <w:tcPr>
                  <w:tcW w:w="708" w:type="dxa"/>
                  <w:tcBorders>
                    <w:top w:val="single" w:sz="6" w:space="0" w:color="BFBFBF"/>
                    <w:bottom w:val="single" w:sz="6" w:space="0" w:color="BFBFBF"/>
                  </w:tcBorders>
                  <w:shd w:val="clear" w:color="auto" w:fill="auto"/>
                </w:tcPr>
                <w:p w14:paraId="7CB94801" w14:textId="77777777" w:rsidR="00880179" w:rsidRPr="00787670" w:rsidRDefault="00880179" w:rsidP="00787670">
                  <w:pPr>
                    <w:pStyle w:val="TableColumnHeading"/>
                    <w:ind w:left="0"/>
                  </w:pPr>
                  <w:r w:rsidRPr="00787670">
                    <w:t>SA</w:t>
                  </w:r>
                </w:p>
              </w:tc>
              <w:tc>
                <w:tcPr>
                  <w:tcW w:w="709" w:type="dxa"/>
                  <w:tcBorders>
                    <w:top w:val="single" w:sz="6" w:space="0" w:color="BFBFBF"/>
                    <w:bottom w:val="single" w:sz="6" w:space="0" w:color="BFBFBF"/>
                  </w:tcBorders>
                  <w:shd w:val="clear" w:color="auto" w:fill="auto"/>
                </w:tcPr>
                <w:p w14:paraId="6B0C50A9" w14:textId="77777777" w:rsidR="00880179" w:rsidRPr="00704986" w:rsidRDefault="00880179" w:rsidP="00787670">
                  <w:pPr>
                    <w:pStyle w:val="TableColumnHeading"/>
                    <w:ind w:left="0"/>
                  </w:pPr>
                  <w:r w:rsidRPr="00704986">
                    <w:t>Tas</w:t>
                  </w:r>
                </w:p>
              </w:tc>
              <w:tc>
                <w:tcPr>
                  <w:tcW w:w="709" w:type="dxa"/>
                  <w:tcBorders>
                    <w:top w:val="single" w:sz="6" w:space="0" w:color="BFBFBF"/>
                    <w:bottom w:val="single" w:sz="6" w:space="0" w:color="BFBFBF"/>
                  </w:tcBorders>
                  <w:shd w:val="clear" w:color="auto" w:fill="auto"/>
                </w:tcPr>
                <w:p w14:paraId="527F5ECD" w14:textId="77777777" w:rsidR="00880179" w:rsidRPr="00C70C24" w:rsidRDefault="00880179" w:rsidP="00787670">
                  <w:pPr>
                    <w:pStyle w:val="TableColumnHeading"/>
                    <w:ind w:left="0"/>
                  </w:pPr>
                  <w:r w:rsidRPr="00C70C24">
                    <w:t>ACT</w:t>
                  </w:r>
                </w:p>
              </w:tc>
              <w:tc>
                <w:tcPr>
                  <w:tcW w:w="709" w:type="dxa"/>
                  <w:tcBorders>
                    <w:top w:val="single" w:sz="6" w:space="0" w:color="BFBFBF"/>
                    <w:bottom w:val="single" w:sz="6" w:space="0" w:color="BFBFBF"/>
                  </w:tcBorders>
                  <w:shd w:val="clear" w:color="auto" w:fill="auto"/>
                </w:tcPr>
                <w:p w14:paraId="7B64BE9A" w14:textId="77777777" w:rsidR="00880179" w:rsidRPr="00787670" w:rsidRDefault="00880179" w:rsidP="00787670">
                  <w:pPr>
                    <w:pStyle w:val="TableColumnHeading"/>
                    <w:ind w:left="0"/>
                  </w:pPr>
                  <w:r w:rsidRPr="00787670">
                    <w:t>NT</w:t>
                  </w:r>
                </w:p>
              </w:tc>
              <w:tc>
                <w:tcPr>
                  <w:tcW w:w="850" w:type="dxa"/>
                  <w:tcBorders>
                    <w:top w:val="single" w:sz="6" w:space="0" w:color="BFBFBF"/>
                    <w:bottom w:val="single" w:sz="6" w:space="0" w:color="BFBFBF"/>
                  </w:tcBorders>
                </w:tcPr>
                <w:p w14:paraId="62F11BDF" w14:textId="77777777" w:rsidR="00880179" w:rsidRPr="00321CF8" w:rsidRDefault="00880179" w:rsidP="00E22551">
                  <w:pPr>
                    <w:pStyle w:val="TableColumnHeading"/>
                    <w:ind w:left="0" w:right="28"/>
                  </w:pPr>
                  <w:r w:rsidRPr="00321CF8">
                    <w:t>Total</w:t>
                  </w:r>
                </w:p>
              </w:tc>
            </w:tr>
            <w:tr w:rsidR="003B1D4B" w:rsidRPr="00792381" w14:paraId="4931DBE0" w14:textId="77777777" w:rsidTr="008D0127">
              <w:tc>
                <w:tcPr>
                  <w:tcW w:w="1963" w:type="dxa"/>
                  <w:tcBorders>
                    <w:top w:val="single" w:sz="6" w:space="0" w:color="BFBFBF"/>
                  </w:tcBorders>
                </w:tcPr>
                <w:p w14:paraId="2E2365F0" w14:textId="7A24A2E0" w:rsidR="003B1D4B" w:rsidRPr="008D0127" w:rsidRDefault="000D0AA3" w:rsidP="00E22551">
                  <w:pPr>
                    <w:pStyle w:val="TableBodyText"/>
                    <w:spacing w:before="40"/>
                    <w:jc w:val="left"/>
                    <w:rPr>
                      <w:i/>
                      <w:szCs w:val="24"/>
                    </w:rPr>
                  </w:pPr>
                  <w:r w:rsidRPr="008D0127">
                    <w:rPr>
                      <w:i/>
                    </w:rPr>
                    <w:t>Lodgments</w:t>
                  </w:r>
                </w:p>
              </w:tc>
              <w:tc>
                <w:tcPr>
                  <w:tcW w:w="708" w:type="dxa"/>
                  <w:tcBorders>
                    <w:top w:val="single" w:sz="6" w:space="0" w:color="BFBFBF"/>
                  </w:tcBorders>
                  <w:vAlign w:val="center"/>
                </w:tcPr>
                <w:p w14:paraId="1F0A76CA" w14:textId="6A89594B" w:rsidR="003B1D4B" w:rsidRDefault="003B1D4B" w:rsidP="003B1D4B">
                  <w:pPr>
                    <w:pStyle w:val="TableBodyText"/>
                  </w:pPr>
                </w:p>
              </w:tc>
              <w:tc>
                <w:tcPr>
                  <w:tcW w:w="709" w:type="dxa"/>
                  <w:tcBorders>
                    <w:top w:val="single" w:sz="6" w:space="0" w:color="BFBFBF"/>
                  </w:tcBorders>
                  <w:vAlign w:val="center"/>
                </w:tcPr>
                <w:p w14:paraId="6F7BEB9C" w14:textId="32337E12" w:rsidR="003B1D4B" w:rsidRDefault="003B1D4B" w:rsidP="003B1D4B">
                  <w:pPr>
                    <w:pStyle w:val="TableBodyText"/>
                  </w:pPr>
                </w:p>
              </w:tc>
              <w:tc>
                <w:tcPr>
                  <w:tcW w:w="709" w:type="dxa"/>
                  <w:tcBorders>
                    <w:top w:val="single" w:sz="6" w:space="0" w:color="BFBFBF"/>
                  </w:tcBorders>
                  <w:shd w:val="clear" w:color="auto" w:fill="auto"/>
                  <w:vAlign w:val="center"/>
                </w:tcPr>
                <w:p w14:paraId="000AC3C6" w14:textId="130FF769" w:rsidR="003B1D4B" w:rsidRDefault="003B1D4B" w:rsidP="003B1D4B">
                  <w:pPr>
                    <w:pStyle w:val="TableBodyText"/>
                  </w:pPr>
                </w:p>
              </w:tc>
              <w:tc>
                <w:tcPr>
                  <w:tcW w:w="709" w:type="dxa"/>
                  <w:tcBorders>
                    <w:top w:val="single" w:sz="6" w:space="0" w:color="BFBFBF"/>
                  </w:tcBorders>
                  <w:shd w:val="clear" w:color="auto" w:fill="auto"/>
                  <w:vAlign w:val="center"/>
                </w:tcPr>
                <w:p w14:paraId="38053F66" w14:textId="66933675" w:rsidR="003B1D4B" w:rsidRDefault="003B1D4B" w:rsidP="003B1D4B">
                  <w:pPr>
                    <w:pStyle w:val="TableBodyText"/>
                  </w:pPr>
                </w:p>
              </w:tc>
              <w:tc>
                <w:tcPr>
                  <w:tcW w:w="708" w:type="dxa"/>
                  <w:tcBorders>
                    <w:top w:val="single" w:sz="6" w:space="0" w:color="BFBFBF"/>
                  </w:tcBorders>
                  <w:shd w:val="clear" w:color="auto" w:fill="auto"/>
                  <w:vAlign w:val="center"/>
                </w:tcPr>
                <w:p w14:paraId="3C5DF5F0" w14:textId="389D1300" w:rsidR="003B1D4B" w:rsidRDefault="003B1D4B" w:rsidP="003B1D4B">
                  <w:pPr>
                    <w:pStyle w:val="TableBodyText"/>
                  </w:pPr>
                </w:p>
              </w:tc>
              <w:tc>
                <w:tcPr>
                  <w:tcW w:w="709" w:type="dxa"/>
                  <w:tcBorders>
                    <w:top w:val="single" w:sz="6" w:space="0" w:color="BFBFBF"/>
                  </w:tcBorders>
                  <w:shd w:val="clear" w:color="auto" w:fill="auto"/>
                  <w:vAlign w:val="center"/>
                </w:tcPr>
                <w:p w14:paraId="7BB0BD0B" w14:textId="7C783A9F" w:rsidR="003B1D4B" w:rsidRDefault="003B1D4B" w:rsidP="003B1D4B">
                  <w:pPr>
                    <w:pStyle w:val="TableBodyText"/>
                  </w:pPr>
                </w:p>
              </w:tc>
              <w:tc>
                <w:tcPr>
                  <w:tcW w:w="709" w:type="dxa"/>
                  <w:tcBorders>
                    <w:top w:val="single" w:sz="6" w:space="0" w:color="BFBFBF"/>
                  </w:tcBorders>
                  <w:shd w:val="clear" w:color="auto" w:fill="auto"/>
                  <w:vAlign w:val="center"/>
                </w:tcPr>
                <w:p w14:paraId="46514C6D" w14:textId="2B6DEDE8" w:rsidR="003B1D4B" w:rsidRDefault="003B1D4B" w:rsidP="003B1D4B">
                  <w:pPr>
                    <w:pStyle w:val="TableBodyText"/>
                  </w:pPr>
                </w:p>
              </w:tc>
              <w:tc>
                <w:tcPr>
                  <w:tcW w:w="709" w:type="dxa"/>
                  <w:tcBorders>
                    <w:top w:val="single" w:sz="6" w:space="0" w:color="BFBFBF"/>
                  </w:tcBorders>
                  <w:shd w:val="clear" w:color="auto" w:fill="auto"/>
                  <w:vAlign w:val="center"/>
                </w:tcPr>
                <w:p w14:paraId="37EDCE23" w14:textId="7CEEC16F" w:rsidR="003B1D4B" w:rsidRDefault="003B1D4B" w:rsidP="003B1D4B">
                  <w:pPr>
                    <w:pStyle w:val="TableBodyText"/>
                  </w:pPr>
                </w:p>
              </w:tc>
              <w:tc>
                <w:tcPr>
                  <w:tcW w:w="850" w:type="dxa"/>
                  <w:tcBorders>
                    <w:top w:val="single" w:sz="6" w:space="0" w:color="BFBFBF"/>
                  </w:tcBorders>
                  <w:vAlign w:val="center"/>
                </w:tcPr>
                <w:p w14:paraId="3909D4B4" w14:textId="334CB8C5" w:rsidR="003B1D4B" w:rsidRDefault="003B1D4B" w:rsidP="003B1D4B">
                  <w:pPr>
                    <w:pStyle w:val="TableBodyText"/>
                  </w:pPr>
                </w:p>
              </w:tc>
            </w:tr>
            <w:tr w:rsidR="00171EFD" w:rsidRPr="00792381" w14:paraId="02024C86" w14:textId="77777777" w:rsidTr="00574345">
              <w:tc>
                <w:tcPr>
                  <w:tcW w:w="1963" w:type="dxa"/>
                </w:tcPr>
                <w:p w14:paraId="31C060EA" w14:textId="6B0072BD" w:rsidR="00171EFD" w:rsidRPr="00EB64F9" w:rsidRDefault="00171EFD" w:rsidP="00171EFD">
                  <w:pPr>
                    <w:pStyle w:val="TableBodyText"/>
                    <w:spacing w:before="40"/>
                    <w:ind w:left="113"/>
                    <w:jc w:val="left"/>
                  </w:pPr>
                  <w:r w:rsidRPr="00EB64F9">
                    <w:t>Supreme</w:t>
                  </w:r>
                </w:p>
              </w:tc>
              <w:tc>
                <w:tcPr>
                  <w:tcW w:w="708" w:type="dxa"/>
                  <w:vAlign w:val="center"/>
                </w:tcPr>
                <w:p w14:paraId="3C52AD7A" w14:textId="0B3EB2C0" w:rsidR="00171EFD" w:rsidRDefault="00171EFD" w:rsidP="00171EFD">
                  <w:pPr>
                    <w:pStyle w:val="TableBodyText"/>
                  </w:pPr>
                  <w:r>
                    <w:t>na</w:t>
                  </w:r>
                </w:p>
              </w:tc>
              <w:tc>
                <w:tcPr>
                  <w:tcW w:w="709" w:type="dxa"/>
                  <w:vAlign w:val="center"/>
                </w:tcPr>
                <w:p w14:paraId="4AD5EB33" w14:textId="7F5C2D6A" w:rsidR="00171EFD" w:rsidRDefault="00171EFD" w:rsidP="00171EFD">
                  <w:pPr>
                    <w:pStyle w:val="TableBodyText"/>
                  </w:pPr>
                  <w:r>
                    <w:t>na</w:t>
                  </w:r>
                </w:p>
              </w:tc>
              <w:tc>
                <w:tcPr>
                  <w:tcW w:w="709" w:type="dxa"/>
                  <w:shd w:val="clear" w:color="auto" w:fill="auto"/>
                  <w:vAlign w:val="bottom"/>
                </w:tcPr>
                <w:p w14:paraId="0BACE11E" w14:textId="63E0C45E" w:rsidR="00171EFD" w:rsidRPr="00171EFD" w:rsidRDefault="00171EFD" w:rsidP="00171EFD">
                  <w:pPr>
                    <w:pStyle w:val="TableBodyText"/>
                  </w:pPr>
                  <w:r w:rsidRPr="00171EFD">
                    <w:t>5.8</w:t>
                  </w:r>
                </w:p>
              </w:tc>
              <w:tc>
                <w:tcPr>
                  <w:tcW w:w="709" w:type="dxa"/>
                  <w:shd w:val="clear" w:color="auto" w:fill="auto"/>
                  <w:vAlign w:val="bottom"/>
                </w:tcPr>
                <w:p w14:paraId="0244EA5C" w14:textId="40DA28A2" w:rsidR="00171EFD" w:rsidRPr="00171EFD" w:rsidRDefault="00171EFD" w:rsidP="00171EFD">
                  <w:pPr>
                    <w:pStyle w:val="TableBodyText"/>
                  </w:pPr>
                  <w:r w:rsidRPr="00171EFD">
                    <w:t>35.7</w:t>
                  </w:r>
                </w:p>
              </w:tc>
              <w:tc>
                <w:tcPr>
                  <w:tcW w:w="708" w:type="dxa"/>
                  <w:shd w:val="clear" w:color="auto" w:fill="auto"/>
                  <w:vAlign w:val="bottom"/>
                </w:tcPr>
                <w:p w14:paraId="28DF7037" w14:textId="0C55AA91" w:rsidR="00171EFD" w:rsidRPr="00171EFD" w:rsidRDefault="00171EFD" w:rsidP="00171EFD">
                  <w:pPr>
                    <w:pStyle w:val="TableBodyText"/>
                  </w:pPr>
                  <w:r w:rsidRPr="00171EFD">
                    <w:t>7.5</w:t>
                  </w:r>
                </w:p>
              </w:tc>
              <w:tc>
                <w:tcPr>
                  <w:tcW w:w="709" w:type="dxa"/>
                  <w:shd w:val="clear" w:color="auto" w:fill="auto"/>
                  <w:vAlign w:val="center"/>
                </w:tcPr>
                <w:p w14:paraId="1EE0A894" w14:textId="0E472828" w:rsidR="00171EFD" w:rsidRDefault="00171EFD" w:rsidP="00171EFD">
                  <w:pPr>
                    <w:pStyle w:val="TableBodyText"/>
                  </w:pPr>
                  <w:r>
                    <w:t>na</w:t>
                  </w:r>
                </w:p>
              </w:tc>
              <w:tc>
                <w:tcPr>
                  <w:tcW w:w="709" w:type="dxa"/>
                  <w:shd w:val="clear" w:color="auto" w:fill="auto"/>
                  <w:vAlign w:val="center"/>
                </w:tcPr>
                <w:p w14:paraId="2BB001E5" w14:textId="5ADC488B" w:rsidR="00171EFD" w:rsidRDefault="00171EFD" w:rsidP="00171EFD">
                  <w:pPr>
                    <w:pStyle w:val="TableBodyText"/>
                  </w:pPr>
                  <w:r>
                    <w:t>na</w:t>
                  </w:r>
                </w:p>
              </w:tc>
              <w:tc>
                <w:tcPr>
                  <w:tcW w:w="709" w:type="dxa"/>
                  <w:shd w:val="clear" w:color="auto" w:fill="auto"/>
                  <w:vAlign w:val="bottom"/>
                </w:tcPr>
                <w:p w14:paraId="1A4576A6" w14:textId="3E8EE64C" w:rsidR="00171EFD" w:rsidRPr="00171EFD" w:rsidRDefault="00171EFD" w:rsidP="00171EFD">
                  <w:pPr>
                    <w:pStyle w:val="TableBodyText"/>
                  </w:pPr>
                  <w:r w:rsidRPr="00171EFD">
                    <w:t>61.2</w:t>
                  </w:r>
                </w:p>
              </w:tc>
              <w:tc>
                <w:tcPr>
                  <w:tcW w:w="850" w:type="dxa"/>
                  <w:vAlign w:val="center"/>
                </w:tcPr>
                <w:p w14:paraId="75E58A94" w14:textId="4FD7D74F" w:rsidR="00171EFD" w:rsidRDefault="00171EFD" w:rsidP="00787670">
                  <w:pPr>
                    <w:pStyle w:val="TableBodyText"/>
                    <w:ind w:right="0"/>
                  </w:pPr>
                  <w:r>
                    <w:t>na</w:t>
                  </w:r>
                </w:p>
              </w:tc>
            </w:tr>
            <w:tr w:rsidR="00171EFD" w:rsidRPr="00792381" w14:paraId="44C2DBD9" w14:textId="77777777" w:rsidTr="00574345">
              <w:tc>
                <w:tcPr>
                  <w:tcW w:w="1963" w:type="dxa"/>
                </w:tcPr>
                <w:p w14:paraId="18CCFC17" w14:textId="77777777" w:rsidR="00171EFD" w:rsidRPr="00EB64F9" w:rsidRDefault="00171EFD" w:rsidP="00171EFD">
                  <w:pPr>
                    <w:pStyle w:val="TableBodyText"/>
                    <w:spacing w:before="40"/>
                    <w:ind w:left="113"/>
                    <w:jc w:val="left"/>
                    <w:rPr>
                      <w:rStyle w:val="NoteLabel"/>
                      <w:szCs w:val="24"/>
                    </w:rPr>
                  </w:pPr>
                  <w:r>
                    <w:t>District/county</w:t>
                  </w:r>
                </w:p>
              </w:tc>
              <w:tc>
                <w:tcPr>
                  <w:tcW w:w="708" w:type="dxa"/>
                  <w:vAlign w:val="center"/>
                </w:tcPr>
                <w:p w14:paraId="0AEFBE6C" w14:textId="77777777" w:rsidR="00171EFD" w:rsidRDefault="00171EFD" w:rsidP="00171EFD">
                  <w:pPr>
                    <w:pStyle w:val="TableBodyText"/>
                  </w:pPr>
                  <w:r>
                    <w:t>na</w:t>
                  </w:r>
                </w:p>
              </w:tc>
              <w:tc>
                <w:tcPr>
                  <w:tcW w:w="709" w:type="dxa"/>
                  <w:vAlign w:val="center"/>
                </w:tcPr>
                <w:p w14:paraId="2A68F453" w14:textId="77777777" w:rsidR="00171EFD" w:rsidRDefault="00171EFD" w:rsidP="00171EFD">
                  <w:pPr>
                    <w:pStyle w:val="TableBodyText"/>
                  </w:pPr>
                  <w:r>
                    <w:t>na</w:t>
                  </w:r>
                </w:p>
              </w:tc>
              <w:tc>
                <w:tcPr>
                  <w:tcW w:w="709" w:type="dxa"/>
                  <w:shd w:val="clear" w:color="auto" w:fill="auto"/>
                  <w:vAlign w:val="bottom"/>
                </w:tcPr>
                <w:p w14:paraId="1771EBBF" w14:textId="4D7D3CBD" w:rsidR="00171EFD" w:rsidRPr="00171EFD" w:rsidRDefault="00171EFD" w:rsidP="00171EFD">
                  <w:pPr>
                    <w:pStyle w:val="TableBodyText"/>
                  </w:pPr>
                  <w:r w:rsidRPr="00171EFD">
                    <w:t>17.1</w:t>
                  </w:r>
                </w:p>
              </w:tc>
              <w:tc>
                <w:tcPr>
                  <w:tcW w:w="709" w:type="dxa"/>
                  <w:shd w:val="clear" w:color="auto" w:fill="auto"/>
                  <w:vAlign w:val="bottom"/>
                </w:tcPr>
                <w:p w14:paraId="086DBED4" w14:textId="5890041D" w:rsidR="00171EFD" w:rsidRPr="00171EFD" w:rsidRDefault="00171EFD" w:rsidP="00171EFD">
                  <w:pPr>
                    <w:pStyle w:val="TableBodyText"/>
                  </w:pPr>
                  <w:r w:rsidRPr="00171EFD">
                    <w:t>28.6</w:t>
                  </w:r>
                </w:p>
              </w:tc>
              <w:tc>
                <w:tcPr>
                  <w:tcW w:w="708" w:type="dxa"/>
                  <w:shd w:val="clear" w:color="auto" w:fill="auto"/>
                  <w:vAlign w:val="bottom"/>
                </w:tcPr>
                <w:p w14:paraId="753E8695" w14:textId="27FAA421" w:rsidR="00171EFD" w:rsidRPr="00171EFD" w:rsidRDefault="00171EFD" w:rsidP="00171EFD">
                  <w:pPr>
                    <w:pStyle w:val="TableBodyText"/>
                  </w:pPr>
                  <w:r w:rsidRPr="00171EFD">
                    <w:t>8.4</w:t>
                  </w:r>
                </w:p>
              </w:tc>
              <w:tc>
                <w:tcPr>
                  <w:tcW w:w="709" w:type="dxa"/>
                  <w:shd w:val="clear" w:color="auto" w:fill="auto"/>
                  <w:vAlign w:val="center"/>
                </w:tcPr>
                <w:p w14:paraId="7ABDEB7A" w14:textId="77777777" w:rsidR="00171EFD" w:rsidRDefault="00171EFD" w:rsidP="00171EFD">
                  <w:pPr>
                    <w:pStyle w:val="TableBodyText"/>
                  </w:pPr>
                  <w:r>
                    <w:t>..</w:t>
                  </w:r>
                </w:p>
              </w:tc>
              <w:tc>
                <w:tcPr>
                  <w:tcW w:w="709" w:type="dxa"/>
                  <w:shd w:val="clear" w:color="auto" w:fill="auto"/>
                  <w:vAlign w:val="center"/>
                </w:tcPr>
                <w:p w14:paraId="62FF9025" w14:textId="77777777" w:rsidR="00171EFD" w:rsidRDefault="00171EFD" w:rsidP="00171EFD">
                  <w:pPr>
                    <w:pStyle w:val="TableBodyText"/>
                  </w:pPr>
                  <w:r>
                    <w:t>..</w:t>
                  </w:r>
                </w:p>
              </w:tc>
              <w:tc>
                <w:tcPr>
                  <w:tcW w:w="709" w:type="dxa"/>
                  <w:shd w:val="clear" w:color="auto" w:fill="auto"/>
                  <w:vAlign w:val="center"/>
                </w:tcPr>
                <w:p w14:paraId="0149B9C8" w14:textId="0B25CDC6" w:rsidR="00171EFD" w:rsidRPr="00171EFD" w:rsidRDefault="00171EFD" w:rsidP="00171EFD">
                  <w:pPr>
                    <w:pStyle w:val="TableBodyText"/>
                  </w:pPr>
                  <w:r w:rsidRPr="00171EFD">
                    <w:t>..</w:t>
                  </w:r>
                </w:p>
              </w:tc>
              <w:tc>
                <w:tcPr>
                  <w:tcW w:w="850" w:type="dxa"/>
                  <w:vAlign w:val="center"/>
                </w:tcPr>
                <w:p w14:paraId="0468D513" w14:textId="77777777" w:rsidR="00171EFD" w:rsidRDefault="00171EFD" w:rsidP="00787670">
                  <w:pPr>
                    <w:pStyle w:val="TableBodyText"/>
                    <w:ind w:right="0"/>
                  </w:pPr>
                  <w:r>
                    <w:t>na</w:t>
                  </w:r>
                </w:p>
              </w:tc>
            </w:tr>
            <w:tr w:rsidR="00171EFD" w:rsidRPr="00792381" w14:paraId="2A4795F7" w14:textId="77777777" w:rsidTr="00B00A13">
              <w:trPr>
                <w:trHeight w:val="337"/>
              </w:trPr>
              <w:tc>
                <w:tcPr>
                  <w:tcW w:w="1963" w:type="dxa"/>
                  <w:vAlign w:val="center"/>
                </w:tcPr>
                <w:p w14:paraId="0278DDAC" w14:textId="02D43D76" w:rsidR="00171EFD" w:rsidRDefault="00171EFD" w:rsidP="00171EFD">
                  <w:pPr>
                    <w:pStyle w:val="TableBodyText"/>
                    <w:spacing w:before="40"/>
                    <w:ind w:left="113"/>
                    <w:jc w:val="left"/>
                  </w:pPr>
                  <w:r>
                    <w:t>Magistrates</w:t>
                  </w:r>
                  <w:r w:rsidR="00170DC4">
                    <w:t>’</w:t>
                  </w:r>
                  <w:r>
                    <w:t xml:space="preserve"> (total)</w:t>
                  </w:r>
                </w:p>
              </w:tc>
              <w:tc>
                <w:tcPr>
                  <w:tcW w:w="708" w:type="dxa"/>
                  <w:vAlign w:val="center"/>
                </w:tcPr>
                <w:p w14:paraId="71DCCECC" w14:textId="77777777" w:rsidR="00171EFD" w:rsidRDefault="00171EFD" w:rsidP="00171EFD">
                  <w:pPr>
                    <w:pStyle w:val="TableBodyText"/>
                  </w:pPr>
                  <w:r>
                    <w:t>na</w:t>
                  </w:r>
                </w:p>
              </w:tc>
              <w:tc>
                <w:tcPr>
                  <w:tcW w:w="709" w:type="dxa"/>
                  <w:vAlign w:val="center"/>
                </w:tcPr>
                <w:p w14:paraId="3EF6549C" w14:textId="77777777" w:rsidR="00171EFD" w:rsidRDefault="00171EFD" w:rsidP="00171EFD">
                  <w:pPr>
                    <w:pStyle w:val="TableBodyText"/>
                  </w:pPr>
                  <w:r>
                    <w:t>na</w:t>
                  </w:r>
                </w:p>
              </w:tc>
              <w:tc>
                <w:tcPr>
                  <w:tcW w:w="709" w:type="dxa"/>
                  <w:shd w:val="clear" w:color="auto" w:fill="auto"/>
                  <w:vAlign w:val="bottom"/>
                </w:tcPr>
                <w:p w14:paraId="0B18AFD4" w14:textId="5577466D" w:rsidR="00171EFD" w:rsidRPr="00171EFD" w:rsidRDefault="00171EFD" w:rsidP="00171EFD">
                  <w:pPr>
                    <w:pStyle w:val="TableBodyText"/>
                  </w:pPr>
                  <w:r w:rsidRPr="00171EFD">
                    <w:t>19.6</w:t>
                  </w:r>
                </w:p>
              </w:tc>
              <w:tc>
                <w:tcPr>
                  <w:tcW w:w="709" w:type="dxa"/>
                  <w:shd w:val="clear" w:color="auto" w:fill="auto"/>
                  <w:vAlign w:val="bottom"/>
                </w:tcPr>
                <w:p w14:paraId="4D1E129C" w14:textId="5BD5A587" w:rsidR="00171EFD" w:rsidRPr="00171EFD" w:rsidRDefault="00171EFD" w:rsidP="00171EFD">
                  <w:pPr>
                    <w:pStyle w:val="TableBodyText"/>
                  </w:pPr>
                  <w:r w:rsidRPr="00171EFD">
                    <w:t>31.4</w:t>
                  </w:r>
                </w:p>
              </w:tc>
              <w:tc>
                <w:tcPr>
                  <w:tcW w:w="708" w:type="dxa"/>
                  <w:shd w:val="clear" w:color="auto" w:fill="auto"/>
                  <w:vAlign w:val="bottom"/>
                </w:tcPr>
                <w:p w14:paraId="15BCC62A" w14:textId="2E3C1565" w:rsidR="00171EFD" w:rsidRPr="00171EFD" w:rsidRDefault="00171EFD" w:rsidP="00171EFD">
                  <w:pPr>
                    <w:pStyle w:val="TableBodyText"/>
                  </w:pPr>
                  <w:r w:rsidRPr="00171EFD">
                    <w:t>15.4</w:t>
                  </w:r>
                </w:p>
              </w:tc>
              <w:tc>
                <w:tcPr>
                  <w:tcW w:w="709" w:type="dxa"/>
                  <w:shd w:val="clear" w:color="auto" w:fill="auto"/>
                  <w:vAlign w:val="center"/>
                </w:tcPr>
                <w:p w14:paraId="060AE46C" w14:textId="77777777" w:rsidR="00171EFD" w:rsidRDefault="00171EFD" w:rsidP="00171EFD">
                  <w:pPr>
                    <w:pStyle w:val="TableBodyText"/>
                  </w:pPr>
                  <w:r>
                    <w:t>na</w:t>
                  </w:r>
                </w:p>
              </w:tc>
              <w:tc>
                <w:tcPr>
                  <w:tcW w:w="709" w:type="dxa"/>
                  <w:shd w:val="clear" w:color="auto" w:fill="auto"/>
                  <w:vAlign w:val="center"/>
                </w:tcPr>
                <w:p w14:paraId="6AE9A852" w14:textId="77777777" w:rsidR="00171EFD" w:rsidRDefault="00171EFD" w:rsidP="00171EFD">
                  <w:pPr>
                    <w:pStyle w:val="TableBodyText"/>
                  </w:pPr>
                  <w:r>
                    <w:t>na</w:t>
                  </w:r>
                </w:p>
              </w:tc>
              <w:tc>
                <w:tcPr>
                  <w:tcW w:w="709" w:type="dxa"/>
                  <w:shd w:val="clear" w:color="auto" w:fill="auto"/>
                  <w:vAlign w:val="bottom"/>
                </w:tcPr>
                <w:p w14:paraId="20EB4E9F" w14:textId="6F79463B" w:rsidR="00171EFD" w:rsidRPr="00171EFD" w:rsidRDefault="004E286F" w:rsidP="00171EFD">
                  <w:pPr>
                    <w:pStyle w:val="TableBodyText"/>
                  </w:pPr>
                  <w:r>
                    <w:t>76.6</w:t>
                  </w:r>
                </w:p>
              </w:tc>
              <w:tc>
                <w:tcPr>
                  <w:tcW w:w="850" w:type="dxa"/>
                  <w:vAlign w:val="center"/>
                </w:tcPr>
                <w:p w14:paraId="7E33F4E9" w14:textId="77777777" w:rsidR="00171EFD" w:rsidRDefault="00171EFD" w:rsidP="00787670">
                  <w:pPr>
                    <w:pStyle w:val="TableBodyText"/>
                    <w:ind w:right="0"/>
                  </w:pPr>
                  <w:r>
                    <w:t>na</w:t>
                  </w:r>
                </w:p>
              </w:tc>
            </w:tr>
            <w:tr w:rsidR="00171EFD" w:rsidRPr="00792381" w14:paraId="000382BE" w14:textId="77777777" w:rsidTr="00B00A13">
              <w:trPr>
                <w:trHeight w:val="337"/>
              </w:trPr>
              <w:tc>
                <w:tcPr>
                  <w:tcW w:w="1963" w:type="dxa"/>
                  <w:vAlign w:val="center"/>
                </w:tcPr>
                <w:p w14:paraId="1751005F" w14:textId="7A9C8892" w:rsidR="00171EFD" w:rsidRPr="00EB64F9" w:rsidRDefault="00171EFD" w:rsidP="00171EFD">
                  <w:pPr>
                    <w:pStyle w:val="TableBodyText"/>
                    <w:spacing w:before="40"/>
                    <w:ind w:left="113"/>
                    <w:jc w:val="left"/>
                    <w:rPr>
                      <w:rStyle w:val="NoteLabel"/>
                      <w:szCs w:val="24"/>
                    </w:rPr>
                  </w:pPr>
                  <w:r>
                    <w:t>Magistrates</w:t>
                  </w:r>
                  <w:r w:rsidR="00170DC4">
                    <w:t>’</w:t>
                  </w:r>
                  <w:r>
                    <w:t xml:space="preserve"> (only)</w:t>
                  </w:r>
                </w:p>
              </w:tc>
              <w:tc>
                <w:tcPr>
                  <w:tcW w:w="708" w:type="dxa"/>
                  <w:vAlign w:val="center"/>
                </w:tcPr>
                <w:p w14:paraId="1987F59C" w14:textId="77777777" w:rsidR="00171EFD" w:rsidRDefault="00171EFD" w:rsidP="00171EFD">
                  <w:pPr>
                    <w:pStyle w:val="TableBodyText"/>
                  </w:pPr>
                  <w:r>
                    <w:t>na</w:t>
                  </w:r>
                </w:p>
              </w:tc>
              <w:tc>
                <w:tcPr>
                  <w:tcW w:w="709" w:type="dxa"/>
                  <w:vAlign w:val="center"/>
                </w:tcPr>
                <w:p w14:paraId="0FE624E3" w14:textId="77777777" w:rsidR="00171EFD" w:rsidRDefault="00171EFD" w:rsidP="00171EFD">
                  <w:pPr>
                    <w:pStyle w:val="TableBodyText"/>
                  </w:pPr>
                  <w:r>
                    <w:t>na</w:t>
                  </w:r>
                </w:p>
              </w:tc>
              <w:tc>
                <w:tcPr>
                  <w:tcW w:w="709" w:type="dxa"/>
                  <w:shd w:val="clear" w:color="auto" w:fill="auto"/>
                  <w:vAlign w:val="bottom"/>
                </w:tcPr>
                <w:p w14:paraId="0B21C952" w14:textId="520D8601" w:rsidR="00171EFD" w:rsidRPr="00171EFD" w:rsidRDefault="00171EFD" w:rsidP="00171EFD">
                  <w:pPr>
                    <w:pStyle w:val="TableBodyText"/>
                  </w:pPr>
                  <w:r w:rsidRPr="00171EFD">
                    <w:t>17.7</w:t>
                  </w:r>
                </w:p>
              </w:tc>
              <w:tc>
                <w:tcPr>
                  <w:tcW w:w="709" w:type="dxa"/>
                  <w:shd w:val="clear" w:color="auto" w:fill="auto"/>
                  <w:vAlign w:val="bottom"/>
                </w:tcPr>
                <w:p w14:paraId="2A3512C0" w14:textId="6BDAA4AF" w:rsidR="00171EFD" w:rsidRPr="00171EFD" w:rsidRDefault="00171EFD" w:rsidP="00171EFD">
                  <w:pPr>
                    <w:pStyle w:val="TableBodyText"/>
                  </w:pPr>
                  <w:r w:rsidRPr="00171EFD">
                    <w:t>29.3</w:t>
                  </w:r>
                </w:p>
              </w:tc>
              <w:tc>
                <w:tcPr>
                  <w:tcW w:w="708" w:type="dxa"/>
                  <w:shd w:val="clear" w:color="auto" w:fill="auto"/>
                  <w:vAlign w:val="bottom"/>
                </w:tcPr>
                <w:p w14:paraId="511D1FEC" w14:textId="3DECC2FD" w:rsidR="00171EFD" w:rsidRPr="00171EFD" w:rsidRDefault="00171EFD" w:rsidP="00171EFD">
                  <w:pPr>
                    <w:pStyle w:val="TableBodyText"/>
                  </w:pPr>
                  <w:r w:rsidRPr="00171EFD">
                    <w:t>13.8</w:t>
                  </w:r>
                </w:p>
              </w:tc>
              <w:tc>
                <w:tcPr>
                  <w:tcW w:w="709" w:type="dxa"/>
                  <w:shd w:val="clear" w:color="auto" w:fill="auto"/>
                  <w:vAlign w:val="center"/>
                </w:tcPr>
                <w:p w14:paraId="655E8835" w14:textId="77777777" w:rsidR="00171EFD" w:rsidRDefault="00171EFD" w:rsidP="00171EFD">
                  <w:pPr>
                    <w:pStyle w:val="TableBodyText"/>
                  </w:pPr>
                  <w:r>
                    <w:t>na</w:t>
                  </w:r>
                </w:p>
              </w:tc>
              <w:tc>
                <w:tcPr>
                  <w:tcW w:w="709" w:type="dxa"/>
                  <w:shd w:val="clear" w:color="auto" w:fill="auto"/>
                  <w:vAlign w:val="center"/>
                </w:tcPr>
                <w:p w14:paraId="769C5389" w14:textId="77777777" w:rsidR="00171EFD" w:rsidRDefault="00171EFD" w:rsidP="00171EFD">
                  <w:pPr>
                    <w:pStyle w:val="TableBodyText"/>
                  </w:pPr>
                  <w:r>
                    <w:t>na</w:t>
                  </w:r>
                </w:p>
              </w:tc>
              <w:tc>
                <w:tcPr>
                  <w:tcW w:w="709" w:type="dxa"/>
                  <w:shd w:val="clear" w:color="auto" w:fill="auto"/>
                  <w:vAlign w:val="bottom"/>
                </w:tcPr>
                <w:p w14:paraId="663D9964" w14:textId="5BEC0402" w:rsidR="00171EFD" w:rsidRPr="00171EFD" w:rsidRDefault="004E286F" w:rsidP="00171EFD">
                  <w:pPr>
                    <w:pStyle w:val="TableBodyText"/>
                  </w:pPr>
                  <w:r>
                    <w:t>74.2</w:t>
                  </w:r>
                </w:p>
              </w:tc>
              <w:tc>
                <w:tcPr>
                  <w:tcW w:w="850" w:type="dxa"/>
                  <w:vAlign w:val="center"/>
                </w:tcPr>
                <w:p w14:paraId="64327D73" w14:textId="77777777" w:rsidR="00171EFD" w:rsidRDefault="00171EFD" w:rsidP="00787670">
                  <w:pPr>
                    <w:pStyle w:val="TableBodyText"/>
                    <w:ind w:right="0"/>
                  </w:pPr>
                  <w:r>
                    <w:t>na</w:t>
                  </w:r>
                </w:p>
              </w:tc>
            </w:tr>
            <w:tr w:rsidR="00171EFD" w:rsidRPr="00792381" w14:paraId="1D5B5BAF" w14:textId="77777777" w:rsidTr="00B00A13">
              <w:tc>
                <w:tcPr>
                  <w:tcW w:w="1963" w:type="dxa"/>
                </w:tcPr>
                <w:p w14:paraId="21BB5DF6" w14:textId="77777777" w:rsidR="00171EFD" w:rsidRPr="00E52F57" w:rsidRDefault="00171EFD" w:rsidP="00171EFD">
                  <w:pPr>
                    <w:pStyle w:val="TableBodyText"/>
                    <w:spacing w:before="40"/>
                    <w:ind w:left="113"/>
                    <w:jc w:val="left"/>
                    <w:rPr>
                      <w:szCs w:val="24"/>
                    </w:rPr>
                  </w:pPr>
                  <w:r w:rsidRPr="00E52F57">
                    <w:t>Children’s</w:t>
                  </w:r>
                </w:p>
              </w:tc>
              <w:tc>
                <w:tcPr>
                  <w:tcW w:w="708" w:type="dxa"/>
                  <w:vAlign w:val="center"/>
                </w:tcPr>
                <w:p w14:paraId="2C105CEB" w14:textId="77777777" w:rsidR="00171EFD" w:rsidRDefault="00171EFD" w:rsidP="00171EFD">
                  <w:pPr>
                    <w:pStyle w:val="TableBodyText"/>
                  </w:pPr>
                  <w:r>
                    <w:t>na</w:t>
                  </w:r>
                </w:p>
              </w:tc>
              <w:tc>
                <w:tcPr>
                  <w:tcW w:w="709" w:type="dxa"/>
                  <w:vAlign w:val="center"/>
                </w:tcPr>
                <w:p w14:paraId="0AC96DAB" w14:textId="77777777" w:rsidR="00171EFD" w:rsidRDefault="00171EFD" w:rsidP="00171EFD">
                  <w:pPr>
                    <w:pStyle w:val="TableBodyText"/>
                  </w:pPr>
                  <w:r>
                    <w:t>na</w:t>
                  </w:r>
                </w:p>
              </w:tc>
              <w:tc>
                <w:tcPr>
                  <w:tcW w:w="709" w:type="dxa"/>
                  <w:shd w:val="clear" w:color="auto" w:fill="auto"/>
                  <w:vAlign w:val="bottom"/>
                </w:tcPr>
                <w:p w14:paraId="6C80DD1F" w14:textId="3F012FAA" w:rsidR="00171EFD" w:rsidRPr="00171EFD" w:rsidRDefault="00171EFD" w:rsidP="00171EFD">
                  <w:pPr>
                    <w:pStyle w:val="TableBodyText"/>
                  </w:pPr>
                  <w:r w:rsidRPr="00171EFD">
                    <w:t>48.2</w:t>
                  </w:r>
                </w:p>
              </w:tc>
              <w:tc>
                <w:tcPr>
                  <w:tcW w:w="709" w:type="dxa"/>
                  <w:shd w:val="clear" w:color="auto" w:fill="auto"/>
                  <w:vAlign w:val="bottom"/>
                </w:tcPr>
                <w:p w14:paraId="26AFE5F6" w14:textId="2B8E58BD" w:rsidR="00171EFD" w:rsidRPr="00171EFD" w:rsidRDefault="00171EFD" w:rsidP="00171EFD">
                  <w:pPr>
                    <w:pStyle w:val="TableBodyText"/>
                  </w:pPr>
                  <w:r w:rsidRPr="00171EFD">
                    <w:t>61.1</w:t>
                  </w:r>
                </w:p>
              </w:tc>
              <w:tc>
                <w:tcPr>
                  <w:tcW w:w="708" w:type="dxa"/>
                  <w:shd w:val="clear" w:color="auto" w:fill="auto"/>
                  <w:vAlign w:val="bottom"/>
                </w:tcPr>
                <w:p w14:paraId="4515DB9E" w14:textId="0EEF052F" w:rsidR="00171EFD" w:rsidRPr="00171EFD" w:rsidRDefault="00171EFD" w:rsidP="00171EFD">
                  <w:pPr>
                    <w:pStyle w:val="TableBodyText"/>
                  </w:pPr>
                  <w:r w:rsidRPr="00171EFD">
                    <w:t>37.5</w:t>
                  </w:r>
                </w:p>
              </w:tc>
              <w:tc>
                <w:tcPr>
                  <w:tcW w:w="709" w:type="dxa"/>
                  <w:shd w:val="clear" w:color="auto" w:fill="auto"/>
                  <w:vAlign w:val="center"/>
                </w:tcPr>
                <w:p w14:paraId="729720A6" w14:textId="77777777" w:rsidR="00171EFD" w:rsidRDefault="00171EFD" w:rsidP="00171EFD">
                  <w:pPr>
                    <w:pStyle w:val="TableBodyText"/>
                  </w:pPr>
                  <w:r>
                    <w:t>na</w:t>
                  </w:r>
                </w:p>
              </w:tc>
              <w:tc>
                <w:tcPr>
                  <w:tcW w:w="709" w:type="dxa"/>
                  <w:shd w:val="clear" w:color="auto" w:fill="auto"/>
                  <w:vAlign w:val="center"/>
                </w:tcPr>
                <w:p w14:paraId="2ACC81DB" w14:textId="77777777" w:rsidR="00171EFD" w:rsidRDefault="00171EFD" w:rsidP="00171EFD">
                  <w:pPr>
                    <w:pStyle w:val="TableBodyText"/>
                  </w:pPr>
                  <w:r>
                    <w:t>na</w:t>
                  </w:r>
                </w:p>
              </w:tc>
              <w:tc>
                <w:tcPr>
                  <w:tcW w:w="709" w:type="dxa"/>
                  <w:shd w:val="clear" w:color="auto" w:fill="auto"/>
                  <w:vAlign w:val="bottom"/>
                </w:tcPr>
                <w:p w14:paraId="029E8AA6" w14:textId="308F4DB6" w:rsidR="00171EFD" w:rsidRPr="00171EFD" w:rsidRDefault="004E286F" w:rsidP="00171EFD">
                  <w:pPr>
                    <w:pStyle w:val="TableBodyText"/>
                  </w:pPr>
                  <w:r>
                    <w:t>91.4</w:t>
                  </w:r>
                </w:p>
              </w:tc>
              <w:tc>
                <w:tcPr>
                  <w:tcW w:w="850" w:type="dxa"/>
                  <w:vAlign w:val="center"/>
                </w:tcPr>
                <w:p w14:paraId="1739BED9" w14:textId="77777777" w:rsidR="00171EFD" w:rsidRDefault="00171EFD" w:rsidP="00787670">
                  <w:pPr>
                    <w:pStyle w:val="TableBodyText"/>
                    <w:ind w:right="0"/>
                  </w:pPr>
                  <w:r>
                    <w:t>na</w:t>
                  </w:r>
                </w:p>
              </w:tc>
            </w:tr>
            <w:tr w:rsidR="00171EFD" w:rsidRPr="00792381" w14:paraId="5230E2E5" w14:textId="77777777" w:rsidTr="00B00A13">
              <w:tc>
                <w:tcPr>
                  <w:tcW w:w="1963" w:type="dxa"/>
                </w:tcPr>
                <w:p w14:paraId="54D912AD" w14:textId="3FB24EBC" w:rsidR="00171EFD" w:rsidRPr="00EB64F9" w:rsidRDefault="009F6588" w:rsidP="00171EFD">
                  <w:pPr>
                    <w:pStyle w:val="TableBodyText"/>
                    <w:spacing w:before="40"/>
                    <w:ind w:left="113"/>
                    <w:jc w:val="left"/>
                    <w:rPr>
                      <w:b/>
                      <w:szCs w:val="24"/>
                    </w:rPr>
                  </w:pPr>
                  <w:r>
                    <w:rPr>
                      <w:b/>
                    </w:rPr>
                    <w:t>All criminal courts</w:t>
                  </w:r>
                </w:p>
              </w:tc>
              <w:tc>
                <w:tcPr>
                  <w:tcW w:w="708" w:type="dxa"/>
                  <w:vAlign w:val="center"/>
                </w:tcPr>
                <w:p w14:paraId="26AE6957" w14:textId="77777777" w:rsidR="00171EFD" w:rsidRPr="00787670" w:rsidRDefault="00171EFD" w:rsidP="00171EFD">
                  <w:pPr>
                    <w:pStyle w:val="TableBodyText"/>
                    <w:rPr>
                      <w:b/>
                    </w:rPr>
                  </w:pPr>
                  <w:r w:rsidRPr="00787670">
                    <w:rPr>
                      <w:b/>
                    </w:rPr>
                    <w:t>na</w:t>
                  </w:r>
                </w:p>
              </w:tc>
              <w:tc>
                <w:tcPr>
                  <w:tcW w:w="709" w:type="dxa"/>
                  <w:vAlign w:val="center"/>
                </w:tcPr>
                <w:p w14:paraId="0C0BF711" w14:textId="77777777" w:rsidR="00171EFD" w:rsidRPr="00787670" w:rsidRDefault="00171EFD" w:rsidP="00171EFD">
                  <w:pPr>
                    <w:pStyle w:val="TableBodyText"/>
                    <w:rPr>
                      <w:b/>
                    </w:rPr>
                  </w:pPr>
                  <w:r w:rsidRPr="00787670">
                    <w:rPr>
                      <w:b/>
                    </w:rPr>
                    <w:t>na</w:t>
                  </w:r>
                </w:p>
              </w:tc>
              <w:tc>
                <w:tcPr>
                  <w:tcW w:w="709" w:type="dxa"/>
                  <w:shd w:val="clear" w:color="auto" w:fill="auto"/>
                  <w:vAlign w:val="bottom"/>
                </w:tcPr>
                <w:p w14:paraId="4211ED17" w14:textId="02A68A3C" w:rsidR="00171EFD" w:rsidRPr="00787670" w:rsidRDefault="00171EFD" w:rsidP="00171EFD">
                  <w:pPr>
                    <w:pStyle w:val="TableBodyText"/>
                    <w:rPr>
                      <w:b/>
                    </w:rPr>
                  </w:pPr>
                  <w:r w:rsidRPr="00787670">
                    <w:rPr>
                      <w:b/>
                    </w:rPr>
                    <w:t>19.4</w:t>
                  </w:r>
                </w:p>
              </w:tc>
              <w:tc>
                <w:tcPr>
                  <w:tcW w:w="709" w:type="dxa"/>
                  <w:shd w:val="clear" w:color="auto" w:fill="auto"/>
                  <w:vAlign w:val="bottom"/>
                </w:tcPr>
                <w:p w14:paraId="44C161BF" w14:textId="4A11CF14" w:rsidR="00171EFD" w:rsidRPr="00787670" w:rsidRDefault="00171EFD" w:rsidP="00171EFD">
                  <w:pPr>
                    <w:pStyle w:val="TableBodyText"/>
                    <w:rPr>
                      <w:b/>
                    </w:rPr>
                  </w:pPr>
                  <w:r w:rsidRPr="00787670">
                    <w:rPr>
                      <w:b/>
                    </w:rPr>
                    <w:t>31.4</w:t>
                  </w:r>
                </w:p>
              </w:tc>
              <w:tc>
                <w:tcPr>
                  <w:tcW w:w="708" w:type="dxa"/>
                  <w:shd w:val="clear" w:color="auto" w:fill="auto"/>
                  <w:vAlign w:val="bottom"/>
                </w:tcPr>
                <w:p w14:paraId="49CFC6C9" w14:textId="2841FD59" w:rsidR="00171EFD" w:rsidRPr="00787670" w:rsidRDefault="00171EFD" w:rsidP="00171EFD">
                  <w:pPr>
                    <w:pStyle w:val="TableBodyText"/>
                    <w:rPr>
                      <w:b/>
                    </w:rPr>
                  </w:pPr>
                  <w:r w:rsidRPr="00787670">
                    <w:rPr>
                      <w:b/>
                    </w:rPr>
                    <w:t>15.1</w:t>
                  </w:r>
                </w:p>
              </w:tc>
              <w:tc>
                <w:tcPr>
                  <w:tcW w:w="709" w:type="dxa"/>
                  <w:shd w:val="clear" w:color="auto" w:fill="auto"/>
                  <w:vAlign w:val="center"/>
                </w:tcPr>
                <w:p w14:paraId="4309E429" w14:textId="77777777" w:rsidR="00171EFD" w:rsidRPr="00787670" w:rsidRDefault="00171EFD" w:rsidP="00171EFD">
                  <w:pPr>
                    <w:pStyle w:val="TableBodyText"/>
                    <w:rPr>
                      <w:b/>
                    </w:rPr>
                  </w:pPr>
                  <w:r w:rsidRPr="00787670">
                    <w:rPr>
                      <w:b/>
                    </w:rPr>
                    <w:t>na</w:t>
                  </w:r>
                </w:p>
              </w:tc>
              <w:tc>
                <w:tcPr>
                  <w:tcW w:w="709" w:type="dxa"/>
                  <w:shd w:val="clear" w:color="auto" w:fill="auto"/>
                  <w:vAlign w:val="center"/>
                </w:tcPr>
                <w:p w14:paraId="6D82DC3F" w14:textId="77777777" w:rsidR="00171EFD" w:rsidRPr="00787670" w:rsidRDefault="00171EFD" w:rsidP="00171EFD">
                  <w:pPr>
                    <w:pStyle w:val="TableBodyText"/>
                    <w:rPr>
                      <w:b/>
                    </w:rPr>
                  </w:pPr>
                  <w:r w:rsidRPr="00787670">
                    <w:rPr>
                      <w:b/>
                    </w:rPr>
                    <w:t>na</w:t>
                  </w:r>
                </w:p>
              </w:tc>
              <w:tc>
                <w:tcPr>
                  <w:tcW w:w="709" w:type="dxa"/>
                  <w:shd w:val="clear" w:color="auto" w:fill="auto"/>
                  <w:vAlign w:val="bottom"/>
                </w:tcPr>
                <w:p w14:paraId="5048578B" w14:textId="3B4F535D" w:rsidR="00171EFD" w:rsidRPr="00787670" w:rsidRDefault="004E286F" w:rsidP="00171EFD">
                  <w:pPr>
                    <w:pStyle w:val="TableBodyText"/>
                    <w:rPr>
                      <w:b/>
                    </w:rPr>
                  </w:pPr>
                  <w:r w:rsidRPr="00787670">
                    <w:rPr>
                      <w:b/>
                    </w:rPr>
                    <w:t>76.1</w:t>
                  </w:r>
                </w:p>
              </w:tc>
              <w:tc>
                <w:tcPr>
                  <w:tcW w:w="850" w:type="dxa"/>
                  <w:vAlign w:val="center"/>
                </w:tcPr>
                <w:p w14:paraId="025356AD" w14:textId="77777777" w:rsidR="00171EFD" w:rsidRPr="00787670" w:rsidRDefault="00171EFD" w:rsidP="00787670">
                  <w:pPr>
                    <w:pStyle w:val="TableBodyText"/>
                    <w:ind w:right="0"/>
                    <w:rPr>
                      <w:b/>
                    </w:rPr>
                  </w:pPr>
                  <w:r w:rsidRPr="00787670">
                    <w:rPr>
                      <w:b/>
                    </w:rPr>
                    <w:t>na</w:t>
                  </w:r>
                </w:p>
              </w:tc>
            </w:tr>
            <w:tr w:rsidR="000D0AA3" w:rsidRPr="00792381" w14:paraId="7839DF08" w14:textId="77777777" w:rsidTr="008D0127">
              <w:tc>
                <w:tcPr>
                  <w:tcW w:w="1963" w:type="dxa"/>
                </w:tcPr>
                <w:p w14:paraId="0B79CA9B" w14:textId="27502562" w:rsidR="000D0AA3" w:rsidRPr="00EB64F9" w:rsidRDefault="000D0AA3" w:rsidP="008D0127">
                  <w:pPr>
                    <w:pStyle w:val="TableBodyText"/>
                    <w:spacing w:before="40"/>
                    <w:jc w:val="left"/>
                    <w:rPr>
                      <w:b/>
                    </w:rPr>
                  </w:pPr>
                  <w:r w:rsidRPr="008D0127">
                    <w:rPr>
                      <w:i/>
                    </w:rPr>
                    <w:t>Finalisations</w:t>
                  </w:r>
                </w:p>
              </w:tc>
              <w:tc>
                <w:tcPr>
                  <w:tcW w:w="708" w:type="dxa"/>
                  <w:vAlign w:val="center"/>
                </w:tcPr>
                <w:p w14:paraId="5A5E485D" w14:textId="77777777" w:rsidR="000D0AA3" w:rsidRDefault="000D0AA3" w:rsidP="003B1D4B">
                  <w:pPr>
                    <w:pStyle w:val="TableBodyText"/>
                  </w:pPr>
                </w:p>
              </w:tc>
              <w:tc>
                <w:tcPr>
                  <w:tcW w:w="709" w:type="dxa"/>
                  <w:vAlign w:val="center"/>
                </w:tcPr>
                <w:p w14:paraId="6E0B107E" w14:textId="77777777" w:rsidR="000D0AA3" w:rsidRDefault="000D0AA3" w:rsidP="003B1D4B">
                  <w:pPr>
                    <w:pStyle w:val="TableBodyText"/>
                  </w:pPr>
                </w:p>
              </w:tc>
              <w:tc>
                <w:tcPr>
                  <w:tcW w:w="709" w:type="dxa"/>
                  <w:shd w:val="clear" w:color="auto" w:fill="auto"/>
                  <w:vAlign w:val="center"/>
                </w:tcPr>
                <w:p w14:paraId="3984A384" w14:textId="77777777" w:rsidR="000D0AA3" w:rsidRDefault="000D0AA3" w:rsidP="003B1D4B">
                  <w:pPr>
                    <w:pStyle w:val="TableBodyText"/>
                  </w:pPr>
                </w:p>
              </w:tc>
              <w:tc>
                <w:tcPr>
                  <w:tcW w:w="709" w:type="dxa"/>
                  <w:shd w:val="clear" w:color="auto" w:fill="auto"/>
                  <w:vAlign w:val="center"/>
                </w:tcPr>
                <w:p w14:paraId="3081CE74" w14:textId="77777777" w:rsidR="000D0AA3" w:rsidRDefault="000D0AA3" w:rsidP="003B1D4B">
                  <w:pPr>
                    <w:pStyle w:val="TableBodyText"/>
                  </w:pPr>
                </w:p>
              </w:tc>
              <w:tc>
                <w:tcPr>
                  <w:tcW w:w="708" w:type="dxa"/>
                  <w:shd w:val="clear" w:color="auto" w:fill="auto"/>
                  <w:vAlign w:val="center"/>
                </w:tcPr>
                <w:p w14:paraId="7EDA0743" w14:textId="77777777" w:rsidR="000D0AA3" w:rsidRDefault="000D0AA3" w:rsidP="003B1D4B">
                  <w:pPr>
                    <w:pStyle w:val="TableBodyText"/>
                  </w:pPr>
                </w:p>
              </w:tc>
              <w:tc>
                <w:tcPr>
                  <w:tcW w:w="709" w:type="dxa"/>
                  <w:shd w:val="clear" w:color="auto" w:fill="auto"/>
                  <w:vAlign w:val="center"/>
                </w:tcPr>
                <w:p w14:paraId="0D558E5A" w14:textId="77777777" w:rsidR="000D0AA3" w:rsidRDefault="000D0AA3" w:rsidP="003B1D4B">
                  <w:pPr>
                    <w:pStyle w:val="TableBodyText"/>
                  </w:pPr>
                </w:p>
              </w:tc>
              <w:tc>
                <w:tcPr>
                  <w:tcW w:w="709" w:type="dxa"/>
                  <w:shd w:val="clear" w:color="auto" w:fill="auto"/>
                  <w:vAlign w:val="center"/>
                </w:tcPr>
                <w:p w14:paraId="2642D3A9" w14:textId="77777777" w:rsidR="000D0AA3" w:rsidRDefault="000D0AA3" w:rsidP="003B1D4B">
                  <w:pPr>
                    <w:pStyle w:val="TableBodyText"/>
                  </w:pPr>
                </w:p>
              </w:tc>
              <w:tc>
                <w:tcPr>
                  <w:tcW w:w="709" w:type="dxa"/>
                  <w:shd w:val="clear" w:color="auto" w:fill="auto"/>
                  <w:vAlign w:val="center"/>
                </w:tcPr>
                <w:p w14:paraId="6CBEC060" w14:textId="77777777" w:rsidR="000D0AA3" w:rsidRDefault="000D0AA3" w:rsidP="003B1D4B">
                  <w:pPr>
                    <w:pStyle w:val="TableBodyText"/>
                  </w:pPr>
                </w:p>
              </w:tc>
              <w:tc>
                <w:tcPr>
                  <w:tcW w:w="850" w:type="dxa"/>
                  <w:vAlign w:val="center"/>
                </w:tcPr>
                <w:p w14:paraId="6CE715BD" w14:textId="77777777" w:rsidR="000D0AA3" w:rsidRDefault="000D0AA3" w:rsidP="00787670">
                  <w:pPr>
                    <w:pStyle w:val="TableBodyText"/>
                    <w:ind w:right="0"/>
                  </w:pPr>
                </w:p>
              </w:tc>
            </w:tr>
            <w:tr w:rsidR="00171EFD" w:rsidRPr="00792381" w14:paraId="0F0BDE9F" w14:textId="77777777" w:rsidTr="00574345">
              <w:tc>
                <w:tcPr>
                  <w:tcW w:w="1963" w:type="dxa"/>
                </w:tcPr>
                <w:p w14:paraId="5F2E1AFC" w14:textId="026B8C83" w:rsidR="00171EFD" w:rsidRPr="00EB64F9" w:rsidRDefault="00171EFD" w:rsidP="00171EFD">
                  <w:pPr>
                    <w:pStyle w:val="TableBodyText"/>
                    <w:spacing w:before="40"/>
                    <w:ind w:left="113"/>
                    <w:jc w:val="left"/>
                    <w:rPr>
                      <w:b/>
                    </w:rPr>
                  </w:pPr>
                  <w:r w:rsidRPr="00EB64F9">
                    <w:t>Supreme</w:t>
                  </w:r>
                </w:p>
              </w:tc>
              <w:tc>
                <w:tcPr>
                  <w:tcW w:w="708" w:type="dxa"/>
                  <w:vAlign w:val="center"/>
                </w:tcPr>
                <w:p w14:paraId="06CE10BD" w14:textId="2412432C" w:rsidR="00171EFD" w:rsidRDefault="00171EFD" w:rsidP="00171EFD">
                  <w:pPr>
                    <w:pStyle w:val="TableBodyText"/>
                  </w:pPr>
                  <w:r>
                    <w:t>na</w:t>
                  </w:r>
                </w:p>
              </w:tc>
              <w:tc>
                <w:tcPr>
                  <w:tcW w:w="709" w:type="dxa"/>
                  <w:vAlign w:val="center"/>
                </w:tcPr>
                <w:p w14:paraId="2A64D84F" w14:textId="6BA7A41B" w:rsidR="00171EFD" w:rsidRDefault="00171EFD" w:rsidP="00171EFD">
                  <w:pPr>
                    <w:pStyle w:val="TableBodyText"/>
                  </w:pPr>
                  <w:r>
                    <w:t>na</w:t>
                  </w:r>
                </w:p>
              </w:tc>
              <w:tc>
                <w:tcPr>
                  <w:tcW w:w="709" w:type="dxa"/>
                  <w:shd w:val="clear" w:color="auto" w:fill="auto"/>
                  <w:vAlign w:val="bottom"/>
                </w:tcPr>
                <w:p w14:paraId="79CB2AA2" w14:textId="48E43EA1" w:rsidR="00171EFD" w:rsidRPr="00171EFD" w:rsidRDefault="00171EFD" w:rsidP="00171EFD">
                  <w:pPr>
                    <w:pStyle w:val="TableBodyText"/>
                  </w:pPr>
                  <w:r w:rsidRPr="00171EFD">
                    <w:t>6.7</w:t>
                  </w:r>
                </w:p>
              </w:tc>
              <w:tc>
                <w:tcPr>
                  <w:tcW w:w="709" w:type="dxa"/>
                  <w:shd w:val="clear" w:color="auto" w:fill="auto"/>
                  <w:vAlign w:val="bottom"/>
                </w:tcPr>
                <w:p w14:paraId="022F8430" w14:textId="77438379" w:rsidR="00171EFD" w:rsidRPr="00171EFD" w:rsidRDefault="00171EFD" w:rsidP="00171EFD">
                  <w:pPr>
                    <w:pStyle w:val="TableBodyText"/>
                  </w:pPr>
                  <w:r w:rsidRPr="00171EFD">
                    <w:t>33.3</w:t>
                  </w:r>
                </w:p>
              </w:tc>
              <w:tc>
                <w:tcPr>
                  <w:tcW w:w="708" w:type="dxa"/>
                  <w:shd w:val="clear" w:color="auto" w:fill="auto"/>
                  <w:vAlign w:val="bottom"/>
                </w:tcPr>
                <w:p w14:paraId="73EED829" w14:textId="7417A2C1" w:rsidR="00171EFD" w:rsidRPr="00171EFD" w:rsidRDefault="00171EFD" w:rsidP="00171EFD">
                  <w:pPr>
                    <w:pStyle w:val="TableBodyText"/>
                  </w:pPr>
                  <w:r w:rsidRPr="00171EFD">
                    <w:t>16.3</w:t>
                  </w:r>
                </w:p>
              </w:tc>
              <w:tc>
                <w:tcPr>
                  <w:tcW w:w="709" w:type="dxa"/>
                  <w:shd w:val="clear" w:color="auto" w:fill="auto"/>
                  <w:vAlign w:val="center"/>
                </w:tcPr>
                <w:p w14:paraId="2CE79BFA" w14:textId="194F97B2" w:rsidR="00171EFD" w:rsidRDefault="00171EFD" w:rsidP="00171EFD">
                  <w:pPr>
                    <w:pStyle w:val="TableBodyText"/>
                  </w:pPr>
                  <w:r>
                    <w:t>na</w:t>
                  </w:r>
                </w:p>
              </w:tc>
              <w:tc>
                <w:tcPr>
                  <w:tcW w:w="709" w:type="dxa"/>
                  <w:shd w:val="clear" w:color="auto" w:fill="auto"/>
                  <w:vAlign w:val="center"/>
                </w:tcPr>
                <w:p w14:paraId="4C57929F" w14:textId="1D7B531F" w:rsidR="00171EFD" w:rsidRDefault="00171EFD" w:rsidP="00171EFD">
                  <w:pPr>
                    <w:pStyle w:val="TableBodyText"/>
                  </w:pPr>
                  <w:r>
                    <w:t>na</w:t>
                  </w:r>
                </w:p>
              </w:tc>
              <w:tc>
                <w:tcPr>
                  <w:tcW w:w="709" w:type="dxa"/>
                  <w:shd w:val="clear" w:color="auto" w:fill="auto"/>
                  <w:vAlign w:val="bottom"/>
                </w:tcPr>
                <w:p w14:paraId="56A0BE91" w14:textId="6BC1103F" w:rsidR="00171EFD" w:rsidRPr="00171EFD" w:rsidRDefault="00171EFD" w:rsidP="00171EFD">
                  <w:pPr>
                    <w:pStyle w:val="TableBodyText"/>
                  </w:pPr>
                  <w:r w:rsidRPr="00171EFD">
                    <w:t>62.6</w:t>
                  </w:r>
                </w:p>
              </w:tc>
              <w:tc>
                <w:tcPr>
                  <w:tcW w:w="850" w:type="dxa"/>
                  <w:vAlign w:val="center"/>
                </w:tcPr>
                <w:p w14:paraId="6FBBB496" w14:textId="1F307C5E" w:rsidR="00171EFD" w:rsidRDefault="00171EFD" w:rsidP="00787670">
                  <w:pPr>
                    <w:pStyle w:val="TableBodyText"/>
                    <w:ind w:right="0"/>
                  </w:pPr>
                  <w:r>
                    <w:t>na</w:t>
                  </w:r>
                </w:p>
              </w:tc>
            </w:tr>
            <w:tr w:rsidR="00171EFD" w:rsidRPr="00792381" w14:paraId="36B487C3" w14:textId="77777777" w:rsidTr="00574345">
              <w:tc>
                <w:tcPr>
                  <w:tcW w:w="1963" w:type="dxa"/>
                </w:tcPr>
                <w:p w14:paraId="55684477" w14:textId="72FA2BE5" w:rsidR="00171EFD" w:rsidRPr="00EB64F9" w:rsidRDefault="00171EFD" w:rsidP="00171EFD">
                  <w:pPr>
                    <w:pStyle w:val="TableBodyText"/>
                    <w:spacing w:before="40"/>
                    <w:ind w:left="113"/>
                    <w:jc w:val="left"/>
                    <w:rPr>
                      <w:b/>
                    </w:rPr>
                  </w:pPr>
                  <w:r>
                    <w:t>District/county</w:t>
                  </w:r>
                </w:p>
              </w:tc>
              <w:tc>
                <w:tcPr>
                  <w:tcW w:w="708" w:type="dxa"/>
                  <w:vAlign w:val="center"/>
                </w:tcPr>
                <w:p w14:paraId="1C1766BE" w14:textId="221FED27" w:rsidR="00171EFD" w:rsidRDefault="00171EFD" w:rsidP="00171EFD">
                  <w:pPr>
                    <w:pStyle w:val="TableBodyText"/>
                  </w:pPr>
                  <w:r>
                    <w:t>na</w:t>
                  </w:r>
                </w:p>
              </w:tc>
              <w:tc>
                <w:tcPr>
                  <w:tcW w:w="709" w:type="dxa"/>
                  <w:vAlign w:val="center"/>
                </w:tcPr>
                <w:p w14:paraId="48CD54E0" w14:textId="3DD9C430" w:rsidR="00171EFD" w:rsidRDefault="00171EFD" w:rsidP="00171EFD">
                  <w:pPr>
                    <w:pStyle w:val="TableBodyText"/>
                  </w:pPr>
                  <w:r>
                    <w:t>na</w:t>
                  </w:r>
                </w:p>
              </w:tc>
              <w:tc>
                <w:tcPr>
                  <w:tcW w:w="709" w:type="dxa"/>
                  <w:shd w:val="clear" w:color="auto" w:fill="auto"/>
                  <w:vAlign w:val="bottom"/>
                </w:tcPr>
                <w:p w14:paraId="083DE4A7" w14:textId="49CBB23C" w:rsidR="00171EFD" w:rsidRPr="00171EFD" w:rsidRDefault="00171EFD" w:rsidP="00171EFD">
                  <w:pPr>
                    <w:pStyle w:val="TableBodyText"/>
                  </w:pPr>
                  <w:r w:rsidRPr="00171EFD">
                    <w:t>17.3</w:t>
                  </w:r>
                </w:p>
              </w:tc>
              <w:tc>
                <w:tcPr>
                  <w:tcW w:w="709" w:type="dxa"/>
                  <w:shd w:val="clear" w:color="auto" w:fill="auto"/>
                  <w:vAlign w:val="bottom"/>
                </w:tcPr>
                <w:p w14:paraId="497994E3" w14:textId="268185D5" w:rsidR="00171EFD" w:rsidRPr="00171EFD" w:rsidRDefault="00171EFD" w:rsidP="00171EFD">
                  <w:pPr>
                    <w:pStyle w:val="TableBodyText"/>
                  </w:pPr>
                  <w:r w:rsidRPr="00171EFD">
                    <w:t>27.9</w:t>
                  </w:r>
                </w:p>
              </w:tc>
              <w:tc>
                <w:tcPr>
                  <w:tcW w:w="708" w:type="dxa"/>
                  <w:shd w:val="clear" w:color="auto" w:fill="auto"/>
                  <w:vAlign w:val="bottom"/>
                </w:tcPr>
                <w:p w14:paraId="5851A779" w14:textId="51F814A5" w:rsidR="00171EFD" w:rsidRPr="00171EFD" w:rsidRDefault="00171EFD" w:rsidP="00171EFD">
                  <w:pPr>
                    <w:pStyle w:val="TableBodyText"/>
                  </w:pPr>
                  <w:r w:rsidRPr="00171EFD">
                    <w:t>7.9</w:t>
                  </w:r>
                </w:p>
              </w:tc>
              <w:tc>
                <w:tcPr>
                  <w:tcW w:w="709" w:type="dxa"/>
                  <w:shd w:val="clear" w:color="auto" w:fill="auto"/>
                  <w:vAlign w:val="center"/>
                </w:tcPr>
                <w:p w14:paraId="4F92B315" w14:textId="6648492A" w:rsidR="00171EFD" w:rsidRDefault="00171EFD" w:rsidP="00171EFD">
                  <w:pPr>
                    <w:pStyle w:val="TableBodyText"/>
                  </w:pPr>
                  <w:r>
                    <w:t>..</w:t>
                  </w:r>
                </w:p>
              </w:tc>
              <w:tc>
                <w:tcPr>
                  <w:tcW w:w="709" w:type="dxa"/>
                  <w:shd w:val="clear" w:color="auto" w:fill="auto"/>
                  <w:vAlign w:val="center"/>
                </w:tcPr>
                <w:p w14:paraId="49ED1C92" w14:textId="7E2BC764" w:rsidR="00171EFD" w:rsidRDefault="00171EFD" w:rsidP="00171EFD">
                  <w:pPr>
                    <w:pStyle w:val="TableBodyText"/>
                  </w:pPr>
                  <w:r>
                    <w:t>..</w:t>
                  </w:r>
                </w:p>
              </w:tc>
              <w:tc>
                <w:tcPr>
                  <w:tcW w:w="709" w:type="dxa"/>
                  <w:shd w:val="clear" w:color="auto" w:fill="auto"/>
                  <w:vAlign w:val="bottom"/>
                </w:tcPr>
                <w:p w14:paraId="286DF51E" w14:textId="689920A5" w:rsidR="00171EFD" w:rsidRPr="00171EFD" w:rsidRDefault="00171EFD" w:rsidP="00171EFD">
                  <w:pPr>
                    <w:pStyle w:val="TableBodyText"/>
                  </w:pPr>
                  <w:r w:rsidRPr="00171EFD">
                    <w:t>..</w:t>
                  </w:r>
                </w:p>
              </w:tc>
              <w:tc>
                <w:tcPr>
                  <w:tcW w:w="850" w:type="dxa"/>
                  <w:vAlign w:val="center"/>
                </w:tcPr>
                <w:p w14:paraId="1D613ED7" w14:textId="708D402F" w:rsidR="00171EFD" w:rsidRDefault="00171EFD" w:rsidP="00787670">
                  <w:pPr>
                    <w:pStyle w:val="TableBodyText"/>
                    <w:ind w:right="0"/>
                  </w:pPr>
                  <w:r>
                    <w:t>na</w:t>
                  </w:r>
                </w:p>
              </w:tc>
            </w:tr>
            <w:tr w:rsidR="00171EFD" w:rsidRPr="00792381" w14:paraId="2F904915" w14:textId="77777777" w:rsidTr="00B00A13">
              <w:tc>
                <w:tcPr>
                  <w:tcW w:w="1963" w:type="dxa"/>
                  <w:vAlign w:val="center"/>
                </w:tcPr>
                <w:p w14:paraId="46C90C85" w14:textId="5BD29192" w:rsidR="00171EFD" w:rsidRPr="00EB64F9" w:rsidRDefault="00171EFD" w:rsidP="00171EFD">
                  <w:pPr>
                    <w:pStyle w:val="TableBodyText"/>
                    <w:spacing w:before="40"/>
                    <w:ind w:left="113"/>
                    <w:jc w:val="left"/>
                    <w:rPr>
                      <w:b/>
                    </w:rPr>
                  </w:pPr>
                  <w:r>
                    <w:t>Magistrates</w:t>
                  </w:r>
                  <w:r w:rsidR="00170DC4">
                    <w:t>’</w:t>
                  </w:r>
                  <w:r>
                    <w:t xml:space="preserve"> (total)</w:t>
                  </w:r>
                </w:p>
              </w:tc>
              <w:tc>
                <w:tcPr>
                  <w:tcW w:w="708" w:type="dxa"/>
                  <w:vAlign w:val="center"/>
                </w:tcPr>
                <w:p w14:paraId="29F22B80" w14:textId="75E44AD3" w:rsidR="00171EFD" w:rsidRDefault="00171EFD" w:rsidP="00171EFD">
                  <w:pPr>
                    <w:pStyle w:val="TableBodyText"/>
                  </w:pPr>
                  <w:r>
                    <w:t>na</w:t>
                  </w:r>
                </w:p>
              </w:tc>
              <w:tc>
                <w:tcPr>
                  <w:tcW w:w="709" w:type="dxa"/>
                  <w:vAlign w:val="center"/>
                </w:tcPr>
                <w:p w14:paraId="4A7B9787" w14:textId="52177551" w:rsidR="00171EFD" w:rsidRDefault="00171EFD" w:rsidP="00171EFD">
                  <w:pPr>
                    <w:pStyle w:val="TableBodyText"/>
                  </w:pPr>
                  <w:r>
                    <w:t>na</w:t>
                  </w:r>
                </w:p>
              </w:tc>
              <w:tc>
                <w:tcPr>
                  <w:tcW w:w="709" w:type="dxa"/>
                  <w:shd w:val="clear" w:color="auto" w:fill="auto"/>
                  <w:vAlign w:val="bottom"/>
                </w:tcPr>
                <w:p w14:paraId="02710192" w14:textId="353CD6BB" w:rsidR="00171EFD" w:rsidRPr="00171EFD" w:rsidRDefault="00171EFD" w:rsidP="00171EFD">
                  <w:pPr>
                    <w:pStyle w:val="TableBodyText"/>
                  </w:pPr>
                  <w:r w:rsidRPr="00171EFD">
                    <w:t>19.0</w:t>
                  </w:r>
                </w:p>
              </w:tc>
              <w:tc>
                <w:tcPr>
                  <w:tcW w:w="709" w:type="dxa"/>
                  <w:shd w:val="clear" w:color="auto" w:fill="auto"/>
                  <w:vAlign w:val="bottom"/>
                </w:tcPr>
                <w:p w14:paraId="4455E441" w14:textId="7A06A723" w:rsidR="00171EFD" w:rsidRPr="00171EFD" w:rsidRDefault="00171EFD" w:rsidP="00171EFD">
                  <w:pPr>
                    <w:pStyle w:val="TableBodyText"/>
                  </w:pPr>
                  <w:r w:rsidRPr="00171EFD">
                    <w:t>31.8</w:t>
                  </w:r>
                </w:p>
              </w:tc>
              <w:tc>
                <w:tcPr>
                  <w:tcW w:w="708" w:type="dxa"/>
                  <w:shd w:val="clear" w:color="auto" w:fill="auto"/>
                  <w:vAlign w:val="bottom"/>
                </w:tcPr>
                <w:p w14:paraId="2E225D85" w14:textId="6C46D66F" w:rsidR="00171EFD" w:rsidRPr="00171EFD" w:rsidRDefault="00171EFD" w:rsidP="00171EFD">
                  <w:pPr>
                    <w:pStyle w:val="TableBodyText"/>
                  </w:pPr>
                  <w:r w:rsidRPr="00171EFD">
                    <w:t>15.2</w:t>
                  </w:r>
                </w:p>
              </w:tc>
              <w:tc>
                <w:tcPr>
                  <w:tcW w:w="709" w:type="dxa"/>
                  <w:shd w:val="clear" w:color="auto" w:fill="auto"/>
                  <w:vAlign w:val="center"/>
                </w:tcPr>
                <w:p w14:paraId="776A81DE" w14:textId="68FC7738" w:rsidR="00171EFD" w:rsidRDefault="00171EFD" w:rsidP="00171EFD">
                  <w:pPr>
                    <w:pStyle w:val="TableBodyText"/>
                  </w:pPr>
                  <w:r>
                    <w:t>na</w:t>
                  </w:r>
                </w:p>
              </w:tc>
              <w:tc>
                <w:tcPr>
                  <w:tcW w:w="709" w:type="dxa"/>
                  <w:shd w:val="clear" w:color="auto" w:fill="auto"/>
                  <w:vAlign w:val="center"/>
                </w:tcPr>
                <w:p w14:paraId="4C051796" w14:textId="38769488" w:rsidR="00171EFD" w:rsidRDefault="00171EFD" w:rsidP="00171EFD">
                  <w:pPr>
                    <w:pStyle w:val="TableBodyText"/>
                  </w:pPr>
                  <w:r>
                    <w:t>na</w:t>
                  </w:r>
                </w:p>
              </w:tc>
              <w:tc>
                <w:tcPr>
                  <w:tcW w:w="709" w:type="dxa"/>
                  <w:shd w:val="clear" w:color="auto" w:fill="auto"/>
                  <w:vAlign w:val="bottom"/>
                </w:tcPr>
                <w:p w14:paraId="7A66AB95" w14:textId="4934E095" w:rsidR="00171EFD" w:rsidRPr="00171EFD" w:rsidRDefault="00170740" w:rsidP="00171EFD">
                  <w:pPr>
                    <w:pStyle w:val="TableBodyText"/>
                  </w:pPr>
                  <w:r>
                    <w:t>76.2</w:t>
                  </w:r>
                </w:p>
              </w:tc>
              <w:tc>
                <w:tcPr>
                  <w:tcW w:w="850" w:type="dxa"/>
                  <w:vAlign w:val="center"/>
                </w:tcPr>
                <w:p w14:paraId="4FD16804" w14:textId="382D028B" w:rsidR="00171EFD" w:rsidRDefault="00171EFD" w:rsidP="00787670">
                  <w:pPr>
                    <w:pStyle w:val="TableBodyText"/>
                    <w:ind w:right="0"/>
                  </w:pPr>
                  <w:r>
                    <w:t>na</w:t>
                  </w:r>
                </w:p>
              </w:tc>
            </w:tr>
            <w:tr w:rsidR="00171EFD" w:rsidRPr="00792381" w14:paraId="6B6BB891" w14:textId="77777777" w:rsidTr="00B00A13">
              <w:tc>
                <w:tcPr>
                  <w:tcW w:w="1963" w:type="dxa"/>
                  <w:vAlign w:val="center"/>
                </w:tcPr>
                <w:p w14:paraId="4D50661F" w14:textId="3ABE064B" w:rsidR="00171EFD" w:rsidRPr="00EB64F9" w:rsidRDefault="00171EFD" w:rsidP="00171EFD">
                  <w:pPr>
                    <w:pStyle w:val="TableBodyText"/>
                    <w:spacing w:before="40"/>
                    <w:ind w:left="113"/>
                    <w:jc w:val="left"/>
                    <w:rPr>
                      <w:b/>
                    </w:rPr>
                  </w:pPr>
                  <w:r>
                    <w:t>Magistrates</w:t>
                  </w:r>
                  <w:r w:rsidR="00170DC4">
                    <w:t>’</w:t>
                  </w:r>
                  <w:r>
                    <w:t xml:space="preserve"> (only)</w:t>
                  </w:r>
                </w:p>
              </w:tc>
              <w:tc>
                <w:tcPr>
                  <w:tcW w:w="708" w:type="dxa"/>
                  <w:vAlign w:val="center"/>
                </w:tcPr>
                <w:p w14:paraId="206A95A5" w14:textId="31C75FDF" w:rsidR="00171EFD" w:rsidRDefault="00171EFD" w:rsidP="00171EFD">
                  <w:pPr>
                    <w:pStyle w:val="TableBodyText"/>
                  </w:pPr>
                  <w:r>
                    <w:t>na</w:t>
                  </w:r>
                </w:p>
              </w:tc>
              <w:tc>
                <w:tcPr>
                  <w:tcW w:w="709" w:type="dxa"/>
                  <w:vAlign w:val="center"/>
                </w:tcPr>
                <w:p w14:paraId="33FBA160" w14:textId="48B5AB87" w:rsidR="00171EFD" w:rsidRDefault="00171EFD" w:rsidP="00171EFD">
                  <w:pPr>
                    <w:pStyle w:val="TableBodyText"/>
                  </w:pPr>
                  <w:r>
                    <w:t>na</w:t>
                  </w:r>
                </w:p>
              </w:tc>
              <w:tc>
                <w:tcPr>
                  <w:tcW w:w="709" w:type="dxa"/>
                  <w:shd w:val="clear" w:color="auto" w:fill="auto"/>
                  <w:vAlign w:val="bottom"/>
                </w:tcPr>
                <w:p w14:paraId="576AAFD3" w14:textId="749D4FBD" w:rsidR="00171EFD" w:rsidRPr="00171EFD" w:rsidRDefault="00171EFD" w:rsidP="00171EFD">
                  <w:pPr>
                    <w:pStyle w:val="TableBodyText"/>
                  </w:pPr>
                  <w:r w:rsidRPr="00171EFD">
                    <w:t>17.3</w:t>
                  </w:r>
                </w:p>
              </w:tc>
              <w:tc>
                <w:tcPr>
                  <w:tcW w:w="709" w:type="dxa"/>
                  <w:shd w:val="clear" w:color="auto" w:fill="auto"/>
                  <w:vAlign w:val="bottom"/>
                </w:tcPr>
                <w:p w14:paraId="32E80439" w14:textId="520909C2" w:rsidR="00171EFD" w:rsidRPr="00171EFD" w:rsidRDefault="00171EFD" w:rsidP="00171EFD">
                  <w:pPr>
                    <w:pStyle w:val="TableBodyText"/>
                  </w:pPr>
                  <w:r w:rsidRPr="00171EFD">
                    <w:t>29.5</w:t>
                  </w:r>
                </w:p>
              </w:tc>
              <w:tc>
                <w:tcPr>
                  <w:tcW w:w="708" w:type="dxa"/>
                  <w:shd w:val="clear" w:color="auto" w:fill="auto"/>
                  <w:vAlign w:val="bottom"/>
                </w:tcPr>
                <w:p w14:paraId="09F6DEFE" w14:textId="3FC83A4F" w:rsidR="00171EFD" w:rsidRPr="00171EFD" w:rsidRDefault="00171EFD" w:rsidP="00171EFD">
                  <w:pPr>
                    <w:pStyle w:val="TableBodyText"/>
                  </w:pPr>
                  <w:r w:rsidRPr="00171EFD">
                    <w:t>13.5</w:t>
                  </w:r>
                </w:p>
              </w:tc>
              <w:tc>
                <w:tcPr>
                  <w:tcW w:w="709" w:type="dxa"/>
                  <w:shd w:val="clear" w:color="auto" w:fill="auto"/>
                  <w:vAlign w:val="center"/>
                </w:tcPr>
                <w:p w14:paraId="5ED57968" w14:textId="7C8238C0" w:rsidR="00171EFD" w:rsidRDefault="00171EFD" w:rsidP="00171EFD">
                  <w:pPr>
                    <w:pStyle w:val="TableBodyText"/>
                  </w:pPr>
                  <w:r>
                    <w:t>na</w:t>
                  </w:r>
                </w:p>
              </w:tc>
              <w:tc>
                <w:tcPr>
                  <w:tcW w:w="709" w:type="dxa"/>
                  <w:shd w:val="clear" w:color="auto" w:fill="auto"/>
                  <w:vAlign w:val="center"/>
                </w:tcPr>
                <w:p w14:paraId="3E9F8165" w14:textId="2AC80E5E" w:rsidR="00171EFD" w:rsidRDefault="00171EFD" w:rsidP="00171EFD">
                  <w:pPr>
                    <w:pStyle w:val="TableBodyText"/>
                  </w:pPr>
                  <w:r>
                    <w:t>na</w:t>
                  </w:r>
                </w:p>
              </w:tc>
              <w:tc>
                <w:tcPr>
                  <w:tcW w:w="709" w:type="dxa"/>
                  <w:shd w:val="clear" w:color="auto" w:fill="auto"/>
                  <w:vAlign w:val="bottom"/>
                </w:tcPr>
                <w:p w14:paraId="0833C7C7" w14:textId="3E7B05DD" w:rsidR="00171EFD" w:rsidRPr="00171EFD" w:rsidRDefault="00170740" w:rsidP="00171EFD">
                  <w:pPr>
                    <w:pStyle w:val="TableBodyText"/>
                  </w:pPr>
                  <w:r>
                    <w:t>73.8</w:t>
                  </w:r>
                </w:p>
              </w:tc>
              <w:tc>
                <w:tcPr>
                  <w:tcW w:w="850" w:type="dxa"/>
                  <w:vAlign w:val="center"/>
                </w:tcPr>
                <w:p w14:paraId="4583C6BA" w14:textId="57DC0649" w:rsidR="00171EFD" w:rsidRDefault="00171EFD" w:rsidP="00787670">
                  <w:pPr>
                    <w:pStyle w:val="TableBodyText"/>
                    <w:ind w:right="0"/>
                  </w:pPr>
                  <w:r>
                    <w:t>na</w:t>
                  </w:r>
                </w:p>
              </w:tc>
            </w:tr>
            <w:tr w:rsidR="00171EFD" w:rsidRPr="00792381" w14:paraId="3C1121A7" w14:textId="77777777" w:rsidTr="00B00A13">
              <w:tc>
                <w:tcPr>
                  <w:tcW w:w="1963" w:type="dxa"/>
                </w:tcPr>
                <w:p w14:paraId="1E947B34" w14:textId="6849533D" w:rsidR="00171EFD" w:rsidRPr="00EB64F9" w:rsidRDefault="00171EFD" w:rsidP="00171EFD">
                  <w:pPr>
                    <w:pStyle w:val="TableBodyText"/>
                    <w:spacing w:before="40"/>
                    <w:ind w:left="113"/>
                    <w:jc w:val="left"/>
                    <w:rPr>
                      <w:b/>
                    </w:rPr>
                  </w:pPr>
                  <w:r w:rsidRPr="00E52F57">
                    <w:t>Children’s</w:t>
                  </w:r>
                </w:p>
              </w:tc>
              <w:tc>
                <w:tcPr>
                  <w:tcW w:w="708" w:type="dxa"/>
                  <w:vAlign w:val="center"/>
                </w:tcPr>
                <w:p w14:paraId="41473C5A" w14:textId="2EEA0C11" w:rsidR="00171EFD" w:rsidRDefault="00171EFD" w:rsidP="00171EFD">
                  <w:pPr>
                    <w:pStyle w:val="TableBodyText"/>
                  </w:pPr>
                  <w:r>
                    <w:t>na</w:t>
                  </w:r>
                </w:p>
              </w:tc>
              <w:tc>
                <w:tcPr>
                  <w:tcW w:w="709" w:type="dxa"/>
                  <w:vAlign w:val="center"/>
                </w:tcPr>
                <w:p w14:paraId="64E326F4" w14:textId="63DDB114" w:rsidR="00171EFD" w:rsidRDefault="00171EFD" w:rsidP="00171EFD">
                  <w:pPr>
                    <w:pStyle w:val="TableBodyText"/>
                  </w:pPr>
                  <w:r>
                    <w:t>na</w:t>
                  </w:r>
                </w:p>
              </w:tc>
              <w:tc>
                <w:tcPr>
                  <w:tcW w:w="709" w:type="dxa"/>
                  <w:shd w:val="clear" w:color="auto" w:fill="auto"/>
                  <w:vAlign w:val="bottom"/>
                </w:tcPr>
                <w:p w14:paraId="795A4BCF" w14:textId="7F71B293" w:rsidR="00171EFD" w:rsidRPr="00171EFD" w:rsidRDefault="00171EFD" w:rsidP="00171EFD">
                  <w:pPr>
                    <w:pStyle w:val="TableBodyText"/>
                  </w:pPr>
                  <w:r w:rsidRPr="00171EFD">
                    <w:t>46.3</w:t>
                  </w:r>
                </w:p>
              </w:tc>
              <w:tc>
                <w:tcPr>
                  <w:tcW w:w="709" w:type="dxa"/>
                  <w:shd w:val="clear" w:color="auto" w:fill="auto"/>
                  <w:vAlign w:val="bottom"/>
                </w:tcPr>
                <w:p w14:paraId="181B36FE" w14:textId="47DCB55A" w:rsidR="00171EFD" w:rsidRPr="00171EFD" w:rsidRDefault="00171EFD" w:rsidP="00171EFD">
                  <w:pPr>
                    <w:pStyle w:val="TableBodyText"/>
                  </w:pPr>
                  <w:r w:rsidRPr="00171EFD">
                    <w:t>61.7</w:t>
                  </w:r>
                </w:p>
              </w:tc>
              <w:tc>
                <w:tcPr>
                  <w:tcW w:w="708" w:type="dxa"/>
                  <w:shd w:val="clear" w:color="auto" w:fill="auto"/>
                  <w:vAlign w:val="bottom"/>
                </w:tcPr>
                <w:p w14:paraId="67196C3D" w14:textId="79261296" w:rsidR="00171EFD" w:rsidRPr="00171EFD" w:rsidRDefault="00171EFD" w:rsidP="00171EFD">
                  <w:pPr>
                    <w:pStyle w:val="TableBodyText"/>
                  </w:pPr>
                  <w:r w:rsidRPr="00171EFD">
                    <w:t>37.3</w:t>
                  </w:r>
                </w:p>
              </w:tc>
              <w:tc>
                <w:tcPr>
                  <w:tcW w:w="709" w:type="dxa"/>
                  <w:shd w:val="clear" w:color="auto" w:fill="auto"/>
                  <w:vAlign w:val="center"/>
                </w:tcPr>
                <w:p w14:paraId="555A4251" w14:textId="4ADF425A" w:rsidR="00171EFD" w:rsidRDefault="00171EFD" w:rsidP="00171EFD">
                  <w:pPr>
                    <w:pStyle w:val="TableBodyText"/>
                  </w:pPr>
                  <w:r>
                    <w:t>na</w:t>
                  </w:r>
                </w:p>
              </w:tc>
              <w:tc>
                <w:tcPr>
                  <w:tcW w:w="709" w:type="dxa"/>
                  <w:shd w:val="clear" w:color="auto" w:fill="auto"/>
                  <w:vAlign w:val="center"/>
                </w:tcPr>
                <w:p w14:paraId="02AEF552" w14:textId="72015AB9" w:rsidR="00171EFD" w:rsidRDefault="00171EFD" w:rsidP="00171EFD">
                  <w:pPr>
                    <w:pStyle w:val="TableBodyText"/>
                  </w:pPr>
                  <w:r>
                    <w:t>na</w:t>
                  </w:r>
                </w:p>
              </w:tc>
              <w:tc>
                <w:tcPr>
                  <w:tcW w:w="709" w:type="dxa"/>
                  <w:shd w:val="clear" w:color="auto" w:fill="auto"/>
                  <w:vAlign w:val="bottom"/>
                </w:tcPr>
                <w:p w14:paraId="0D0600BE" w14:textId="47F2304A" w:rsidR="00171EFD" w:rsidRPr="00171EFD" w:rsidRDefault="00170740" w:rsidP="00171EFD">
                  <w:pPr>
                    <w:pStyle w:val="TableBodyText"/>
                  </w:pPr>
                  <w:r>
                    <w:t>91.5</w:t>
                  </w:r>
                </w:p>
              </w:tc>
              <w:tc>
                <w:tcPr>
                  <w:tcW w:w="850" w:type="dxa"/>
                  <w:vAlign w:val="center"/>
                </w:tcPr>
                <w:p w14:paraId="3A57241C" w14:textId="390257DB" w:rsidR="00171EFD" w:rsidRDefault="00171EFD" w:rsidP="00787670">
                  <w:pPr>
                    <w:pStyle w:val="TableBodyText"/>
                    <w:ind w:right="0"/>
                  </w:pPr>
                  <w:r>
                    <w:t>na</w:t>
                  </w:r>
                </w:p>
              </w:tc>
            </w:tr>
            <w:tr w:rsidR="00171EFD" w:rsidRPr="00792381" w14:paraId="58212AF4" w14:textId="77777777" w:rsidTr="00B00A13">
              <w:tc>
                <w:tcPr>
                  <w:tcW w:w="1963" w:type="dxa"/>
                </w:tcPr>
                <w:p w14:paraId="147F4300" w14:textId="600B3B8B" w:rsidR="00171EFD" w:rsidRPr="00EB64F9" w:rsidRDefault="00171EFD" w:rsidP="00171EFD">
                  <w:pPr>
                    <w:pStyle w:val="TableBodyText"/>
                    <w:spacing w:before="40"/>
                    <w:ind w:left="113"/>
                    <w:jc w:val="left"/>
                    <w:rPr>
                      <w:b/>
                    </w:rPr>
                  </w:pPr>
                  <w:r w:rsidRPr="00EB64F9">
                    <w:rPr>
                      <w:b/>
                    </w:rPr>
                    <w:t>All criminal courts</w:t>
                  </w:r>
                </w:p>
              </w:tc>
              <w:tc>
                <w:tcPr>
                  <w:tcW w:w="708" w:type="dxa"/>
                  <w:vAlign w:val="center"/>
                </w:tcPr>
                <w:p w14:paraId="713A15CA" w14:textId="29F12E92" w:rsidR="00171EFD" w:rsidRPr="00787670" w:rsidRDefault="00171EFD" w:rsidP="00171EFD">
                  <w:pPr>
                    <w:pStyle w:val="TableBodyText"/>
                    <w:rPr>
                      <w:b/>
                    </w:rPr>
                  </w:pPr>
                  <w:r w:rsidRPr="00787670">
                    <w:rPr>
                      <w:b/>
                    </w:rPr>
                    <w:t>na</w:t>
                  </w:r>
                </w:p>
              </w:tc>
              <w:tc>
                <w:tcPr>
                  <w:tcW w:w="709" w:type="dxa"/>
                  <w:vAlign w:val="center"/>
                </w:tcPr>
                <w:p w14:paraId="5C62C876" w14:textId="249471DB" w:rsidR="00171EFD" w:rsidRPr="00787670" w:rsidRDefault="00171EFD" w:rsidP="00171EFD">
                  <w:pPr>
                    <w:pStyle w:val="TableBodyText"/>
                    <w:rPr>
                      <w:b/>
                    </w:rPr>
                  </w:pPr>
                  <w:r w:rsidRPr="00787670">
                    <w:rPr>
                      <w:b/>
                    </w:rPr>
                    <w:t>na</w:t>
                  </w:r>
                </w:p>
              </w:tc>
              <w:tc>
                <w:tcPr>
                  <w:tcW w:w="709" w:type="dxa"/>
                  <w:shd w:val="clear" w:color="auto" w:fill="auto"/>
                  <w:vAlign w:val="bottom"/>
                </w:tcPr>
                <w:p w14:paraId="54B14E3A" w14:textId="44A3FCFA" w:rsidR="00171EFD" w:rsidRPr="00787670" w:rsidRDefault="00171EFD" w:rsidP="00171EFD">
                  <w:pPr>
                    <w:pStyle w:val="TableBodyText"/>
                    <w:rPr>
                      <w:b/>
                    </w:rPr>
                  </w:pPr>
                  <w:r w:rsidRPr="00787670">
                    <w:rPr>
                      <w:b/>
                    </w:rPr>
                    <w:t>18.8</w:t>
                  </w:r>
                </w:p>
              </w:tc>
              <w:tc>
                <w:tcPr>
                  <w:tcW w:w="709" w:type="dxa"/>
                  <w:shd w:val="clear" w:color="auto" w:fill="auto"/>
                  <w:vAlign w:val="bottom"/>
                </w:tcPr>
                <w:p w14:paraId="3112EE79" w14:textId="622CDFA8" w:rsidR="00171EFD" w:rsidRPr="00787670" w:rsidRDefault="00171EFD" w:rsidP="00171EFD">
                  <w:pPr>
                    <w:pStyle w:val="TableBodyText"/>
                    <w:rPr>
                      <w:b/>
                    </w:rPr>
                  </w:pPr>
                  <w:r w:rsidRPr="00787670">
                    <w:rPr>
                      <w:b/>
                    </w:rPr>
                    <w:t>31.7</w:t>
                  </w:r>
                </w:p>
              </w:tc>
              <w:tc>
                <w:tcPr>
                  <w:tcW w:w="708" w:type="dxa"/>
                  <w:shd w:val="clear" w:color="auto" w:fill="auto"/>
                  <w:vAlign w:val="bottom"/>
                </w:tcPr>
                <w:p w14:paraId="3E5364E9" w14:textId="6E8D0BE4" w:rsidR="00171EFD" w:rsidRPr="00787670" w:rsidRDefault="00171EFD" w:rsidP="00171EFD">
                  <w:pPr>
                    <w:pStyle w:val="TableBodyText"/>
                    <w:rPr>
                      <w:b/>
                    </w:rPr>
                  </w:pPr>
                  <w:r w:rsidRPr="00787670">
                    <w:rPr>
                      <w:b/>
                    </w:rPr>
                    <w:t>14.9</w:t>
                  </w:r>
                </w:p>
              </w:tc>
              <w:tc>
                <w:tcPr>
                  <w:tcW w:w="709" w:type="dxa"/>
                  <w:shd w:val="clear" w:color="auto" w:fill="auto"/>
                  <w:vAlign w:val="center"/>
                </w:tcPr>
                <w:p w14:paraId="20530707" w14:textId="6DE097BA" w:rsidR="00171EFD" w:rsidRPr="00787670" w:rsidRDefault="00171EFD" w:rsidP="00171EFD">
                  <w:pPr>
                    <w:pStyle w:val="TableBodyText"/>
                    <w:rPr>
                      <w:b/>
                    </w:rPr>
                  </w:pPr>
                  <w:r w:rsidRPr="00787670">
                    <w:rPr>
                      <w:b/>
                    </w:rPr>
                    <w:t>na</w:t>
                  </w:r>
                </w:p>
              </w:tc>
              <w:tc>
                <w:tcPr>
                  <w:tcW w:w="709" w:type="dxa"/>
                  <w:shd w:val="clear" w:color="auto" w:fill="auto"/>
                  <w:vAlign w:val="center"/>
                </w:tcPr>
                <w:p w14:paraId="2C415CDA" w14:textId="5C29AB1C" w:rsidR="00171EFD" w:rsidRPr="00787670" w:rsidRDefault="00171EFD" w:rsidP="00171EFD">
                  <w:pPr>
                    <w:pStyle w:val="TableBodyText"/>
                    <w:rPr>
                      <w:b/>
                    </w:rPr>
                  </w:pPr>
                  <w:r w:rsidRPr="00787670">
                    <w:rPr>
                      <w:b/>
                    </w:rPr>
                    <w:t>na</w:t>
                  </w:r>
                </w:p>
              </w:tc>
              <w:tc>
                <w:tcPr>
                  <w:tcW w:w="709" w:type="dxa"/>
                  <w:shd w:val="clear" w:color="auto" w:fill="auto"/>
                  <w:vAlign w:val="bottom"/>
                </w:tcPr>
                <w:p w14:paraId="6293F1B5" w14:textId="578AB27E" w:rsidR="00171EFD" w:rsidRPr="00787670" w:rsidRDefault="00170740" w:rsidP="00171EFD">
                  <w:pPr>
                    <w:pStyle w:val="TableBodyText"/>
                    <w:rPr>
                      <w:b/>
                    </w:rPr>
                  </w:pPr>
                  <w:r w:rsidRPr="00787670">
                    <w:rPr>
                      <w:b/>
                    </w:rPr>
                    <w:t>75</w:t>
                  </w:r>
                  <w:r w:rsidR="00171EFD" w:rsidRPr="00787670">
                    <w:rPr>
                      <w:b/>
                    </w:rPr>
                    <w:t>.8</w:t>
                  </w:r>
                </w:p>
              </w:tc>
              <w:tc>
                <w:tcPr>
                  <w:tcW w:w="850" w:type="dxa"/>
                  <w:vAlign w:val="center"/>
                </w:tcPr>
                <w:p w14:paraId="60AC96C7" w14:textId="45964AA1" w:rsidR="00171EFD" w:rsidRPr="00787670" w:rsidRDefault="00171EFD" w:rsidP="00787670">
                  <w:pPr>
                    <w:pStyle w:val="TableBodyText"/>
                    <w:ind w:right="0"/>
                    <w:rPr>
                      <w:b/>
                    </w:rPr>
                  </w:pPr>
                  <w:r w:rsidRPr="00787670">
                    <w:rPr>
                      <w:b/>
                    </w:rPr>
                    <w:t>na</w:t>
                  </w:r>
                </w:p>
              </w:tc>
            </w:tr>
            <w:tr w:rsidR="00F3105E" w:rsidRPr="00792381" w14:paraId="727642D3" w14:textId="77777777" w:rsidTr="00871574">
              <w:tc>
                <w:tcPr>
                  <w:tcW w:w="1963" w:type="dxa"/>
                  <w:tcBorders>
                    <w:bottom w:val="single" w:sz="4" w:space="0" w:color="BFBFBF"/>
                  </w:tcBorders>
                </w:tcPr>
                <w:p w14:paraId="2F94A3D4" w14:textId="3A6CAF88" w:rsidR="00F3105E" w:rsidRPr="00EB64F9" w:rsidRDefault="00F3105E" w:rsidP="00D57A1F">
                  <w:pPr>
                    <w:pStyle w:val="TableBodyText"/>
                    <w:spacing w:before="40"/>
                    <w:ind w:left="0"/>
                    <w:jc w:val="left"/>
                    <w:rPr>
                      <w:b/>
                    </w:rPr>
                  </w:pPr>
                  <w:r w:rsidRPr="00AC2754">
                    <w:rPr>
                      <w:b/>
                    </w:rPr>
                    <w:t>Proportion in population</w:t>
                  </w:r>
                  <w:r w:rsidR="00141F22" w:rsidRPr="00141F22">
                    <w:rPr>
                      <w:rStyle w:val="NoteLabel"/>
                    </w:rPr>
                    <w:t>b</w:t>
                  </w:r>
                </w:p>
              </w:tc>
              <w:tc>
                <w:tcPr>
                  <w:tcW w:w="708" w:type="dxa"/>
                  <w:tcBorders>
                    <w:bottom w:val="single" w:sz="4" w:space="0" w:color="BFBFBF"/>
                  </w:tcBorders>
                  <w:vAlign w:val="bottom"/>
                </w:tcPr>
                <w:p w14:paraId="745DBE19" w14:textId="0118BC99" w:rsidR="00F3105E" w:rsidRPr="00787670" w:rsidRDefault="00F3105E" w:rsidP="00F3105E">
                  <w:pPr>
                    <w:pStyle w:val="TableBodyText"/>
                    <w:rPr>
                      <w:b/>
                    </w:rPr>
                  </w:pPr>
                  <w:r w:rsidRPr="00787670">
                    <w:rPr>
                      <w:b/>
                    </w:rPr>
                    <w:t>3.0</w:t>
                  </w:r>
                </w:p>
              </w:tc>
              <w:tc>
                <w:tcPr>
                  <w:tcW w:w="709" w:type="dxa"/>
                  <w:tcBorders>
                    <w:bottom w:val="single" w:sz="4" w:space="0" w:color="BFBFBF"/>
                  </w:tcBorders>
                  <w:vAlign w:val="bottom"/>
                </w:tcPr>
                <w:p w14:paraId="4B52CD3A" w14:textId="2D07FCDE" w:rsidR="00F3105E" w:rsidRPr="00787670" w:rsidRDefault="00F3105E" w:rsidP="00F3105E">
                  <w:pPr>
                    <w:pStyle w:val="TableBodyText"/>
                    <w:rPr>
                      <w:b/>
                    </w:rPr>
                  </w:pPr>
                  <w:r w:rsidRPr="00787670">
                    <w:rPr>
                      <w:b/>
                    </w:rPr>
                    <w:t>0.9</w:t>
                  </w:r>
                </w:p>
              </w:tc>
              <w:tc>
                <w:tcPr>
                  <w:tcW w:w="709" w:type="dxa"/>
                  <w:tcBorders>
                    <w:bottom w:val="single" w:sz="4" w:space="0" w:color="BFBFBF"/>
                  </w:tcBorders>
                  <w:shd w:val="clear" w:color="auto" w:fill="auto"/>
                  <w:vAlign w:val="bottom"/>
                </w:tcPr>
                <w:p w14:paraId="4298058F" w14:textId="4BFF52C5" w:rsidR="00F3105E" w:rsidRPr="00787670" w:rsidRDefault="00F3105E" w:rsidP="00F3105E">
                  <w:pPr>
                    <w:pStyle w:val="TableBodyText"/>
                    <w:rPr>
                      <w:b/>
                    </w:rPr>
                  </w:pPr>
                  <w:r w:rsidRPr="00787670">
                    <w:rPr>
                      <w:b/>
                    </w:rPr>
                    <w:t>4.4</w:t>
                  </w:r>
                </w:p>
              </w:tc>
              <w:tc>
                <w:tcPr>
                  <w:tcW w:w="709" w:type="dxa"/>
                  <w:tcBorders>
                    <w:bottom w:val="single" w:sz="4" w:space="0" w:color="BFBFBF"/>
                  </w:tcBorders>
                  <w:shd w:val="clear" w:color="auto" w:fill="auto"/>
                  <w:vAlign w:val="bottom"/>
                </w:tcPr>
                <w:p w14:paraId="5D1A1078" w14:textId="1D17310D" w:rsidR="00F3105E" w:rsidRPr="00787670" w:rsidRDefault="00F3105E" w:rsidP="00F3105E">
                  <w:pPr>
                    <w:pStyle w:val="TableBodyText"/>
                    <w:rPr>
                      <w:b/>
                    </w:rPr>
                  </w:pPr>
                  <w:r w:rsidRPr="00787670">
                    <w:rPr>
                      <w:b/>
                    </w:rPr>
                    <w:t>3.7</w:t>
                  </w:r>
                </w:p>
              </w:tc>
              <w:tc>
                <w:tcPr>
                  <w:tcW w:w="708" w:type="dxa"/>
                  <w:tcBorders>
                    <w:bottom w:val="single" w:sz="4" w:space="0" w:color="BFBFBF"/>
                  </w:tcBorders>
                  <w:shd w:val="clear" w:color="auto" w:fill="auto"/>
                  <w:vAlign w:val="bottom"/>
                </w:tcPr>
                <w:p w14:paraId="4BF6BD69" w14:textId="20D860DD" w:rsidR="00F3105E" w:rsidRPr="00787670" w:rsidRDefault="00FF0FC1" w:rsidP="00F3105E">
                  <w:pPr>
                    <w:pStyle w:val="TableBodyText"/>
                    <w:rPr>
                      <w:b/>
                    </w:rPr>
                  </w:pPr>
                  <w:r w:rsidRPr="00787670">
                    <w:rPr>
                      <w:b/>
                    </w:rPr>
                    <w:t>2.4</w:t>
                  </w:r>
                </w:p>
              </w:tc>
              <w:tc>
                <w:tcPr>
                  <w:tcW w:w="709" w:type="dxa"/>
                  <w:tcBorders>
                    <w:bottom w:val="single" w:sz="4" w:space="0" w:color="BFBFBF"/>
                  </w:tcBorders>
                  <w:shd w:val="clear" w:color="auto" w:fill="auto"/>
                  <w:vAlign w:val="bottom"/>
                </w:tcPr>
                <w:p w14:paraId="53CD3B9C" w14:textId="0C3E3D26" w:rsidR="00F3105E" w:rsidRPr="00787670" w:rsidRDefault="00F3105E" w:rsidP="00F3105E">
                  <w:pPr>
                    <w:pStyle w:val="TableBodyText"/>
                    <w:rPr>
                      <w:b/>
                    </w:rPr>
                  </w:pPr>
                  <w:r w:rsidRPr="00787670">
                    <w:rPr>
                      <w:b/>
                    </w:rPr>
                    <w:t>5.2</w:t>
                  </w:r>
                </w:p>
              </w:tc>
              <w:tc>
                <w:tcPr>
                  <w:tcW w:w="709" w:type="dxa"/>
                  <w:tcBorders>
                    <w:bottom w:val="single" w:sz="4" w:space="0" w:color="BFBFBF"/>
                  </w:tcBorders>
                  <w:shd w:val="clear" w:color="auto" w:fill="auto"/>
                  <w:vAlign w:val="bottom"/>
                </w:tcPr>
                <w:p w14:paraId="0374C10B" w14:textId="4ABC976C" w:rsidR="00F3105E" w:rsidRPr="00787670" w:rsidRDefault="00F3105E" w:rsidP="00F3105E">
                  <w:pPr>
                    <w:pStyle w:val="TableBodyText"/>
                    <w:rPr>
                      <w:b/>
                    </w:rPr>
                  </w:pPr>
                  <w:r w:rsidRPr="00787670">
                    <w:rPr>
                      <w:b/>
                    </w:rPr>
                    <w:t>1.8</w:t>
                  </w:r>
                </w:p>
              </w:tc>
              <w:tc>
                <w:tcPr>
                  <w:tcW w:w="709" w:type="dxa"/>
                  <w:tcBorders>
                    <w:bottom w:val="single" w:sz="4" w:space="0" w:color="BFBFBF"/>
                  </w:tcBorders>
                  <w:shd w:val="clear" w:color="auto" w:fill="auto"/>
                  <w:vAlign w:val="bottom"/>
                </w:tcPr>
                <w:p w14:paraId="311E6FA8" w14:textId="4009E20D" w:rsidR="00F3105E" w:rsidRPr="00787670" w:rsidRDefault="00F3105E" w:rsidP="00F3105E">
                  <w:pPr>
                    <w:pStyle w:val="TableBodyText"/>
                    <w:rPr>
                      <w:b/>
                    </w:rPr>
                  </w:pPr>
                  <w:r w:rsidRPr="00787670">
                    <w:rPr>
                      <w:b/>
                    </w:rPr>
                    <w:t>30.4</w:t>
                  </w:r>
                </w:p>
              </w:tc>
              <w:tc>
                <w:tcPr>
                  <w:tcW w:w="850" w:type="dxa"/>
                  <w:tcBorders>
                    <w:bottom w:val="single" w:sz="4" w:space="0" w:color="BFBFBF"/>
                  </w:tcBorders>
                  <w:vAlign w:val="bottom"/>
                </w:tcPr>
                <w:p w14:paraId="77AE3D65" w14:textId="5631E211" w:rsidR="00F3105E" w:rsidRPr="00787670" w:rsidRDefault="00F3105E" w:rsidP="00787670">
                  <w:pPr>
                    <w:pStyle w:val="TableBodyText"/>
                    <w:ind w:right="0"/>
                    <w:rPr>
                      <w:b/>
                    </w:rPr>
                  </w:pPr>
                  <w:r w:rsidRPr="00787670">
                    <w:rPr>
                      <w:b/>
                    </w:rPr>
                    <w:t>3.1</w:t>
                  </w:r>
                </w:p>
              </w:tc>
            </w:tr>
          </w:tbl>
          <w:p w14:paraId="387D3FF0" w14:textId="77777777" w:rsidR="00880179" w:rsidRDefault="00880179" w:rsidP="00E22551">
            <w:pPr>
              <w:pStyle w:val="Box"/>
              <w:rPr>
                <w:szCs w:val="24"/>
              </w:rPr>
            </w:pPr>
          </w:p>
        </w:tc>
      </w:tr>
      <w:tr w:rsidR="00880179" w14:paraId="72518366" w14:textId="77777777" w:rsidTr="00367E39">
        <w:trPr>
          <w:cantSplit/>
        </w:trPr>
        <w:tc>
          <w:tcPr>
            <w:tcW w:w="8789" w:type="dxa"/>
            <w:tcBorders>
              <w:top w:val="nil"/>
              <w:left w:val="nil"/>
              <w:bottom w:val="nil"/>
              <w:right w:val="nil"/>
            </w:tcBorders>
            <w:shd w:val="clear" w:color="auto" w:fill="auto"/>
          </w:tcPr>
          <w:p w14:paraId="0DDCFFE4" w14:textId="651F7247" w:rsidR="00880179" w:rsidRPr="00184E70" w:rsidRDefault="00880179" w:rsidP="00141F22">
            <w:pPr>
              <w:pStyle w:val="Note"/>
              <w:keepLines w:val="0"/>
              <w:rPr>
                <w:szCs w:val="26"/>
                <w:lang w:eastAsia="en-US"/>
              </w:rPr>
            </w:pPr>
            <w:r w:rsidRPr="00A31A94">
              <w:rPr>
                <w:rStyle w:val="NoteLabel"/>
              </w:rPr>
              <w:t>a</w:t>
            </w:r>
            <w:r>
              <w:t> Totals may not add as a result of rounding</w:t>
            </w:r>
            <w:r w:rsidRPr="00B54F4D">
              <w:t>.</w:t>
            </w:r>
            <w:r w:rsidR="00141F22" w:rsidRPr="00A31A94">
              <w:rPr>
                <w:rStyle w:val="NoteLabel"/>
              </w:rPr>
              <w:t xml:space="preserve"> </w:t>
            </w:r>
            <w:r w:rsidR="00141F22">
              <w:rPr>
                <w:rStyle w:val="NoteLabel"/>
              </w:rPr>
              <w:t>b</w:t>
            </w:r>
            <w:r w:rsidR="00141F22">
              <w:t xml:space="preserve"> As at June 2016, based on </w:t>
            </w:r>
            <w:r w:rsidR="002A36D6">
              <w:t xml:space="preserve">the </w:t>
            </w:r>
            <w:r w:rsidR="00141F22">
              <w:t xml:space="preserve">2011 </w:t>
            </w:r>
            <w:r w:rsidR="002A36D6">
              <w:t>C</w:t>
            </w:r>
            <w:r w:rsidR="00141F22">
              <w:t>ensus.</w:t>
            </w:r>
            <w:r w:rsidRPr="00B54F4D">
              <w:t xml:space="preserve"> </w:t>
            </w:r>
            <w:r w:rsidRPr="00E22551">
              <w:rPr>
                <w:b/>
              </w:rPr>
              <w:t>na</w:t>
            </w:r>
            <w:r>
              <w:t xml:space="preserve"> Not available</w:t>
            </w:r>
            <w:r w:rsidR="002A36D6">
              <w:t>.</w:t>
            </w:r>
            <w:r>
              <w:t xml:space="preserve"> </w:t>
            </w:r>
            <w:r w:rsidRPr="00EA5952">
              <w:t>..</w:t>
            </w:r>
            <w:r>
              <w:rPr>
                <w:b/>
              </w:rPr>
              <w:t> </w:t>
            </w:r>
            <w:r w:rsidRPr="00E92ADD">
              <w:t>Not</w:t>
            </w:r>
            <w:r>
              <w:t> applicable.</w:t>
            </w:r>
          </w:p>
        </w:tc>
      </w:tr>
      <w:tr w:rsidR="00880179" w14:paraId="532F3E34" w14:textId="77777777" w:rsidTr="00367E39">
        <w:trPr>
          <w:cantSplit/>
        </w:trPr>
        <w:tc>
          <w:tcPr>
            <w:tcW w:w="8789" w:type="dxa"/>
            <w:tcBorders>
              <w:top w:val="nil"/>
              <w:left w:val="nil"/>
              <w:bottom w:val="nil"/>
              <w:right w:val="nil"/>
            </w:tcBorders>
            <w:shd w:val="clear" w:color="auto" w:fill="auto"/>
          </w:tcPr>
          <w:p w14:paraId="3C2ADB63" w14:textId="0AEE2FEC" w:rsidR="00880179" w:rsidRDefault="00880179" w:rsidP="00E22551">
            <w:pPr>
              <w:pStyle w:val="Source"/>
              <w:keepLines w:val="0"/>
              <w:rPr>
                <w:lang w:eastAsia="en-US"/>
              </w:rPr>
            </w:pPr>
            <w:r>
              <w:rPr>
                <w:i/>
              </w:rPr>
              <w:t>Source</w:t>
            </w:r>
            <w:r w:rsidRPr="00EA5952">
              <w:t>:</w:t>
            </w:r>
            <w:r>
              <w:rPr>
                <w:i/>
              </w:rPr>
              <w:t xml:space="preserve"> </w:t>
            </w:r>
            <w:r w:rsidRPr="00F241C5">
              <w:t>State and Territory court authorities</w:t>
            </w:r>
            <w:r>
              <w:t xml:space="preserve"> and departments (unpublished)</w:t>
            </w:r>
            <w:r w:rsidR="00F87775">
              <w:t>.</w:t>
            </w:r>
          </w:p>
        </w:tc>
      </w:tr>
      <w:tr w:rsidR="00880179" w14:paraId="76C9A37D" w14:textId="77777777" w:rsidTr="00367E39">
        <w:trPr>
          <w:cantSplit/>
        </w:trPr>
        <w:tc>
          <w:tcPr>
            <w:tcW w:w="8789" w:type="dxa"/>
            <w:tcBorders>
              <w:top w:val="nil"/>
              <w:left w:val="nil"/>
              <w:bottom w:val="single" w:sz="6" w:space="0" w:color="78A22F" w:themeColor="accent1"/>
              <w:right w:val="nil"/>
            </w:tcBorders>
            <w:shd w:val="clear" w:color="auto" w:fill="auto"/>
          </w:tcPr>
          <w:p w14:paraId="5672378B" w14:textId="77777777" w:rsidR="00880179" w:rsidRDefault="00880179" w:rsidP="00E22551">
            <w:pPr>
              <w:pStyle w:val="Box"/>
              <w:keepNext w:val="0"/>
              <w:spacing w:before="0" w:line="120" w:lineRule="exact"/>
              <w:rPr>
                <w:szCs w:val="24"/>
              </w:rPr>
            </w:pPr>
          </w:p>
        </w:tc>
      </w:tr>
    </w:tbl>
    <w:p w14:paraId="49BFE53B" w14:textId="4393DACA" w:rsidR="00A15194" w:rsidRPr="009A2CA2" w:rsidRDefault="00A15194" w:rsidP="00A15194">
      <w:pPr>
        <w:pStyle w:val="Heading4"/>
      </w:pPr>
      <w:bookmarkStart w:id="10" w:name="_Toc340063211"/>
      <w:r w:rsidRPr="009A2CA2">
        <w:lastRenderedPageBreak/>
        <w:t>Finalisations in civil courts – applications for domestic and family violence protection orders (experimental data)</w:t>
      </w:r>
    </w:p>
    <w:p w14:paraId="472BD41B" w14:textId="082ADB74" w:rsidR="003D2DE6" w:rsidRPr="009A2CA2" w:rsidRDefault="00A15194" w:rsidP="00BE20DC">
      <w:pPr>
        <w:pStyle w:val="BodyText"/>
      </w:pPr>
      <w:r w:rsidRPr="009A2CA2">
        <w:t>Domestic and family violence matters</w:t>
      </w:r>
      <w:r w:rsidR="00BE20DC" w:rsidRPr="009A2CA2">
        <w:rPr>
          <w:rStyle w:val="FootnoteReference"/>
        </w:rPr>
        <w:footnoteReference w:id="2"/>
      </w:r>
      <w:r w:rsidRPr="009A2CA2">
        <w:t xml:space="preserve"> are generally dealt with at the Magistrates’ court level</w:t>
      </w:r>
      <w:r w:rsidR="00FF6BD8" w:rsidRPr="009A2CA2">
        <w:t xml:space="preserve"> (for applications and breaches of protection orders)</w:t>
      </w:r>
      <w:r w:rsidRPr="009A2CA2">
        <w:t xml:space="preserve">. Protection orders are the most broadly used justice response mechanisms for addressing the safety of women and children exposed to </w:t>
      </w:r>
      <w:r w:rsidR="00BE20DC" w:rsidRPr="009A2CA2">
        <w:t>domestic and family violence (Taylor et al 2015)</w:t>
      </w:r>
      <w:r w:rsidRPr="009A2CA2">
        <w:t xml:space="preserve">. </w:t>
      </w:r>
    </w:p>
    <w:p w14:paraId="698847CD" w14:textId="16E3156F" w:rsidR="00BE20DC" w:rsidRPr="009A2CA2" w:rsidRDefault="00482815" w:rsidP="00BE20DC">
      <w:pPr>
        <w:pStyle w:val="BodyText"/>
      </w:pPr>
      <w:r w:rsidRPr="009A2CA2">
        <w:t>In 2016-17, a</w:t>
      </w:r>
      <w:r w:rsidR="00A15194" w:rsidRPr="009A2CA2">
        <w:t xml:space="preserve">cross all Magistrates’ courts </w:t>
      </w:r>
      <w:r w:rsidR="00A15194" w:rsidRPr="00F95E57">
        <w:t xml:space="preserve">approximately </w:t>
      </w:r>
      <w:r w:rsidR="00F95E57" w:rsidRPr="00F95E57">
        <w:t>34</w:t>
      </w:r>
      <w:r w:rsidR="00A15194" w:rsidRPr="00F95E57">
        <w:t xml:space="preserve"> </w:t>
      </w:r>
      <w:r w:rsidR="00A15194" w:rsidRPr="009A2CA2">
        <w:t>per cent of all finalised civil cases involved applications for domestic and family violence-related protection orders</w:t>
      </w:r>
      <w:r w:rsidR="00BE20DC" w:rsidRPr="009A2CA2">
        <w:t xml:space="preserve"> (excludes interim orders and applications for extension, revocation or variation)</w:t>
      </w:r>
      <w:r w:rsidR="00976F51" w:rsidRPr="009A2CA2">
        <w:t xml:space="preserve"> (table 7</w:t>
      </w:r>
      <w:r w:rsidR="00E10B9D" w:rsidRPr="009A2CA2">
        <w:t>.4</w:t>
      </w:r>
      <w:r w:rsidR="00976F51" w:rsidRPr="009A2CA2">
        <w:t>)</w:t>
      </w:r>
      <w:r w:rsidR="00A15194" w:rsidRPr="009A2CA2">
        <w:t>.</w:t>
      </w:r>
      <w:r w:rsidR="00BE20DC" w:rsidRPr="009A2CA2">
        <w:t xml:space="preserve"> Offences relating to domestic and family violence (including breaches of violence and protection orders)</w:t>
      </w:r>
      <w:r w:rsidRPr="009A2CA2">
        <w:t xml:space="preserve"> are dealt with in state and territory criminal courts.</w:t>
      </w:r>
    </w:p>
    <w:p w14:paraId="014C6B8B" w14:textId="1F86386F" w:rsidR="00A15194" w:rsidRPr="00CE0C4F" w:rsidRDefault="00BE20DC" w:rsidP="008D0127">
      <w:pPr>
        <w:pStyle w:val="BodyText"/>
      </w:pPr>
      <w:r w:rsidRPr="00CB7743">
        <w:t xml:space="preserve">The Family Court of Australia and the Federal Circuit Court do not issue family violence protection orders. Rather, the Family Court must consider and take action on notices of </w:t>
      </w:r>
      <w:r w:rsidR="009F0F47">
        <w:t>child</w:t>
      </w:r>
      <w:r w:rsidRPr="00CB7743">
        <w:t xml:space="preserve"> abuse or </w:t>
      </w:r>
      <w:r w:rsidR="009F0F47">
        <w:t xml:space="preserve">risk of </w:t>
      </w:r>
      <w:r w:rsidRPr="00CB7743">
        <w:t>family violence when considering final order cases. Following a broadening of the definition of family violence in the Family Law Act in 2012, the number of notices being filed in the Family Court has</w:t>
      </w:r>
      <w:r w:rsidR="00367BC9">
        <w:t xml:space="preserve"> steadily</w:t>
      </w:r>
      <w:r w:rsidRPr="00CB7743">
        <w:t xml:space="preserve"> increased. </w:t>
      </w:r>
      <w:r w:rsidRPr="00811B2C">
        <w:t xml:space="preserve">In </w:t>
      </w:r>
      <w:r w:rsidR="00367BC9">
        <w:t>2016</w:t>
      </w:r>
      <w:r w:rsidR="00367BC9">
        <w:noBreakHyphen/>
        <w:t>17</w:t>
      </w:r>
      <w:r w:rsidR="002C64D9" w:rsidRPr="00811B2C">
        <w:t>,</w:t>
      </w:r>
      <w:r w:rsidRPr="00811B2C">
        <w:t xml:space="preserve"> the </w:t>
      </w:r>
      <w:r w:rsidRPr="00CB7743">
        <w:t xml:space="preserve">proportion of final order cases in which a notice of child abuse or risk of family violence was filed </w:t>
      </w:r>
      <w:r w:rsidRPr="00811B2C">
        <w:t xml:space="preserve">was </w:t>
      </w:r>
      <w:r w:rsidR="00367BC9">
        <w:t>23</w:t>
      </w:r>
      <w:r w:rsidR="00811B2C" w:rsidRPr="00811B2C">
        <w:t>.</w:t>
      </w:r>
      <w:r w:rsidR="00367BC9">
        <w:t>8</w:t>
      </w:r>
      <w:r w:rsidRPr="00811B2C">
        <w:t xml:space="preserve"> per </w:t>
      </w:r>
      <w:r w:rsidRPr="005B5B01">
        <w:t xml:space="preserve">cent </w:t>
      </w:r>
      <w:r w:rsidRPr="00CB7743">
        <w:t xml:space="preserve">(Family Court of Australia Annual </w:t>
      </w:r>
      <w:r w:rsidRPr="00811B2C">
        <w:t xml:space="preserve">Report, </w:t>
      </w:r>
      <w:r w:rsidR="00367BC9">
        <w:t>2016</w:t>
      </w:r>
      <w:r w:rsidRPr="00811B2C">
        <w:noBreakHyphen/>
        <w:t>1</w:t>
      </w:r>
      <w:r w:rsidR="00367BC9">
        <w:t>7</w:t>
      </w:r>
      <w:r w:rsidRPr="00811B2C">
        <w:t>).</w:t>
      </w:r>
    </w:p>
    <w:p w14:paraId="6BC66A27" w14:textId="77777777" w:rsidR="00A15194" w:rsidRDefault="00A15194" w:rsidP="00A15194">
      <w:pPr>
        <w:pStyle w:val="BoxSpaceAbove"/>
      </w:pPr>
    </w:p>
    <w:tbl>
      <w:tblPr>
        <w:tblW w:w="8789"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A15194" w14:paraId="6E18DB3B" w14:textId="77777777" w:rsidTr="00194BBD">
        <w:tc>
          <w:tcPr>
            <w:tcW w:w="8789" w:type="dxa"/>
            <w:tcBorders>
              <w:top w:val="single" w:sz="6" w:space="0" w:color="78A22F" w:themeColor="accent1"/>
              <w:left w:val="nil"/>
              <w:bottom w:val="nil"/>
              <w:right w:val="nil"/>
            </w:tcBorders>
            <w:shd w:val="clear" w:color="auto" w:fill="auto"/>
          </w:tcPr>
          <w:p w14:paraId="35E35AA2" w14:textId="24D29F59" w:rsidR="00A15194" w:rsidRPr="0093193D" w:rsidRDefault="00A15194" w:rsidP="00A2422C">
            <w:pPr>
              <w:pStyle w:val="TableTitle"/>
            </w:pPr>
            <w:r>
              <w:rPr>
                <w:b w:val="0"/>
              </w:rPr>
              <w:t>Table 7.</w:t>
            </w:r>
            <w:r w:rsidR="00E10B9D">
              <w:rPr>
                <w:b w:val="0"/>
              </w:rPr>
              <w:t>4</w:t>
            </w:r>
            <w:r>
              <w:tab/>
            </w:r>
            <w:r w:rsidR="002C64D9">
              <w:t>F</w:t>
            </w:r>
            <w:r>
              <w:t>inalised civil cases in the Magistrates’ courts involving a finalised application for a domestic or family violence related protection order,</w:t>
            </w:r>
            <w:r w:rsidRPr="001E01DB">
              <w:t xml:space="preserve"> </w:t>
            </w:r>
            <w:r w:rsidRPr="00F95E57">
              <w:t>2016-17</w:t>
            </w:r>
            <w:r w:rsidR="002C64D9" w:rsidRPr="00F95E57">
              <w:t xml:space="preserve"> </w:t>
            </w:r>
            <w:r w:rsidRPr="005E6DA1">
              <w:t>—</w:t>
            </w:r>
            <w:r>
              <w:t xml:space="preserve"> experimental data</w:t>
            </w:r>
            <w:r w:rsidR="002C64D9" w:rsidRPr="001615B0">
              <w:rPr>
                <w:rStyle w:val="NoteLabel"/>
                <w:b/>
              </w:rPr>
              <w:t>a</w:t>
            </w:r>
            <w:r w:rsidR="002C64D9">
              <w:rPr>
                <w:rStyle w:val="NoteLabel"/>
                <w:b/>
              </w:rPr>
              <w:t>, b</w:t>
            </w:r>
          </w:p>
        </w:tc>
      </w:tr>
      <w:tr w:rsidR="00A15194" w:rsidRPr="00CB7743" w14:paraId="542B5372" w14:textId="77777777" w:rsidTr="00367E39">
        <w:trPr>
          <w:cantSplit/>
        </w:trPr>
        <w:tc>
          <w:tcPr>
            <w:tcW w:w="8789" w:type="dxa"/>
            <w:tcBorders>
              <w:top w:val="nil"/>
              <w:left w:val="nil"/>
              <w:bottom w:val="nil"/>
              <w:right w:val="nil"/>
            </w:tcBorders>
            <w:shd w:val="clear" w:color="auto" w:fill="auto"/>
          </w:tcPr>
          <w:tbl>
            <w:tblPr>
              <w:tblW w:w="8483" w:type="dxa"/>
              <w:tblLayout w:type="fixed"/>
              <w:tblCellMar>
                <w:left w:w="0" w:type="dxa"/>
                <w:right w:w="0" w:type="dxa"/>
              </w:tblCellMar>
              <w:tblLook w:val="0000" w:firstRow="0" w:lastRow="0" w:firstColumn="0" w:lastColumn="0" w:noHBand="0" w:noVBand="0"/>
            </w:tblPr>
            <w:tblGrid>
              <w:gridCol w:w="2104"/>
              <w:gridCol w:w="709"/>
              <w:gridCol w:w="709"/>
              <w:gridCol w:w="709"/>
              <w:gridCol w:w="708"/>
              <w:gridCol w:w="709"/>
              <w:gridCol w:w="709"/>
              <w:gridCol w:w="709"/>
              <w:gridCol w:w="708"/>
              <w:gridCol w:w="709"/>
            </w:tblGrid>
            <w:tr w:rsidR="00A15194" w:rsidRPr="00CB7743" w14:paraId="1346101B" w14:textId="77777777" w:rsidTr="00481CF3">
              <w:tc>
                <w:tcPr>
                  <w:tcW w:w="2104" w:type="dxa"/>
                  <w:tcBorders>
                    <w:top w:val="single" w:sz="6" w:space="0" w:color="BFBFBF"/>
                    <w:bottom w:val="single" w:sz="6" w:space="0" w:color="BFBFBF"/>
                  </w:tcBorders>
                  <w:shd w:val="clear" w:color="auto" w:fill="auto"/>
                </w:tcPr>
                <w:p w14:paraId="4A9F533B" w14:textId="77777777" w:rsidR="00A15194" w:rsidRPr="00CB7743" w:rsidRDefault="00A15194" w:rsidP="00481CF3">
                  <w:pPr>
                    <w:pStyle w:val="TableColumnHeading"/>
                  </w:pPr>
                </w:p>
              </w:tc>
              <w:tc>
                <w:tcPr>
                  <w:tcW w:w="709" w:type="dxa"/>
                  <w:tcBorders>
                    <w:top w:val="single" w:sz="6" w:space="0" w:color="BFBFBF"/>
                    <w:bottom w:val="single" w:sz="6" w:space="0" w:color="BFBFBF"/>
                  </w:tcBorders>
                  <w:shd w:val="clear" w:color="auto" w:fill="auto"/>
                </w:tcPr>
                <w:p w14:paraId="5D48CE61" w14:textId="77777777" w:rsidR="00A15194" w:rsidRPr="00CB7743" w:rsidRDefault="00A15194" w:rsidP="00481CF3">
                  <w:pPr>
                    <w:pStyle w:val="TableColumnHeading"/>
                  </w:pPr>
                  <w:r w:rsidRPr="00CB7743">
                    <w:t>NSW</w:t>
                  </w:r>
                </w:p>
              </w:tc>
              <w:tc>
                <w:tcPr>
                  <w:tcW w:w="709" w:type="dxa"/>
                  <w:tcBorders>
                    <w:top w:val="single" w:sz="6" w:space="0" w:color="BFBFBF"/>
                    <w:bottom w:val="single" w:sz="6" w:space="0" w:color="BFBFBF"/>
                  </w:tcBorders>
                  <w:shd w:val="clear" w:color="auto" w:fill="auto"/>
                </w:tcPr>
                <w:p w14:paraId="4D22582C" w14:textId="77777777" w:rsidR="00A15194" w:rsidRPr="00CB7743" w:rsidRDefault="00A15194" w:rsidP="00481CF3">
                  <w:pPr>
                    <w:pStyle w:val="TableColumnHeading"/>
                  </w:pPr>
                  <w:r w:rsidRPr="00CB7743">
                    <w:t>Vic</w:t>
                  </w:r>
                </w:p>
              </w:tc>
              <w:tc>
                <w:tcPr>
                  <w:tcW w:w="709" w:type="dxa"/>
                  <w:tcBorders>
                    <w:top w:val="single" w:sz="6" w:space="0" w:color="BFBFBF"/>
                    <w:bottom w:val="single" w:sz="6" w:space="0" w:color="BFBFBF"/>
                  </w:tcBorders>
                  <w:shd w:val="clear" w:color="auto" w:fill="auto"/>
                </w:tcPr>
                <w:p w14:paraId="399D7045" w14:textId="77777777" w:rsidR="00A15194" w:rsidRPr="00CB7743" w:rsidRDefault="00A15194" w:rsidP="00481CF3">
                  <w:pPr>
                    <w:pStyle w:val="TableColumnHeading"/>
                  </w:pPr>
                  <w:r w:rsidRPr="00CB7743">
                    <w:t>Qld</w:t>
                  </w:r>
                </w:p>
              </w:tc>
              <w:tc>
                <w:tcPr>
                  <w:tcW w:w="708" w:type="dxa"/>
                  <w:tcBorders>
                    <w:top w:val="single" w:sz="6" w:space="0" w:color="BFBFBF"/>
                    <w:bottom w:val="single" w:sz="6" w:space="0" w:color="BFBFBF"/>
                  </w:tcBorders>
                  <w:shd w:val="clear" w:color="auto" w:fill="auto"/>
                </w:tcPr>
                <w:p w14:paraId="67E8CA33" w14:textId="77777777" w:rsidR="00A15194" w:rsidRPr="00CB7743" w:rsidRDefault="00A15194" w:rsidP="00481CF3">
                  <w:pPr>
                    <w:pStyle w:val="TableColumnHeading"/>
                  </w:pPr>
                  <w:r w:rsidRPr="00CB7743">
                    <w:t>WA</w:t>
                  </w:r>
                </w:p>
              </w:tc>
              <w:tc>
                <w:tcPr>
                  <w:tcW w:w="709" w:type="dxa"/>
                  <w:tcBorders>
                    <w:top w:val="single" w:sz="6" w:space="0" w:color="BFBFBF"/>
                    <w:bottom w:val="single" w:sz="6" w:space="0" w:color="BFBFBF"/>
                  </w:tcBorders>
                  <w:shd w:val="clear" w:color="auto" w:fill="auto"/>
                </w:tcPr>
                <w:p w14:paraId="68A1FD23" w14:textId="77777777" w:rsidR="00A15194" w:rsidRPr="00CB7743" w:rsidRDefault="00A15194" w:rsidP="00481CF3">
                  <w:pPr>
                    <w:pStyle w:val="TableColumnHeading"/>
                  </w:pPr>
                  <w:r w:rsidRPr="00CB7743">
                    <w:t>SA</w:t>
                  </w:r>
                </w:p>
              </w:tc>
              <w:tc>
                <w:tcPr>
                  <w:tcW w:w="709" w:type="dxa"/>
                  <w:tcBorders>
                    <w:top w:val="single" w:sz="6" w:space="0" w:color="BFBFBF"/>
                    <w:bottom w:val="single" w:sz="6" w:space="0" w:color="BFBFBF"/>
                  </w:tcBorders>
                  <w:shd w:val="clear" w:color="auto" w:fill="auto"/>
                </w:tcPr>
                <w:p w14:paraId="29791629" w14:textId="77777777" w:rsidR="00A15194" w:rsidRPr="00CB7743" w:rsidRDefault="00A15194" w:rsidP="00481CF3">
                  <w:pPr>
                    <w:pStyle w:val="TableColumnHeading"/>
                  </w:pPr>
                  <w:r w:rsidRPr="00CB7743">
                    <w:t>Tas</w:t>
                  </w:r>
                </w:p>
              </w:tc>
              <w:tc>
                <w:tcPr>
                  <w:tcW w:w="709" w:type="dxa"/>
                  <w:tcBorders>
                    <w:top w:val="single" w:sz="6" w:space="0" w:color="BFBFBF"/>
                    <w:bottom w:val="single" w:sz="6" w:space="0" w:color="BFBFBF"/>
                  </w:tcBorders>
                  <w:shd w:val="clear" w:color="auto" w:fill="auto"/>
                </w:tcPr>
                <w:p w14:paraId="2553F2B2" w14:textId="77777777" w:rsidR="00A15194" w:rsidRPr="00CB7743" w:rsidRDefault="00A15194" w:rsidP="00481CF3">
                  <w:pPr>
                    <w:pStyle w:val="TableColumnHeading"/>
                  </w:pPr>
                  <w:r w:rsidRPr="00CB7743">
                    <w:t>ACT</w:t>
                  </w:r>
                </w:p>
              </w:tc>
              <w:tc>
                <w:tcPr>
                  <w:tcW w:w="708" w:type="dxa"/>
                  <w:tcBorders>
                    <w:top w:val="single" w:sz="6" w:space="0" w:color="BFBFBF"/>
                    <w:bottom w:val="single" w:sz="6" w:space="0" w:color="BFBFBF"/>
                  </w:tcBorders>
                  <w:shd w:val="clear" w:color="auto" w:fill="auto"/>
                </w:tcPr>
                <w:p w14:paraId="20925B4D" w14:textId="77777777" w:rsidR="00A15194" w:rsidRPr="00CB7743" w:rsidRDefault="00A15194" w:rsidP="00481CF3">
                  <w:pPr>
                    <w:pStyle w:val="TableColumnHeading"/>
                  </w:pPr>
                  <w:r w:rsidRPr="00CB7743">
                    <w:t>NT</w:t>
                  </w:r>
                </w:p>
              </w:tc>
              <w:tc>
                <w:tcPr>
                  <w:tcW w:w="709" w:type="dxa"/>
                  <w:tcBorders>
                    <w:top w:val="single" w:sz="6" w:space="0" w:color="BFBFBF"/>
                    <w:bottom w:val="single" w:sz="6" w:space="0" w:color="BFBFBF"/>
                  </w:tcBorders>
                  <w:shd w:val="clear" w:color="auto" w:fill="auto"/>
                </w:tcPr>
                <w:p w14:paraId="29C55B23" w14:textId="77777777" w:rsidR="00A15194" w:rsidRPr="00CB7743" w:rsidRDefault="00A15194" w:rsidP="00787670">
                  <w:pPr>
                    <w:pStyle w:val="TableColumnHeading"/>
                    <w:ind w:right="0"/>
                  </w:pPr>
                  <w:r w:rsidRPr="00CB7743">
                    <w:t>Total</w:t>
                  </w:r>
                </w:p>
              </w:tc>
            </w:tr>
            <w:tr w:rsidR="00F95E57" w:rsidRPr="00CB7743" w14:paraId="28B6E7F7" w14:textId="77777777" w:rsidTr="00481CF3">
              <w:tc>
                <w:tcPr>
                  <w:tcW w:w="2104" w:type="dxa"/>
                  <w:tcBorders>
                    <w:top w:val="single" w:sz="6" w:space="0" w:color="BFBFBF"/>
                  </w:tcBorders>
                </w:tcPr>
                <w:p w14:paraId="01E48CBE" w14:textId="77777777" w:rsidR="00F95E57" w:rsidRPr="00CB7743" w:rsidRDefault="00F95E57" w:rsidP="00F95E57">
                  <w:pPr>
                    <w:pStyle w:val="TableBodyText"/>
                    <w:jc w:val="left"/>
                  </w:pPr>
                  <w:r w:rsidRPr="00CB7743">
                    <w:t>All civil cases finalised</w:t>
                  </w:r>
                  <w:r>
                    <w:t xml:space="preserve"> (‘000)</w:t>
                  </w:r>
                </w:p>
              </w:tc>
              <w:tc>
                <w:tcPr>
                  <w:tcW w:w="709" w:type="dxa"/>
                  <w:tcBorders>
                    <w:top w:val="single" w:sz="6" w:space="0" w:color="BFBFBF"/>
                  </w:tcBorders>
                  <w:vAlign w:val="center"/>
                </w:tcPr>
                <w:p w14:paraId="37F7F997" w14:textId="6A89CFEA" w:rsidR="00F95E57" w:rsidRPr="00F95E57" w:rsidRDefault="00F95E57" w:rsidP="00F95E57">
                  <w:pPr>
                    <w:pStyle w:val="TableBodyText"/>
                  </w:pPr>
                  <w:r w:rsidRPr="00F95E57">
                    <w:t xml:space="preserve">126.2 </w:t>
                  </w:r>
                </w:p>
              </w:tc>
              <w:tc>
                <w:tcPr>
                  <w:tcW w:w="709" w:type="dxa"/>
                  <w:tcBorders>
                    <w:top w:val="single" w:sz="6" w:space="0" w:color="BFBFBF"/>
                  </w:tcBorders>
                  <w:vAlign w:val="center"/>
                </w:tcPr>
                <w:p w14:paraId="3F2EE1E9" w14:textId="43FA256A" w:rsidR="00F95E57" w:rsidRPr="00F95E57" w:rsidRDefault="00F95E57" w:rsidP="00F95E57">
                  <w:pPr>
                    <w:pStyle w:val="TableBodyText"/>
                  </w:pPr>
                  <w:r w:rsidRPr="00F95E57">
                    <w:t xml:space="preserve">89.6 </w:t>
                  </w:r>
                </w:p>
              </w:tc>
              <w:tc>
                <w:tcPr>
                  <w:tcW w:w="709" w:type="dxa"/>
                  <w:tcBorders>
                    <w:top w:val="single" w:sz="6" w:space="0" w:color="BFBFBF"/>
                  </w:tcBorders>
                  <w:vAlign w:val="center"/>
                </w:tcPr>
                <w:p w14:paraId="049D8024" w14:textId="6E7A3270" w:rsidR="00F95E57" w:rsidRPr="00F95E57" w:rsidRDefault="00F95E57" w:rsidP="00F95E57">
                  <w:pPr>
                    <w:pStyle w:val="TableBodyText"/>
                  </w:pPr>
                  <w:r w:rsidRPr="00F95E57">
                    <w:t xml:space="preserve">58.6 </w:t>
                  </w:r>
                </w:p>
              </w:tc>
              <w:tc>
                <w:tcPr>
                  <w:tcW w:w="708" w:type="dxa"/>
                  <w:tcBorders>
                    <w:top w:val="single" w:sz="6" w:space="0" w:color="BFBFBF"/>
                  </w:tcBorders>
                  <w:vAlign w:val="center"/>
                </w:tcPr>
                <w:p w14:paraId="2949860C" w14:textId="60EDF835" w:rsidR="00F95E57" w:rsidRPr="00F95E57" w:rsidRDefault="00F95E57" w:rsidP="00F95E57">
                  <w:pPr>
                    <w:pStyle w:val="TableBodyText"/>
                  </w:pPr>
                  <w:r w:rsidRPr="00F95E57">
                    <w:t xml:space="preserve">50.7 </w:t>
                  </w:r>
                </w:p>
              </w:tc>
              <w:tc>
                <w:tcPr>
                  <w:tcW w:w="709" w:type="dxa"/>
                  <w:tcBorders>
                    <w:top w:val="single" w:sz="6" w:space="0" w:color="BFBFBF"/>
                  </w:tcBorders>
                  <w:vAlign w:val="center"/>
                </w:tcPr>
                <w:p w14:paraId="04A85135" w14:textId="2457FD78" w:rsidR="00F95E57" w:rsidRPr="00F95E57" w:rsidRDefault="00F95E57" w:rsidP="00F95E57">
                  <w:pPr>
                    <w:pStyle w:val="TableBodyText"/>
                  </w:pPr>
                  <w:r w:rsidRPr="00F95E57">
                    <w:t xml:space="preserve">25.1 </w:t>
                  </w:r>
                </w:p>
              </w:tc>
              <w:tc>
                <w:tcPr>
                  <w:tcW w:w="709" w:type="dxa"/>
                  <w:tcBorders>
                    <w:top w:val="single" w:sz="6" w:space="0" w:color="BFBFBF"/>
                  </w:tcBorders>
                  <w:vAlign w:val="center"/>
                </w:tcPr>
                <w:p w14:paraId="483FFF5F" w14:textId="5EA3B3DE" w:rsidR="00F95E57" w:rsidRPr="00F95E57" w:rsidRDefault="00F95E57" w:rsidP="00F95E57">
                  <w:pPr>
                    <w:pStyle w:val="TableBodyText"/>
                  </w:pPr>
                  <w:r w:rsidRPr="00F95E57">
                    <w:t xml:space="preserve">6.1 </w:t>
                  </w:r>
                </w:p>
              </w:tc>
              <w:tc>
                <w:tcPr>
                  <w:tcW w:w="709" w:type="dxa"/>
                  <w:tcBorders>
                    <w:top w:val="single" w:sz="6" w:space="0" w:color="BFBFBF"/>
                  </w:tcBorders>
                  <w:vAlign w:val="center"/>
                </w:tcPr>
                <w:p w14:paraId="5A34C44A" w14:textId="49382C3B" w:rsidR="00F95E57" w:rsidRPr="00F95E57" w:rsidRDefault="00F95E57" w:rsidP="00F95E57">
                  <w:pPr>
                    <w:pStyle w:val="TableBodyText"/>
                  </w:pPr>
                  <w:r w:rsidRPr="00F95E57">
                    <w:t xml:space="preserve">3.5 </w:t>
                  </w:r>
                </w:p>
              </w:tc>
              <w:tc>
                <w:tcPr>
                  <w:tcW w:w="708" w:type="dxa"/>
                  <w:tcBorders>
                    <w:top w:val="single" w:sz="6" w:space="0" w:color="BFBFBF"/>
                  </w:tcBorders>
                  <w:vAlign w:val="center"/>
                </w:tcPr>
                <w:p w14:paraId="355B307D" w14:textId="0B05B272" w:rsidR="00F95E57" w:rsidRPr="00F95E57" w:rsidRDefault="00F95E57" w:rsidP="00F95E57">
                  <w:pPr>
                    <w:pStyle w:val="TableBodyText"/>
                  </w:pPr>
                  <w:r w:rsidRPr="00F95E57">
                    <w:t xml:space="preserve">6.3 </w:t>
                  </w:r>
                </w:p>
              </w:tc>
              <w:tc>
                <w:tcPr>
                  <w:tcW w:w="709" w:type="dxa"/>
                  <w:tcBorders>
                    <w:top w:val="single" w:sz="6" w:space="0" w:color="BFBFBF"/>
                  </w:tcBorders>
                  <w:vAlign w:val="center"/>
                </w:tcPr>
                <w:p w14:paraId="065FEA94" w14:textId="02BA6ADF" w:rsidR="00F95E57" w:rsidRPr="00F95E57" w:rsidRDefault="00F13825" w:rsidP="00787670">
                  <w:pPr>
                    <w:pStyle w:val="TableBodyText"/>
                    <w:ind w:right="0"/>
                  </w:pPr>
                  <w:r>
                    <w:t>366.1</w:t>
                  </w:r>
                </w:p>
              </w:tc>
            </w:tr>
            <w:tr w:rsidR="00F95E57" w:rsidRPr="00CB7743" w14:paraId="5E9C6B48" w14:textId="77777777" w:rsidTr="00481CF3">
              <w:tc>
                <w:tcPr>
                  <w:tcW w:w="2104" w:type="dxa"/>
                </w:tcPr>
                <w:p w14:paraId="0BEDAB0D" w14:textId="77777777" w:rsidR="00F95E57" w:rsidRPr="00CB7743" w:rsidRDefault="00F95E57" w:rsidP="00F95E57">
                  <w:pPr>
                    <w:pStyle w:val="TableBodyText"/>
                    <w:spacing w:before="120"/>
                    <w:jc w:val="left"/>
                    <w:rPr>
                      <w:rStyle w:val="NoteLabel"/>
                      <w:b w:val="0"/>
                      <w:position w:val="0"/>
                    </w:rPr>
                  </w:pPr>
                  <w:r w:rsidRPr="00CB7743">
                    <w:rPr>
                      <w:rStyle w:val="NoteLabel"/>
                      <w:b w:val="0"/>
                      <w:position w:val="0"/>
                    </w:rPr>
                    <w:t>All finalised cases involving an application for a domestic or family violence related protection order</w:t>
                  </w:r>
                  <w:r>
                    <w:rPr>
                      <w:rStyle w:val="NoteLabel"/>
                      <w:b w:val="0"/>
                      <w:position w:val="0"/>
                    </w:rPr>
                    <w:t xml:space="preserve"> (‘000)</w:t>
                  </w:r>
                </w:p>
              </w:tc>
              <w:tc>
                <w:tcPr>
                  <w:tcW w:w="709" w:type="dxa"/>
                  <w:vAlign w:val="center"/>
                </w:tcPr>
                <w:p w14:paraId="37C7CDAB" w14:textId="0C6AD14B" w:rsidR="00F95E57" w:rsidRPr="00F95E57" w:rsidRDefault="00F95E57" w:rsidP="00F95E57">
                  <w:pPr>
                    <w:pStyle w:val="TableBodyText"/>
                  </w:pPr>
                  <w:r w:rsidRPr="00F95E57">
                    <w:t xml:space="preserve">38.8 </w:t>
                  </w:r>
                </w:p>
              </w:tc>
              <w:tc>
                <w:tcPr>
                  <w:tcW w:w="709" w:type="dxa"/>
                  <w:vAlign w:val="center"/>
                </w:tcPr>
                <w:p w14:paraId="0729D897" w14:textId="78EBEC1B" w:rsidR="00F95E57" w:rsidRPr="00F95E57" w:rsidRDefault="00F95E57" w:rsidP="00F95E57">
                  <w:pPr>
                    <w:pStyle w:val="TableBodyText"/>
                  </w:pPr>
                  <w:r w:rsidRPr="00F95E57">
                    <w:t xml:space="preserve">34.4 </w:t>
                  </w:r>
                </w:p>
              </w:tc>
              <w:tc>
                <w:tcPr>
                  <w:tcW w:w="709" w:type="dxa"/>
                  <w:vAlign w:val="center"/>
                </w:tcPr>
                <w:p w14:paraId="6B66C68F" w14:textId="0DCDBB0D" w:rsidR="00F95E57" w:rsidRPr="00F95E57" w:rsidRDefault="00F95E57" w:rsidP="00F95E57">
                  <w:pPr>
                    <w:pStyle w:val="TableBodyText"/>
                  </w:pPr>
                  <w:r w:rsidRPr="00F95E57">
                    <w:t xml:space="preserve">32.3 </w:t>
                  </w:r>
                </w:p>
              </w:tc>
              <w:tc>
                <w:tcPr>
                  <w:tcW w:w="708" w:type="dxa"/>
                  <w:vAlign w:val="center"/>
                </w:tcPr>
                <w:p w14:paraId="60DC5482" w14:textId="288DA349" w:rsidR="00F95E57" w:rsidRPr="00F95E57" w:rsidRDefault="00F95E57" w:rsidP="00F95E57">
                  <w:pPr>
                    <w:pStyle w:val="TableBodyText"/>
                  </w:pPr>
                  <w:r w:rsidRPr="00F95E57">
                    <w:t xml:space="preserve">7.6 </w:t>
                  </w:r>
                </w:p>
              </w:tc>
              <w:tc>
                <w:tcPr>
                  <w:tcW w:w="709" w:type="dxa"/>
                  <w:vAlign w:val="center"/>
                </w:tcPr>
                <w:p w14:paraId="7FA2E31A" w14:textId="5CBDFEE2" w:rsidR="00F95E57" w:rsidRPr="00F95E57" w:rsidRDefault="00F95E57" w:rsidP="00F95E57">
                  <w:pPr>
                    <w:pStyle w:val="TableBodyText"/>
                  </w:pPr>
                  <w:r w:rsidRPr="00F95E57">
                    <w:t xml:space="preserve">4.5 </w:t>
                  </w:r>
                </w:p>
              </w:tc>
              <w:tc>
                <w:tcPr>
                  <w:tcW w:w="709" w:type="dxa"/>
                  <w:vAlign w:val="center"/>
                </w:tcPr>
                <w:p w14:paraId="26EF6185" w14:textId="7FE81C5C" w:rsidR="00F95E57" w:rsidRPr="00F95E57" w:rsidRDefault="00F95E57" w:rsidP="00F95E57">
                  <w:pPr>
                    <w:pStyle w:val="TableBodyText"/>
                  </w:pPr>
                  <w:r w:rsidRPr="00F95E57">
                    <w:t xml:space="preserve">0.7 </w:t>
                  </w:r>
                </w:p>
              </w:tc>
              <w:tc>
                <w:tcPr>
                  <w:tcW w:w="709" w:type="dxa"/>
                  <w:vAlign w:val="center"/>
                </w:tcPr>
                <w:p w14:paraId="487CF592" w14:textId="0694E3B8" w:rsidR="00F95E57" w:rsidRPr="00F95E57" w:rsidRDefault="00F95E57" w:rsidP="00F95E57">
                  <w:pPr>
                    <w:pStyle w:val="TableBodyText"/>
                  </w:pPr>
                  <w:r w:rsidRPr="00F95E57">
                    <w:t xml:space="preserve">0.6 </w:t>
                  </w:r>
                </w:p>
              </w:tc>
              <w:tc>
                <w:tcPr>
                  <w:tcW w:w="708" w:type="dxa"/>
                  <w:vAlign w:val="center"/>
                </w:tcPr>
                <w:p w14:paraId="7CE5BC19" w14:textId="18F0CBB5" w:rsidR="00F95E57" w:rsidRPr="00F95E57" w:rsidRDefault="00F95E57" w:rsidP="00F95E57">
                  <w:pPr>
                    <w:pStyle w:val="TableBodyText"/>
                  </w:pPr>
                  <w:r w:rsidRPr="00F95E57">
                    <w:t xml:space="preserve">4.1 </w:t>
                  </w:r>
                </w:p>
              </w:tc>
              <w:tc>
                <w:tcPr>
                  <w:tcW w:w="709" w:type="dxa"/>
                  <w:vAlign w:val="center"/>
                </w:tcPr>
                <w:p w14:paraId="146E1806" w14:textId="68C3ABA1" w:rsidR="00F95E57" w:rsidRPr="00F95E57" w:rsidRDefault="00F95E57" w:rsidP="00787670">
                  <w:pPr>
                    <w:pStyle w:val="TableBodyText"/>
                    <w:ind w:right="0"/>
                  </w:pPr>
                  <w:r w:rsidRPr="00F95E57">
                    <w:t xml:space="preserve">122.9 </w:t>
                  </w:r>
                </w:p>
              </w:tc>
            </w:tr>
            <w:tr w:rsidR="00F95E57" w:rsidRPr="00CB7743" w14:paraId="47D7BB23" w14:textId="77777777" w:rsidTr="00481CF3">
              <w:trPr>
                <w:trHeight w:val="337"/>
              </w:trPr>
              <w:tc>
                <w:tcPr>
                  <w:tcW w:w="2104" w:type="dxa"/>
                  <w:vAlign w:val="center"/>
                </w:tcPr>
                <w:p w14:paraId="31CC7F7A" w14:textId="1622B23F" w:rsidR="00F95E57" w:rsidRPr="00CB7743" w:rsidRDefault="00F95E57" w:rsidP="00F95E57">
                  <w:pPr>
                    <w:pStyle w:val="TableBodyText"/>
                    <w:spacing w:before="120"/>
                    <w:jc w:val="left"/>
                    <w:rPr>
                      <w:rStyle w:val="NoteLabel"/>
                      <w:b w:val="0"/>
                      <w:position w:val="0"/>
                    </w:rPr>
                  </w:pPr>
                  <w:r w:rsidRPr="00CB7743">
                    <w:rPr>
                      <w:rStyle w:val="NoteLabel"/>
                      <w:b w:val="0"/>
                      <w:position w:val="0"/>
                    </w:rPr>
                    <w:t>Percentage of all finalised cases involving an application for a domestic or family violence-related protection order</w:t>
                  </w:r>
                  <w:r>
                    <w:rPr>
                      <w:rStyle w:val="NoteLabel"/>
                      <w:b w:val="0"/>
                      <w:position w:val="0"/>
                    </w:rPr>
                    <w:t xml:space="preserve"> (%)</w:t>
                  </w:r>
                </w:p>
              </w:tc>
              <w:tc>
                <w:tcPr>
                  <w:tcW w:w="709" w:type="dxa"/>
                  <w:vAlign w:val="center"/>
                </w:tcPr>
                <w:p w14:paraId="0D432864" w14:textId="359C2744" w:rsidR="00F95E57" w:rsidRPr="00F95E57" w:rsidRDefault="00F95E57" w:rsidP="00F95E57">
                  <w:pPr>
                    <w:pStyle w:val="TableBodyText"/>
                  </w:pPr>
                  <w:r w:rsidRPr="00F95E57">
                    <w:t xml:space="preserve">30.7 </w:t>
                  </w:r>
                </w:p>
              </w:tc>
              <w:tc>
                <w:tcPr>
                  <w:tcW w:w="709" w:type="dxa"/>
                  <w:vAlign w:val="center"/>
                </w:tcPr>
                <w:p w14:paraId="6471393A" w14:textId="429B2522" w:rsidR="00F95E57" w:rsidRPr="00F95E57" w:rsidRDefault="00F95E57" w:rsidP="00F95E57">
                  <w:pPr>
                    <w:pStyle w:val="TableBodyText"/>
                  </w:pPr>
                  <w:r w:rsidRPr="00F95E57">
                    <w:t xml:space="preserve">38.4 </w:t>
                  </w:r>
                </w:p>
              </w:tc>
              <w:tc>
                <w:tcPr>
                  <w:tcW w:w="709" w:type="dxa"/>
                  <w:vAlign w:val="center"/>
                </w:tcPr>
                <w:p w14:paraId="66AD490C" w14:textId="54EC637D" w:rsidR="00F95E57" w:rsidRPr="00F95E57" w:rsidRDefault="00F95E57" w:rsidP="00F95E57">
                  <w:pPr>
                    <w:pStyle w:val="TableBodyText"/>
                  </w:pPr>
                  <w:r w:rsidRPr="00F95E57">
                    <w:t xml:space="preserve">55.2 </w:t>
                  </w:r>
                </w:p>
              </w:tc>
              <w:tc>
                <w:tcPr>
                  <w:tcW w:w="708" w:type="dxa"/>
                  <w:vAlign w:val="center"/>
                </w:tcPr>
                <w:p w14:paraId="20D84F8A" w14:textId="0BB19FF5" w:rsidR="00F95E57" w:rsidRPr="00F95E57" w:rsidRDefault="00F95E57" w:rsidP="00F95E57">
                  <w:pPr>
                    <w:pStyle w:val="TableBodyText"/>
                  </w:pPr>
                  <w:r w:rsidRPr="00F95E57">
                    <w:t xml:space="preserve">14.9 </w:t>
                  </w:r>
                </w:p>
              </w:tc>
              <w:tc>
                <w:tcPr>
                  <w:tcW w:w="709" w:type="dxa"/>
                  <w:vAlign w:val="center"/>
                </w:tcPr>
                <w:p w14:paraId="2570367A" w14:textId="385242E9" w:rsidR="00F95E57" w:rsidRPr="00F95E57" w:rsidRDefault="00F95E57" w:rsidP="00F95E57">
                  <w:pPr>
                    <w:pStyle w:val="TableBodyText"/>
                  </w:pPr>
                  <w:r w:rsidRPr="00F95E57">
                    <w:t xml:space="preserve">17.9 </w:t>
                  </w:r>
                </w:p>
              </w:tc>
              <w:tc>
                <w:tcPr>
                  <w:tcW w:w="709" w:type="dxa"/>
                  <w:vAlign w:val="center"/>
                </w:tcPr>
                <w:p w14:paraId="5CE6BBE3" w14:textId="46DDB45E" w:rsidR="00F95E57" w:rsidRPr="00F95E57" w:rsidRDefault="00F95E57" w:rsidP="00F95E57">
                  <w:pPr>
                    <w:pStyle w:val="TableBodyText"/>
                  </w:pPr>
                  <w:r w:rsidRPr="00F95E57">
                    <w:t xml:space="preserve">10.8 </w:t>
                  </w:r>
                </w:p>
              </w:tc>
              <w:tc>
                <w:tcPr>
                  <w:tcW w:w="709" w:type="dxa"/>
                  <w:vAlign w:val="center"/>
                </w:tcPr>
                <w:p w14:paraId="1AC2DDF1" w14:textId="425D5E2E" w:rsidR="00F95E57" w:rsidRPr="00F95E57" w:rsidRDefault="00F95E57" w:rsidP="00F95E57">
                  <w:pPr>
                    <w:pStyle w:val="TableBodyText"/>
                  </w:pPr>
                  <w:r w:rsidRPr="00F95E57">
                    <w:t xml:space="preserve">17.3 </w:t>
                  </w:r>
                </w:p>
              </w:tc>
              <w:tc>
                <w:tcPr>
                  <w:tcW w:w="708" w:type="dxa"/>
                  <w:vAlign w:val="center"/>
                </w:tcPr>
                <w:p w14:paraId="40C91E4C" w14:textId="12F2D0FF" w:rsidR="00F95E57" w:rsidRPr="00F95E57" w:rsidRDefault="00F95E57" w:rsidP="00F95E57">
                  <w:pPr>
                    <w:pStyle w:val="TableBodyText"/>
                  </w:pPr>
                  <w:r w:rsidRPr="00F95E57">
                    <w:t xml:space="preserve">65.3 </w:t>
                  </w:r>
                </w:p>
              </w:tc>
              <w:tc>
                <w:tcPr>
                  <w:tcW w:w="709" w:type="dxa"/>
                  <w:vAlign w:val="center"/>
                </w:tcPr>
                <w:p w14:paraId="7E9C28D7" w14:textId="084888A7" w:rsidR="00F95E57" w:rsidRPr="00F95E57" w:rsidRDefault="00F95E57" w:rsidP="00787670">
                  <w:pPr>
                    <w:pStyle w:val="TableBodyText"/>
                    <w:ind w:right="0"/>
                  </w:pPr>
                  <w:r w:rsidRPr="00F95E57">
                    <w:t xml:space="preserve">33.6 </w:t>
                  </w:r>
                </w:p>
              </w:tc>
            </w:tr>
          </w:tbl>
          <w:p w14:paraId="3A33114C" w14:textId="77777777" w:rsidR="00A15194" w:rsidRPr="00CB7743" w:rsidRDefault="00A15194" w:rsidP="00481CF3">
            <w:pPr>
              <w:pStyle w:val="Box"/>
              <w:shd w:val="clear" w:color="auto" w:fill="FFFF00"/>
              <w:rPr>
                <w:szCs w:val="24"/>
              </w:rPr>
            </w:pPr>
          </w:p>
        </w:tc>
      </w:tr>
      <w:tr w:rsidR="00A15194" w:rsidRPr="00CB7743" w14:paraId="65DE0BBB" w14:textId="77777777" w:rsidTr="00194BBD">
        <w:trPr>
          <w:cantSplit/>
        </w:trPr>
        <w:tc>
          <w:tcPr>
            <w:tcW w:w="8789" w:type="dxa"/>
            <w:tcBorders>
              <w:top w:val="nil"/>
              <w:left w:val="nil"/>
              <w:bottom w:val="single" w:sz="6" w:space="0" w:color="BFBFBF"/>
              <w:right w:val="nil"/>
            </w:tcBorders>
            <w:shd w:val="clear" w:color="auto" w:fill="auto"/>
          </w:tcPr>
          <w:p w14:paraId="1D2D1728" w14:textId="77777777" w:rsidR="00A15194" w:rsidRPr="00CB7743" w:rsidRDefault="00A15194" w:rsidP="00481CF3">
            <w:pPr>
              <w:pStyle w:val="Note"/>
              <w:rPr>
                <w:szCs w:val="26"/>
                <w:lang w:eastAsia="en-US"/>
              </w:rPr>
            </w:pPr>
            <w:r w:rsidRPr="00CB7743">
              <w:rPr>
                <w:rStyle w:val="NoteLabel"/>
              </w:rPr>
              <w:t>a</w:t>
            </w:r>
            <w:r w:rsidRPr="00CB7743">
              <w:t xml:space="preserve"> Includes originating applications only. </w:t>
            </w:r>
            <w:r w:rsidRPr="00CB7743">
              <w:rPr>
                <w:rStyle w:val="NoteLabel"/>
              </w:rPr>
              <w:t>b </w:t>
            </w:r>
            <w:r w:rsidRPr="00CB7743">
              <w:t>In Tasmania, police can issue Police Family Violence Orders (PFVOs) which are more numerous than court-issued orders. PFVOs are excluded from this table.</w:t>
            </w:r>
          </w:p>
        </w:tc>
      </w:tr>
      <w:tr w:rsidR="00A15194" w:rsidRPr="00CB7743" w14:paraId="2C98354E" w14:textId="77777777" w:rsidTr="00194BBD">
        <w:trPr>
          <w:cantSplit/>
        </w:trPr>
        <w:tc>
          <w:tcPr>
            <w:tcW w:w="8789" w:type="dxa"/>
            <w:tcBorders>
              <w:top w:val="single" w:sz="6" w:space="0" w:color="BFBFBF"/>
              <w:left w:val="nil"/>
              <w:bottom w:val="nil"/>
              <w:right w:val="nil"/>
            </w:tcBorders>
            <w:shd w:val="clear" w:color="auto" w:fill="auto"/>
          </w:tcPr>
          <w:p w14:paraId="1274F99A" w14:textId="77777777" w:rsidR="00A15194" w:rsidRPr="00CB7743" w:rsidRDefault="00A15194" w:rsidP="00481CF3">
            <w:pPr>
              <w:pStyle w:val="Note"/>
              <w:rPr>
                <w:lang w:eastAsia="en-US"/>
              </w:rPr>
            </w:pPr>
            <w:r w:rsidRPr="00CB7743">
              <w:rPr>
                <w:i/>
              </w:rPr>
              <w:t>Source</w:t>
            </w:r>
            <w:r w:rsidRPr="009651E7">
              <w:t xml:space="preserve">: </w:t>
            </w:r>
            <w:r w:rsidRPr="00CB7743">
              <w:t>State and Territory court authorities and departments (unpublished).</w:t>
            </w:r>
          </w:p>
        </w:tc>
      </w:tr>
      <w:tr w:rsidR="002C64D9" w:rsidRPr="00CB7743" w14:paraId="3FBADA92" w14:textId="77777777" w:rsidTr="00367E39">
        <w:trPr>
          <w:cantSplit/>
        </w:trPr>
        <w:tc>
          <w:tcPr>
            <w:tcW w:w="8789" w:type="dxa"/>
            <w:tcBorders>
              <w:top w:val="nil"/>
              <w:left w:val="nil"/>
              <w:bottom w:val="nil"/>
              <w:right w:val="nil"/>
            </w:tcBorders>
            <w:shd w:val="clear" w:color="auto" w:fill="auto"/>
          </w:tcPr>
          <w:p w14:paraId="39DBC900" w14:textId="77777777" w:rsidR="002C64D9" w:rsidRPr="00CB7743" w:rsidRDefault="002C64D9" w:rsidP="0051713B">
            <w:pPr>
              <w:pStyle w:val="Box"/>
              <w:keepNext w:val="0"/>
              <w:spacing w:before="0" w:line="120" w:lineRule="exact"/>
              <w:rPr>
                <w:i/>
              </w:rPr>
            </w:pPr>
          </w:p>
        </w:tc>
      </w:tr>
      <w:tr w:rsidR="00A15194" w:rsidRPr="00CB7743" w14:paraId="026A6E10" w14:textId="77777777" w:rsidTr="00367E39">
        <w:tc>
          <w:tcPr>
            <w:tcW w:w="8789" w:type="dxa"/>
            <w:tcBorders>
              <w:top w:val="single" w:sz="6" w:space="0" w:color="78A22F" w:themeColor="accent1"/>
              <w:left w:val="nil"/>
              <w:bottom w:val="nil"/>
              <w:right w:val="nil"/>
            </w:tcBorders>
          </w:tcPr>
          <w:p w14:paraId="6641B931" w14:textId="77777777" w:rsidR="00A15194" w:rsidRPr="00CB7743" w:rsidRDefault="00A15194" w:rsidP="00481CF3">
            <w:pPr>
              <w:pStyle w:val="BoxSpaceBelow"/>
              <w:rPr>
                <w:szCs w:val="26"/>
                <w:lang w:eastAsia="en-US"/>
              </w:rPr>
            </w:pPr>
          </w:p>
        </w:tc>
      </w:tr>
    </w:tbl>
    <w:p w14:paraId="45A97F7F" w14:textId="77777777" w:rsidR="009C5AAE" w:rsidRPr="00742C30" w:rsidRDefault="00286D74" w:rsidP="009C5AAE">
      <w:pPr>
        <w:pStyle w:val="Heading2"/>
      </w:pPr>
      <w:bookmarkStart w:id="11" w:name="_Toc458687990"/>
      <w:r>
        <w:lastRenderedPageBreak/>
        <w:t>7.</w:t>
      </w:r>
      <w:r w:rsidR="00E75B12">
        <w:rPr>
          <w:noProof/>
        </w:rPr>
        <w:t>2</w:t>
      </w:r>
      <w:r w:rsidR="009C5AAE" w:rsidRPr="009C5AAE">
        <w:tab/>
        <w:t>Framework of performance indicators</w:t>
      </w:r>
      <w:bookmarkEnd w:id="10"/>
      <w:bookmarkEnd w:id="11"/>
    </w:p>
    <w:p w14:paraId="128D02CE" w14:textId="67ADD92B" w:rsidR="00F177FC" w:rsidRDefault="009139B0" w:rsidP="009C5AAE">
      <w:pPr>
        <w:pStyle w:val="BodyText"/>
      </w:pPr>
      <w:r w:rsidRPr="00EB73C8">
        <w:t xml:space="preserve">The framework of performance indicators for courts is based on common objectives for courts </w:t>
      </w:r>
      <w:r w:rsidR="009C5AAE">
        <w:t>(</w:t>
      </w:r>
      <w:r w:rsidR="00A76A9C">
        <w:t>box 7</w:t>
      </w:r>
      <w:r w:rsidR="009C5AAE">
        <w:t>.</w:t>
      </w:r>
      <w:r w:rsidR="002148FE">
        <w:t>1</w:t>
      </w:r>
      <w:r w:rsidR="009C5AAE">
        <w:t>). The emphasis placed on each objective may vary across states and territories and court level</w:t>
      </w:r>
      <w:r w:rsidR="00EA1E57">
        <w:t>s</w:t>
      </w:r>
      <w:r w:rsidR="009C5AAE">
        <w:t>.</w:t>
      </w:r>
    </w:p>
    <w:p w14:paraId="46B1603E" w14:textId="77777777" w:rsidR="00CA6F21" w:rsidRDefault="00CA6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6F21" w14:paraId="513A8E9A" w14:textId="77777777" w:rsidTr="00367E39">
        <w:tc>
          <w:tcPr>
            <w:tcW w:w="8789" w:type="dxa"/>
            <w:tcBorders>
              <w:top w:val="single" w:sz="6" w:space="0" w:color="78A22F"/>
              <w:left w:val="nil"/>
              <w:bottom w:val="nil"/>
              <w:right w:val="nil"/>
            </w:tcBorders>
            <w:shd w:val="clear" w:color="auto" w:fill="F2F2F2" w:themeFill="background1" w:themeFillShade="F2"/>
          </w:tcPr>
          <w:p w14:paraId="1DC60856" w14:textId="69018F6C" w:rsidR="00CA6F21" w:rsidRDefault="00CA6F21" w:rsidP="002148FE">
            <w:pPr>
              <w:pStyle w:val="BoxTitle"/>
            </w:pPr>
            <w:r>
              <w:rPr>
                <w:b w:val="0"/>
              </w:rPr>
              <w:t>Box 7.</w:t>
            </w:r>
            <w:r w:rsidR="002148FE">
              <w:rPr>
                <w:b w:val="0"/>
              </w:rPr>
              <w:t>1</w:t>
            </w:r>
            <w:r>
              <w:tab/>
            </w:r>
            <w:r w:rsidRPr="00874687">
              <w:t>Objectives for court</w:t>
            </w:r>
            <w:r>
              <w:t>s</w:t>
            </w:r>
          </w:p>
        </w:tc>
      </w:tr>
      <w:tr w:rsidR="00CA6F21" w14:paraId="0448E8D5" w14:textId="77777777" w:rsidTr="00367E39">
        <w:trPr>
          <w:cantSplit/>
        </w:trPr>
        <w:tc>
          <w:tcPr>
            <w:tcW w:w="8789" w:type="dxa"/>
            <w:tcBorders>
              <w:top w:val="nil"/>
              <w:left w:val="nil"/>
              <w:bottom w:val="nil"/>
              <w:right w:val="nil"/>
            </w:tcBorders>
            <w:shd w:val="clear" w:color="auto" w:fill="F2F2F2" w:themeFill="background1" w:themeFillShade="F2"/>
          </w:tcPr>
          <w:p w14:paraId="0327B367" w14:textId="77777777" w:rsidR="001F6ADD" w:rsidRPr="00676139" w:rsidRDefault="004C10A1" w:rsidP="001F6ADD">
            <w:pPr>
              <w:pStyle w:val="Box"/>
              <w:rPr>
                <w:rFonts w:asciiTheme="minorHAnsi" w:hAnsiTheme="minorHAnsi" w:cstheme="minorHAnsi"/>
              </w:rPr>
            </w:pPr>
            <w:r w:rsidRPr="00676139">
              <w:rPr>
                <w:rFonts w:asciiTheme="minorHAnsi" w:hAnsiTheme="minorHAnsi" w:cstheme="minorHAnsi"/>
              </w:rPr>
              <w:t xml:space="preserve">Courts aim to safeguard and maintain the rule of law and ensure equal justice for all. Court services </w:t>
            </w:r>
            <w:r w:rsidR="001F6ADD" w:rsidRPr="00676139">
              <w:rPr>
                <w:rFonts w:asciiTheme="minorHAnsi" w:hAnsiTheme="minorHAnsi" w:cstheme="minorHAnsi"/>
              </w:rPr>
              <w:t>support the courts and aim to encourage public confidence and trust in the courts by enabling them to:</w:t>
            </w:r>
          </w:p>
          <w:p w14:paraId="251A1ECE" w14:textId="77777777" w:rsidR="001F6ADD" w:rsidRPr="00676139" w:rsidRDefault="001F6ADD" w:rsidP="001F6ADD">
            <w:pPr>
              <w:pStyle w:val="BoxListBullet"/>
              <w:rPr>
                <w:rFonts w:asciiTheme="minorHAnsi" w:hAnsiTheme="minorHAnsi" w:cstheme="minorHAnsi"/>
              </w:rPr>
            </w:pPr>
            <w:r w:rsidRPr="00676139">
              <w:rPr>
                <w:rFonts w:asciiTheme="minorHAnsi" w:hAnsiTheme="minorHAnsi" w:cstheme="minorHAnsi"/>
              </w:rPr>
              <w:t>be open and accessible</w:t>
            </w:r>
          </w:p>
          <w:p w14:paraId="761C9B01" w14:textId="77777777" w:rsidR="001F6ADD" w:rsidRPr="00676139" w:rsidRDefault="001F6ADD" w:rsidP="001F6ADD">
            <w:pPr>
              <w:pStyle w:val="BoxListBullet"/>
              <w:rPr>
                <w:rFonts w:asciiTheme="minorHAnsi" w:hAnsiTheme="minorHAnsi" w:cstheme="minorHAnsi"/>
              </w:rPr>
            </w:pPr>
            <w:r w:rsidRPr="00676139">
              <w:rPr>
                <w:rFonts w:asciiTheme="minorHAnsi" w:hAnsiTheme="minorHAnsi" w:cstheme="minorHAnsi"/>
              </w:rPr>
              <w:t>be affordable</w:t>
            </w:r>
          </w:p>
          <w:p w14:paraId="427361DC" w14:textId="77777777" w:rsidR="001F6ADD" w:rsidRPr="00676139" w:rsidRDefault="001F6ADD" w:rsidP="001F6ADD">
            <w:pPr>
              <w:pStyle w:val="BoxListBullet"/>
              <w:rPr>
                <w:rFonts w:asciiTheme="minorHAnsi" w:hAnsiTheme="minorHAnsi" w:cstheme="minorHAnsi"/>
              </w:rPr>
            </w:pPr>
            <w:r w:rsidRPr="00676139">
              <w:rPr>
                <w:rFonts w:asciiTheme="minorHAnsi" w:hAnsiTheme="minorHAnsi" w:cstheme="minorHAnsi"/>
              </w:rPr>
              <w:t>process matters in a high quality, expeditious and timely manner.</w:t>
            </w:r>
          </w:p>
          <w:p w14:paraId="5351CD97" w14:textId="07CDF474" w:rsidR="00CA6F21" w:rsidRDefault="004C10A1" w:rsidP="001F6ADD">
            <w:pPr>
              <w:keepNext/>
              <w:spacing w:before="120" w:line="260" w:lineRule="atLeast"/>
              <w:jc w:val="both"/>
            </w:pPr>
            <w:r w:rsidRPr="00676139">
              <w:rPr>
                <w:rFonts w:asciiTheme="minorHAnsi" w:hAnsiTheme="minorHAnsi" w:cstheme="minorHAnsi"/>
                <w:sz w:val="20"/>
                <w:szCs w:val="20"/>
              </w:rPr>
              <w:t>Governments aim for court services to meet these objectives in an equitable and efficient manner.</w:t>
            </w:r>
          </w:p>
        </w:tc>
      </w:tr>
      <w:tr w:rsidR="002C64D9" w14:paraId="239D0BE5" w14:textId="77777777" w:rsidTr="00367E39">
        <w:trPr>
          <w:cantSplit/>
        </w:trPr>
        <w:tc>
          <w:tcPr>
            <w:tcW w:w="8789" w:type="dxa"/>
            <w:tcBorders>
              <w:top w:val="nil"/>
              <w:left w:val="nil"/>
              <w:bottom w:val="nil"/>
              <w:right w:val="nil"/>
            </w:tcBorders>
            <w:shd w:val="clear" w:color="auto" w:fill="F2F2F2" w:themeFill="background1" w:themeFillShade="F2"/>
          </w:tcPr>
          <w:p w14:paraId="1B082C6D" w14:textId="77777777" w:rsidR="002C64D9" w:rsidRPr="00676139" w:rsidRDefault="002C64D9" w:rsidP="009B52E9">
            <w:pPr>
              <w:pStyle w:val="Box"/>
              <w:spacing w:before="0" w:line="120" w:lineRule="exact"/>
              <w:rPr>
                <w:rFonts w:asciiTheme="minorHAnsi" w:hAnsiTheme="minorHAnsi" w:cstheme="minorHAnsi"/>
              </w:rPr>
            </w:pPr>
          </w:p>
        </w:tc>
      </w:tr>
      <w:tr w:rsidR="00CA6F21" w:rsidRPr="000863A5" w14:paraId="64F2537C" w14:textId="77777777" w:rsidTr="00367E39">
        <w:tc>
          <w:tcPr>
            <w:tcW w:w="8789" w:type="dxa"/>
            <w:tcBorders>
              <w:top w:val="single" w:sz="6" w:space="0" w:color="78A22F"/>
              <w:left w:val="nil"/>
              <w:bottom w:val="nil"/>
              <w:right w:val="nil"/>
            </w:tcBorders>
          </w:tcPr>
          <w:p w14:paraId="7C18F816" w14:textId="77777777" w:rsidR="00CA6F21" w:rsidRPr="00626D32" w:rsidRDefault="00CA6F21" w:rsidP="00E948C5">
            <w:pPr>
              <w:pStyle w:val="BoxSpaceBelow"/>
            </w:pPr>
          </w:p>
        </w:tc>
      </w:tr>
    </w:tbl>
    <w:p w14:paraId="3F79A0AD" w14:textId="70B5BA24" w:rsidR="00555C8E" w:rsidRDefault="006F412F" w:rsidP="008D0127">
      <w:pPr>
        <w:pStyle w:val="BodyText"/>
      </w:pPr>
      <w:r>
        <w:t>The performance indicator framework</w:t>
      </w:r>
      <w:r w:rsidRPr="002D30AD">
        <w:t xml:space="preserve"> provides information on equity, efficiency and effectiveness, and distinguishes the outputs and outcomes of </w:t>
      </w:r>
      <w:r>
        <w:t>courts</w:t>
      </w:r>
      <w:r w:rsidRPr="002D30AD">
        <w:t xml:space="preserve"> (figure </w:t>
      </w:r>
      <w:r w:rsidRPr="00522975">
        <w:t>7.</w:t>
      </w:r>
      <w:r w:rsidR="005433A6">
        <w:t>4</w:t>
      </w:r>
      <w:r w:rsidRPr="002D30AD">
        <w:t>). The performance indicator framework shows which data are</w:t>
      </w:r>
      <w:r w:rsidR="0041662B">
        <w:t xml:space="preserve"> </w:t>
      </w:r>
      <w:r w:rsidR="0041662B" w:rsidRPr="009655C0">
        <w:t>complete and</w:t>
      </w:r>
      <w:r w:rsidRPr="002D30AD">
        <w:t xml:space="preserve"> comparable in the </w:t>
      </w:r>
      <w:r w:rsidRPr="001F1D38">
        <w:t>201</w:t>
      </w:r>
      <w:r w:rsidR="00DB41F7" w:rsidRPr="001F1D38">
        <w:t>8</w:t>
      </w:r>
      <w:r w:rsidRPr="005D70F8">
        <w:t xml:space="preserve"> </w:t>
      </w:r>
      <w:r w:rsidRPr="002D30AD">
        <w:t>Report. For data that are not cons</w:t>
      </w:r>
      <w:r>
        <w:t xml:space="preserve">idered directly comparable, </w:t>
      </w:r>
      <w:r w:rsidRPr="002D30AD">
        <w:t>text includes relevant caveats and supporting commentary. Chapter 1 discusses data comparability</w:t>
      </w:r>
      <w:r w:rsidR="005C3860">
        <w:t>,</w:t>
      </w:r>
      <w:r w:rsidR="00946595" w:rsidRPr="007E23B2">
        <w:t xml:space="preserve"> data completeness</w:t>
      </w:r>
      <w:r w:rsidR="005C3860">
        <w:t xml:space="preserve"> and information on data quality</w:t>
      </w:r>
      <w:r w:rsidRPr="002D30AD">
        <w:t xml:space="preserve"> from a Report</w:t>
      </w:r>
      <w:r>
        <w:t>-wide perspective</w:t>
      </w:r>
      <w:r w:rsidRPr="002D30AD">
        <w:t>.</w:t>
      </w:r>
      <w:r w:rsidR="0073791B">
        <w:t xml:space="preserve"> </w:t>
      </w:r>
      <w:r w:rsidR="00AE2480" w:rsidRPr="009655C0">
        <w:t>In addition to section 7.1,</w:t>
      </w:r>
      <w:r w:rsidR="00AE2480">
        <w:t xml:space="preserve"> the Report’s Statistical context chapter (chapter 2) contains data that may assist in interpreting the performance indicators presented in this chapter. </w:t>
      </w:r>
      <w:r w:rsidR="004A673B" w:rsidRPr="004A673B">
        <w:t>Chapters 1 and 2 are available from the website at www.pc.gov.au/rogs/2018</w:t>
      </w:r>
      <w:r w:rsidR="00B85883">
        <w:t>.</w:t>
      </w:r>
    </w:p>
    <w:p w14:paraId="3815E484" w14:textId="3F4B6A14" w:rsidR="00BE2F7A" w:rsidRDefault="00BE2F7A" w:rsidP="008D0127">
      <w:pPr>
        <w:pStyle w:val="BodyText"/>
      </w:pPr>
      <w:r w:rsidRPr="001C3230">
        <w:t>Improvements to performance reporting for Courts are ongoing and will include</w:t>
      </w:r>
      <w:r w:rsidR="00867ECC" w:rsidRPr="001C3230">
        <w:t xml:space="preserve"> identifying</w:t>
      </w:r>
      <w:r w:rsidR="00A2422C" w:rsidRPr="00A2422C">
        <w:t xml:space="preserve"> data sources to fill gaps in reporting for performance indicators and measures</w:t>
      </w:r>
      <w:r w:rsidR="00867ECC" w:rsidRPr="001C3230">
        <w:t>,</w:t>
      </w:r>
      <w:r w:rsidR="00B85883">
        <w:t xml:space="preserve"> and</w:t>
      </w:r>
      <w:r w:rsidR="00867ECC" w:rsidRPr="001C3230">
        <w:t xml:space="preserve"> improving the comparability and co</w:t>
      </w:r>
      <w:r w:rsidR="00B85883">
        <w:t>mpleteness of data</w:t>
      </w:r>
      <w:r w:rsidR="008914F7" w:rsidRPr="001C3230">
        <w:t>.</w:t>
      </w:r>
    </w:p>
    <w:p w14:paraId="7459F5B4" w14:textId="19D94C53" w:rsidR="00F8716A" w:rsidRDefault="00F8716A" w:rsidP="00F8716A">
      <w:pPr>
        <w:pStyle w:val="BodyText"/>
      </w:pPr>
      <w:r>
        <w:t>The Steering Committee recognises that this courts data collection (unlike some other data collections) does not have an intermediary data collector or validator akin to the Australian Institute of Health and Welfare or the ABS. The reporting process in this chapter is one of continual improvement and refinement, with the long-term aim of developing a national data collection that covers court activities across the Australian, State and Territory jurisdictions in a timely and comparable way.</w:t>
      </w:r>
    </w:p>
    <w:p w14:paraId="274A9C46" w14:textId="77777777" w:rsidR="00F8716A" w:rsidRDefault="00F8716A" w:rsidP="008D0127">
      <w:pPr>
        <w:pStyle w:val="BodyText"/>
      </w:pPr>
    </w:p>
    <w:p w14:paraId="3AEC635C" w14:textId="77777777" w:rsidR="005F1C60" w:rsidRDefault="005F1C60" w:rsidP="00E948C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F1C60" w14:paraId="0E3F2729" w14:textId="77777777" w:rsidTr="00367E39">
        <w:trPr>
          <w:trHeight w:val="462"/>
        </w:trPr>
        <w:tc>
          <w:tcPr>
            <w:tcW w:w="8789" w:type="dxa"/>
            <w:tcBorders>
              <w:top w:val="single" w:sz="6" w:space="0" w:color="78A22F"/>
              <w:left w:val="nil"/>
              <w:bottom w:val="nil"/>
              <w:right w:val="nil"/>
            </w:tcBorders>
            <w:shd w:val="clear" w:color="auto" w:fill="auto"/>
          </w:tcPr>
          <w:p w14:paraId="19AC9E3C" w14:textId="699DBADB" w:rsidR="005F1C60" w:rsidRPr="00176D3F" w:rsidRDefault="005F1C60">
            <w:pPr>
              <w:pStyle w:val="FigureTitle"/>
            </w:pPr>
            <w:r w:rsidRPr="00784A05">
              <w:rPr>
                <w:b w:val="0"/>
              </w:rPr>
              <w:t xml:space="preserve">Figure </w:t>
            </w:r>
            <w:r>
              <w:rPr>
                <w:b w:val="0"/>
              </w:rPr>
              <w:t>7.</w:t>
            </w:r>
            <w:r w:rsidR="005433A6">
              <w:rPr>
                <w:b w:val="0"/>
              </w:rPr>
              <w:t>4</w:t>
            </w:r>
            <w:r>
              <w:tab/>
              <w:t>Courts</w:t>
            </w:r>
            <w:r w:rsidRPr="00F67B8C">
              <w:t xml:space="preserve"> </w:t>
            </w:r>
            <w:r>
              <w:t>performance indicator framework</w:t>
            </w:r>
          </w:p>
        </w:tc>
      </w:tr>
      <w:tr w:rsidR="005F1C60" w14:paraId="271631A8" w14:textId="77777777" w:rsidTr="00367E39">
        <w:trPr>
          <w:trHeight w:val="1145"/>
        </w:trPr>
        <w:tc>
          <w:tcPr>
            <w:tcW w:w="8789" w:type="dxa"/>
            <w:tcBorders>
              <w:top w:val="nil"/>
              <w:left w:val="nil"/>
              <w:bottom w:val="nil"/>
              <w:right w:val="nil"/>
            </w:tcBorders>
            <w:shd w:val="clear" w:color="auto" w:fill="auto"/>
            <w:tcMar>
              <w:top w:w="28" w:type="dxa"/>
              <w:bottom w:w="28" w:type="dxa"/>
            </w:tcMar>
          </w:tcPr>
          <w:p w14:paraId="27CE0EB0" w14:textId="2722705B" w:rsidR="005F1C60" w:rsidRDefault="00C21E7B" w:rsidP="00DE78C3">
            <w:r w:rsidRPr="00C21E7B">
              <w:rPr>
                <w:noProof/>
              </w:rPr>
              <w:drawing>
                <wp:inline distT="0" distB="0" distL="0" distR="0" wp14:anchorId="049E186D" wp14:editId="4FACBE65">
                  <wp:extent cx="5394960" cy="3757930"/>
                  <wp:effectExtent l="0" t="0" r="0" b="0"/>
                  <wp:docPr id="3" name="Picture 3" descr="More details can be found within the text surrounding this image." title="Figure 7.4 Court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3757930"/>
                          </a:xfrm>
                          <a:prstGeom prst="rect">
                            <a:avLst/>
                          </a:prstGeom>
                          <a:noFill/>
                          <a:ln>
                            <a:noFill/>
                          </a:ln>
                        </pic:spPr>
                      </pic:pic>
                    </a:graphicData>
                  </a:graphic>
                </wp:inline>
              </w:drawing>
            </w:r>
          </w:p>
        </w:tc>
      </w:tr>
      <w:tr w:rsidR="005F1C60" w14:paraId="3D25D313" w14:textId="77777777" w:rsidTr="00367E39">
        <w:trPr>
          <w:trHeight w:val="115"/>
        </w:trPr>
        <w:tc>
          <w:tcPr>
            <w:tcW w:w="8789" w:type="dxa"/>
            <w:tcBorders>
              <w:top w:val="nil"/>
              <w:left w:val="nil"/>
              <w:bottom w:val="single" w:sz="6" w:space="0" w:color="78A22F"/>
              <w:right w:val="nil"/>
            </w:tcBorders>
            <w:shd w:val="clear" w:color="auto" w:fill="auto"/>
          </w:tcPr>
          <w:p w14:paraId="197BCAF5" w14:textId="77777777" w:rsidR="005F1C60" w:rsidRDefault="005F1C60" w:rsidP="00E948C5">
            <w:pPr>
              <w:pStyle w:val="Figurespace"/>
            </w:pPr>
          </w:p>
        </w:tc>
      </w:tr>
      <w:tr w:rsidR="005F1C60" w:rsidRPr="000863A5" w14:paraId="1F724ED4" w14:textId="77777777" w:rsidTr="00367E39">
        <w:trPr>
          <w:trHeight w:val="187"/>
        </w:trPr>
        <w:tc>
          <w:tcPr>
            <w:tcW w:w="8789" w:type="dxa"/>
            <w:tcBorders>
              <w:top w:val="single" w:sz="6" w:space="0" w:color="78A22F"/>
              <w:left w:val="nil"/>
              <w:bottom w:val="nil"/>
              <w:right w:val="nil"/>
            </w:tcBorders>
          </w:tcPr>
          <w:p w14:paraId="6F1F50F9" w14:textId="77777777" w:rsidR="005F1C60" w:rsidRPr="00626D32" w:rsidRDefault="005F1C60" w:rsidP="00E948C5">
            <w:pPr>
              <w:pStyle w:val="BoxSpaceBelow"/>
            </w:pPr>
          </w:p>
        </w:tc>
      </w:tr>
    </w:tbl>
    <w:p w14:paraId="438C0089" w14:textId="77777777" w:rsidR="0017225F" w:rsidRDefault="0017225F" w:rsidP="002245B9">
      <w:pPr>
        <w:pStyle w:val="Heading2"/>
      </w:pPr>
      <w:bookmarkStart w:id="12" w:name="_Toc340063212"/>
      <w:bookmarkStart w:id="13" w:name="_Toc458687991"/>
      <w:r>
        <w:t>7.</w:t>
      </w:r>
      <w:r w:rsidR="00E75B12">
        <w:rPr>
          <w:noProof/>
        </w:rPr>
        <w:t>3</w:t>
      </w:r>
      <w:r>
        <w:tab/>
        <w:t>Key performance indicator results</w:t>
      </w:r>
      <w:bookmarkEnd w:id="12"/>
      <w:bookmarkEnd w:id="13"/>
    </w:p>
    <w:p w14:paraId="6CFD4E0D" w14:textId="77777777" w:rsidR="00EE0823" w:rsidRDefault="0017225F" w:rsidP="0017225F">
      <w:pPr>
        <w:pStyle w:val="BodyText"/>
      </w:pPr>
      <w:r>
        <w:t>Dif</w:t>
      </w:r>
      <w:r w:rsidR="00920EEA">
        <w:t>ferent delivery</w:t>
      </w:r>
      <w:r w:rsidR="00014873">
        <w:t xml:space="preserve"> contexts,</w:t>
      </w:r>
      <w:r w:rsidR="00920EEA">
        <w:t xml:space="preserve"> locations, caseloads, case</w:t>
      </w:r>
      <w:r w:rsidR="00E802B7">
        <w:t xml:space="preserve"> </w:t>
      </w:r>
      <w:r>
        <w:t xml:space="preserve">mixes and government policies </w:t>
      </w:r>
      <w:r w:rsidR="00014873">
        <w:t>can</w:t>
      </w:r>
      <w:r>
        <w:t xml:space="preserve"> affect the equity, effectiveness and efficiency of court services. The allocation of cases to different courts also differs across states and territories and Australian courts. </w:t>
      </w:r>
    </w:p>
    <w:p w14:paraId="4CA83119" w14:textId="675C53F3" w:rsidR="0017225F" w:rsidRDefault="0017225F" w:rsidP="0017225F">
      <w:pPr>
        <w:pStyle w:val="BodyText"/>
      </w:pPr>
      <w:r>
        <w:t>The court</w:t>
      </w:r>
      <w:r w:rsidR="009B035F">
        <w:t>s</w:t>
      </w:r>
      <w:r>
        <w:t xml:space="preserve"> data collection is based on national counting rules, so data presented in this chapter may differ from data published by individual jurisdictions in thei</w:t>
      </w:r>
      <w:r w:rsidR="008029E5">
        <w:t>r annual reports. There also can</w:t>
      </w:r>
      <w:r>
        <w:t xml:space="preserve"> be differences from the data reported in the ABS Crimi</w:t>
      </w:r>
      <w:r w:rsidR="007D2884">
        <w:t>nal Courts publication</w:t>
      </w:r>
      <w:r w:rsidR="001621AF">
        <w:t xml:space="preserve"> (ABS </w:t>
      </w:r>
      <w:r w:rsidR="00DB41F7" w:rsidRPr="00E22551">
        <w:t>201</w:t>
      </w:r>
      <w:r w:rsidR="00DB41F7" w:rsidRPr="001F1D38">
        <w:t>7</w:t>
      </w:r>
      <w:r w:rsidR="00740554" w:rsidRPr="00BD479E">
        <w:t>)</w:t>
      </w:r>
      <w:r w:rsidR="00740554">
        <w:t xml:space="preserve"> — the ABS publication provides information about judicial decisions relating to finalised and adjudicated defendants.</w:t>
      </w:r>
      <w:r w:rsidR="007D2884">
        <w:t xml:space="preserve"> </w:t>
      </w:r>
    </w:p>
    <w:p w14:paraId="6B7066F8" w14:textId="77777777" w:rsidR="0017225F" w:rsidRDefault="0017225F" w:rsidP="0017225F">
      <w:pPr>
        <w:pStyle w:val="Heading3"/>
      </w:pPr>
      <w:r>
        <w:t>Outputs</w:t>
      </w:r>
    </w:p>
    <w:p w14:paraId="522B1E98" w14:textId="77777777" w:rsidR="005956AA" w:rsidRPr="005956AA" w:rsidRDefault="007376A5" w:rsidP="005956AA">
      <w:pPr>
        <w:pStyle w:val="BodyText"/>
      </w:pPr>
      <w:r>
        <w:t>Outputs are the</w:t>
      </w:r>
      <w:r w:rsidR="005956AA" w:rsidRPr="005956AA">
        <w:t xml:space="preserve"> services delivered while outcomes are the impact of these services on the status of an individual or group (</w:t>
      </w:r>
      <w:r w:rsidR="005956AA" w:rsidRPr="00C419D7">
        <w:t>see chapter</w:t>
      </w:r>
      <w:r w:rsidR="0028704E" w:rsidRPr="00E22551">
        <w:t xml:space="preserve"> 1</w:t>
      </w:r>
      <w:r w:rsidR="005956AA" w:rsidRPr="005956AA">
        <w:t>).</w:t>
      </w:r>
      <w:r w:rsidR="00FF183E">
        <w:t xml:space="preserve"> </w:t>
      </w:r>
      <w:r w:rsidR="00FF183E" w:rsidRPr="009655C0">
        <w:t>Output information is also critical for equitable, efficient and effective management of government services.</w:t>
      </w:r>
    </w:p>
    <w:p w14:paraId="5B4199A3" w14:textId="77777777" w:rsidR="00766407" w:rsidRDefault="00766407" w:rsidP="00E802B7">
      <w:pPr>
        <w:pStyle w:val="Heading3"/>
      </w:pPr>
      <w:r>
        <w:lastRenderedPageBreak/>
        <w:t>Equity</w:t>
      </w:r>
    </w:p>
    <w:p w14:paraId="6BBB2A6B" w14:textId="6AA4F51F" w:rsidR="00D673AC" w:rsidRDefault="00D673AC" w:rsidP="00D673AC">
      <w:pPr>
        <w:pStyle w:val="Heading4"/>
      </w:pPr>
      <w:r>
        <w:t>Access — Interpreter services</w:t>
      </w:r>
    </w:p>
    <w:p w14:paraId="0A86A807" w14:textId="2252FDCA" w:rsidR="00D673AC" w:rsidRPr="00330CAD" w:rsidRDefault="00D673AC" w:rsidP="00D673AC">
      <w:pPr>
        <w:pStyle w:val="BodyText"/>
      </w:pPr>
      <w:r>
        <w:t xml:space="preserve">‘Access to interpreter services’ is an indicator of government’s objective to provide court </w:t>
      </w:r>
      <w:r w:rsidR="00154BCA">
        <w:t>services in an equitable manner (box 7.2)</w:t>
      </w:r>
      <w:r w:rsidR="00A10E63">
        <w:t>. One component of equity of access to court services in Australia is an ability to receive access to interpreter services for those who need assistance with understanding and communicating in the court</w:t>
      </w:r>
      <w:r w:rsidR="005D70F8">
        <w:t xml:space="preserve"> system.</w:t>
      </w:r>
    </w:p>
    <w:p w14:paraId="40653F89" w14:textId="77777777" w:rsidR="0043593F" w:rsidRDefault="0043593F" w:rsidP="0043593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2037F198" w:rsidR="0043593F" w:rsidRDefault="0043593F" w:rsidP="002148FE">
            <w:pPr>
              <w:pStyle w:val="BoxTitle"/>
            </w:pPr>
            <w:r>
              <w:rPr>
                <w:b w:val="0"/>
              </w:rPr>
              <w:t xml:space="preserve">Box </w:t>
            </w:r>
            <w:bookmarkStart w:id="14" w:name="OLE_LINK10"/>
            <w:r w:rsidR="0080666C">
              <w:rPr>
                <w:b w:val="0"/>
              </w:rPr>
              <w:t>7.</w:t>
            </w:r>
            <w:bookmarkEnd w:id="14"/>
            <w:r w:rsidR="002148FE">
              <w:rPr>
                <w:b w:val="0"/>
              </w:rPr>
              <w:t>2</w:t>
            </w:r>
            <w:r w:rsidR="00D673AC">
              <w:tab/>
              <w:t>Access to interpreter services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326A00E3" w14:textId="64DEEF45" w:rsidR="00BF0217" w:rsidRDefault="00BF0217" w:rsidP="00BF0217">
            <w:pPr>
              <w:pStyle w:val="Box"/>
            </w:pPr>
            <w:r>
              <w:t xml:space="preserve">‘Access to interpreter services’ is defined as the proportion of people attending court who need an interpreter service </w:t>
            </w:r>
            <w:r w:rsidR="005D70F8">
              <w:t>who</w:t>
            </w:r>
            <w:r>
              <w:t xml:space="preserve"> receive access to interpreter services.</w:t>
            </w:r>
          </w:p>
          <w:p w14:paraId="27B0E247" w14:textId="48CC7622" w:rsidR="00BF0217" w:rsidRDefault="00496025" w:rsidP="00BF0217">
            <w:pPr>
              <w:pStyle w:val="Box"/>
            </w:pPr>
            <w:r>
              <w:t>H</w:t>
            </w:r>
            <w:r w:rsidR="00BF0217">
              <w:t xml:space="preserve">igh or increasing </w:t>
            </w:r>
            <w:r>
              <w:t>levels</w:t>
            </w:r>
            <w:r w:rsidR="00A2422C">
              <w:t xml:space="preserve"> </w:t>
            </w:r>
            <w:r w:rsidR="00BF0217">
              <w:t>of access relative to need is desirable.</w:t>
            </w:r>
          </w:p>
          <w:p w14:paraId="24BE3C95" w14:textId="47E58127" w:rsidR="0043593F" w:rsidRDefault="00BF0217" w:rsidP="00BF0217">
            <w:pPr>
              <w:pStyle w:val="Box"/>
            </w:pPr>
            <w:r>
              <w:t>Data are not yet available for reporting against this indicator.</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r>
        <w:t>Effectiveness</w:t>
      </w:r>
    </w:p>
    <w:p w14:paraId="3AE2298F" w14:textId="77777777" w:rsidR="009D3F9F" w:rsidRDefault="009D3F9F" w:rsidP="009D3F9F">
      <w:pPr>
        <w:pStyle w:val="Heading4"/>
      </w:pPr>
      <w:r>
        <w:t>Access — judicial officers</w:t>
      </w:r>
    </w:p>
    <w:p w14:paraId="1161357C" w14:textId="22F51245" w:rsidR="009D3F9F" w:rsidRDefault="009D3F9F" w:rsidP="009D3F9F">
      <w:pPr>
        <w:pStyle w:val="BodyText"/>
      </w:pPr>
      <w:r>
        <w:t xml:space="preserve">‘Judicial officers’ is an indicator of governments’ achievement against the objective of providing services that </w:t>
      </w:r>
      <w:r w:rsidR="00EF446D">
        <w:t>enable courts to be open,</w:t>
      </w:r>
      <w:r>
        <w:t xml:space="preserve"> accessible </w:t>
      </w:r>
      <w:r w:rsidR="00EF446D">
        <w:t>and affordable</w:t>
      </w:r>
      <w:r>
        <w:t>. This indicator relates access to the number of judicial officers available to deal with cases in rela</w:t>
      </w:r>
      <w:r w:rsidR="00A40AAD">
        <w:t>tion to population size (box 7.</w:t>
      </w:r>
      <w:r w:rsidR="001C209A">
        <w:t>3</w:t>
      </w:r>
      <w:r>
        <w:t>).</w:t>
      </w:r>
    </w:p>
    <w:p w14:paraId="6D0D3149" w14:textId="44BCAD61" w:rsidR="00403101" w:rsidRDefault="00403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524C87BC" w:rsidR="00403101" w:rsidRDefault="00403101" w:rsidP="00403101">
            <w:pPr>
              <w:pStyle w:val="BoxTitle"/>
            </w:pPr>
            <w:r>
              <w:rPr>
                <w:b w:val="0"/>
              </w:rPr>
              <w:t>Box 7.3</w:t>
            </w:r>
            <w:r>
              <w:tab/>
            </w:r>
            <w:r w:rsidRPr="00C6139C">
              <w:t>Judicial officers</w:t>
            </w:r>
          </w:p>
        </w:tc>
      </w:tr>
      <w:tr w:rsidR="00403101" w14:paraId="3005C4E8" w14:textId="77777777" w:rsidTr="00403101">
        <w:tc>
          <w:tcPr>
            <w:tcW w:w="5000" w:type="pct"/>
            <w:tcBorders>
              <w:top w:val="nil"/>
              <w:left w:val="nil"/>
              <w:bottom w:val="nil"/>
              <w:right w:val="nil"/>
            </w:tcBorders>
            <w:shd w:val="clear" w:color="auto" w:fill="F2F2F2"/>
          </w:tcPr>
          <w:p w14:paraId="3C3FEC8D" w14:textId="77777777" w:rsidR="00403101" w:rsidRPr="008278FA" w:rsidRDefault="00403101" w:rsidP="00403101">
            <w:pPr>
              <w:pStyle w:val="Box"/>
            </w:pPr>
            <w:r w:rsidRPr="0061449F">
              <w:t>‘</w:t>
            </w:r>
            <w:r w:rsidRPr="008278FA">
              <w:t xml:space="preserve">Judicial officers’ is defined as the number of full time equivalent judicial officers divided by the relevant resident population, multiplied by 100 000.  </w:t>
            </w:r>
          </w:p>
          <w:p w14:paraId="7ED1F061" w14:textId="77777777" w:rsidR="00403101" w:rsidRDefault="00403101" w:rsidP="00403101">
            <w:pPr>
              <w:pStyle w:val="Box"/>
            </w:pPr>
            <w:r w:rsidRPr="008278FA">
              <w:t>Judicial officers can make enforceable orders of the court. For the purposes of this chapter, the definition of a judicial officer includes: judges; associate judges; magistrates; masters; coroners; judicial registrars; all other officers who, following argument and giving of evidence, make enforceable orders of the court. Where judicial officers have both judicial and non-judicial work, this refers to the proportion of time allocated to judicial work.</w:t>
            </w:r>
          </w:p>
          <w:p w14:paraId="15A6C7D1" w14:textId="77777777" w:rsidR="00403101" w:rsidRDefault="00403101" w:rsidP="00403101">
            <w:pPr>
              <w:pStyle w:val="Box"/>
            </w:pPr>
            <w:r>
              <w:t xml:space="preserve">A high or increasing proportion of judicial officers in the population indicates potentially greater access to the judicial system. </w:t>
            </w:r>
          </w:p>
          <w:p w14:paraId="4A5167BE" w14:textId="4F03B743" w:rsidR="00403101" w:rsidRDefault="00403101" w:rsidP="00403101">
            <w:pPr>
              <w:pStyle w:val="Box"/>
            </w:pPr>
            <w:r>
              <w:t>Factors such as geographical dispersion, judicial workload and population density are also important to consider when comparing figures concerning judicial officers.</w:t>
            </w:r>
          </w:p>
        </w:tc>
      </w:tr>
      <w:tr w:rsidR="00403101" w14:paraId="3E40AA1E" w14:textId="77777777" w:rsidTr="00403101">
        <w:tc>
          <w:tcPr>
            <w:tcW w:w="5000" w:type="pct"/>
            <w:tcBorders>
              <w:top w:val="nil"/>
              <w:left w:val="nil"/>
              <w:bottom w:val="nil"/>
              <w:right w:val="nil"/>
            </w:tcBorders>
            <w:shd w:val="clear" w:color="auto" w:fill="F2F2F2"/>
          </w:tcPr>
          <w:p w14:paraId="685FCCCC" w14:textId="5D97F06B" w:rsidR="00403101" w:rsidRDefault="00403101" w:rsidP="00403101">
            <w:pPr>
              <w:pStyle w:val="BoxSource"/>
              <w:jc w:val="right"/>
            </w:pPr>
            <w:r>
              <w:t>(continued next page)</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15544E36" w:rsidR="00403101" w:rsidRPr="00626D32" w:rsidRDefault="00403101" w:rsidP="00403101">
            <w:pPr>
              <w:pStyle w:val="BoxSpaceBelow"/>
            </w:pPr>
          </w:p>
        </w:tc>
      </w:tr>
    </w:tbl>
    <w:p w14:paraId="594D840D" w14:textId="77777777" w:rsidR="009D3F9F" w:rsidRDefault="009D3F9F" w:rsidP="009D3F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D3F9F" w14:paraId="79234310" w14:textId="77777777" w:rsidTr="00403101">
        <w:tc>
          <w:tcPr>
            <w:tcW w:w="8789" w:type="dxa"/>
            <w:tcBorders>
              <w:top w:val="single" w:sz="6" w:space="0" w:color="78A22F"/>
              <w:left w:val="nil"/>
              <w:bottom w:val="nil"/>
              <w:right w:val="nil"/>
            </w:tcBorders>
            <w:shd w:val="clear" w:color="auto" w:fill="F2F2F2" w:themeFill="background1" w:themeFillShade="F2"/>
          </w:tcPr>
          <w:p w14:paraId="0DCFD4CC" w14:textId="6BD4094C" w:rsidR="009D3F9F" w:rsidRDefault="009D3F9F" w:rsidP="00403101">
            <w:pPr>
              <w:pStyle w:val="BoxTitle"/>
            </w:pPr>
            <w:r>
              <w:rPr>
                <w:b w:val="0"/>
              </w:rPr>
              <w:t xml:space="preserve">Box </w:t>
            </w:r>
            <w:r w:rsidR="00A92721">
              <w:rPr>
                <w:b w:val="0"/>
              </w:rPr>
              <w:t>7.</w:t>
            </w:r>
            <w:r w:rsidR="001C209A">
              <w:rPr>
                <w:b w:val="0"/>
              </w:rPr>
              <w:t>3</w:t>
            </w:r>
            <w:r>
              <w:tab/>
            </w:r>
            <w:r w:rsidR="00403101" w:rsidRPr="00403101">
              <w:rPr>
                <w:b w:val="0"/>
                <w:sz w:val="18"/>
                <w:szCs w:val="18"/>
              </w:rPr>
              <w:t>(continued)</w:t>
            </w:r>
          </w:p>
        </w:tc>
      </w:tr>
      <w:tr w:rsidR="009D3F9F" w14:paraId="55FE2360" w14:textId="77777777" w:rsidTr="00403101">
        <w:trPr>
          <w:cantSplit/>
        </w:trPr>
        <w:tc>
          <w:tcPr>
            <w:tcW w:w="8789" w:type="dxa"/>
            <w:tcBorders>
              <w:top w:val="nil"/>
              <w:left w:val="nil"/>
              <w:bottom w:val="nil"/>
              <w:right w:val="nil"/>
            </w:tcBorders>
            <w:shd w:val="clear" w:color="auto" w:fill="F2F2F2" w:themeFill="background1" w:themeFillShade="F2"/>
          </w:tcPr>
          <w:p w14:paraId="6F90D036" w14:textId="77777777" w:rsidR="009D3F9F" w:rsidRDefault="009D3F9F" w:rsidP="00B53D55">
            <w:pPr>
              <w:pStyle w:val="Box"/>
            </w:pPr>
            <w:r>
              <w:t>Data reported for this indicator are:</w:t>
            </w:r>
          </w:p>
          <w:p w14:paraId="2190A1D4" w14:textId="77777777" w:rsidR="009D3F9F" w:rsidRPr="007D1794" w:rsidRDefault="009D3F9F" w:rsidP="00B53D55">
            <w:pPr>
              <w:pStyle w:val="BoxListBullet"/>
            </w:pPr>
            <w:r w:rsidRPr="007D1794">
              <w:t>comparable (subject to caveats) across jurisdictions and over time</w:t>
            </w:r>
          </w:p>
          <w:p w14:paraId="449CFF62" w14:textId="4656DD51" w:rsidR="009D3F9F" w:rsidRDefault="009D3F9F">
            <w:pPr>
              <w:pStyle w:val="BoxListBullet"/>
              <w:spacing w:after="120"/>
            </w:pPr>
            <w:r w:rsidRPr="007D1794">
              <w:t xml:space="preserve">complete for the current reporting period (subject to caveats). All </w:t>
            </w:r>
            <w:r w:rsidR="00091BB7" w:rsidRPr="005D70F8">
              <w:t xml:space="preserve">required </w:t>
            </w:r>
            <w:r w:rsidR="00091BB7" w:rsidRPr="00AB1320">
              <w:t>201</w:t>
            </w:r>
            <w:r w:rsidR="008F7343" w:rsidRPr="00AB1320">
              <w:t>6</w:t>
            </w:r>
            <w:r w:rsidR="00D5431C">
              <w:rPr>
                <w:color w:val="000000" w:themeColor="text1"/>
              </w:rPr>
              <w:t>–</w:t>
            </w:r>
            <w:r w:rsidRPr="00AB1320">
              <w:t>1</w:t>
            </w:r>
            <w:r w:rsidR="008F7343" w:rsidRPr="00AB1320">
              <w:t>7</w:t>
            </w:r>
            <w:r w:rsidRPr="00AB1320">
              <w:t xml:space="preserve"> </w:t>
            </w:r>
            <w:r w:rsidRPr="005D70F8">
              <w:t>data are a</w:t>
            </w:r>
            <w:r w:rsidR="00981576" w:rsidRPr="005D70F8">
              <w:t>vailable for all jurisdictions.</w:t>
            </w:r>
          </w:p>
        </w:tc>
      </w:tr>
      <w:tr w:rsidR="009D3F9F" w:rsidRPr="000863A5" w14:paraId="3F3BD1D4" w14:textId="77777777" w:rsidTr="00403101">
        <w:tc>
          <w:tcPr>
            <w:tcW w:w="8789" w:type="dxa"/>
            <w:tcBorders>
              <w:top w:val="single" w:sz="6" w:space="0" w:color="78A22F"/>
              <w:left w:val="nil"/>
              <w:bottom w:val="nil"/>
              <w:right w:val="nil"/>
            </w:tcBorders>
          </w:tcPr>
          <w:p w14:paraId="119FEC60" w14:textId="77777777" w:rsidR="009D3F9F" w:rsidRPr="00626D32" w:rsidRDefault="009D3F9F" w:rsidP="00B53D55">
            <w:pPr>
              <w:pStyle w:val="BoxSpaceBelow"/>
            </w:pPr>
          </w:p>
        </w:tc>
      </w:tr>
    </w:tbl>
    <w:p w14:paraId="74ED7945" w14:textId="40EF4063" w:rsidR="009D3F9F" w:rsidRDefault="004F12E6" w:rsidP="001942A7">
      <w:pPr>
        <w:pStyle w:val="BodyText"/>
        <w:spacing w:before="200"/>
      </w:pPr>
      <w:r>
        <w:t>Table 7.</w:t>
      </w:r>
      <w:r w:rsidR="009249E1">
        <w:t>5</w:t>
      </w:r>
      <w:r w:rsidR="009D3F9F">
        <w:t xml:space="preserve"> shows the number of judicial officers per 100 000 people.</w:t>
      </w:r>
    </w:p>
    <w:p w14:paraId="5552424D" w14:textId="77777777" w:rsidR="009D3F9F" w:rsidRDefault="009D3F9F" w:rsidP="00A2422C">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9D3F9F" w14:paraId="0BAD1C56" w14:textId="77777777" w:rsidTr="00403101">
        <w:tc>
          <w:tcPr>
            <w:tcW w:w="8789" w:type="dxa"/>
            <w:tcBorders>
              <w:top w:val="single" w:sz="6" w:space="0" w:color="78A22F" w:themeColor="accent1"/>
              <w:left w:val="nil"/>
              <w:bottom w:val="nil"/>
              <w:right w:val="nil"/>
            </w:tcBorders>
            <w:shd w:val="clear" w:color="auto" w:fill="auto"/>
          </w:tcPr>
          <w:p w14:paraId="4FC67616" w14:textId="13EEFC2A" w:rsidR="009D3F9F" w:rsidRPr="00784A05" w:rsidRDefault="009D3F9F" w:rsidP="009249E1">
            <w:pPr>
              <w:pStyle w:val="TableTitle"/>
              <w:rPr>
                <w:lang w:eastAsia="en-US"/>
              </w:rPr>
            </w:pPr>
            <w:r>
              <w:rPr>
                <w:b w:val="0"/>
              </w:rPr>
              <w:t>Table 7.</w:t>
            </w:r>
            <w:r w:rsidR="009249E1">
              <w:rPr>
                <w:b w:val="0"/>
              </w:rPr>
              <w:t>5</w:t>
            </w:r>
            <w:r>
              <w:tab/>
            </w:r>
            <w:r w:rsidRPr="00326733">
              <w:t>Judicial officers, full time equiv</w:t>
            </w:r>
            <w:r>
              <w:t>alent, per 100 000 people, by court level</w:t>
            </w:r>
            <w:r w:rsidR="00C74AE9">
              <w:t xml:space="preserve">, </w:t>
            </w:r>
            <w:r w:rsidR="00C74AE9" w:rsidRPr="00AB1320">
              <w:t>201</w:t>
            </w:r>
            <w:r w:rsidR="008F7343" w:rsidRPr="00AB1320">
              <w:t>6</w:t>
            </w:r>
            <w:r w:rsidR="00084115" w:rsidRPr="00313083">
              <w:t>-</w:t>
            </w:r>
            <w:r w:rsidRPr="00AB1320">
              <w:t>1</w:t>
            </w:r>
            <w:r w:rsidR="008F7343" w:rsidRPr="00AB1320">
              <w:t>7</w:t>
            </w:r>
            <w:r w:rsidRPr="00AB1320">
              <w:rPr>
                <w:rStyle w:val="NoteLabel"/>
                <w:b/>
              </w:rPr>
              <w:t>a</w:t>
            </w:r>
            <w:r w:rsidRPr="005D70F8">
              <w:rPr>
                <w:rStyle w:val="NoteLabel"/>
                <w:b/>
              </w:rPr>
              <w:t xml:space="preserve">, </w:t>
            </w:r>
            <w:r>
              <w:rPr>
                <w:rStyle w:val="NoteLabel"/>
                <w:b/>
              </w:rPr>
              <w:t>b</w:t>
            </w:r>
          </w:p>
        </w:tc>
      </w:tr>
      <w:tr w:rsidR="009D3F9F" w14:paraId="3FFEBF8E" w14:textId="77777777" w:rsidTr="00403101">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918"/>
              <w:gridCol w:w="587"/>
              <w:gridCol w:w="689"/>
              <w:gridCol w:w="634"/>
              <w:gridCol w:w="627"/>
              <w:gridCol w:w="622"/>
              <w:gridCol w:w="627"/>
              <w:gridCol w:w="637"/>
              <w:gridCol w:w="622"/>
              <w:gridCol w:w="700"/>
              <w:gridCol w:w="678"/>
            </w:tblGrid>
            <w:tr w:rsidR="009D3F9F" w:rsidRPr="00607D34" w14:paraId="45A4E5A9" w14:textId="77777777" w:rsidTr="00027A56">
              <w:tc>
                <w:tcPr>
                  <w:tcW w:w="1918" w:type="dxa"/>
                  <w:tcBorders>
                    <w:top w:val="single" w:sz="6" w:space="0" w:color="BFBFBF"/>
                    <w:bottom w:val="single" w:sz="6" w:space="0" w:color="BFBFBF"/>
                  </w:tcBorders>
                </w:tcPr>
                <w:p w14:paraId="0B24C9C4" w14:textId="77777777" w:rsidR="009D3F9F" w:rsidRPr="00607D34" w:rsidRDefault="009D3F9F" w:rsidP="00B53D55">
                  <w:pPr>
                    <w:pStyle w:val="TableColumnHeading"/>
                    <w:jc w:val="left"/>
                  </w:pPr>
                </w:p>
              </w:tc>
              <w:tc>
                <w:tcPr>
                  <w:tcW w:w="587" w:type="dxa"/>
                  <w:tcBorders>
                    <w:top w:val="single" w:sz="6" w:space="0" w:color="BFBFBF"/>
                    <w:bottom w:val="single" w:sz="6" w:space="0" w:color="BFBFBF"/>
                  </w:tcBorders>
                </w:tcPr>
                <w:p w14:paraId="1D5D125D" w14:textId="77777777" w:rsidR="009D3F9F" w:rsidRPr="00607D34" w:rsidRDefault="009D3F9F" w:rsidP="00555A70">
                  <w:pPr>
                    <w:pStyle w:val="TableColumnHeading"/>
                    <w:ind w:left="0"/>
                  </w:pPr>
                  <w:r>
                    <w:br/>
                  </w:r>
                  <w:r w:rsidRPr="00607D34">
                    <w:t>NS</w:t>
                  </w:r>
                  <w:r>
                    <w:t>W</w:t>
                  </w:r>
                  <w:r w:rsidRPr="00607D34">
                    <w:rPr>
                      <w:rStyle w:val="NoteLabel"/>
                    </w:rPr>
                    <w:t xml:space="preserve"> </w:t>
                  </w:r>
                </w:p>
              </w:tc>
              <w:tc>
                <w:tcPr>
                  <w:tcW w:w="689" w:type="dxa"/>
                  <w:tcBorders>
                    <w:top w:val="single" w:sz="6" w:space="0" w:color="BFBFBF"/>
                    <w:bottom w:val="single" w:sz="6" w:space="0" w:color="BFBFBF"/>
                  </w:tcBorders>
                </w:tcPr>
                <w:p w14:paraId="16962911" w14:textId="77777777" w:rsidR="009D3F9F" w:rsidRPr="00607D34" w:rsidRDefault="009D3F9F" w:rsidP="00555A70">
                  <w:pPr>
                    <w:pStyle w:val="TableColumnHeading"/>
                    <w:ind w:left="0"/>
                  </w:pPr>
                  <w:r>
                    <w:br/>
                  </w:r>
                  <w:r w:rsidRPr="00607D34">
                    <w:t>Vic</w:t>
                  </w:r>
                </w:p>
              </w:tc>
              <w:tc>
                <w:tcPr>
                  <w:tcW w:w="634" w:type="dxa"/>
                  <w:tcBorders>
                    <w:top w:val="single" w:sz="6" w:space="0" w:color="BFBFBF"/>
                    <w:bottom w:val="single" w:sz="6" w:space="0" w:color="BFBFBF"/>
                  </w:tcBorders>
                </w:tcPr>
                <w:p w14:paraId="19B23C42" w14:textId="77777777" w:rsidR="009D3F9F" w:rsidRPr="00607D34" w:rsidRDefault="009D3F9F" w:rsidP="00555A70">
                  <w:pPr>
                    <w:pStyle w:val="TableColumnHeading"/>
                    <w:ind w:left="0"/>
                  </w:pPr>
                  <w:r>
                    <w:br/>
                  </w:r>
                  <w:r w:rsidRPr="00607D34">
                    <w:t>Qld</w:t>
                  </w:r>
                </w:p>
              </w:tc>
              <w:tc>
                <w:tcPr>
                  <w:tcW w:w="627" w:type="dxa"/>
                  <w:tcBorders>
                    <w:top w:val="single" w:sz="6" w:space="0" w:color="BFBFBF"/>
                    <w:bottom w:val="single" w:sz="6" w:space="0" w:color="BFBFBF"/>
                  </w:tcBorders>
                </w:tcPr>
                <w:p w14:paraId="65BE639A" w14:textId="77777777" w:rsidR="009D3F9F" w:rsidRPr="00607D34" w:rsidRDefault="009D3F9F" w:rsidP="00555A70">
                  <w:pPr>
                    <w:pStyle w:val="TableColumnHeading"/>
                    <w:ind w:left="0"/>
                  </w:pPr>
                  <w:r>
                    <w:br/>
                  </w:r>
                  <w:r w:rsidRPr="00607D34">
                    <w:t>WA</w:t>
                  </w:r>
                </w:p>
              </w:tc>
              <w:tc>
                <w:tcPr>
                  <w:tcW w:w="622" w:type="dxa"/>
                  <w:tcBorders>
                    <w:top w:val="single" w:sz="6" w:space="0" w:color="BFBFBF"/>
                    <w:bottom w:val="single" w:sz="6" w:space="0" w:color="BFBFBF"/>
                  </w:tcBorders>
                </w:tcPr>
                <w:p w14:paraId="53FFEA8E" w14:textId="77777777" w:rsidR="009D3F9F" w:rsidRPr="00607D34" w:rsidRDefault="009D3F9F" w:rsidP="00555A70">
                  <w:pPr>
                    <w:pStyle w:val="TableColumnHeading"/>
                    <w:ind w:left="0"/>
                  </w:pPr>
                  <w:r>
                    <w:br/>
                  </w:r>
                  <w:r w:rsidRPr="00607D34">
                    <w:t>SA</w:t>
                  </w:r>
                </w:p>
              </w:tc>
              <w:tc>
                <w:tcPr>
                  <w:tcW w:w="627" w:type="dxa"/>
                  <w:tcBorders>
                    <w:top w:val="single" w:sz="6" w:space="0" w:color="BFBFBF"/>
                    <w:bottom w:val="single" w:sz="6" w:space="0" w:color="BFBFBF"/>
                  </w:tcBorders>
                </w:tcPr>
                <w:p w14:paraId="1BD61ABC" w14:textId="77777777" w:rsidR="009D3F9F" w:rsidRPr="00607D34" w:rsidRDefault="009D3F9F" w:rsidP="00555A70">
                  <w:pPr>
                    <w:pStyle w:val="TableColumnHeading"/>
                    <w:ind w:left="0"/>
                  </w:pPr>
                  <w:r>
                    <w:br/>
                  </w:r>
                  <w:r w:rsidRPr="00607D34">
                    <w:t>Tas</w:t>
                  </w:r>
                </w:p>
              </w:tc>
              <w:tc>
                <w:tcPr>
                  <w:tcW w:w="637" w:type="dxa"/>
                  <w:tcBorders>
                    <w:top w:val="single" w:sz="6" w:space="0" w:color="BFBFBF"/>
                    <w:bottom w:val="single" w:sz="6" w:space="0" w:color="BFBFBF"/>
                  </w:tcBorders>
                </w:tcPr>
                <w:p w14:paraId="7FCC6D45" w14:textId="77777777" w:rsidR="009D3F9F" w:rsidRPr="00607D34" w:rsidRDefault="009D3F9F" w:rsidP="00555A70">
                  <w:pPr>
                    <w:pStyle w:val="TableColumnHeading"/>
                    <w:ind w:left="0"/>
                  </w:pPr>
                  <w:r>
                    <w:br/>
                  </w:r>
                  <w:r w:rsidRPr="00607D34">
                    <w:t>ACT</w:t>
                  </w:r>
                </w:p>
              </w:tc>
              <w:tc>
                <w:tcPr>
                  <w:tcW w:w="622" w:type="dxa"/>
                  <w:tcBorders>
                    <w:top w:val="single" w:sz="6" w:space="0" w:color="BFBFBF"/>
                    <w:bottom w:val="single" w:sz="6" w:space="0" w:color="BFBFBF"/>
                  </w:tcBorders>
                </w:tcPr>
                <w:p w14:paraId="6088DB23" w14:textId="77777777" w:rsidR="009D3F9F" w:rsidRPr="00607D34" w:rsidRDefault="009D3F9F" w:rsidP="00555A70">
                  <w:pPr>
                    <w:pStyle w:val="TableColumnHeading"/>
                    <w:ind w:left="0"/>
                  </w:pPr>
                  <w:r>
                    <w:br/>
                  </w:r>
                  <w:r w:rsidRPr="00607D34">
                    <w:t>NT</w:t>
                  </w:r>
                </w:p>
              </w:tc>
              <w:tc>
                <w:tcPr>
                  <w:tcW w:w="700" w:type="dxa"/>
                  <w:tcBorders>
                    <w:top w:val="single" w:sz="6" w:space="0" w:color="BFBFBF"/>
                    <w:bottom w:val="single" w:sz="6" w:space="0" w:color="BFBFBF"/>
                  </w:tcBorders>
                </w:tcPr>
                <w:p w14:paraId="7D4BBD48" w14:textId="77777777" w:rsidR="009D3F9F" w:rsidRPr="00607D34" w:rsidRDefault="009D3F9F" w:rsidP="00B53D55">
                  <w:pPr>
                    <w:pStyle w:val="TableColumnHeading"/>
                    <w:rPr>
                      <w:spacing w:val="-4"/>
                    </w:rPr>
                  </w:pPr>
                  <w:r w:rsidRPr="00607D34">
                    <w:rPr>
                      <w:spacing w:val="-4"/>
                      <w:szCs w:val="18"/>
                    </w:rPr>
                    <w:t>Aust courts</w:t>
                  </w:r>
                </w:p>
              </w:tc>
              <w:tc>
                <w:tcPr>
                  <w:tcW w:w="678" w:type="dxa"/>
                  <w:tcBorders>
                    <w:top w:val="single" w:sz="6" w:space="0" w:color="BFBFBF"/>
                    <w:bottom w:val="single" w:sz="6" w:space="0" w:color="BFBFBF"/>
                  </w:tcBorders>
                </w:tcPr>
                <w:p w14:paraId="5DA95EC0" w14:textId="77777777" w:rsidR="009D3F9F" w:rsidRPr="00607D34" w:rsidRDefault="009D3F9F" w:rsidP="00B53D55">
                  <w:pPr>
                    <w:pStyle w:val="TableColumnHeading"/>
                    <w:ind w:right="28"/>
                  </w:pPr>
                  <w:r>
                    <w:br/>
                  </w:r>
                  <w:r w:rsidRPr="00607D34">
                    <w:t>Total</w:t>
                  </w:r>
                </w:p>
              </w:tc>
            </w:tr>
            <w:tr w:rsidR="005C12D6" w:rsidRPr="005E60F6" w14:paraId="1A6EEF5F" w14:textId="77777777" w:rsidTr="00B71BF2">
              <w:tc>
                <w:tcPr>
                  <w:tcW w:w="1918" w:type="dxa"/>
                  <w:tcBorders>
                    <w:top w:val="single" w:sz="6" w:space="0" w:color="BFBFBF"/>
                  </w:tcBorders>
                </w:tcPr>
                <w:p w14:paraId="620B4C2D" w14:textId="77777777" w:rsidR="005C12D6" w:rsidRPr="00607D34" w:rsidRDefault="005C12D6" w:rsidP="001B3118">
                  <w:pPr>
                    <w:pStyle w:val="TableBodyText"/>
                    <w:spacing w:before="40"/>
                    <w:jc w:val="left"/>
                    <w:rPr>
                      <w:rStyle w:val="NoteLabel"/>
                      <w:i/>
                    </w:rPr>
                  </w:pPr>
                  <w:r w:rsidRPr="001B3118">
                    <w:rPr>
                      <w:i/>
                    </w:rPr>
                    <w:t>Population (‘000)</w:t>
                  </w:r>
                </w:p>
              </w:tc>
              <w:tc>
                <w:tcPr>
                  <w:tcW w:w="587" w:type="dxa"/>
                  <w:tcBorders>
                    <w:top w:val="single" w:sz="6" w:space="0" w:color="BFBFBF"/>
                  </w:tcBorders>
                  <w:vAlign w:val="center"/>
                </w:tcPr>
                <w:p w14:paraId="667634A2" w14:textId="2C185A84" w:rsidR="005C12D6" w:rsidRPr="00E51EF6" w:rsidRDefault="005C12D6" w:rsidP="00555A70">
                  <w:pPr>
                    <w:pStyle w:val="TableBodyText"/>
                    <w:spacing w:before="40"/>
                    <w:ind w:left="0"/>
                    <w:rPr>
                      <w:szCs w:val="18"/>
                    </w:rPr>
                  </w:pPr>
                  <w:bookmarkStart w:id="15" w:name="RANGE!R3"/>
                  <w:r w:rsidRPr="00E51EF6">
                    <w:rPr>
                      <w:rFonts w:cs="Arial"/>
                      <w:szCs w:val="18"/>
                    </w:rPr>
                    <w:t xml:space="preserve">7 797 </w:t>
                  </w:r>
                  <w:bookmarkEnd w:id="15"/>
                </w:p>
              </w:tc>
              <w:tc>
                <w:tcPr>
                  <w:tcW w:w="689" w:type="dxa"/>
                  <w:tcBorders>
                    <w:top w:val="single" w:sz="6" w:space="0" w:color="BFBFBF"/>
                  </w:tcBorders>
                  <w:vAlign w:val="center"/>
                </w:tcPr>
                <w:p w14:paraId="5FCE2655" w14:textId="220D9C3C" w:rsidR="005C12D6" w:rsidRPr="00E51EF6" w:rsidRDefault="005C12D6" w:rsidP="00555A70">
                  <w:pPr>
                    <w:pStyle w:val="TableBodyText"/>
                    <w:spacing w:before="40"/>
                    <w:ind w:left="0"/>
                    <w:rPr>
                      <w:szCs w:val="18"/>
                    </w:rPr>
                  </w:pPr>
                  <w:bookmarkStart w:id="16" w:name="RANGE!S3"/>
                  <w:r w:rsidRPr="00E51EF6">
                    <w:rPr>
                      <w:rFonts w:cs="Arial"/>
                      <w:szCs w:val="18"/>
                    </w:rPr>
                    <w:t xml:space="preserve">6 244 </w:t>
                  </w:r>
                  <w:bookmarkEnd w:id="16"/>
                </w:p>
              </w:tc>
              <w:tc>
                <w:tcPr>
                  <w:tcW w:w="634" w:type="dxa"/>
                  <w:tcBorders>
                    <w:top w:val="single" w:sz="6" w:space="0" w:color="BFBFBF"/>
                  </w:tcBorders>
                  <w:vAlign w:val="center"/>
                </w:tcPr>
                <w:p w14:paraId="02A171E9" w14:textId="3328B942" w:rsidR="005C12D6" w:rsidRPr="00E51EF6" w:rsidRDefault="005C12D6" w:rsidP="00555A70">
                  <w:pPr>
                    <w:pStyle w:val="TableBodyText"/>
                    <w:spacing w:before="40"/>
                    <w:ind w:left="0"/>
                    <w:rPr>
                      <w:szCs w:val="18"/>
                    </w:rPr>
                  </w:pPr>
                  <w:bookmarkStart w:id="17" w:name="RANGE!T3"/>
                  <w:r w:rsidRPr="00E51EF6">
                    <w:rPr>
                      <w:rFonts w:cs="Arial"/>
                      <w:szCs w:val="18"/>
                    </w:rPr>
                    <w:t xml:space="preserve">4 883 </w:t>
                  </w:r>
                  <w:bookmarkEnd w:id="17"/>
                </w:p>
              </w:tc>
              <w:tc>
                <w:tcPr>
                  <w:tcW w:w="627" w:type="dxa"/>
                  <w:tcBorders>
                    <w:top w:val="single" w:sz="6" w:space="0" w:color="BFBFBF"/>
                  </w:tcBorders>
                  <w:vAlign w:val="center"/>
                </w:tcPr>
                <w:p w14:paraId="069BA1C2" w14:textId="051D2ABF" w:rsidR="005C12D6" w:rsidRPr="00E51EF6" w:rsidRDefault="005C12D6" w:rsidP="00555A70">
                  <w:pPr>
                    <w:pStyle w:val="TableBodyText"/>
                    <w:spacing w:before="40"/>
                    <w:ind w:left="0"/>
                    <w:rPr>
                      <w:szCs w:val="18"/>
                    </w:rPr>
                  </w:pPr>
                  <w:bookmarkStart w:id="18" w:name="RANGE!U3"/>
                  <w:r w:rsidRPr="00E51EF6">
                    <w:rPr>
                      <w:rFonts w:cs="Arial"/>
                      <w:szCs w:val="18"/>
                    </w:rPr>
                    <w:t xml:space="preserve">2 567 </w:t>
                  </w:r>
                  <w:bookmarkEnd w:id="18"/>
                </w:p>
              </w:tc>
              <w:tc>
                <w:tcPr>
                  <w:tcW w:w="622" w:type="dxa"/>
                  <w:tcBorders>
                    <w:top w:val="single" w:sz="6" w:space="0" w:color="BFBFBF"/>
                  </w:tcBorders>
                  <w:vAlign w:val="center"/>
                </w:tcPr>
                <w:p w14:paraId="1B99461B" w14:textId="258DC584" w:rsidR="005C12D6" w:rsidRPr="00E51EF6" w:rsidRDefault="005C12D6" w:rsidP="00555A70">
                  <w:pPr>
                    <w:pStyle w:val="TableBodyText"/>
                    <w:spacing w:before="40"/>
                    <w:ind w:left="0"/>
                    <w:rPr>
                      <w:szCs w:val="18"/>
                    </w:rPr>
                  </w:pPr>
                  <w:bookmarkStart w:id="19" w:name="RANGE!V3"/>
                  <w:r w:rsidRPr="00E51EF6">
                    <w:rPr>
                      <w:rFonts w:cs="Arial"/>
                      <w:szCs w:val="18"/>
                    </w:rPr>
                    <w:t xml:space="preserve">1 716 </w:t>
                  </w:r>
                  <w:bookmarkEnd w:id="19"/>
                </w:p>
              </w:tc>
              <w:tc>
                <w:tcPr>
                  <w:tcW w:w="627" w:type="dxa"/>
                  <w:tcBorders>
                    <w:top w:val="single" w:sz="6" w:space="0" w:color="BFBFBF"/>
                  </w:tcBorders>
                  <w:vAlign w:val="center"/>
                </w:tcPr>
                <w:p w14:paraId="62232DDF" w14:textId="1BBC7179" w:rsidR="005C12D6" w:rsidRPr="00E51EF6" w:rsidRDefault="005C12D6" w:rsidP="00555A70">
                  <w:pPr>
                    <w:pStyle w:val="TableBodyText"/>
                    <w:spacing w:before="40"/>
                    <w:ind w:left="0"/>
                    <w:rPr>
                      <w:szCs w:val="18"/>
                    </w:rPr>
                  </w:pPr>
                  <w:bookmarkStart w:id="20" w:name="RANGE!W3"/>
                  <w:r w:rsidRPr="00E51EF6">
                    <w:rPr>
                      <w:rFonts w:cs="Arial"/>
                      <w:szCs w:val="18"/>
                    </w:rPr>
                    <w:t xml:space="preserve"> 519 </w:t>
                  </w:r>
                  <w:bookmarkEnd w:id="20"/>
                </w:p>
              </w:tc>
              <w:tc>
                <w:tcPr>
                  <w:tcW w:w="637" w:type="dxa"/>
                  <w:tcBorders>
                    <w:top w:val="single" w:sz="6" w:space="0" w:color="BFBFBF"/>
                  </w:tcBorders>
                  <w:vAlign w:val="center"/>
                </w:tcPr>
                <w:p w14:paraId="7AA3BE2E" w14:textId="7ED418CA" w:rsidR="005C12D6" w:rsidRPr="00E51EF6" w:rsidRDefault="005C12D6" w:rsidP="00555A70">
                  <w:pPr>
                    <w:pStyle w:val="TableBodyText"/>
                    <w:spacing w:before="40"/>
                    <w:ind w:left="0"/>
                    <w:rPr>
                      <w:szCs w:val="18"/>
                    </w:rPr>
                  </w:pPr>
                  <w:bookmarkStart w:id="21" w:name="RANGE!X3"/>
                  <w:r w:rsidRPr="00E51EF6">
                    <w:rPr>
                      <w:rFonts w:cs="Arial"/>
                      <w:szCs w:val="18"/>
                    </w:rPr>
                    <w:t xml:space="preserve"> 406 </w:t>
                  </w:r>
                  <w:bookmarkEnd w:id="21"/>
                </w:p>
              </w:tc>
              <w:tc>
                <w:tcPr>
                  <w:tcW w:w="622" w:type="dxa"/>
                  <w:tcBorders>
                    <w:top w:val="single" w:sz="6" w:space="0" w:color="BFBFBF"/>
                  </w:tcBorders>
                  <w:vAlign w:val="center"/>
                </w:tcPr>
                <w:p w14:paraId="76C3DE19" w14:textId="658A6812" w:rsidR="005C12D6" w:rsidRPr="00E51EF6" w:rsidRDefault="005C12D6" w:rsidP="00555A70">
                  <w:pPr>
                    <w:pStyle w:val="TableBodyText"/>
                    <w:spacing w:before="40"/>
                    <w:ind w:left="0"/>
                    <w:rPr>
                      <w:szCs w:val="18"/>
                    </w:rPr>
                  </w:pPr>
                  <w:bookmarkStart w:id="22" w:name="RANGE!Y3"/>
                  <w:r w:rsidRPr="00E51EF6">
                    <w:rPr>
                      <w:rFonts w:cs="Arial"/>
                      <w:szCs w:val="18"/>
                    </w:rPr>
                    <w:t xml:space="preserve"> 245 </w:t>
                  </w:r>
                  <w:bookmarkEnd w:id="22"/>
                </w:p>
              </w:tc>
              <w:tc>
                <w:tcPr>
                  <w:tcW w:w="1378" w:type="dxa"/>
                  <w:gridSpan w:val="2"/>
                  <w:tcBorders>
                    <w:top w:val="single" w:sz="6" w:space="0" w:color="BFBFBF"/>
                  </w:tcBorders>
                  <w:vAlign w:val="center"/>
                </w:tcPr>
                <w:p w14:paraId="67A4055F" w14:textId="3F2C2230" w:rsidR="005C12D6" w:rsidRPr="00E51EF6" w:rsidRDefault="005C12D6" w:rsidP="00BB081A">
                  <w:pPr>
                    <w:pStyle w:val="TableBodyText"/>
                    <w:spacing w:before="40"/>
                    <w:ind w:left="0" w:right="28"/>
                    <w:jc w:val="center"/>
                    <w:rPr>
                      <w:szCs w:val="18"/>
                      <w:lang w:eastAsia="en-US"/>
                    </w:rPr>
                  </w:pPr>
                  <w:r w:rsidRPr="00E51EF6">
                    <w:rPr>
                      <w:szCs w:val="18"/>
                      <w:lang w:eastAsia="en-US"/>
                    </w:rPr>
                    <w:t>24 385</w:t>
                  </w:r>
                </w:p>
              </w:tc>
            </w:tr>
            <w:tr w:rsidR="009D3F9F" w:rsidRPr="00607D34" w14:paraId="6D49E6D6" w14:textId="77777777" w:rsidTr="00027A56">
              <w:tc>
                <w:tcPr>
                  <w:tcW w:w="8341" w:type="dxa"/>
                  <w:gridSpan w:val="11"/>
                </w:tcPr>
                <w:p w14:paraId="2CE1CB88" w14:textId="77777777" w:rsidR="009D3F9F" w:rsidRPr="00607D34" w:rsidRDefault="009D3F9F" w:rsidP="00B53D55">
                  <w:pPr>
                    <w:pStyle w:val="TableBodyText"/>
                    <w:spacing w:before="40"/>
                    <w:jc w:val="left"/>
                    <w:rPr>
                      <w:i/>
                    </w:rPr>
                  </w:pPr>
                  <w:r w:rsidRPr="00607D34">
                    <w:rPr>
                      <w:i/>
                    </w:rPr>
                    <w:t>Judicial officers per 100 000 people</w:t>
                  </w:r>
                </w:p>
              </w:tc>
            </w:tr>
            <w:tr w:rsidR="00027A56" w:rsidRPr="00332883" w14:paraId="2C9A1267" w14:textId="77777777" w:rsidTr="00027A56">
              <w:tc>
                <w:tcPr>
                  <w:tcW w:w="1918" w:type="dxa"/>
                </w:tcPr>
                <w:p w14:paraId="4729960E" w14:textId="77777777" w:rsidR="00027A56" w:rsidRPr="00607D34" w:rsidRDefault="00027A56" w:rsidP="00027A56">
                  <w:pPr>
                    <w:pStyle w:val="TableBodyText"/>
                    <w:spacing w:before="40"/>
                    <w:jc w:val="left"/>
                  </w:pPr>
                  <w:r w:rsidRPr="00607D34">
                    <w:t>Supreme/Federal</w:t>
                  </w:r>
                </w:p>
              </w:tc>
              <w:tc>
                <w:tcPr>
                  <w:tcW w:w="587" w:type="dxa"/>
                  <w:vAlign w:val="bottom"/>
                </w:tcPr>
                <w:p w14:paraId="216E69BC" w14:textId="113B6B4C" w:rsidR="00027A56" w:rsidRDefault="00027A56" w:rsidP="00027A56">
                  <w:pPr>
                    <w:pStyle w:val="TableBodyText"/>
                  </w:pPr>
                  <w:r>
                    <w:t xml:space="preserve"> 0.7</w:t>
                  </w:r>
                </w:p>
              </w:tc>
              <w:tc>
                <w:tcPr>
                  <w:tcW w:w="689" w:type="dxa"/>
                  <w:vAlign w:val="bottom"/>
                </w:tcPr>
                <w:p w14:paraId="23DB1230" w14:textId="2F900094" w:rsidR="00027A56" w:rsidRDefault="00027A56" w:rsidP="00027A56">
                  <w:pPr>
                    <w:pStyle w:val="TableBodyText"/>
                  </w:pPr>
                  <w:r>
                    <w:t xml:space="preserve"> 0.9</w:t>
                  </w:r>
                </w:p>
              </w:tc>
              <w:tc>
                <w:tcPr>
                  <w:tcW w:w="634" w:type="dxa"/>
                  <w:vAlign w:val="bottom"/>
                </w:tcPr>
                <w:p w14:paraId="26557A74" w14:textId="4272E98F" w:rsidR="00027A56" w:rsidRDefault="00027A56" w:rsidP="00027A56">
                  <w:pPr>
                    <w:pStyle w:val="TableBodyText"/>
                  </w:pPr>
                  <w:r>
                    <w:t xml:space="preserve"> 0.5</w:t>
                  </w:r>
                </w:p>
              </w:tc>
              <w:tc>
                <w:tcPr>
                  <w:tcW w:w="627" w:type="dxa"/>
                  <w:vAlign w:val="bottom"/>
                </w:tcPr>
                <w:p w14:paraId="384784C4" w14:textId="4D76EAD7" w:rsidR="00027A56" w:rsidRDefault="00027A56" w:rsidP="00027A56">
                  <w:pPr>
                    <w:pStyle w:val="TableBodyText"/>
                  </w:pPr>
                  <w:r>
                    <w:t xml:space="preserve"> 0.9</w:t>
                  </w:r>
                </w:p>
              </w:tc>
              <w:tc>
                <w:tcPr>
                  <w:tcW w:w="622" w:type="dxa"/>
                  <w:vAlign w:val="bottom"/>
                </w:tcPr>
                <w:p w14:paraId="2ABD17C4" w14:textId="661C166A" w:rsidR="00027A56" w:rsidRDefault="00027A56" w:rsidP="00027A56">
                  <w:pPr>
                    <w:pStyle w:val="TableBodyText"/>
                  </w:pPr>
                  <w:r>
                    <w:t xml:space="preserve"> 0.8</w:t>
                  </w:r>
                </w:p>
              </w:tc>
              <w:tc>
                <w:tcPr>
                  <w:tcW w:w="627" w:type="dxa"/>
                  <w:vAlign w:val="bottom"/>
                </w:tcPr>
                <w:p w14:paraId="33457566" w14:textId="5E94D851" w:rsidR="00027A56" w:rsidRDefault="00027A56" w:rsidP="00027A56">
                  <w:pPr>
                    <w:pStyle w:val="TableBodyText"/>
                  </w:pPr>
                  <w:r>
                    <w:t xml:space="preserve"> 1.4</w:t>
                  </w:r>
                </w:p>
              </w:tc>
              <w:tc>
                <w:tcPr>
                  <w:tcW w:w="637" w:type="dxa"/>
                  <w:vAlign w:val="bottom"/>
                </w:tcPr>
                <w:p w14:paraId="0AB59091" w14:textId="0F3B8647" w:rsidR="00027A56" w:rsidRDefault="00027A56" w:rsidP="00027A56">
                  <w:pPr>
                    <w:pStyle w:val="TableBodyText"/>
                  </w:pPr>
                  <w:r>
                    <w:t xml:space="preserve"> 1.6</w:t>
                  </w:r>
                </w:p>
              </w:tc>
              <w:tc>
                <w:tcPr>
                  <w:tcW w:w="622" w:type="dxa"/>
                  <w:vAlign w:val="bottom"/>
                </w:tcPr>
                <w:p w14:paraId="7277BB3A" w14:textId="799B0604" w:rsidR="00027A56" w:rsidRDefault="00027A56" w:rsidP="00027A56">
                  <w:pPr>
                    <w:pStyle w:val="TableBodyText"/>
                  </w:pPr>
                  <w:r>
                    <w:t xml:space="preserve"> 3.4</w:t>
                  </w:r>
                </w:p>
              </w:tc>
              <w:tc>
                <w:tcPr>
                  <w:tcW w:w="700" w:type="dxa"/>
                  <w:vAlign w:val="bottom"/>
                </w:tcPr>
                <w:p w14:paraId="765694E1" w14:textId="4B42B872" w:rsidR="00027A56" w:rsidRDefault="00027A56" w:rsidP="00027A56">
                  <w:pPr>
                    <w:pStyle w:val="TableBodyText"/>
                  </w:pPr>
                  <w:r>
                    <w:t xml:space="preserve"> 0.2</w:t>
                  </w:r>
                </w:p>
              </w:tc>
              <w:tc>
                <w:tcPr>
                  <w:tcW w:w="678" w:type="dxa"/>
                  <w:vAlign w:val="bottom"/>
                </w:tcPr>
                <w:p w14:paraId="729A82D5" w14:textId="59AAC3F4" w:rsidR="00027A56" w:rsidRDefault="00027A56" w:rsidP="00555A70">
                  <w:pPr>
                    <w:pStyle w:val="TableBodyText"/>
                    <w:ind w:right="0"/>
                  </w:pPr>
                  <w:r>
                    <w:t xml:space="preserve"> 1.0</w:t>
                  </w:r>
                </w:p>
              </w:tc>
            </w:tr>
            <w:tr w:rsidR="00027A56" w:rsidRPr="00332883" w14:paraId="03AC8268" w14:textId="77777777" w:rsidTr="00027A56">
              <w:tc>
                <w:tcPr>
                  <w:tcW w:w="1918" w:type="dxa"/>
                </w:tcPr>
                <w:p w14:paraId="2DC0B7FC" w14:textId="77777777" w:rsidR="00027A56" w:rsidRPr="00607D34" w:rsidRDefault="00027A56" w:rsidP="00027A56">
                  <w:pPr>
                    <w:pStyle w:val="TableBodyText"/>
                    <w:spacing w:before="40"/>
                    <w:jc w:val="left"/>
                  </w:pPr>
                  <w:r w:rsidRPr="00607D34">
                    <w:t>District/County</w:t>
                  </w:r>
                </w:p>
              </w:tc>
              <w:tc>
                <w:tcPr>
                  <w:tcW w:w="587" w:type="dxa"/>
                  <w:vAlign w:val="bottom"/>
                </w:tcPr>
                <w:p w14:paraId="555F0BB9" w14:textId="072C5FFB" w:rsidR="00027A56" w:rsidRDefault="00027A56" w:rsidP="00027A56">
                  <w:pPr>
                    <w:pStyle w:val="TableBodyText"/>
                  </w:pPr>
                  <w:r>
                    <w:t xml:space="preserve"> 0.9</w:t>
                  </w:r>
                </w:p>
              </w:tc>
              <w:tc>
                <w:tcPr>
                  <w:tcW w:w="689" w:type="dxa"/>
                  <w:vAlign w:val="bottom"/>
                </w:tcPr>
                <w:p w14:paraId="3A51957E" w14:textId="4C6AC8B8" w:rsidR="00027A56" w:rsidRDefault="00027A56" w:rsidP="00027A56">
                  <w:pPr>
                    <w:pStyle w:val="TableBodyText"/>
                  </w:pPr>
                  <w:r>
                    <w:t xml:space="preserve"> 1.0</w:t>
                  </w:r>
                </w:p>
              </w:tc>
              <w:tc>
                <w:tcPr>
                  <w:tcW w:w="634" w:type="dxa"/>
                  <w:vAlign w:val="bottom"/>
                </w:tcPr>
                <w:p w14:paraId="66E0E215" w14:textId="37A31EF3" w:rsidR="00027A56" w:rsidRDefault="00027A56" w:rsidP="00027A56">
                  <w:pPr>
                    <w:pStyle w:val="TableBodyText"/>
                  </w:pPr>
                  <w:r>
                    <w:t xml:space="preserve"> 0.7</w:t>
                  </w:r>
                </w:p>
              </w:tc>
              <w:tc>
                <w:tcPr>
                  <w:tcW w:w="627" w:type="dxa"/>
                  <w:vAlign w:val="bottom"/>
                </w:tcPr>
                <w:p w14:paraId="5C4E1B44" w14:textId="07E71D88" w:rsidR="00027A56" w:rsidRDefault="00027A56" w:rsidP="00027A56">
                  <w:pPr>
                    <w:pStyle w:val="TableBodyText"/>
                  </w:pPr>
                  <w:r>
                    <w:t xml:space="preserve"> 1.1</w:t>
                  </w:r>
                </w:p>
              </w:tc>
              <w:tc>
                <w:tcPr>
                  <w:tcW w:w="622" w:type="dxa"/>
                  <w:vAlign w:val="bottom"/>
                </w:tcPr>
                <w:p w14:paraId="3B78DF2A" w14:textId="4864A84C" w:rsidR="00027A56" w:rsidRDefault="00027A56" w:rsidP="00027A56">
                  <w:pPr>
                    <w:pStyle w:val="TableBodyText"/>
                  </w:pPr>
                  <w:r>
                    <w:t xml:space="preserve"> 1.1</w:t>
                  </w:r>
                </w:p>
              </w:tc>
              <w:tc>
                <w:tcPr>
                  <w:tcW w:w="627" w:type="dxa"/>
                  <w:vAlign w:val="bottom"/>
                </w:tcPr>
                <w:p w14:paraId="27161178" w14:textId="589946CC" w:rsidR="00027A56" w:rsidRDefault="00027A56" w:rsidP="00027A56">
                  <w:pPr>
                    <w:pStyle w:val="TableBodyText"/>
                  </w:pPr>
                  <w:r>
                    <w:t>..</w:t>
                  </w:r>
                </w:p>
              </w:tc>
              <w:tc>
                <w:tcPr>
                  <w:tcW w:w="637" w:type="dxa"/>
                  <w:vAlign w:val="bottom"/>
                </w:tcPr>
                <w:p w14:paraId="14A8FFD0" w14:textId="0B3DDC20" w:rsidR="00027A56" w:rsidRDefault="00027A56" w:rsidP="00027A56">
                  <w:pPr>
                    <w:pStyle w:val="TableBodyText"/>
                  </w:pPr>
                  <w:r>
                    <w:t>..</w:t>
                  </w:r>
                </w:p>
              </w:tc>
              <w:tc>
                <w:tcPr>
                  <w:tcW w:w="622" w:type="dxa"/>
                  <w:vAlign w:val="bottom"/>
                </w:tcPr>
                <w:p w14:paraId="326A9286" w14:textId="5F326D32" w:rsidR="00027A56" w:rsidRDefault="00027A56" w:rsidP="00027A56">
                  <w:pPr>
                    <w:pStyle w:val="TableBodyText"/>
                  </w:pPr>
                  <w:r>
                    <w:t>..</w:t>
                  </w:r>
                </w:p>
              </w:tc>
              <w:tc>
                <w:tcPr>
                  <w:tcW w:w="700" w:type="dxa"/>
                  <w:vAlign w:val="bottom"/>
                </w:tcPr>
                <w:p w14:paraId="3D83EEDA" w14:textId="2C94127F" w:rsidR="00027A56" w:rsidRDefault="00027A56" w:rsidP="00027A56">
                  <w:pPr>
                    <w:pStyle w:val="TableBodyText"/>
                  </w:pPr>
                  <w:r>
                    <w:t>..</w:t>
                  </w:r>
                </w:p>
              </w:tc>
              <w:tc>
                <w:tcPr>
                  <w:tcW w:w="678" w:type="dxa"/>
                  <w:vAlign w:val="bottom"/>
                </w:tcPr>
                <w:p w14:paraId="096F08AD" w14:textId="47966B3A" w:rsidR="00027A56" w:rsidRDefault="00027A56" w:rsidP="00555A70">
                  <w:pPr>
                    <w:pStyle w:val="TableBodyText"/>
                    <w:ind w:right="0"/>
                  </w:pPr>
                  <w:r>
                    <w:t xml:space="preserve"> 0.9</w:t>
                  </w:r>
                </w:p>
              </w:tc>
            </w:tr>
            <w:tr w:rsidR="00027A56" w:rsidRPr="00332883" w14:paraId="45B158FC" w14:textId="77777777" w:rsidTr="00027A56">
              <w:tc>
                <w:tcPr>
                  <w:tcW w:w="1918" w:type="dxa"/>
                </w:tcPr>
                <w:p w14:paraId="0C13940B" w14:textId="1E913937" w:rsidR="00027A56" w:rsidRPr="00607D34" w:rsidRDefault="00027A56" w:rsidP="00027A56">
                  <w:pPr>
                    <w:pStyle w:val="TableBodyText"/>
                    <w:spacing w:before="40"/>
                    <w:jc w:val="left"/>
                  </w:pPr>
                  <w:r w:rsidRPr="00607D34">
                    <w:t>Magistrates</w:t>
                  </w:r>
                  <w:r w:rsidR="005B0E3B">
                    <w:t>’</w:t>
                  </w:r>
                </w:p>
              </w:tc>
              <w:tc>
                <w:tcPr>
                  <w:tcW w:w="587" w:type="dxa"/>
                  <w:vAlign w:val="bottom"/>
                </w:tcPr>
                <w:p w14:paraId="66232FAD" w14:textId="709C68C8" w:rsidR="00027A56" w:rsidRDefault="00027A56" w:rsidP="00027A56">
                  <w:pPr>
                    <w:pStyle w:val="TableBodyText"/>
                  </w:pPr>
                  <w:r>
                    <w:t xml:space="preserve"> 1.4</w:t>
                  </w:r>
                </w:p>
              </w:tc>
              <w:tc>
                <w:tcPr>
                  <w:tcW w:w="689" w:type="dxa"/>
                  <w:vAlign w:val="bottom"/>
                </w:tcPr>
                <w:p w14:paraId="6EE8FD33" w14:textId="3B6CC342" w:rsidR="00027A56" w:rsidRDefault="00027A56" w:rsidP="00027A56">
                  <w:pPr>
                    <w:pStyle w:val="TableBodyText"/>
                  </w:pPr>
                  <w:r>
                    <w:t xml:space="preserve"> 1.8</w:t>
                  </w:r>
                </w:p>
              </w:tc>
              <w:tc>
                <w:tcPr>
                  <w:tcW w:w="634" w:type="dxa"/>
                  <w:vAlign w:val="bottom"/>
                </w:tcPr>
                <w:p w14:paraId="7B46894E" w14:textId="568B8587" w:rsidR="00027A56" w:rsidRDefault="00027A56" w:rsidP="00027A56">
                  <w:pPr>
                    <w:pStyle w:val="TableBodyText"/>
                  </w:pPr>
                  <w:r>
                    <w:t xml:space="preserve"> 1.8</w:t>
                  </w:r>
                </w:p>
              </w:tc>
              <w:tc>
                <w:tcPr>
                  <w:tcW w:w="627" w:type="dxa"/>
                  <w:vAlign w:val="bottom"/>
                </w:tcPr>
                <w:p w14:paraId="5C0E783C" w14:textId="418E81FB" w:rsidR="00027A56" w:rsidRDefault="00027A56" w:rsidP="00027A56">
                  <w:pPr>
                    <w:pStyle w:val="TableBodyText"/>
                  </w:pPr>
                  <w:r>
                    <w:t xml:space="preserve"> 1.8</w:t>
                  </w:r>
                </w:p>
              </w:tc>
              <w:tc>
                <w:tcPr>
                  <w:tcW w:w="622" w:type="dxa"/>
                  <w:vAlign w:val="bottom"/>
                </w:tcPr>
                <w:p w14:paraId="32277C3A" w14:textId="131D5047" w:rsidR="00027A56" w:rsidRDefault="00027A56" w:rsidP="00027A56">
                  <w:pPr>
                    <w:pStyle w:val="TableBodyText"/>
                  </w:pPr>
                  <w:r>
                    <w:t xml:space="preserve"> 1.9</w:t>
                  </w:r>
                </w:p>
              </w:tc>
              <w:tc>
                <w:tcPr>
                  <w:tcW w:w="627" w:type="dxa"/>
                  <w:vAlign w:val="bottom"/>
                </w:tcPr>
                <w:p w14:paraId="2FD57C29" w14:textId="669D8251" w:rsidR="00027A56" w:rsidRDefault="00027A56" w:rsidP="00027A56">
                  <w:pPr>
                    <w:pStyle w:val="TableBodyText"/>
                  </w:pPr>
                  <w:r>
                    <w:t xml:space="preserve"> 2.0</w:t>
                  </w:r>
                </w:p>
              </w:tc>
              <w:tc>
                <w:tcPr>
                  <w:tcW w:w="637" w:type="dxa"/>
                  <w:vAlign w:val="bottom"/>
                </w:tcPr>
                <w:p w14:paraId="2C09087D" w14:textId="439D450D" w:rsidR="00027A56" w:rsidRDefault="00027A56" w:rsidP="00027A56">
                  <w:pPr>
                    <w:pStyle w:val="TableBodyText"/>
                  </w:pPr>
                  <w:r>
                    <w:t xml:space="preserve"> 1.7</w:t>
                  </w:r>
                </w:p>
              </w:tc>
              <w:tc>
                <w:tcPr>
                  <w:tcW w:w="622" w:type="dxa"/>
                  <w:vAlign w:val="bottom"/>
                </w:tcPr>
                <w:p w14:paraId="719763D9" w14:textId="036EE595" w:rsidR="00027A56" w:rsidRDefault="00027A56" w:rsidP="00027A56">
                  <w:pPr>
                    <w:pStyle w:val="TableBodyText"/>
                  </w:pPr>
                  <w:r>
                    <w:t xml:space="preserve"> 5.8</w:t>
                  </w:r>
                </w:p>
              </w:tc>
              <w:tc>
                <w:tcPr>
                  <w:tcW w:w="700" w:type="dxa"/>
                  <w:vAlign w:val="bottom"/>
                </w:tcPr>
                <w:p w14:paraId="57DE5DC3" w14:textId="506A4125" w:rsidR="00027A56" w:rsidRDefault="00027A56" w:rsidP="00027A56">
                  <w:pPr>
                    <w:pStyle w:val="TableBodyText"/>
                  </w:pPr>
                  <w:r>
                    <w:t>..</w:t>
                  </w:r>
                </w:p>
              </w:tc>
              <w:tc>
                <w:tcPr>
                  <w:tcW w:w="678" w:type="dxa"/>
                  <w:vAlign w:val="bottom"/>
                </w:tcPr>
                <w:p w14:paraId="08BFEB45" w14:textId="1752153D" w:rsidR="00027A56" w:rsidRDefault="00027A56" w:rsidP="00555A70">
                  <w:pPr>
                    <w:pStyle w:val="TableBodyText"/>
                    <w:ind w:right="0"/>
                  </w:pPr>
                  <w:r>
                    <w:t xml:space="preserve"> 1.7</w:t>
                  </w:r>
                </w:p>
              </w:tc>
            </w:tr>
            <w:tr w:rsidR="00027A56" w:rsidRPr="00332883" w14:paraId="2AAC7522" w14:textId="77777777" w:rsidTr="00027A56">
              <w:tc>
                <w:tcPr>
                  <w:tcW w:w="1918" w:type="dxa"/>
                </w:tcPr>
                <w:p w14:paraId="3FAF87C0" w14:textId="77777777" w:rsidR="00027A56" w:rsidRPr="00607D34" w:rsidRDefault="00027A56" w:rsidP="00027A56">
                  <w:pPr>
                    <w:pStyle w:val="TableBodyText"/>
                    <w:spacing w:before="40"/>
                    <w:jc w:val="left"/>
                  </w:pPr>
                  <w:r w:rsidRPr="00607D34">
                    <w:t>Children’s</w:t>
                  </w:r>
                </w:p>
              </w:tc>
              <w:tc>
                <w:tcPr>
                  <w:tcW w:w="587" w:type="dxa"/>
                  <w:vAlign w:val="bottom"/>
                </w:tcPr>
                <w:p w14:paraId="4BF7A02C" w14:textId="4305951C" w:rsidR="00027A56" w:rsidRDefault="00027A56" w:rsidP="00027A56">
                  <w:pPr>
                    <w:pStyle w:val="TableBodyText"/>
                  </w:pPr>
                  <w:r>
                    <w:t xml:space="preserve"> 0.4</w:t>
                  </w:r>
                </w:p>
              </w:tc>
              <w:tc>
                <w:tcPr>
                  <w:tcW w:w="689" w:type="dxa"/>
                  <w:vAlign w:val="bottom"/>
                </w:tcPr>
                <w:p w14:paraId="75C8A680" w14:textId="483625BE" w:rsidR="00027A56" w:rsidRDefault="00027A56" w:rsidP="00027A56">
                  <w:pPr>
                    <w:pStyle w:val="TableBodyText"/>
                  </w:pPr>
                  <w:r>
                    <w:t xml:space="preserve"> 0.2</w:t>
                  </w:r>
                </w:p>
              </w:tc>
              <w:tc>
                <w:tcPr>
                  <w:tcW w:w="634" w:type="dxa"/>
                  <w:vAlign w:val="bottom"/>
                </w:tcPr>
                <w:p w14:paraId="2DA879A2" w14:textId="6052CA4E" w:rsidR="00027A56" w:rsidRDefault="00027A56" w:rsidP="00027A56">
                  <w:pPr>
                    <w:pStyle w:val="TableBodyText"/>
                  </w:pPr>
                  <w:r>
                    <w:t xml:space="preserve"> 0.1</w:t>
                  </w:r>
                </w:p>
              </w:tc>
              <w:tc>
                <w:tcPr>
                  <w:tcW w:w="627" w:type="dxa"/>
                  <w:vAlign w:val="bottom"/>
                </w:tcPr>
                <w:p w14:paraId="334EFC84" w14:textId="6327FBD5" w:rsidR="00027A56" w:rsidRDefault="00027A56" w:rsidP="00027A56">
                  <w:pPr>
                    <w:pStyle w:val="TableBodyText"/>
                  </w:pPr>
                  <w:r>
                    <w:t xml:space="preserve"> 0.2</w:t>
                  </w:r>
                </w:p>
              </w:tc>
              <w:tc>
                <w:tcPr>
                  <w:tcW w:w="622" w:type="dxa"/>
                  <w:vAlign w:val="bottom"/>
                </w:tcPr>
                <w:p w14:paraId="783A246C" w14:textId="0FF510FE" w:rsidR="00027A56" w:rsidRDefault="00027A56" w:rsidP="00027A56">
                  <w:pPr>
                    <w:pStyle w:val="TableBodyText"/>
                  </w:pPr>
                  <w:r>
                    <w:t xml:space="preserve"> 0.2</w:t>
                  </w:r>
                </w:p>
              </w:tc>
              <w:tc>
                <w:tcPr>
                  <w:tcW w:w="627" w:type="dxa"/>
                  <w:vAlign w:val="bottom"/>
                </w:tcPr>
                <w:p w14:paraId="69944695" w14:textId="4799A85B" w:rsidR="00027A56" w:rsidRDefault="00027A56" w:rsidP="00027A56">
                  <w:pPr>
                    <w:pStyle w:val="TableBodyText"/>
                  </w:pPr>
                  <w:r>
                    <w:t xml:space="preserve"> 0.3</w:t>
                  </w:r>
                </w:p>
              </w:tc>
              <w:tc>
                <w:tcPr>
                  <w:tcW w:w="637" w:type="dxa"/>
                  <w:vAlign w:val="bottom"/>
                </w:tcPr>
                <w:p w14:paraId="7864AC00" w14:textId="6CDC7ADB" w:rsidR="00027A56" w:rsidRDefault="00027A56" w:rsidP="00027A56">
                  <w:pPr>
                    <w:pStyle w:val="TableBodyText"/>
                  </w:pPr>
                  <w:r>
                    <w:t xml:space="preserve"> 0.2</w:t>
                  </w:r>
                </w:p>
              </w:tc>
              <w:tc>
                <w:tcPr>
                  <w:tcW w:w="622" w:type="dxa"/>
                  <w:vAlign w:val="bottom"/>
                </w:tcPr>
                <w:p w14:paraId="49276F17" w14:textId="61620E8E" w:rsidR="00027A56" w:rsidRDefault="00027A56" w:rsidP="00027A56">
                  <w:pPr>
                    <w:pStyle w:val="TableBodyText"/>
                  </w:pPr>
                  <w:r>
                    <w:t xml:space="preserve"> 0.7</w:t>
                  </w:r>
                </w:p>
              </w:tc>
              <w:tc>
                <w:tcPr>
                  <w:tcW w:w="700" w:type="dxa"/>
                  <w:vAlign w:val="bottom"/>
                </w:tcPr>
                <w:p w14:paraId="08DD9F33" w14:textId="09D5461D" w:rsidR="00027A56" w:rsidRDefault="00027A56" w:rsidP="00027A56">
                  <w:pPr>
                    <w:pStyle w:val="TableBodyText"/>
                  </w:pPr>
                  <w:r>
                    <w:t>..</w:t>
                  </w:r>
                </w:p>
              </w:tc>
              <w:tc>
                <w:tcPr>
                  <w:tcW w:w="678" w:type="dxa"/>
                  <w:vAlign w:val="bottom"/>
                </w:tcPr>
                <w:p w14:paraId="393112D6" w14:textId="55EF88EC" w:rsidR="00027A56" w:rsidRDefault="00027A56" w:rsidP="00555A70">
                  <w:pPr>
                    <w:pStyle w:val="TableBodyText"/>
                    <w:ind w:right="0"/>
                  </w:pPr>
                  <w:r>
                    <w:t xml:space="preserve"> 0.2</w:t>
                  </w:r>
                </w:p>
              </w:tc>
            </w:tr>
            <w:tr w:rsidR="00027A56" w:rsidRPr="00332883" w14:paraId="564A6088" w14:textId="77777777" w:rsidTr="00027A56">
              <w:tc>
                <w:tcPr>
                  <w:tcW w:w="1918" w:type="dxa"/>
                </w:tcPr>
                <w:p w14:paraId="35166794" w14:textId="77777777" w:rsidR="00027A56" w:rsidRPr="00607D34" w:rsidRDefault="00027A56" w:rsidP="00027A56">
                  <w:pPr>
                    <w:pStyle w:val="TableBodyText"/>
                    <w:spacing w:before="40"/>
                    <w:jc w:val="left"/>
                  </w:pPr>
                  <w:r w:rsidRPr="00607D34">
                    <w:t>Family</w:t>
                  </w:r>
                </w:p>
              </w:tc>
              <w:tc>
                <w:tcPr>
                  <w:tcW w:w="587" w:type="dxa"/>
                  <w:vAlign w:val="bottom"/>
                </w:tcPr>
                <w:p w14:paraId="37906485" w14:textId="61649D06" w:rsidR="00027A56" w:rsidRDefault="00027A56" w:rsidP="00027A56">
                  <w:pPr>
                    <w:pStyle w:val="TableBodyText"/>
                  </w:pPr>
                  <w:r>
                    <w:t>..</w:t>
                  </w:r>
                </w:p>
              </w:tc>
              <w:tc>
                <w:tcPr>
                  <w:tcW w:w="689" w:type="dxa"/>
                  <w:vAlign w:val="bottom"/>
                </w:tcPr>
                <w:p w14:paraId="396D0E4B" w14:textId="6BE8E078" w:rsidR="00027A56" w:rsidRDefault="00027A56" w:rsidP="00027A56">
                  <w:pPr>
                    <w:pStyle w:val="TableBodyText"/>
                  </w:pPr>
                  <w:r>
                    <w:t>..</w:t>
                  </w:r>
                </w:p>
              </w:tc>
              <w:tc>
                <w:tcPr>
                  <w:tcW w:w="634" w:type="dxa"/>
                  <w:vAlign w:val="bottom"/>
                </w:tcPr>
                <w:p w14:paraId="27CA3421" w14:textId="5FF84E02" w:rsidR="00027A56" w:rsidRDefault="00027A56" w:rsidP="00027A56">
                  <w:pPr>
                    <w:pStyle w:val="TableBodyText"/>
                  </w:pPr>
                  <w:r>
                    <w:t>..</w:t>
                  </w:r>
                </w:p>
              </w:tc>
              <w:tc>
                <w:tcPr>
                  <w:tcW w:w="627" w:type="dxa"/>
                  <w:vAlign w:val="bottom"/>
                </w:tcPr>
                <w:p w14:paraId="133EAA83" w14:textId="53D58AA7" w:rsidR="00027A56" w:rsidRDefault="00027A56" w:rsidP="00027A56">
                  <w:pPr>
                    <w:pStyle w:val="TableBodyText"/>
                  </w:pPr>
                  <w:r>
                    <w:t xml:space="preserve"> 0.6</w:t>
                  </w:r>
                </w:p>
              </w:tc>
              <w:tc>
                <w:tcPr>
                  <w:tcW w:w="622" w:type="dxa"/>
                  <w:vAlign w:val="bottom"/>
                </w:tcPr>
                <w:p w14:paraId="662012DE" w14:textId="42350009" w:rsidR="00027A56" w:rsidRDefault="00027A56" w:rsidP="00027A56">
                  <w:pPr>
                    <w:pStyle w:val="TableBodyText"/>
                  </w:pPr>
                  <w:r>
                    <w:t>..</w:t>
                  </w:r>
                </w:p>
              </w:tc>
              <w:tc>
                <w:tcPr>
                  <w:tcW w:w="627" w:type="dxa"/>
                  <w:vAlign w:val="bottom"/>
                </w:tcPr>
                <w:p w14:paraId="7780C016" w14:textId="064F2B2C" w:rsidR="00027A56" w:rsidRDefault="00027A56" w:rsidP="00027A56">
                  <w:pPr>
                    <w:pStyle w:val="TableBodyText"/>
                  </w:pPr>
                  <w:r>
                    <w:t>..</w:t>
                  </w:r>
                </w:p>
              </w:tc>
              <w:tc>
                <w:tcPr>
                  <w:tcW w:w="637" w:type="dxa"/>
                  <w:vAlign w:val="bottom"/>
                </w:tcPr>
                <w:p w14:paraId="21560C59" w14:textId="2637D88E" w:rsidR="00027A56" w:rsidRDefault="00027A56" w:rsidP="00027A56">
                  <w:pPr>
                    <w:pStyle w:val="TableBodyText"/>
                  </w:pPr>
                  <w:r>
                    <w:t>..</w:t>
                  </w:r>
                </w:p>
              </w:tc>
              <w:tc>
                <w:tcPr>
                  <w:tcW w:w="622" w:type="dxa"/>
                  <w:vAlign w:val="bottom"/>
                </w:tcPr>
                <w:p w14:paraId="7D246BA6" w14:textId="477B8173" w:rsidR="00027A56" w:rsidRDefault="00027A56" w:rsidP="00027A56">
                  <w:pPr>
                    <w:pStyle w:val="TableBodyText"/>
                  </w:pPr>
                  <w:r>
                    <w:t>..</w:t>
                  </w:r>
                </w:p>
              </w:tc>
              <w:tc>
                <w:tcPr>
                  <w:tcW w:w="700" w:type="dxa"/>
                  <w:vAlign w:val="bottom"/>
                </w:tcPr>
                <w:p w14:paraId="7942BDC8" w14:textId="6821E5A7" w:rsidR="00027A56" w:rsidRDefault="00027A56" w:rsidP="00027A56">
                  <w:pPr>
                    <w:pStyle w:val="TableBodyText"/>
                  </w:pPr>
                  <w:r>
                    <w:t xml:space="preserve"> 0.1</w:t>
                  </w:r>
                </w:p>
              </w:tc>
              <w:tc>
                <w:tcPr>
                  <w:tcW w:w="678" w:type="dxa"/>
                  <w:vAlign w:val="bottom"/>
                </w:tcPr>
                <w:p w14:paraId="107792E0" w14:textId="77741F71" w:rsidR="00027A56" w:rsidRDefault="00027A56" w:rsidP="00555A70">
                  <w:pPr>
                    <w:pStyle w:val="TableBodyText"/>
                    <w:ind w:right="0"/>
                  </w:pPr>
                  <w:r>
                    <w:t xml:space="preserve"> 0.2</w:t>
                  </w:r>
                </w:p>
              </w:tc>
            </w:tr>
            <w:tr w:rsidR="00027A56" w:rsidRPr="00332883" w14:paraId="31D50654" w14:textId="77777777" w:rsidTr="00027A56">
              <w:tc>
                <w:tcPr>
                  <w:tcW w:w="1918" w:type="dxa"/>
                </w:tcPr>
                <w:p w14:paraId="7E663458" w14:textId="77777777" w:rsidR="00027A56" w:rsidRPr="00607D34" w:rsidRDefault="00027A56" w:rsidP="00027A56">
                  <w:pPr>
                    <w:pStyle w:val="TableBodyText"/>
                    <w:spacing w:before="40"/>
                    <w:jc w:val="left"/>
                  </w:pPr>
                  <w:r>
                    <w:t>Federal Circuit</w:t>
                  </w:r>
                  <w:r w:rsidRPr="00607D34">
                    <w:t xml:space="preserve"> </w:t>
                  </w:r>
                </w:p>
              </w:tc>
              <w:tc>
                <w:tcPr>
                  <w:tcW w:w="587" w:type="dxa"/>
                  <w:vAlign w:val="bottom"/>
                </w:tcPr>
                <w:p w14:paraId="31F3063C" w14:textId="3CE721D8" w:rsidR="00027A56" w:rsidRDefault="00027A56" w:rsidP="00027A56">
                  <w:pPr>
                    <w:pStyle w:val="TableBodyText"/>
                  </w:pPr>
                  <w:r>
                    <w:t>..</w:t>
                  </w:r>
                </w:p>
              </w:tc>
              <w:tc>
                <w:tcPr>
                  <w:tcW w:w="689" w:type="dxa"/>
                  <w:vAlign w:val="bottom"/>
                </w:tcPr>
                <w:p w14:paraId="534305C9" w14:textId="0A0A359C" w:rsidR="00027A56" w:rsidRDefault="00027A56" w:rsidP="00027A56">
                  <w:pPr>
                    <w:pStyle w:val="TableBodyText"/>
                  </w:pPr>
                  <w:r>
                    <w:t>..</w:t>
                  </w:r>
                </w:p>
              </w:tc>
              <w:tc>
                <w:tcPr>
                  <w:tcW w:w="634" w:type="dxa"/>
                  <w:vAlign w:val="bottom"/>
                </w:tcPr>
                <w:p w14:paraId="4D41CFA1" w14:textId="44B768DB" w:rsidR="00027A56" w:rsidRDefault="00027A56" w:rsidP="00027A56">
                  <w:pPr>
                    <w:pStyle w:val="TableBodyText"/>
                  </w:pPr>
                  <w:r>
                    <w:t>..</w:t>
                  </w:r>
                </w:p>
              </w:tc>
              <w:tc>
                <w:tcPr>
                  <w:tcW w:w="627" w:type="dxa"/>
                  <w:vAlign w:val="bottom"/>
                </w:tcPr>
                <w:p w14:paraId="70C724A2" w14:textId="4B3E6277" w:rsidR="00027A56" w:rsidRDefault="00027A56" w:rsidP="00027A56">
                  <w:pPr>
                    <w:pStyle w:val="TableBodyText"/>
                  </w:pPr>
                  <w:r>
                    <w:t>..</w:t>
                  </w:r>
                </w:p>
              </w:tc>
              <w:tc>
                <w:tcPr>
                  <w:tcW w:w="622" w:type="dxa"/>
                  <w:vAlign w:val="bottom"/>
                </w:tcPr>
                <w:p w14:paraId="22D55031" w14:textId="33543EF5" w:rsidR="00027A56" w:rsidRDefault="00027A56" w:rsidP="00027A56">
                  <w:pPr>
                    <w:pStyle w:val="TableBodyText"/>
                  </w:pPr>
                  <w:r>
                    <w:t>..</w:t>
                  </w:r>
                </w:p>
              </w:tc>
              <w:tc>
                <w:tcPr>
                  <w:tcW w:w="627" w:type="dxa"/>
                  <w:vAlign w:val="bottom"/>
                </w:tcPr>
                <w:p w14:paraId="6C722CA8" w14:textId="41FFFAAC" w:rsidR="00027A56" w:rsidRDefault="00027A56" w:rsidP="00027A56">
                  <w:pPr>
                    <w:pStyle w:val="TableBodyText"/>
                  </w:pPr>
                  <w:r>
                    <w:t>..</w:t>
                  </w:r>
                </w:p>
              </w:tc>
              <w:tc>
                <w:tcPr>
                  <w:tcW w:w="637" w:type="dxa"/>
                  <w:vAlign w:val="bottom"/>
                </w:tcPr>
                <w:p w14:paraId="73282675" w14:textId="14405EC5" w:rsidR="00027A56" w:rsidRDefault="00027A56" w:rsidP="00027A56">
                  <w:pPr>
                    <w:pStyle w:val="TableBodyText"/>
                  </w:pPr>
                  <w:r>
                    <w:t>..</w:t>
                  </w:r>
                </w:p>
              </w:tc>
              <w:tc>
                <w:tcPr>
                  <w:tcW w:w="622" w:type="dxa"/>
                  <w:vAlign w:val="bottom"/>
                </w:tcPr>
                <w:p w14:paraId="66585967" w14:textId="04806D95" w:rsidR="00027A56" w:rsidRDefault="00027A56" w:rsidP="00027A56">
                  <w:pPr>
                    <w:pStyle w:val="TableBodyText"/>
                  </w:pPr>
                  <w:r>
                    <w:t>..</w:t>
                  </w:r>
                </w:p>
              </w:tc>
              <w:tc>
                <w:tcPr>
                  <w:tcW w:w="700" w:type="dxa"/>
                  <w:vAlign w:val="bottom"/>
                </w:tcPr>
                <w:p w14:paraId="666AAAD8" w14:textId="4DF8A194" w:rsidR="00027A56" w:rsidRDefault="00027A56" w:rsidP="00027A56">
                  <w:pPr>
                    <w:pStyle w:val="TableBodyText"/>
                  </w:pPr>
                  <w:r>
                    <w:t xml:space="preserve"> 0.3</w:t>
                  </w:r>
                </w:p>
              </w:tc>
              <w:tc>
                <w:tcPr>
                  <w:tcW w:w="678" w:type="dxa"/>
                  <w:vAlign w:val="bottom"/>
                </w:tcPr>
                <w:p w14:paraId="252905EC" w14:textId="565B8A4C" w:rsidR="00027A56" w:rsidRDefault="00027A56" w:rsidP="00555A70">
                  <w:pPr>
                    <w:pStyle w:val="TableBodyText"/>
                    <w:ind w:right="0"/>
                  </w:pPr>
                  <w:r>
                    <w:t xml:space="preserve"> 0.3</w:t>
                  </w:r>
                </w:p>
              </w:tc>
            </w:tr>
            <w:tr w:rsidR="00027A56" w:rsidRPr="00332883" w14:paraId="372B58F3" w14:textId="77777777" w:rsidTr="00027A56">
              <w:tc>
                <w:tcPr>
                  <w:tcW w:w="1918" w:type="dxa"/>
                </w:tcPr>
                <w:p w14:paraId="546084F4" w14:textId="77777777" w:rsidR="00027A56" w:rsidRPr="00607D34" w:rsidRDefault="00027A56" w:rsidP="00027A56">
                  <w:pPr>
                    <w:pStyle w:val="TableBodyText"/>
                    <w:spacing w:before="40"/>
                    <w:jc w:val="left"/>
                  </w:pPr>
                  <w:r w:rsidRPr="00607D34">
                    <w:t>Coroners</w:t>
                  </w:r>
                </w:p>
              </w:tc>
              <w:tc>
                <w:tcPr>
                  <w:tcW w:w="587" w:type="dxa"/>
                  <w:vAlign w:val="bottom"/>
                </w:tcPr>
                <w:p w14:paraId="15D96693" w14:textId="10D57628" w:rsidR="00027A56" w:rsidRDefault="00027A56" w:rsidP="00027A56">
                  <w:pPr>
                    <w:pStyle w:val="TableBodyText"/>
                  </w:pPr>
                  <w:r>
                    <w:t xml:space="preserve"> 0.1</w:t>
                  </w:r>
                </w:p>
              </w:tc>
              <w:tc>
                <w:tcPr>
                  <w:tcW w:w="689" w:type="dxa"/>
                  <w:vAlign w:val="bottom"/>
                </w:tcPr>
                <w:p w14:paraId="5040D863" w14:textId="68228943" w:rsidR="00027A56" w:rsidRDefault="00027A56" w:rsidP="00027A56">
                  <w:pPr>
                    <w:pStyle w:val="TableBodyText"/>
                  </w:pPr>
                  <w:r>
                    <w:t xml:space="preserve"> 0.1</w:t>
                  </w:r>
                </w:p>
              </w:tc>
              <w:tc>
                <w:tcPr>
                  <w:tcW w:w="634" w:type="dxa"/>
                  <w:vAlign w:val="bottom"/>
                </w:tcPr>
                <w:p w14:paraId="62BA36A3" w14:textId="0FF8BA0A" w:rsidR="00027A56" w:rsidRDefault="00027A56" w:rsidP="00027A56">
                  <w:pPr>
                    <w:pStyle w:val="TableBodyText"/>
                  </w:pPr>
                  <w:r>
                    <w:t xml:space="preserve"> 0.2</w:t>
                  </w:r>
                </w:p>
              </w:tc>
              <w:tc>
                <w:tcPr>
                  <w:tcW w:w="627" w:type="dxa"/>
                  <w:vAlign w:val="bottom"/>
                </w:tcPr>
                <w:p w14:paraId="1CCF01E7" w14:textId="5405DE49" w:rsidR="00027A56" w:rsidRDefault="00027A56" w:rsidP="00027A56">
                  <w:pPr>
                    <w:pStyle w:val="TableBodyText"/>
                  </w:pPr>
                  <w:r>
                    <w:t xml:space="preserve"> 0.2</w:t>
                  </w:r>
                </w:p>
              </w:tc>
              <w:tc>
                <w:tcPr>
                  <w:tcW w:w="622" w:type="dxa"/>
                  <w:vAlign w:val="bottom"/>
                </w:tcPr>
                <w:p w14:paraId="4C88C9F8" w14:textId="002D6965" w:rsidR="00027A56" w:rsidRDefault="00027A56" w:rsidP="00027A56">
                  <w:pPr>
                    <w:pStyle w:val="TableBodyText"/>
                  </w:pPr>
                  <w:r>
                    <w:t xml:space="preserve"> 0.1</w:t>
                  </w:r>
                </w:p>
              </w:tc>
              <w:tc>
                <w:tcPr>
                  <w:tcW w:w="627" w:type="dxa"/>
                  <w:vAlign w:val="bottom"/>
                </w:tcPr>
                <w:p w14:paraId="36B8FAC6" w14:textId="6930F71E" w:rsidR="00027A56" w:rsidRDefault="00027A56" w:rsidP="00027A56">
                  <w:pPr>
                    <w:pStyle w:val="TableBodyText"/>
                  </w:pPr>
                  <w:r>
                    <w:t xml:space="preserve"> 0.5</w:t>
                  </w:r>
                </w:p>
              </w:tc>
              <w:tc>
                <w:tcPr>
                  <w:tcW w:w="637" w:type="dxa"/>
                  <w:vAlign w:val="bottom"/>
                </w:tcPr>
                <w:p w14:paraId="717942F0" w14:textId="46C7643C" w:rsidR="00027A56" w:rsidRPr="00443328" w:rsidRDefault="00C15653" w:rsidP="00027A56">
                  <w:pPr>
                    <w:pStyle w:val="TableBodyText"/>
                  </w:pPr>
                  <w:r>
                    <w:t xml:space="preserve"> </w:t>
                  </w:r>
                  <w:r>
                    <w:rPr>
                      <w:color w:val="000000" w:themeColor="text1"/>
                    </w:rPr>
                    <w:t>–</w:t>
                  </w:r>
                </w:p>
              </w:tc>
              <w:tc>
                <w:tcPr>
                  <w:tcW w:w="622" w:type="dxa"/>
                  <w:vAlign w:val="bottom"/>
                </w:tcPr>
                <w:p w14:paraId="5409D631" w14:textId="0FF338EE" w:rsidR="00027A56" w:rsidRDefault="00027A56" w:rsidP="00027A56">
                  <w:pPr>
                    <w:pStyle w:val="TableBodyText"/>
                  </w:pPr>
                  <w:r>
                    <w:t xml:space="preserve"> 0.6</w:t>
                  </w:r>
                </w:p>
              </w:tc>
              <w:tc>
                <w:tcPr>
                  <w:tcW w:w="700" w:type="dxa"/>
                  <w:vAlign w:val="bottom"/>
                </w:tcPr>
                <w:p w14:paraId="186AE9F3" w14:textId="00DBB7AA" w:rsidR="00027A56" w:rsidRDefault="00027A56" w:rsidP="00027A56">
                  <w:pPr>
                    <w:pStyle w:val="TableBodyText"/>
                  </w:pPr>
                  <w:r>
                    <w:t>..</w:t>
                  </w:r>
                </w:p>
              </w:tc>
              <w:tc>
                <w:tcPr>
                  <w:tcW w:w="678" w:type="dxa"/>
                  <w:vAlign w:val="bottom"/>
                </w:tcPr>
                <w:p w14:paraId="589DC214" w14:textId="0821A6E3" w:rsidR="00027A56" w:rsidRDefault="00027A56" w:rsidP="00555A70">
                  <w:pPr>
                    <w:pStyle w:val="TableBodyText"/>
                    <w:ind w:right="0"/>
                  </w:pPr>
                  <w:r>
                    <w:t xml:space="preserve"> 0.1</w:t>
                  </w:r>
                </w:p>
              </w:tc>
            </w:tr>
            <w:tr w:rsidR="00027A56" w:rsidRPr="00D02C98" w14:paraId="02B9CE56" w14:textId="77777777" w:rsidTr="00027A56">
              <w:tc>
                <w:tcPr>
                  <w:tcW w:w="1918" w:type="dxa"/>
                  <w:tcBorders>
                    <w:bottom w:val="single" w:sz="6" w:space="0" w:color="BFBFBF"/>
                  </w:tcBorders>
                </w:tcPr>
                <w:p w14:paraId="15003A65" w14:textId="77777777" w:rsidR="00027A56" w:rsidRPr="008925AF" w:rsidRDefault="00027A56" w:rsidP="00027A56">
                  <w:pPr>
                    <w:pStyle w:val="TableBodyText"/>
                    <w:spacing w:before="40"/>
                    <w:jc w:val="left"/>
                    <w:rPr>
                      <w:rStyle w:val="NoteLabel"/>
                    </w:rPr>
                  </w:pPr>
                  <w:r w:rsidRPr="00D02C98">
                    <w:rPr>
                      <w:b/>
                    </w:rPr>
                    <w:t>Total</w:t>
                  </w:r>
                </w:p>
              </w:tc>
              <w:tc>
                <w:tcPr>
                  <w:tcW w:w="587" w:type="dxa"/>
                  <w:tcBorders>
                    <w:bottom w:val="single" w:sz="6" w:space="0" w:color="BFBFBF"/>
                  </w:tcBorders>
                  <w:vAlign w:val="bottom"/>
                </w:tcPr>
                <w:p w14:paraId="44CCFF8B" w14:textId="0E0C19CD" w:rsidR="00027A56" w:rsidRPr="00000EB2" w:rsidRDefault="00027A56" w:rsidP="00027A56">
                  <w:pPr>
                    <w:pStyle w:val="TableBodyText"/>
                    <w:rPr>
                      <w:b/>
                    </w:rPr>
                  </w:pPr>
                  <w:r w:rsidRPr="00000EB2">
                    <w:rPr>
                      <w:b/>
                    </w:rPr>
                    <w:t xml:space="preserve"> 3.5</w:t>
                  </w:r>
                </w:p>
              </w:tc>
              <w:tc>
                <w:tcPr>
                  <w:tcW w:w="689" w:type="dxa"/>
                  <w:tcBorders>
                    <w:bottom w:val="single" w:sz="6" w:space="0" w:color="BFBFBF"/>
                  </w:tcBorders>
                  <w:vAlign w:val="bottom"/>
                </w:tcPr>
                <w:p w14:paraId="077462F2" w14:textId="01468975" w:rsidR="00027A56" w:rsidRPr="00000EB2" w:rsidRDefault="00027A56" w:rsidP="00027A56">
                  <w:pPr>
                    <w:pStyle w:val="TableBodyText"/>
                    <w:rPr>
                      <w:b/>
                    </w:rPr>
                  </w:pPr>
                  <w:r w:rsidRPr="00000EB2">
                    <w:rPr>
                      <w:b/>
                    </w:rPr>
                    <w:t xml:space="preserve"> 4.1</w:t>
                  </w:r>
                </w:p>
              </w:tc>
              <w:tc>
                <w:tcPr>
                  <w:tcW w:w="634" w:type="dxa"/>
                  <w:tcBorders>
                    <w:bottom w:val="single" w:sz="6" w:space="0" w:color="BFBFBF"/>
                  </w:tcBorders>
                  <w:vAlign w:val="bottom"/>
                </w:tcPr>
                <w:p w14:paraId="1704A386" w14:textId="0A13FD46" w:rsidR="00027A56" w:rsidRPr="00000EB2" w:rsidRDefault="00027A56" w:rsidP="00027A56">
                  <w:pPr>
                    <w:pStyle w:val="TableBodyText"/>
                    <w:rPr>
                      <w:b/>
                    </w:rPr>
                  </w:pPr>
                  <w:r w:rsidRPr="00000EB2">
                    <w:rPr>
                      <w:b/>
                    </w:rPr>
                    <w:t xml:space="preserve"> 3.3</w:t>
                  </w:r>
                </w:p>
              </w:tc>
              <w:tc>
                <w:tcPr>
                  <w:tcW w:w="627" w:type="dxa"/>
                  <w:tcBorders>
                    <w:bottom w:val="single" w:sz="6" w:space="0" w:color="BFBFBF"/>
                  </w:tcBorders>
                  <w:vAlign w:val="bottom"/>
                </w:tcPr>
                <w:p w14:paraId="28021BB4" w14:textId="3BE82542" w:rsidR="00027A56" w:rsidRPr="00000EB2" w:rsidRDefault="00027A56" w:rsidP="00027A56">
                  <w:pPr>
                    <w:pStyle w:val="TableBodyText"/>
                    <w:rPr>
                      <w:b/>
                    </w:rPr>
                  </w:pPr>
                  <w:r w:rsidRPr="00000EB2">
                    <w:rPr>
                      <w:b/>
                    </w:rPr>
                    <w:t xml:space="preserve"> 4.7</w:t>
                  </w:r>
                </w:p>
              </w:tc>
              <w:tc>
                <w:tcPr>
                  <w:tcW w:w="622" w:type="dxa"/>
                  <w:tcBorders>
                    <w:bottom w:val="single" w:sz="6" w:space="0" w:color="BFBFBF"/>
                  </w:tcBorders>
                  <w:vAlign w:val="bottom"/>
                </w:tcPr>
                <w:p w14:paraId="73EDA1ED" w14:textId="53EA32DC" w:rsidR="00027A56" w:rsidRPr="00000EB2" w:rsidRDefault="00027A56" w:rsidP="00027A56">
                  <w:pPr>
                    <w:pStyle w:val="TableBodyText"/>
                    <w:rPr>
                      <w:b/>
                    </w:rPr>
                  </w:pPr>
                  <w:r w:rsidRPr="00000EB2">
                    <w:rPr>
                      <w:b/>
                    </w:rPr>
                    <w:t xml:space="preserve"> 4.2</w:t>
                  </w:r>
                </w:p>
              </w:tc>
              <w:tc>
                <w:tcPr>
                  <w:tcW w:w="627" w:type="dxa"/>
                  <w:tcBorders>
                    <w:bottom w:val="single" w:sz="6" w:space="0" w:color="BFBFBF"/>
                  </w:tcBorders>
                  <w:vAlign w:val="bottom"/>
                </w:tcPr>
                <w:p w14:paraId="7E6A039F" w14:textId="5AAE129D" w:rsidR="00027A56" w:rsidRPr="00000EB2" w:rsidRDefault="00027A56" w:rsidP="00027A56">
                  <w:pPr>
                    <w:pStyle w:val="TableBodyText"/>
                    <w:rPr>
                      <w:b/>
                    </w:rPr>
                  </w:pPr>
                  <w:r w:rsidRPr="00000EB2">
                    <w:rPr>
                      <w:b/>
                    </w:rPr>
                    <w:t xml:space="preserve"> 4.2</w:t>
                  </w:r>
                </w:p>
              </w:tc>
              <w:tc>
                <w:tcPr>
                  <w:tcW w:w="637" w:type="dxa"/>
                  <w:tcBorders>
                    <w:bottom w:val="single" w:sz="6" w:space="0" w:color="BFBFBF"/>
                  </w:tcBorders>
                  <w:vAlign w:val="bottom"/>
                </w:tcPr>
                <w:p w14:paraId="4419D4C9" w14:textId="630CF211" w:rsidR="00027A56" w:rsidRPr="00000EB2" w:rsidRDefault="00027A56" w:rsidP="00027A56">
                  <w:pPr>
                    <w:pStyle w:val="TableBodyText"/>
                    <w:rPr>
                      <w:b/>
                    </w:rPr>
                  </w:pPr>
                  <w:r w:rsidRPr="00000EB2">
                    <w:rPr>
                      <w:b/>
                    </w:rPr>
                    <w:t xml:space="preserve"> 3.6</w:t>
                  </w:r>
                </w:p>
              </w:tc>
              <w:tc>
                <w:tcPr>
                  <w:tcW w:w="622" w:type="dxa"/>
                  <w:tcBorders>
                    <w:bottom w:val="single" w:sz="6" w:space="0" w:color="BFBFBF"/>
                  </w:tcBorders>
                  <w:vAlign w:val="bottom"/>
                </w:tcPr>
                <w:p w14:paraId="2E04FDC2" w14:textId="02AF58A3" w:rsidR="00027A56" w:rsidRPr="00000EB2" w:rsidRDefault="00027A56" w:rsidP="00027A56">
                  <w:pPr>
                    <w:pStyle w:val="TableBodyText"/>
                    <w:rPr>
                      <w:b/>
                    </w:rPr>
                  </w:pPr>
                  <w:r w:rsidRPr="00000EB2">
                    <w:rPr>
                      <w:b/>
                    </w:rPr>
                    <w:t xml:space="preserve"> 10.6</w:t>
                  </w:r>
                </w:p>
              </w:tc>
              <w:tc>
                <w:tcPr>
                  <w:tcW w:w="700" w:type="dxa"/>
                  <w:tcBorders>
                    <w:bottom w:val="single" w:sz="6" w:space="0" w:color="BFBFBF"/>
                  </w:tcBorders>
                  <w:vAlign w:val="bottom"/>
                </w:tcPr>
                <w:p w14:paraId="1087D40C" w14:textId="1BE80C41" w:rsidR="00027A56" w:rsidRPr="00000EB2" w:rsidRDefault="00027A56" w:rsidP="00027A56">
                  <w:pPr>
                    <w:pStyle w:val="TableBodyText"/>
                    <w:rPr>
                      <w:b/>
                    </w:rPr>
                  </w:pPr>
                  <w:r w:rsidRPr="00000EB2">
                    <w:rPr>
                      <w:b/>
                    </w:rPr>
                    <w:t xml:space="preserve"> 0.6</w:t>
                  </w:r>
                </w:p>
              </w:tc>
              <w:tc>
                <w:tcPr>
                  <w:tcW w:w="678" w:type="dxa"/>
                  <w:tcBorders>
                    <w:bottom w:val="single" w:sz="6" w:space="0" w:color="BFBFBF"/>
                  </w:tcBorders>
                  <w:vAlign w:val="bottom"/>
                </w:tcPr>
                <w:p w14:paraId="45DE784C" w14:textId="302AE572" w:rsidR="00027A56" w:rsidRPr="00000EB2" w:rsidRDefault="00027A56" w:rsidP="00555A70">
                  <w:pPr>
                    <w:pStyle w:val="TableBodyText"/>
                    <w:ind w:right="0"/>
                    <w:rPr>
                      <w:b/>
                    </w:rPr>
                  </w:pPr>
                  <w:r w:rsidRPr="00000EB2">
                    <w:rPr>
                      <w:b/>
                    </w:rPr>
                    <w:t xml:space="preserve"> 4.4</w:t>
                  </w:r>
                </w:p>
              </w:tc>
            </w:tr>
          </w:tbl>
          <w:p w14:paraId="2D2D5ABD" w14:textId="77777777" w:rsidR="009D3F9F" w:rsidRDefault="009D3F9F" w:rsidP="00B53D55">
            <w:pPr>
              <w:pStyle w:val="Box"/>
            </w:pPr>
          </w:p>
        </w:tc>
      </w:tr>
      <w:tr w:rsidR="009D3F9F" w14:paraId="5C8F62D3" w14:textId="77777777" w:rsidTr="00403101">
        <w:trPr>
          <w:cantSplit/>
        </w:trPr>
        <w:tc>
          <w:tcPr>
            <w:tcW w:w="8789" w:type="dxa"/>
            <w:tcBorders>
              <w:top w:val="nil"/>
              <w:left w:val="nil"/>
              <w:bottom w:val="nil"/>
              <w:right w:val="nil"/>
            </w:tcBorders>
            <w:shd w:val="clear" w:color="auto" w:fill="auto"/>
          </w:tcPr>
          <w:p w14:paraId="2B079297" w14:textId="0A9C5C28" w:rsidR="009D3F9F" w:rsidRPr="001C28C5" w:rsidRDefault="009D3F9F">
            <w:pPr>
              <w:pStyle w:val="Note"/>
            </w:pPr>
            <w:r w:rsidRPr="00C1080E">
              <w:rPr>
                <w:rStyle w:val="NoteLabel"/>
              </w:rPr>
              <w:t>a </w:t>
            </w:r>
            <w:r>
              <w:t>Population data for the financial year is the midpoint (31 December) estimate</w:t>
            </w:r>
            <w:r w:rsidR="00BB081A">
              <w:t xml:space="preserve"> </w:t>
            </w:r>
            <w:r w:rsidR="00BB081A" w:rsidRPr="00C6653C">
              <w:t>based on the 2016 Census</w:t>
            </w:r>
            <w:r>
              <w:t xml:space="preserve">. </w:t>
            </w:r>
            <w:r>
              <w:rPr>
                <w:rStyle w:val="NoteLabel"/>
              </w:rPr>
              <w:t>b</w:t>
            </w:r>
            <w:r w:rsidRPr="00C1080E">
              <w:rPr>
                <w:rStyle w:val="NoteLabel"/>
              </w:rPr>
              <w:t> </w:t>
            </w:r>
            <w:r w:rsidR="00B80B89">
              <w:t>See box 7.</w:t>
            </w:r>
            <w:r w:rsidR="001C209A">
              <w:t>3</w:t>
            </w:r>
            <w:r w:rsidR="00D50A13">
              <w:t xml:space="preserve"> and table 7A.24</w:t>
            </w:r>
            <w:r w:rsidRPr="00187558">
              <w:t xml:space="preserve"> for detailed definitions, footnotes and caveats</w:t>
            </w:r>
            <w:r>
              <w:t xml:space="preserve">. </w:t>
            </w:r>
            <w:r w:rsidRPr="008D05CD">
              <w:t>..</w:t>
            </w:r>
            <w:r>
              <w:rPr>
                <w:b/>
              </w:rPr>
              <w:t> </w:t>
            </w:r>
            <w:r w:rsidRPr="00E92ADD">
              <w:t>Not</w:t>
            </w:r>
            <w:r>
              <w:t> applicable.</w:t>
            </w:r>
            <w:r w:rsidR="00BD6A71">
              <w:t xml:space="preserve"> – Nil or rounded to zero.</w:t>
            </w:r>
          </w:p>
        </w:tc>
      </w:tr>
      <w:tr w:rsidR="009D3F9F" w14:paraId="3DF6300D" w14:textId="77777777" w:rsidTr="00403101">
        <w:trPr>
          <w:cantSplit/>
        </w:trPr>
        <w:tc>
          <w:tcPr>
            <w:tcW w:w="8789" w:type="dxa"/>
            <w:tcBorders>
              <w:top w:val="nil"/>
              <w:left w:val="nil"/>
              <w:bottom w:val="nil"/>
              <w:right w:val="nil"/>
            </w:tcBorders>
            <w:shd w:val="clear" w:color="auto" w:fill="auto"/>
          </w:tcPr>
          <w:p w14:paraId="03CF2CCC" w14:textId="407BA789" w:rsidR="009D3F9F" w:rsidRDefault="009D3F9F" w:rsidP="00B53D55">
            <w:pPr>
              <w:pStyle w:val="Source"/>
            </w:pPr>
            <w:r>
              <w:rPr>
                <w:i/>
              </w:rPr>
              <w:t>Source</w:t>
            </w:r>
            <w:r w:rsidRPr="00AF5D20">
              <w:t>:</w:t>
            </w:r>
            <w:r>
              <w:rPr>
                <w:i/>
              </w:rPr>
              <w:t xml:space="preserve"> </w:t>
            </w:r>
            <w:r w:rsidRPr="007B653B">
              <w:t>Australian, State and Territory court</w:t>
            </w:r>
            <w:r>
              <w:t xml:space="preserve"> authorities and</w:t>
            </w:r>
            <w:r w:rsidRPr="007B653B">
              <w:t xml:space="preserve"> de</w:t>
            </w:r>
            <w:r>
              <w:t>part</w:t>
            </w:r>
            <w:r w:rsidR="00D50A13">
              <w:t>ments (unpublished); table 7A.24</w:t>
            </w:r>
            <w:r>
              <w:t>.</w:t>
            </w:r>
          </w:p>
        </w:tc>
      </w:tr>
      <w:tr w:rsidR="00F23221" w14:paraId="1C0DB9AF" w14:textId="77777777" w:rsidTr="00403101">
        <w:trPr>
          <w:cantSplit/>
        </w:trPr>
        <w:tc>
          <w:tcPr>
            <w:tcW w:w="8789" w:type="dxa"/>
            <w:tcBorders>
              <w:top w:val="nil"/>
              <w:left w:val="nil"/>
              <w:bottom w:val="nil"/>
              <w:right w:val="nil"/>
            </w:tcBorders>
            <w:shd w:val="clear" w:color="auto" w:fill="auto"/>
          </w:tcPr>
          <w:p w14:paraId="129C9506" w14:textId="77777777" w:rsidR="00F23221" w:rsidRDefault="00F23221" w:rsidP="00BC4D5E">
            <w:pPr>
              <w:pStyle w:val="Box"/>
              <w:keepNext w:val="0"/>
              <w:spacing w:before="0" w:line="120" w:lineRule="exact"/>
              <w:rPr>
                <w:i/>
              </w:rPr>
            </w:pPr>
          </w:p>
        </w:tc>
      </w:tr>
      <w:tr w:rsidR="009D3F9F" w:rsidRPr="000863A5" w14:paraId="5B26FF3B" w14:textId="77777777" w:rsidTr="00403101">
        <w:tc>
          <w:tcPr>
            <w:tcW w:w="8789" w:type="dxa"/>
            <w:tcBorders>
              <w:top w:val="single" w:sz="6" w:space="0" w:color="78A22F" w:themeColor="accent1"/>
              <w:left w:val="nil"/>
              <w:bottom w:val="nil"/>
              <w:right w:val="nil"/>
            </w:tcBorders>
          </w:tcPr>
          <w:p w14:paraId="289E476E" w14:textId="77777777" w:rsidR="009D3F9F" w:rsidRPr="00626D32" w:rsidRDefault="009D3F9F" w:rsidP="00B53D55">
            <w:pPr>
              <w:pStyle w:val="BoxSpaceBelow"/>
            </w:pPr>
          </w:p>
        </w:tc>
      </w:tr>
    </w:tbl>
    <w:p w14:paraId="021A6416" w14:textId="77777777" w:rsidR="00CA1C7C" w:rsidRDefault="00CA1C7C" w:rsidP="00CA1C7C">
      <w:pPr>
        <w:pStyle w:val="Heading4"/>
      </w:pPr>
      <w:r>
        <w:t>Access — backlog</w:t>
      </w:r>
    </w:p>
    <w:p w14:paraId="497E57D0" w14:textId="530C7082" w:rsidR="00CA1C7C" w:rsidRDefault="00CA1C7C" w:rsidP="00CA1C7C">
      <w:pPr>
        <w:pStyle w:val="BodyText"/>
      </w:pPr>
      <w:r>
        <w:t>‘Backlog’ is an indicator of governments’ achievement against the objective of processing matters in an expeditious and timely manner (box 7.</w:t>
      </w:r>
      <w:r w:rsidR="001C209A">
        <w:t>4</w:t>
      </w:r>
      <w:r>
        <w:t xml:space="preserve">). </w:t>
      </w:r>
    </w:p>
    <w:p w14:paraId="4333F392" w14:textId="5E493DA4" w:rsidR="00403101" w:rsidRDefault="00403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07CFDAFA" w14:textId="77777777" w:rsidTr="00403101">
        <w:trPr>
          <w:tblHeader/>
        </w:trPr>
        <w:tc>
          <w:tcPr>
            <w:tcW w:w="5000" w:type="pct"/>
            <w:tcBorders>
              <w:top w:val="single" w:sz="6" w:space="0" w:color="78A22F"/>
              <w:left w:val="nil"/>
              <w:bottom w:val="nil"/>
              <w:right w:val="nil"/>
            </w:tcBorders>
            <w:shd w:val="clear" w:color="auto" w:fill="F2F2F2"/>
          </w:tcPr>
          <w:p w14:paraId="3B13F5F7" w14:textId="21D4E428" w:rsidR="00403101" w:rsidRDefault="00403101" w:rsidP="00403101">
            <w:pPr>
              <w:pStyle w:val="BoxTitle"/>
            </w:pPr>
            <w:r>
              <w:rPr>
                <w:b w:val="0"/>
              </w:rPr>
              <w:t>Box 7.4</w:t>
            </w:r>
            <w:r>
              <w:tab/>
            </w:r>
            <w:r w:rsidRPr="00B9314C">
              <w:t>Backlog</w:t>
            </w:r>
          </w:p>
        </w:tc>
      </w:tr>
      <w:tr w:rsidR="00403101" w14:paraId="2B163CC2" w14:textId="77777777" w:rsidTr="00403101">
        <w:tc>
          <w:tcPr>
            <w:tcW w:w="5000" w:type="pct"/>
            <w:tcBorders>
              <w:top w:val="nil"/>
              <w:left w:val="nil"/>
              <w:bottom w:val="nil"/>
              <w:right w:val="nil"/>
            </w:tcBorders>
            <w:shd w:val="clear" w:color="auto" w:fill="F2F2F2"/>
          </w:tcPr>
          <w:p w14:paraId="37A9D0D0" w14:textId="77777777" w:rsidR="00403101" w:rsidRDefault="00403101" w:rsidP="00403101">
            <w:pPr>
              <w:pStyle w:val="Box"/>
            </w:pPr>
            <w:r>
              <w:t xml:space="preserve">‘Backlog’ is a measure of the age of </w:t>
            </w:r>
            <w:r w:rsidRPr="00F53831">
              <w:t>a court’s active pending caseload at 30 June, against nominated time benchmarks. It is defined as the number of cases in the nominated age category as a percentage of the total pending caseload.</w:t>
            </w:r>
          </w:p>
          <w:p w14:paraId="4C105EEB" w14:textId="60078E2B" w:rsidR="00403101" w:rsidRDefault="00403101" w:rsidP="00403101">
            <w:pPr>
              <w:pStyle w:val="Box"/>
            </w:pPr>
            <w:r w:rsidRPr="00F53831">
              <w:t>The following national benchmarks have been set.</w:t>
            </w:r>
          </w:p>
        </w:tc>
      </w:tr>
      <w:tr w:rsidR="00403101" w14:paraId="30AD602F" w14:textId="77777777" w:rsidTr="00403101">
        <w:tc>
          <w:tcPr>
            <w:tcW w:w="5000" w:type="pct"/>
            <w:tcBorders>
              <w:top w:val="nil"/>
              <w:left w:val="nil"/>
              <w:bottom w:val="nil"/>
              <w:right w:val="nil"/>
            </w:tcBorders>
            <w:shd w:val="clear" w:color="auto" w:fill="F2F2F2"/>
          </w:tcPr>
          <w:p w14:paraId="0F259AB9" w14:textId="6F7F4E65" w:rsidR="00403101" w:rsidRDefault="00403101" w:rsidP="00403101">
            <w:pPr>
              <w:pStyle w:val="BoxSource"/>
              <w:jc w:val="right"/>
            </w:pPr>
            <w:r>
              <w:t>(continued next page)</w:t>
            </w:r>
          </w:p>
        </w:tc>
      </w:tr>
      <w:tr w:rsidR="00403101" w14:paraId="39EC5D17" w14:textId="77777777" w:rsidTr="00403101">
        <w:tc>
          <w:tcPr>
            <w:tcW w:w="5000" w:type="pct"/>
            <w:tcBorders>
              <w:top w:val="nil"/>
              <w:left w:val="nil"/>
              <w:bottom w:val="single" w:sz="6" w:space="0" w:color="78A22F"/>
              <w:right w:val="nil"/>
            </w:tcBorders>
            <w:shd w:val="clear" w:color="auto" w:fill="F2F2F2"/>
          </w:tcPr>
          <w:p w14:paraId="064FAEAA" w14:textId="77777777" w:rsidR="00403101" w:rsidRDefault="00403101">
            <w:pPr>
              <w:pStyle w:val="Box"/>
              <w:spacing w:before="0" w:line="120" w:lineRule="exact"/>
            </w:pPr>
          </w:p>
        </w:tc>
      </w:tr>
      <w:tr w:rsidR="00403101" w:rsidRPr="000863A5" w14:paraId="38E7D7F3" w14:textId="77777777" w:rsidTr="00403101">
        <w:tc>
          <w:tcPr>
            <w:tcW w:w="5000" w:type="pct"/>
            <w:tcBorders>
              <w:top w:val="single" w:sz="6" w:space="0" w:color="78A22F"/>
              <w:left w:val="nil"/>
              <w:bottom w:val="nil"/>
              <w:right w:val="nil"/>
            </w:tcBorders>
          </w:tcPr>
          <w:p w14:paraId="3BBC1113" w14:textId="3ACE961E" w:rsidR="00403101" w:rsidRPr="00626D32" w:rsidRDefault="00403101" w:rsidP="00403101">
            <w:pPr>
              <w:pStyle w:val="BoxSpaceBelow"/>
            </w:pPr>
          </w:p>
        </w:tc>
      </w:tr>
    </w:tbl>
    <w:p w14:paraId="0EFBACC5" w14:textId="77777777" w:rsidR="00CA1C7C" w:rsidRDefault="00CA1C7C" w:rsidP="00CA1C7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1C7C" w14:paraId="257F4101" w14:textId="77777777" w:rsidTr="00403101">
        <w:tc>
          <w:tcPr>
            <w:tcW w:w="8789" w:type="dxa"/>
            <w:tcBorders>
              <w:top w:val="single" w:sz="6" w:space="0" w:color="78A22F"/>
              <w:left w:val="nil"/>
              <w:bottom w:val="nil"/>
              <w:right w:val="nil"/>
            </w:tcBorders>
            <w:shd w:val="clear" w:color="auto" w:fill="F2F2F2" w:themeFill="background1" w:themeFillShade="F2"/>
          </w:tcPr>
          <w:p w14:paraId="681FC2C0" w14:textId="7FAB0032" w:rsidR="00CA1C7C" w:rsidRDefault="00CA1C7C" w:rsidP="00403101">
            <w:pPr>
              <w:pStyle w:val="BoxTitle"/>
            </w:pPr>
            <w:r>
              <w:rPr>
                <w:b w:val="0"/>
              </w:rPr>
              <w:t xml:space="preserve">Box </w:t>
            </w:r>
            <w:r w:rsidR="00A92721">
              <w:rPr>
                <w:b w:val="0"/>
              </w:rPr>
              <w:t>7.</w:t>
            </w:r>
            <w:r w:rsidR="001C209A">
              <w:rPr>
                <w:b w:val="0"/>
              </w:rPr>
              <w:t>4</w:t>
            </w:r>
            <w:r>
              <w:tab/>
            </w:r>
            <w:r w:rsidR="00403101" w:rsidRPr="00403101">
              <w:rPr>
                <w:b w:val="0"/>
                <w:sz w:val="18"/>
                <w:szCs w:val="18"/>
              </w:rPr>
              <w:t>(continued)</w:t>
            </w:r>
          </w:p>
        </w:tc>
      </w:tr>
      <w:tr w:rsidR="00CA1C7C" w14:paraId="304875A1" w14:textId="77777777" w:rsidTr="00403101">
        <w:trPr>
          <w:cantSplit/>
        </w:trPr>
        <w:tc>
          <w:tcPr>
            <w:tcW w:w="8789" w:type="dxa"/>
            <w:tcBorders>
              <w:top w:val="nil"/>
              <w:left w:val="nil"/>
              <w:bottom w:val="nil"/>
              <w:right w:val="nil"/>
            </w:tcBorders>
            <w:shd w:val="clear" w:color="auto" w:fill="F2F2F2" w:themeFill="background1" w:themeFillShade="F2"/>
          </w:tcPr>
          <w:p w14:paraId="4FE87E34" w14:textId="77777777" w:rsidR="00CA1C7C" w:rsidRPr="00F53831" w:rsidRDefault="00CA1C7C" w:rsidP="00CA1C7C">
            <w:pPr>
              <w:pStyle w:val="Box"/>
            </w:pPr>
            <w:r w:rsidRPr="00F53831">
              <w:t>For the Federal Circuit Court, magistrates’ and children’s courts:</w:t>
            </w:r>
          </w:p>
          <w:p w14:paraId="253E7812" w14:textId="77777777" w:rsidR="00CA1C7C" w:rsidRPr="00F53831" w:rsidRDefault="00CA1C7C" w:rsidP="00CA1C7C">
            <w:pPr>
              <w:pStyle w:val="BoxListBullet"/>
            </w:pPr>
            <w:r w:rsidRPr="00F53831">
              <w:t>no more than 10 per cent of lodgments pending completion are to be more than 6 months old</w:t>
            </w:r>
          </w:p>
          <w:p w14:paraId="68910295" w14:textId="77777777" w:rsidR="00CA1C7C" w:rsidRPr="00F53831" w:rsidRDefault="00CA1C7C" w:rsidP="00CA1C7C">
            <w:pPr>
              <w:pStyle w:val="BoxListBullet"/>
            </w:pPr>
            <w:r w:rsidRPr="00F53831">
              <w:t>no lodgments pending completion are to be more than 12 months old.</w:t>
            </w:r>
          </w:p>
          <w:p w14:paraId="1E1D093D" w14:textId="77777777" w:rsidR="00CA1C7C" w:rsidRPr="00F53831" w:rsidRDefault="00CA1C7C" w:rsidP="00CA1C7C">
            <w:pPr>
              <w:pStyle w:val="Box"/>
            </w:pPr>
            <w:r w:rsidRPr="00F53831">
              <w:t>For Supreme courts, the Federal Court, district/county, family and coroners’ courts and all appeals:</w:t>
            </w:r>
          </w:p>
          <w:p w14:paraId="5AF82D58" w14:textId="77777777" w:rsidR="00CA1C7C" w:rsidRPr="00F53831" w:rsidRDefault="00CA1C7C" w:rsidP="00CA1C7C">
            <w:pPr>
              <w:pStyle w:val="BoxListBullet"/>
            </w:pPr>
            <w:r w:rsidRPr="00F53831">
              <w:t>no more than 10 per cent of lodgments pending completion are to be more than 12 months old</w:t>
            </w:r>
          </w:p>
          <w:p w14:paraId="7DF06E0B" w14:textId="77777777" w:rsidR="00CA1C7C" w:rsidRPr="00F53831" w:rsidRDefault="00CA1C7C" w:rsidP="00CA1C7C">
            <w:pPr>
              <w:pStyle w:val="BoxListBullet"/>
            </w:pPr>
            <w:r w:rsidRPr="00F53831">
              <w:t>no lodgments pending completion are to be more than 24 months old.</w:t>
            </w:r>
          </w:p>
          <w:p w14:paraId="0BBA9D7A" w14:textId="18B6A6AF" w:rsidR="00CA1C7C" w:rsidRPr="00F53831" w:rsidRDefault="00CA1C7C" w:rsidP="00CA1C7C">
            <w:pPr>
              <w:pStyle w:val="Box"/>
            </w:pPr>
            <w:r w:rsidRPr="00F53831">
              <w:t xml:space="preserve">Performance relative to the </w:t>
            </w:r>
            <w:r w:rsidR="001E52A7" w:rsidRPr="00F53831">
              <w:t>benchmarks</w:t>
            </w:r>
            <w:r w:rsidRPr="00F53831">
              <w:t xml:space="preserve"> indicates effective management of caseloads and </w:t>
            </w:r>
            <w:r w:rsidR="00A71F34" w:rsidRPr="00F53831">
              <w:t>timeliness</w:t>
            </w:r>
            <w:r w:rsidRPr="00F53831">
              <w:t xml:space="preserve"> of court services.</w:t>
            </w:r>
          </w:p>
          <w:p w14:paraId="11380001" w14:textId="0A0079EF" w:rsidR="00CA1C7C" w:rsidRPr="002D0C55" w:rsidRDefault="00CA1C7C" w:rsidP="00CA1C7C">
            <w:pPr>
              <w:pStyle w:val="Box"/>
            </w:pPr>
            <w:r w:rsidRPr="00F53831">
              <w:t>Time taken to process cases is not necessarily due to court delay. Some delays are caused by factors other than those related to the workload of the court (for example, a witness being unavailable</w:t>
            </w:r>
            <w:r w:rsidRPr="002D0C55">
              <w:t>).</w:t>
            </w:r>
            <w:r w:rsidR="00A71F34" w:rsidRPr="002D0C55">
              <w:t xml:space="preserve"> See tabl</w:t>
            </w:r>
            <w:r w:rsidR="00737A19" w:rsidRPr="002D0C55">
              <w:t>e</w:t>
            </w:r>
            <w:r w:rsidR="002D0C55" w:rsidRPr="002D0C55">
              <w:t>s</w:t>
            </w:r>
            <w:r w:rsidR="00737A19" w:rsidRPr="002D0C55">
              <w:t xml:space="preserve"> 7A.</w:t>
            </w:r>
            <w:r w:rsidR="00C454F7">
              <w:t>17</w:t>
            </w:r>
            <w:r w:rsidR="00C454F7">
              <w:rPr>
                <w:color w:val="000000" w:themeColor="text1"/>
              </w:rPr>
              <w:t>–</w:t>
            </w:r>
            <w:r w:rsidR="002D0C55" w:rsidRPr="002D0C55">
              <w:t>18</w:t>
            </w:r>
            <w:r w:rsidR="00737A19" w:rsidRPr="002D0C55">
              <w:t xml:space="preserve"> for further information about factors which can impact on delay.</w:t>
            </w:r>
          </w:p>
          <w:p w14:paraId="2C64E00F" w14:textId="77777777" w:rsidR="00CA1C7C" w:rsidRDefault="00CA1C7C" w:rsidP="00CA1C7C">
            <w:pPr>
              <w:pStyle w:val="Box"/>
            </w:pPr>
            <w:r>
              <w:t>Data reported for this indicator are:</w:t>
            </w:r>
          </w:p>
          <w:p w14:paraId="34F4740B" w14:textId="77777777" w:rsidR="00CA1C7C" w:rsidRPr="001A15F8" w:rsidRDefault="00CA1C7C" w:rsidP="00CA1C7C">
            <w:pPr>
              <w:pStyle w:val="BoxListBullet"/>
            </w:pPr>
            <w:r w:rsidRPr="001A15F8">
              <w:t>comparable (subject to caveats) across jurisdictions and over time</w:t>
            </w:r>
          </w:p>
          <w:p w14:paraId="2114A69C" w14:textId="20EFBCD3" w:rsidR="00CA1C7C" w:rsidRDefault="00CA1C7C">
            <w:pPr>
              <w:pStyle w:val="BoxListBullet"/>
              <w:spacing w:after="120"/>
              <w:rPr>
                <w:szCs w:val="24"/>
              </w:rPr>
            </w:pPr>
            <w:r w:rsidRPr="001A15F8">
              <w:t xml:space="preserve">complete for the current reporting period (subject to caveats). All </w:t>
            </w:r>
            <w:r w:rsidRPr="00075BD9">
              <w:t xml:space="preserve">required </w:t>
            </w:r>
            <w:r w:rsidRPr="004F5580">
              <w:t>201</w:t>
            </w:r>
            <w:r w:rsidR="008F7343" w:rsidRPr="004F5580">
              <w:t>6</w:t>
            </w:r>
            <w:r w:rsidR="00D5431C">
              <w:rPr>
                <w:color w:val="000000" w:themeColor="text1"/>
              </w:rPr>
              <w:t>–</w:t>
            </w:r>
            <w:r w:rsidRPr="004F5580">
              <w:t>1</w:t>
            </w:r>
            <w:r w:rsidR="008F7343" w:rsidRPr="004F5580">
              <w:t>7</w:t>
            </w:r>
            <w:r w:rsidRPr="004F5580">
              <w:t xml:space="preserve"> </w:t>
            </w:r>
            <w:r w:rsidRPr="001A15F8">
              <w:t>data are available for all jurisdictions.</w:t>
            </w:r>
          </w:p>
        </w:tc>
      </w:tr>
      <w:tr w:rsidR="00CA1C7C" w:rsidRPr="000863A5" w14:paraId="26FD3649" w14:textId="77777777" w:rsidTr="00403101">
        <w:tc>
          <w:tcPr>
            <w:tcW w:w="8789" w:type="dxa"/>
            <w:tcBorders>
              <w:top w:val="single" w:sz="6" w:space="0" w:color="78A22F"/>
              <w:left w:val="nil"/>
              <w:bottom w:val="nil"/>
              <w:right w:val="nil"/>
            </w:tcBorders>
          </w:tcPr>
          <w:p w14:paraId="66D57BDA" w14:textId="77777777" w:rsidR="00CA1C7C" w:rsidRPr="00626D32" w:rsidRDefault="00CA1C7C" w:rsidP="00CA1C7C">
            <w:pPr>
              <w:pStyle w:val="BoxSpaceBelow"/>
            </w:pPr>
          </w:p>
        </w:tc>
      </w:tr>
    </w:tbl>
    <w:p w14:paraId="23C18465" w14:textId="422E9C45" w:rsidR="00683018" w:rsidRPr="001016E1" w:rsidRDefault="00683018" w:rsidP="00683018">
      <w:pPr>
        <w:pStyle w:val="BodyText"/>
      </w:pPr>
      <w:r w:rsidRPr="001016E1">
        <w:t>Figure 7.5 shows that at 30 June 201</w:t>
      </w:r>
      <w:r w:rsidR="000326B3">
        <w:t>7</w:t>
      </w:r>
      <w:r w:rsidRPr="001016E1">
        <w:t xml:space="preserve"> the backlog in civil courts for the Supreme, District and Magistrates’ courts was higher than criminal courts across all states and territories.</w:t>
      </w:r>
    </w:p>
    <w:p w14:paraId="5200EE0F" w14:textId="7C98B2F8" w:rsidR="00683018" w:rsidRPr="001016E1" w:rsidRDefault="00683018" w:rsidP="00683018">
      <w:pPr>
        <w:pStyle w:val="BodyText"/>
      </w:pPr>
      <w:r w:rsidRPr="001016E1">
        <w:t>Detailed data on the backlog for criminal and civil matters (including appeal and non-appeal disaggregations and historical data) for all court leve</w:t>
      </w:r>
      <w:r w:rsidR="003A1204">
        <w:t>ls are available in tables 7A.17</w:t>
      </w:r>
      <w:r w:rsidR="003A1204" w:rsidRPr="003A1204">
        <w:t>−18</w:t>
      </w:r>
      <w:r w:rsidRPr="001016E1">
        <w:t xml:space="preserve">. </w:t>
      </w:r>
    </w:p>
    <w:p w14:paraId="508A2943" w14:textId="2261D910" w:rsidR="00683018" w:rsidRDefault="00683018" w:rsidP="0068301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83018" w14:paraId="281FE300" w14:textId="77777777" w:rsidTr="00403101">
        <w:trPr>
          <w:tblHeader/>
        </w:trPr>
        <w:tc>
          <w:tcPr>
            <w:tcW w:w="8789" w:type="dxa"/>
            <w:tcBorders>
              <w:top w:val="single" w:sz="6" w:space="0" w:color="78A22F"/>
              <w:left w:val="nil"/>
              <w:bottom w:val="nil"/>
              <w:right w:val="nil"/>
            </w:tcBorders>
            <w:shd w:val="clear" w:color="auto" w:fill="auto"/>
          </w:tcPr>
          <w:p w14:paraId="2E23A28E" w14:textId="63A09083" w:rsidR="00683018" w:rsidRPr="00176D3F" w:rsidRDefault="00683018" w:rsidP="00CE63EE">
            <w:pPr>
              <w:pStyle w:val="FigureTitle"/>
            </w:pPr>
            <w:r w:rsidRPr="00784A05">
              <w:rPr>
                <w:b w:val="0"/>
              </w:rPr>
              <w:t xml:space="preserve">Figure </w:t>
            </w:r>
            <w:r>
              <w:rPr>
                <w:b w:val="0"/>
              </w:rPr>
              <w:t>7.5</w:t>
            </w:r>
            <w:r>
              <w:tab/>
            </w:r>
            <w:r w:rsidRPr="001016E1">
              <w:t xml:space="preserve">Backlog in the courts — criminal and civil, </w:t>
            </w:r>
            <w:r w:rsidRPr="00452CAD">
              <w:t>at 30 June 2</w:t>
            </w:r>
            <w:r w:rsidR="00452CAD" w:rsidRPr="00452CAD">
              <w:t>017</w:t>
            </w:r>
            <w:r w:rsidRPr="00452CAD">
              <w:rPr>
                <w:rStyle w:val="NoteLabel"/>
                <w:b/>
              </w:rPr>
              <w:t>a</w:t>
            </w:r>
            <w:r w:rsidRPr="001016E1">
              <w:rPr>
                <w:rStyle w:val="NoteLabel"/>
                <w:b/>
              </w:rPr>
              <w:t>,</w:t>
            </w:r>
            <w:r w:rsidR="00452CAD">
              <w:rPr>
                <w:rStyle w:val="NoteLabel"/>
                <w:b/>
              </w:rPr>
              <w:t xml:space="preserve"> </w:t>
            </w:r>
            <w:r w:rsidRPr="001016E1">
              <w:rPr>
                <w:rStyle w:val="NoteLabel"/>
                <w:b/>
              </w:rPr>
              <w:t>b</w:t>
            </w:r>
          </w:p>
        </w:tc>
      </w:tr>
      <w:tr w:rsidR="00683018" w14:paraId="5E78916A" w14:textId="77777777" w:rsidTr="00403101">
        <w:tc>
          <w:tcPr>
            <w:tcW w:w="8789" w:type="dxa"/>
            <w:tcBorders>
              <w:top w:val="nil"/>
              <w:left w:val="nil"/>
              <w:bottom w:val="nil"/>
              <w:right w:val="nil"/>
            </w:tcBorders>
            <w:shd w:val="clear" w:color="auto" w:fill="auto"/>
            <w:tcMar>
              <w:top w:w="28" w:type="dxa"/>
              <w:bottom w:w="28" w:type="dxa"/>
            </w:tcMar>
          </w:tcPr>
          <w:tbl>
            <w:tblPr>
              <w:tblW w:w="867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674"/>
            </w:tblGrid>
            <w:tr w:rsidR="00683018" w:rsidRPr="00B1465D" w14:paraId="3EE32AA1" w14:textId="77777777" w:rsidTr="00AC2754">
              <w:trPr>
                <w:tblHeader/>
                <w:jc w:val="center"/>
              </w:trPr>
              <w:tc>
                <w:tcPr>
                  <w:tcW w:w="5000" w:type="pct"/>
                  <w:tcBorders>
                    <w:top w:val="nil"/>
                    <w:bottom w:val="nil"/>
                  </w:tcBorders>
                </w:tcPr>
                <w:p w14:paraId="6A54406D" w14:textId="2C678F06" w:rsidR="00683018" w:rsidRDefault="00452CAD" w:rsidP="00AC2754">
                  <w:pPr>
                    <w:pStyle w:val="Figure"/>
                    <w:spacing w:before="60" w:after="60"/>
                    <w:rPr>
                      <w:rFonts w:ascii="Arial" w:hAnsi="Arial" w:cs="Arial"/>
                      <w:sz w:val="18"/>
                      <w:szCs w:val="18"/>
                    </w:rPr>
                  </w:pPr>
                  <w:r>
                    <w:rPr>
                      <w:rFonts w:ascii="Arial" w:hAnsi="Arial" w:cs="Arial"/>
                      <w:noProof/>
                      <w:sz w:val="18"/>
                      <w:szCs w:val="18"/>
                    </w:rPr>
                    <w:drawing>
                      <wp:inline distT="0" distB="0" distL="0" distR="0" wp14:anchorId="7E98093E" wp14:editId="08B52341">
                        <wp:extent cx="2705100" cy="1981200"/>
                        <wp:effectExtent l="0" t="0" r="0" b="0"/>
                        <wp:docPr id="34" name="Picture 34" descr="More details can be found within the text surrounding this image." title="Figure 7.5 Backlog in the courts — criminal and civil, at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r>
                    <w:rPr>
                      <w:rFonts w:ascii="Arial" w:hAnsi="Arial" w:cs="Arial"/>
                      <w:noProof/>
                      <w:sz w:val="18"/>
                      <w:szCs w:val="18"/>
                    </w:rPr>
                    <w:drawing>
                      <wp:inline distT="0" distB="0" distL="0" distR="0" wp14:anchorId="00A7178A" wp14:editId="281623AC">
                        <wp:extent cx="2705100" cy="1981200"/>
                        <wp:effectExtent l="0" t="0" r="0" b="0"/>
                        <wp:docPr id="35" name="Picture 35" descr="More details can be found within the text surrounding this image." title="Figure 7.5 Backlog in the courts — criminal and civil, at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p>
                <w:p w14:paraId="3D38961A" w14:textId="63026366" w:rsidR="00683018" w:rsidRPr="00B1465D" w:rsidRDefault="00CE63EE" w:rsidP="00AC2754">
                  <w:pPr>
                    <w:pStyle w:val="Figure"/>
                    <w:spacing w:before="60" w:after="60"/>
                    <w:rPr>
                      <w:rFonts w:ascii="Arial" w:hAnsi="Arial" w:cs="Arial"/>
                      <w:sz w:val="18"/>
                      <w:szCs w:val="18"/>
                    </w:rPr>
                  </w:pPr>
                  <w:r>
                    <w:rPr>
                      <w:rFonts w:ascii="Arial" w:hAnsi="Arial" w:cs="Arial"/>
                      <w:noProof/>
                      <w:sz w:val="18"/>
                      <w:szCs w:val="18"/>
                    </w:rPr>
                    <w:drawing>
                      <wp:inline distT="0" distB="0" distL="0" distR="0" wp14:anchorId="15BE37C9" wp14:editId="746333A8">
                        <wp:extent cx="2705100" cy="1981200"/>
                        <wp:effectExtent l="0" t="0" r="0" b="0"/>
                        <wp:docPr id="8" name="Picture 8" descr="More details can be found within the text surrounding this image." title="Figure 7.5 Backlog in the courts — criminal and civil, at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r w:rsidR="00A745A6">
                    <w:rPr>
                      <w:rFonts w:ascii="Arial" w:hAnsi="Arial" w:cs="Arial"/>
                      <w:noProof/>
                      <w:sz w:val="18"/>
                      <w:szCs w:val="18"/>
                    </w:rPr>
                    <w:drawing>
                      <wp:inline distT="0" distB="0" distL="0" distR="0" wp14:anchorId="73853FA7" wp14:editId="1CC19A63">
                        <wp:extent cx="2705100" cy="1981200"/>
                        <wp:effectExtent l="0" t="0" r="0" b="0"/>
                        <wp:docPr id="10" name="Picture 10" descr="More details can be found within the text surrounding this image." title="Figure 7.5 Backlog in the courts — criminal and civil, at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p>
              </w:tc>
            </w:tr>
          </w:tbl>
          <w:p w14:paraId="2BE72B65" w14:textId="77777777" w:rsidR="00683018" w:rsidRDefault="00683018" w:rsidP="00AC2754">
            <w:pPr>
              <w:pStyle w:val="Figure"/>
            </w:pPr>
          </w:p>
        </w:tc>
      </w:tr>
      <w:tr w:rsidR="00683018" w:rsidRPr="00176D3F" w14:paraId="18B03B6B" w14:textId="77777777" w:rsidTr="00403101">
        <w:tc>
          <w:tcPr>
            <w:tcW w:w="8789" w:type="dxa"/>
            <w:tcBorders>
              <w:top w:val="nil"/>
              <w:left w:val="nil"/>
              <w:bottom w:val="nil"/>
              <w:right w:val="nil"/>
            </w:tcBorders>
            <w:shd w:val="clear" w:color="auto" w:fill="auto"/>
          </w:tcPr>
          <w:p w14:paraId="526F7389" w14:textId="0E1A0B47" w:rsidR="00683018" w:rsidRPr="00176D3F" w:rsidRDefault="00683018" w:rsidP="00F23221">
            <w:pPr>
              <w:pStyle w:val="Note"/>
            </w:pPr>
            <w:r>
              <w:rPr>
                <w:rStyle w:val="NoteLabel"/>
              </w:rPr>
              <w:t>a</w:t>
            </w:r>
            <w:r>
              <w:t xml:space="preserve"> </w:t>
            </w:r>
            <w:r w:rsidRPr="003117D8">
              <w:t>See</w:t>
            </w:r>
            <w:r w:rsidR="00132292">
              <w:t xml:space="preserve"> box 7.4</w:t>
            </w:r>
            <w:r w:rsidRPr="003117D8">
              <w:t xml:space="preserve"> and</w:t>
            </w:r>
            <w:r w:rsidR="00583542">
              <w:t xml:space="preserve"> tables 7A.17</w:t>
            </w:r>
            <w:r w:rsidR="003A1204" w:rsidRPr="003A1204">
              <w:t>−</w:t>
            </w:r>
            <w:r w:rsidR="00583542">
              <w:t>18</w:t>
            </w:r>
            <w:r w:rsidRPr="003117D8">
              <w:t xml:space="preserve"> for detailed definitions, footnotes and caveats.</w:t>
            </w:r>
            <w:r>
              <w:t xml:space="preserve"> </w:t>
            </w:r>
            <w:r>
              <w:rPr>
                <w:rStyle w:val="NoteLabel"/>
              </w:rPr>
              <w:t>b</w:t>
            </w:r>
            <w:r>
              <w:t xml:space="preserve"> Fed refers to Federal Court of Australia.</w:t>
            </w:r>
          </w:p>
        </w:tc>
      </w:tr>
      <w:tr w:rsidR="00683018" w:rsidRPr="00176D3F" w14:paraId="3D8D6DEA" w14:textId="77777777" w:rsidTr="00403101">
        <w:tc>
          <w:tcPr>
            <w:tcW w:w="8789" w:type="dxa"/>
            <w:tcBorders>
              <w:top w:val="nil"/>
              <w:left w:val="nil"/>
              <w:bottom w:val="nil"/>
              <w:right w:val="nil"/>
            </w:tcBorders>
            <w:shd w:val="clear" w:color="auto" w:fill="auto"/>
          </w:tcPr>
          <w:p w14:paraId="3BE439E2" w14:textId="53D4D54E" w:rsidR="00683018" w:rsidRPr="00176D3F" w:rsidRDefault="00B817E1" w:rsidP="003A1204">
            <w:pPr>
              <w:pStyle w:val="Source"/>
            </w:pPr>
            <w:r>
              <w:rPr>
                <w:i/>
              </w:rPr>
              <w:t>S</w:t>
            </w:r>
            <w:r w:rsidR="00683018" w:rsidRPr="00784A05">
              <w:rPr>
                <w:i/>
              </w:rPr>
              <w:t>ource</w:t>
            </w:r>
            <w:r w:rsidR="00683018" w:rsidRPr="00176D3F">
              <w:t xml:space="preserve">: </w:t>
            </w:r>
            <w:r w:rsidR="00683018" w:rsidRPr="00FE3767">
              <w:t>State</w:t>
            </w:r>
            <w:r w:rsidR="00683018">
              <w:t xml:space="preserve"> and Territory court authorities and departm</w:t>
            </w:r>
            <w:r w:rsidR="00583542">
              <w:t>ents (unpublished); tables 7A.17</w:t>
            </w:r>
            <w:r w:rsidR="003A1204" w:rsidRPr="003A1204">
              <w:t>−</w:t>
            </w:r>
            <w:r w:rsidR="00583542">
              <w:t>18</w:t>
            </w:r>
            <w:r w:rsidR="00683018">
              <w:t>.</w:t>
            </w:r>
          </w:p>
        </w:tc>
      </w:tr>
      <w:tr w:rsidR="00683018" w14:paraId="29AF63AD" w14:textId="77777777" w:rsidTr="00403101">
        <w:tc>
          <w:tcPr>
            <w:tcW w:w="8789" w:type="dxa"/>
            <w:tcBorders>
              <w:top w:val="nil"/>
              <w:left w:val="nil"/>
              <w:bottom w:val="single" w:sz="6" w:space="0" w:color="78A22F"/>
              <w:right w:val="nil"/>
            </w:tcBorders>
            <w:shd w:val="clear" w:color="auto" w:fill="auto"/>
          </w:tcPr>
          <w:p w14:paraId="75BE898A" w14:textId="77777777" w:rsidR="00683018" w:rsidRDefault="00683018" w:rsidP="00AC2754">
            <w:pPr>
              <w:pStyle w:val="Figurespace"/>
            </w:pPr>
          </w:p>
        </w:tc>
      </w:tr>
      <w:tr w:rsidR="00683018" w:rsidRPr="000863A5" w14:paraId="4C6A2640" w14:textId="77777777" w:rsidTr="00403101">
        <w:tc>
          <w:tcPr>
            <w:tcW w:w="8789" w:type="dxa"/>
            <w:tcBorders>
              <w:top w:val="single" w:sz="6" w:space="0" w:color="78A22F"/>
              <w:left w:val="nil"/>
              <w:bottom w:val="nil"/>
              <w:right w:val="nil"/>
            </w:tcBorders>
          </w:tcPr>
          <w:p w14:paraId="488FB6F1" w14:textId="1ED0FE53" w:rsidR="00683018" w:rsidRPr="00626D32" w:rsidRDefault="00683018" w:rsidP="00AC2754">
            <w:pPr>
              <w:pStyle w:val="BoxSpaceBelow"/>
            </w:pPr>
          </w:p>
        </w:tc>
      </w:tr>
    </w:tbl>
    <w:p w14:paraId="099E1EF3" w14:textId="77777777" w:rsidR="004B3774" w:rsidRPr="00C32CFE" w:rsidRDefault="004B3774" w:rsidP="008560BF">
      <w:pPr>
        <w:pStyle w:val="Heading4"/>
        <w:spacing w:before="420"/>
      </w:pPr>
      <w:r w:rsidRPr="00C32CFE">
        <w:t>Access — Disposals</w:t>
      </w:r>
    </w:p>
    <w:p w14:paraId="121608A0" w14:textId="6D6BEB73" w:rsidR="004B3774" w:rsidRDefault="004B3774" w:rsidP="004B3774">
      <w:pPr>
        <w:pStyle w:val="BodyText"/>
      </w:pPr>
      <w:r w:rsidRPr="00C32CFE">
        <w:t>‘Disposals’ is an indicator of governments’ achievement against the objective of processing matters in an expeditious and timely manner (box 7.</w:t>
      </w:r>
      <w:r w:rsidR="00132292">
        <w:t>5</w:t>
      </w:r>
      <w:r w:rsidRPr="00C32CFE">
        <w:t>). This is a new indicator being presented for the first time in this Report.</w:t>
      </w:r>
    </w:p>
    <w:p w14:paraId="48CD6926" w14:textId="52B982E1" w:rsidR="008560BF" w:rsidRDefault="008560BF" w:rsidP="008560B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5A0E0791" w14:textId="77777777" w:rsidTr="00CA3F79">
        <w:trPr>
          <w:tblHeader/>
        </w:trPr>
        <w:tc>
          <w:tcPr>
            <w:tcW w:w="5000" w:type="pct"/>
            <w:tcBorders>
              <w:top w:val="single" w:sz="6" w:space="0" w:color="78A22F"/>
              <w:left w:val="nil"/>
              <w:bottom w:val="nil"/>
              <w:right w:val="nil"/>
            </w:tcBorders>
            <w:shd w:val="clear" w:color="auto" w:fill="F2F2F2"/>
          </w:tcPr>
          <w:p w14:paraId="0B47BC43" w14:textId="1828786C" w:rsidR="008560BF" w:rsidRDefault="008560BF" w:rsidP="008560BF">
            <w:pPr>
              <w:pStyle w:val="BoxTitle"/>
            </w:pPr>
            <w:r>
              <w:rPr>
                <w:b w:val="0"/>
              </w:rPr>
              <w:t>Box 7.5</w:t>
            </w:r>
            <w:r>
              <w:tab/>
            </w:r>
            <w:r w:rsidRPr="00C32CFE">
              <w:t>Disposals</w:t>
            </w:r>
          </w:p>
        </w:tc>
      </w:tr>
      <w:tr w:rsidR="008560BF" w14:paraId="63C82640" w14:textId="77777777" w:rsidTr="00CA3F79">
        <w:tc>
          <w:tcPr>
            <w:tcW w:w="5000" w:type="pct"/>
            <w:tcBorders>
              <w:top w:val="nil"/>
              <w:left w:val="nil"/>
              <w:bottom w:val="nil"/>
              <w:right w:val="nil"/>
            </w:tcBorders>
            <w:shd w:val="clear" w:color="auto" w:fill="F2F2F2"/>
          </w:tcPr>
          <w:p w14:paraId="7FB3A2E2" w14:textId="77777777" w:rsidR="008560BF" w:rsidRDefault="008560BF" w:rsidP="00CA3F79">
            <w:pPr>
              <w:pStyle w:val="Box"/>
            </w:pPr>
            <w:r w:rsidRPr="00C32CFE">
              <w:t>‘Disposals’ is a measure of the age of cases which have been finalised in the financial year, against nominated time categories</w:t>
            </w:r>
            <w:r>
              <w:t>.</w:t>
            </w:r>
            <w:r w:rsidRPr="00C32CFE">
              <w:t xml:space="preserve"> It is defined as the number of </w:t>
            </w:r>
            <w:r>
              <w:t xml:space="preserve">finalised </w:t>
            </w:r>
            <w:r w:rsidRPr="00C32CFE">
              <w:t>cases</w:t>
            </w:r>
            <w:r>
              <w:t xml:space="preserve"> at each court level</w:t>
            </w:r>
            <w:r w:rsidRPr="00C32CFE">
              <w:t xml:space="preserve"> </w:t>
            </w:r>
            <w:r>
              <w:t xml:space="preserve">which took longer than 6, 12 or 24 months to finalise (dependent on court level), </w:t>
            </w:r>
            <w:r w:rsidRPr="00C32CFE">
              <w:t>as a percentage of the total cases finalised during the financial year.</w:t>
            </w:r>
          </w:p>
          <w:p w14:paraId="67452C7A" w14:textId="3DFE1F1B" w:rsidR="008560BF" w:rsidRDefault="008560BF" w:rsidP="00CA3F79">
            <w:pPr>
              <w:pStyle w:val="Box"/>
            </w:pPr>
            <w:r>
              <w:t>Lower percentages of cases finalised in these time categories</w:t>
            </w:r>
            <w:r w:rsidRPr="00C32CFE">
              <w:t xml:space="preserve"> indicates effective management of caseloads and timeliness of court services. The disposals indicator should be considered in conjunct</w:t>
            </w:r>
            <w:r>
              <w:t>ion with the backlog indicator.</w:t>
            </w:r>
          </w:p>
        </w:tc>
      </w:tr>
      <w:tr w:rsidR="008560BF" w14:paraId="3F842C42" w14:textId="77777777" w:rsidTr="00CA3F79">
        <w:tc>
          <w:tcPr>
            <w:tcW w:w="5000" w:type="pct"/>
            <w:tcBorders>
              <w:top w:val="nil"/>
              <w:left w:val="nil"/>
              <w:bottom w:val="nil"/>
              <w:right w:val="nil"/>
            </w:tcBorders>
            <w:shd w:val="clear" w:color="auto" w:fill="F2F2F2"/>
          </w:tcPr>
          <w:p w14:paraId="10704E9A" w14:textId="142FB5AB" w:rsidR="008560BF" w:rsidRDefault="008560BF" w:rsidP="008560BF">
            <w:pPr>
              <w:pStyle w:val="BoxSource"/>
              <w:spacing w:before="0"/>
              <w:jc w:val="right"/>
            </w:pPr>
            <w:r>
              <w:t>(continued next page)</w:t>
            </w:r>
          </w:p>
        </w:tc>
      </w:tr>
      <w:tr w:rsidR="008560BF" w14:paraId="18524906" w14:textId="77777777" w:rsidTr="00CA3F79">
        <w:tc>
          <w:tcPr>
            <w:tcW w:w="5000" w:type="pct"/>
            <w:tcBorders>
              <w:top w:val="nil"/>
              <w:left w:val="nil"/>
              <w:bottom w:val="single" w:sz="6" w:space="0" w:color="78A22F"/>
              <w:right w:val="nil"/>
            </w:tcBorders>
            <w:shd w:val="clear" w:color="auto" w:fill="F2F2F2"/>
          </w:tcPr>
          <w:p w14:paraId="4CA2B04D" w14:textId="77777777" w:rsidR="008560BF" w:rsidRDefault="008560BF">
            <w:pPr>
              <w:pStyle w:val="Box"/>
              <w:spacing w:before="0" w:line="120" w:lineRule="exact"/>
            </w:pPr>
          </w:p>
        </w:tc>
      </w:tr>
      <w:tr w:rsidR="008560BF" w:rsidRPr="000863A5" w14:paraId="46ED5AEE" w14:textId="77777777" w:rsidTr="00CA3F79">
        <w:tc>
          <w:tcPr>
            <w:tcW w:w="5000" w:type="pct"/>
            <w:tcBorders>
              <w:top w:val="single" w:sz="6" w:space="0" w:color="78A22F"/>
              <w:left w:val="nil"/>
              <w:bottom w:val="nil"/>
              <w:right w:val="nil"/>
            </w:tcBorders>
          </w:tcPr>
          <w:p w14:paraId="27C836DC" w14:textId="31DECB94" w:rsidR="008560BF" w:rsidRPr="00626D32" w:rsidRDefault="008560BF" w:rsidP="008560BF">
            <w:pPr>
              <w:pStyle w:val="BoxSpaceBelow"/>
              <w:spacing w:before="0"/>
            </w:pPr>
          </w:p>
        </w:tc>
      </w:tr>
    </w:tbl>
    <w:p w14:paraId="30B2589C" w14:textId="77777777" w:rsidR="0021792E" w:rsidRPr="00C32CFE" w:rsidRDefault="0021792E" w:rsidP="008560BF">
      <w:pPr>
        <w:pStyle w:val="BoxSpaceAbove"/>
        <w:spacing w:before="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A143C" w:rsidRPr="00C32CFE" w14:paraId="5DFD738C" w14:textId="77777777" w:rsidTr="008560BF">
        <w:tc>
          <w:tcPr>
            <w:tcW w:w="8789" w:type="dxa"/>
            <w:tcBorders>
              <w:top w:val="single" w:sz="6" w:space="0" w:color="78A22F"/>
              <w:left w:val="nil"/>
              <w:bottom w:val="nil"/>
              <w:right w:val="nil"/>
            </w:tcBorders>
            <w:shd w:val="clear" w:color="auto" w:fill="F2F2F2" w:themeFill="background1" w:themeFillShade="F2"/>
          </w:tcPr>
          <w:p w14:paraId="5BC2DF4D" w14:textId="3676F751" w:rsidR="004B3774" w:rsidRPr="00C32CFE" w:rsidRDefault="004B3774" w:rsidP="008560BF">
            <w:pPr>
              <w:pStyle w:val="BoxTitle"/>
            </w:pPr>
            <w:r w:rsidRPr="00C32CFE">
              <w:rPr>
                <w:b w:val="0"/>
              </w:rPr>
              <w:t>Box 7.</w:t>
            </w:r>
            <w:r w:rsidR="00132292">
              <w:rPr>
                <w:b w:val="0"/>
              </w:rPr>
              <w:t>5</w:t>
            </w:r>
            <w:r w:rsidRPr="00C32CFE">
              <w:tab/>
            </w:r>
            <w:r w:rsidR="008560BF" w:rsidRPr="008560BF">
              <w:rPr>
                <w:b w:val="0"/>
                <w:sz w:val="18"/>
                <w:szCs w:val="18"/>
              </w:rPr>
              <w:t>(continued)</w:t>
            </w:r>
          </w:p>
        </w:tc>
      </w:tr>
      <w:tr w:rsidR="00AA143C" w:rsidRPr="00C32CFE" w14:paraId="52DCA165" w14:textId="77777777" w:rsidTr="008560BF">
        <w:trPr>
          <w:cantSplit/>
        </w:trPr>
        <w:tc>
          <w:tcPr>
            <w:tcW w:w="8789" w:type="dxa"/>
            <w:tcBorders>
              <w:top w:val="nil"/>
              <w:left w:val="nil"/>
              <w:bottom w:val="nil"/>
              <w:right w:val="nil"/>
            </w:tcBorders>
            <w:shd w:val="clear" w:color="auto" w:fill="F2F2F2" w:themeFill="background1" w:themeFillShade="F2"/>
          </w:tcPr>
          <w:p w14:paraId="52900022" w14:textId="4C773CFB" w:rsidR="004B3774" w:rsidRPr="00C32CFE" w:rsidRDefault="004B3774" w:rsidP="00766414">
            <w:pPr>
              <w:pStyle w:val="Box"/>
            </w:pPr>
            <w:r w:rsidRPr="00C32CFE">
              <w:t xml:space="preserve">Time taken to process cases is not necessarily due to court delay. Some delays are caused by factors other than those related to the workload of the court (for example, a witness being unavailable). </w:t>
            </w:r>
            <w:r w:rsidR="00DD2CCA" w:rsidRPr="00C32CFE">
              <w:t xml:space="preserve">See </w:t>
            </w:r>
            <w:r w:rsidR="00A71F34" w:rsidRPr="00C32CFE">
              <w:t>table</w:t>
            </w:r>
            <w:r w:rsidR="002D0C55">
              <w:t>s</w:t>
            </w:r>
            <w:r w:rsidR="00A71F34" w:rsidRPr="00C32CFE">
              <w:t xml:space="preserve"> 7A</w:t>
            </w:r>
            <w:r w:rsidR="00A71F34" w:rsidRPr="002D0C55">
              <w:t>.</w:t>
            </w:r>
            <w:r w:rsidR="00105127">
              <w:t>17</w:t>
            </w:r>
            <w:r w:rsidR="00105127">
              <w:rPr>
                <w:color w:val="000000" w:themeColor="text1"/>
              </w:rPr>
              <w:t>–</w:t>
            </w:r>
            <w:r w:rsidR="002D0C55" w:rsidRPr="002D0C55">
              <w:t>18</w:t>
            </w:r>
            <w:r w:rsidR="00DD2CCA" w:rsidRPr="002D0C55">
              <w:t xml:space="preserve"> </w:t>
            </w:r>
            <w:r w:rsidR="00DD2CCA" w:rsidRPr="00C32CFE">
              <w:t>for further information</w:t>
            </w:r>
            <w:r w:rsidR="001B4FA0" w:rsidRPr="00C32CFE">
              <w:t xml:space="preserve"> about factors which can impact on delay.</w:t>
            </w:r>
          </w:p>
          <w:p w14:paraId="7961F33D" w14:textId="77777777" w:rsidR="004B3774" w:rsidRPr="00C32CFE" w:rsidRDefault="004B3774" w:rsidP="00766414">
            <w:pPr>
              <w:pStyle w:val="Box"/>
            </w:pPr>
            <w:r w:rsidRPr="00C32CFE">
              <w:t>Data reported for this indicator are:</w:t>
            </w:r>
          </w:p>
          <w:p w14:paraId="3DBD51AA" w14:textId="77777777" w:rsidR="004B3774" w:rsidRPr="00C32CFE" w:rsidRDefault="004B3774" w:rsidP="00766414">
            <w:pPr>
              <w:pStyle w:val="BoxListBullet"/>
            </w:pPr>
            <w:r w:rsidRPr="00C32CFE">
              <w:t>comparable (subject to caveats) across jurisdictions and over time</w:t>
            </w:r>
          </w:p>
          <w:p w14:paraId="22F2ACD1" w14:textId="7F9F20D5" w:rsidR="004B3774" w:rsidRPr="00C32CFE" w:rsidRDefault="004B3774" w:rsidP="00766414">
            <w:pPr>
              <w:pStyle w:val="BoxListBullet"/>
              <w:spacing w:after="120"/>
              <w:rPr>
                <w:szCs w:val="24"/>
              </w:rPr>
            </w:pPr>
            <w:r w:rsidRPr="00C32CFE">
              <w:t>complete for the current reporting period (subject</w:t>
            </w:r>
            <w:r w:rsidR="00105127">
              <w:t xml:space="preserve"> to caveats). All required 2016</w:t>
            </w:r>
            <w:r w:rsidR="00105127">
              <w:rPr>
                <w:color w:val="000000" w:themeColor="text1"/>
              </w:rPr>
              <w:t>–</w:t>
            </w:r>
            <w:r w:rsidRPr="00C32CFE">
              <w:t>17 data are available for all jurisdictions.</w:t>
            </w:r>
          </w:p>
        </w:tc>
      </w:tr>
      <w:tr w:rsidR="004B3774" w:rsidRPr="004B3774" w14:paraId="2ECAD10F" w14:textId="77777777" w:rsidTr="008560BF">
        <w:tc>
          <w:tcPr>
            <w:tcW w:w="8789" w:type="dxa"/>
            <w:tcBorders>
              <w:top w:val="single" w:sz="6" w:space="0" w:color="78A22F"/>
              <w:left w:val="nil"/>
              <w:bottom w:val="nil"/>
              <w:right w:val="nil"/>
            </w:tcBorders>
          </w:tcPr>
          <w:p w14:paraId="752886DD" w14:textId="77777777" w:rsidR="004B3774" w:rsidRPr="004B3774" w:rsidRDefault="004B3774" w:rsidP="008560BF">
            <w:pPr>
              <w:pStyle w:val="BoxSpaceBelow"/>
              <w:spacing w:before="0" w:after="0"/>
              <w:rPr>
                <w:color w:val="FF0000"/>
              </w:rPr>
            </w:pPr>
          </w:p>
        </w:tc>
      </w:tr>
    </w:tbl>
    <w:p w14:paraId="1EB1FDB9" w14:textId="40B83D4A" w:rsidR="00AA143C" w:rsidRDefault="00AA143C" w:rsidP="008560BF">
      <w:pPr>
        <w:pStyle w:val="BodyText"/>
        <w:spacing w:before="200"/>
      </w:pPr>
      <w:r w:rsidRPr="004B6F5A">
        <w:rPr>
          <w:szCs w:val="24"/>
        </w:rPr>
        <w:t>Figure 7.6 shows the percentage of finalised cases in the Supreme and District courts (all matters) which took longer than 12 months to finalise, and the percentage of finalised cases in the Magistrates</w:t>
      </w:r>
      <w:r w:rsidR="00F3610D">
        <w:rPr>
          <w:szCs w:val="24"/>
        </w:rPr>
        <w:t>’</w:t>
      </w:r>
      <w:r w:rsidRPr="004B6F5A">
        <w:rPr>
          <w:szCs w:val="24"/>
        </w:rPr>
        <w:t xml:space="preserve"> and Children’s courts which took longer than six months to finalise. Experimental data </w:t>
      </w:r>
      <w:r w:rsidRPr="004B6F5A">
        <w:t xml:space="preserve">on time to disposal for criminal and civil matters for all court levels in </w:t>
      </w:r>
      <w:r w:rsidRPr="00AA143C">
        <w:t>2016</w:t>
      </w:r>
      <w:r w:rsidRPr="00AA143C">
        <w:noBreakHyphen/>
        <w:t xml:space="preserve">17 </w:t>
      </w:r>
      <w:r w:rsidRPr="004B6F5A">
        <w:t>are available in table</w:t>
      </w:r>
      <w:r w:rsidR="002476E6">
        <w:t>s</w:t>
      </w:r>
      <w:r w:rsidRPr="004B6F5A">
        <w:t> 7A.</w:t>
      </w:r>
      <w:r w:rsidR="003A1204">
        <w:t>19</w:t>
      </w:r>
      <w:r w:rsidR="003A1204" w:rsidRPr="003A1204">
        <w:t>−</w:t>
      </w:r>
      <w:r w:rsidR="002476E6" w:rsidRPr="002476E6">
        <w:t>20</w:t>
      </w:r>
      <w:r w:rsidRPr="004B6F5A">
        <w:t>.</w:t>
      </w:r>
    </w:p>
    <w:p w14:paraId="47EA0656" w14:textId="417AA814" w:rsidR="003C65A8" w:rsidRDefault="003C65A8" w:rsidP="008560BF">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C65A8" w14:paraId="1EA6032B" w14:textId="77777777" w:rsidTr="008560BF">
        <w:trPr>
          <w:tblHeader/>
        </w:trPr>
        <w:tc>
          <w:tcPr>
            <w:tcW w:w="8789" w:type="dxa"/>
            <w:tcBorders>
              <w:top w:val="single" w:sz="6" w:space="0" w:color="78A22F"/>
              <w:left w:val="nil"/>
              <w:bottom w:val="nil"/>
              <w:right w:val="nil"/>
            </w:tcBorders>
            <w:shd w:val="clear" w:color="auto" w:fill="auto"/>
          </w:tcPr>
          <w:p w14:paraId="79FDF4D2" w14:textId="60F0FD0B" w:rsidR="003C65A8" w:rsidRPr="00176D3F" w:rsidRDefault="003C65A8" w:rsidP="00611696">
            <w:pPr>
              <w:pStyle w:val="FigureTitle"/>
            </w:pPr>
            <w:r w:rsidRPr="00784A05">
              <w:rPr>
                <w:b w:val="0"/>
              </w:rPr>
              <w:t xml:space="preserve">Figure </w:t>
            </w:r>
            <w:r>
              <w:rPr>
                <w:b w:val="0"/>
              </w:rPr>
              <w:t>7.6</w:t>
            </w:r>
            <w:r>
              <w:tab/>
            </w:r>
            <w:r w:rsidRPr="004B6F5A">
              <w:t>Time to disposal in the courts, criminal and civil</w:t>
            </w:r>
            <w:r w:rsidRPr="004F5580">
              <w:t xml:space="preserve">, </w:t>
            </w:r>
            <w:r w:rsidR="004F5580" w:rsidRPr="004F5580">
              <w:t>2016</w:t>
            </w:r>
            <w:r w:rsidR="00084115" w:rsidRPr="00313083">
              <w:t>-</w:t>
            </w:r>
            <w:r w:rsidR="004F5580" w:rsidRPr="004F5580">
              <w:t>17</w:t>
            </w:r>
            <w:r w:rsidRPr="004F5580">
              <w:rPr>
                <w:rStyle w:val="NoteLabel"/>
                <w:b/>
              </w:rPr>
              <w:t xml:space="preserve"> </w:t>
            </w:r>
            <w:r w:rsidRPr="004F5580">
              <w:t>— experimental data</w:t>
            </w:r>
            <w:r w:rsidRPr="004F5580">
              <w:rPr>
                <w:rStyle w:val="NoteLabel"/>
                <w:b/>
              </w:rPr>
              <w:t>a,</w:t>
            </w:r>
            <w:r w:rsidR="004F5580">
              <w:rPr>
                <w:rStyle w:val="NoteLabel"/>
                <w:b/>
              </w:rPr>
              <w:t xml:space="preserve"> </w:t>
            </w:r>
            <w:r w:rsidRPr="004F5580">
              <w:rPr>
                <w:rStyle w:val="NoteLabel"/>
                <w:b/>
              </w:rPr>
              <w:t>b</w:t>
            </w:r>
          </w:p>
        </w:tc>
      </w:tr>
      <w:tr w:rsidR="003C65A8" w14:paraId="05515EA6" w14:textId="77777777" w:rsidTr="008560BF">
        <w:tc>
          <w:tcPr>
            <w:tcW w:w="8789" w:type="dxa"/>
            <w:tcBorders>
              <w:top w:val="nil"/>
              <w:left w:val="nil"/>
              <w:bottom w:val="nil"/>
              <w:right w:val="nil"/>
            </w:tcBorders>
            <w:shd w:val="clear" w:color="auto" w:fill="auto"/>
            <w:tcMar>
              <w:top w:w="28" w:type="dxa"/>
              <w:bottom w:w="28" w:type="dxa"/>
            </w:tcMar>
          </w:tcPr>
          <w:tbl>
            <w:tblPr>
              <w:tblW w:w="867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674"/>
            </w:tblGrid>
            <w:tr w:rsidR="003C65A8" w:rsidRPr="00B1465D" w14:paraId="2D0CBF6B" w14:textId="77777777" w:rsidTr="00AC2754">
              <w:trPr>
                <w:tblHeader/>
                <w:jc w:val="center"/>
              </w:trPr>
              <w:tc>
                <w:tcPr>
                  <w:tcW w:w="5000" w:type="pct"/>
                  <w:tcBorders>
                    <w:top w:val="nil"/>
                    <w:bottom w:val="nil"/>
                  </w:tcBorders>
                </w:tcPr>
                <w:p w14:paraId="61D44B3B" w14:textId="29AA4864" w:rsidR="003C65A8" w:rsidRDefault="001F2D09" w:rsidP="00AC2754">
                  <w:pPr>
                    <w:pStyle w:val="Figure"/>
                    <w:spacing w:before="60" w:after="60"/>
                    <w:rPr>
                      <w:rFonts w:ascii="Arial" w:hAnsi="Arial" w:cs="Arial"/>
                      <w:sz w:val="18"/>
                      <w:szCs w:val="18"/>
                    </w:rPr>
                  </w:pPr>
                  <w:r>
                    <w:rPr>
                      <w:rFonts w:ascii="Arial" w:hAnsi="Arial" w:cs="Arial"/>
                      <w:noProof/>
                      <w:sz w:val="18"/>
                      <w:szCs w:val="18"/>
                    </w:rPr>
                    <w:drawing>
                      <wp:inline distT="0" distB="0" distL="0" distR="0" wp14:anchorId="2A54735D" wp14:editId="6B0D267D">
                        <wp:extent cx="2705100" cy="1981200"/>
                        <wp:effectExtent l="0" t="0" r="0" b="0"/>
                        <wp:docPr id="38" name="Picture 38" descr="More details can be found within the text surrounding this image." title="Figure 7.6 Time to disposal in the courts, criminal and civil, 2016-17 — experiment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r>
                    <w:rPr>
                      <w:rFonts w:ascii="Arial" w:hAnsi="Arial" w:cs="Arial"/>
                      <w:noProof/>
                      <w:sz w:val="18"/>
                      <w:szCs w:val="18"/>
                    </w:rPr>
                    <w:drawing>
                      <wp:inline distT="0" distB="0" distL="0" distR="0" wp14:anchorId="6BDEFBFA" wp14:editId="44D73FED">
                        <wp:extent cx="2705100" cy="1981200"/>
                        <wp:effectExtent l="0" t="0" r="0" b="0"/>
                        <wp:docPr id="39" name="Picture 39" descr="More details can be found within the text surrounding this image." title="Figure 7.6 Time to disposal in the courts, criminal and civil, 2016-17 — experiment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p>
                <w:p w14:paraId="285702A2" w14:textId="29C5294A" w:rsidR="003C65A8" w:rsidRPr="00B1465D" w:rsidRDefault="00E21C74" w:rsidP="00E21C74">
                  <w:pPr>
                    <w:pStyle w:val="Figure"/>
                    <w:spacing w:before="60" w:after="60"/>
                    <w:rPr>
                      <w:rFonts w:ascii="Arial" w:hAnsi="Arial" w:cs="Arial"/>
                      <w:sz w:val="18"/>
                      <w:szCs w:val="18"/>
                    </w:rPr>
                  </w:pPr>
                  <w:r>
                    <w:rPr>
                      <w:rFonts w:ascii="Arial" w:hAnsi="Arial" w:cs="Arial"/>
                      <w:noProof/>
                      <w:sz w:val="18"/>
                      <w:szCs w:val="18"/>
                    </w:rPr>
                    <w:drawing>
                      <wp:inline distT="0" distB="0" distL="0" distR="0" wp14:anchorId="28B1AA4B" wp14:editId="10BC2EF5">
                        <wp:extent cx="2705100" cy="1981200"/>
                        <wp:effectExtent l="0" t="0" r="0" b="0"/>
                        <wp:docPr id="11" name="Picture 11" descr="More details can be found within the text surrounding this image." title="Figure 7.6 Time to disposal in the courts, criminal and civil, 2016-17 — experiment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r>
                    <w:rPr>
                      <w:rFonts w:ascii="Arial" w:hAnsi="Arial" w:cs="Arial"/>
                      <w:noProof/>
                      <w:sz w:val="18"/>
                      <w:szCs w:val="18"/>
                    </w:rPr>
                    <w:drawing>
                      <wp:inline distT="0" distB="0" distL="0" distR="0" wp14:anchorId="6CEDCFD6" wp14:editId="1E6227E6">
                        <wp:extent cx="2705100" cy="1981200"/>
                        <wp:effectExtent l="0" t="0" r="0" b="0"/>
                        <wp:docPr id="12" name="Picture 12" descr="More details can be found within the text surrounding this image." title="Figure 7.6 Time to disposal in the courts, criminal and civil, 2016-17 — experiment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5100" cy="1981200"/>
                                </a:xfrm>
                                <a:prstGeom prst="rect">
                                  <a:avLst/>
                                </a:prstGeom>
                                <a:noFill/>
                              </pic:spPr>
                            </pic:pic>
                          </a:graphicData>
                        </a:graphic>
                      </wp:inline>
                    </w:drawing>
                  </w:r>
                </w:p>
              </w:tc>
            </w:tr>
          </w:tbl>
          <w:p w14:paraId="5D18390C" w14:textId="77777777" w:rsidR="003C65A8" w:rsidRDefault="003C65A8" w:rsidP="00AC2754">
            <w:pPr>
              <w:pStyle w:val="Figure"/>
            </w:pPr>
          </w:p>
        </w:tc>
      </w:tr>
      <w:tr w:rsidR="003C65A8" w:rsidRPr="00176D3F" w14:paraId="6DBDD5E3" w14:textId="77777777" w:rsidTr="008560BF">
        <w:tc>
          <w:tcPr>
            <w:tcW w:w="8789" w:type="dxa"/>
            <w:tcBorders>
              <w:top w:val="nil"/>
              <w:left w:val="nil"/>
              <w:bottom w:val="nil"/>
              <w:right w:val="nil"/>
            </w:tcBorders>
            <w:shd w:val="clear" w:color="auto" w:fill="auto"/>
          </w:tcPr>
          <w:p w14:paraId="1DA8BF41" w14:textId="68CE3A24" w:rsidR="003C65A8" w:rsidRPr="00176D3F" w:rsidRDefault="003C65A8" w:rsidP="002476E6">
            <w:pPr>
              <w:pStyle w:val="Note"/>
            </w:pPr>
            <w:r>
              <w:rPr>
                <w:rStyle w:val="NoteLabel"/>
              </w:rPr>
              <w:t>a</w:t>
            </w:r>
            <w:r>
              <w:t xml:space="preserve"> </w:t>
            </w:r>
            <w:r w:rsidRPr="003117D8">
              <w:t>See</w:t>
            </w:r>
            <w:r w:rsidR="00132292">
              <w:t xml:space="preserve"> box 7.5</w:t>
            </w:r>
            <w:r w:rsidRPr="003117D8">
              <w:t xml:space="preserve"> and</w:t>
            </w:r>
            <w:r>
              <w:t xml:space="preserve"> table</w:t>
            </w:r>
            <w:r w:rsidR="002476E6">
              <w:t>s</w:t>
            </w:r>
            <w:r>
              <w:t xml:space="preserve"> 7A.</w:t>
            </w:r>
            <w:r w:rsidR="003A1204">
              <w:t>19</w:t>
            </w:r>
            <w:r w:rsidR="003A1204" w:rsidRPr="003A1204">
              <w:t>−</w:t>
            </w:r>
            <w:r w:rsidR="002476E6">
              <w:t>20</w:t>
            </w:r>
            <w:r w:rsidRPr="003117D8">
              <w:t xml:space="preserve"> for detailed definitions, footnotes and caveats.</w:t>
            </w:r>
            <w:r>
              <w:t xml:space="preserve"> </w:t>
            </w:r>
            <w:r>
              <w:rPr>
                <w:rStyle w:val="NoteLabel"/>
              </w:rPr>
              <w:t>b</w:t>
            </w:r>
            <w:r>
              <w:t xml:space="preserve"> Fed refers to Federal Court of Australia.</w:t>
            </w:r>
          </w:p>
        </w:tc>
      </w:tr>
      <w:tr w:rsidR="003C65A8" w:rsidRPr="00176D3F" w14:paraId="2C37FB4F" w14:textId="77777777" w:rsidTr="008560BF">
        <w:tc>
          <w:tcPr>
            <w:tcW w:w="8789" w:type="dxa"/>
            <w:tcBorders>
              <w:top w:val="nil"/>
              <w:left w:val="nil"/>
              <w:bottom w:val="nil"/>
              <w:right w:val="nil"/>
            </w:tcBorders>
            <w:shd w:val="clear" w:color="auto" w:fill="auto"/>
          </w:tcPr>
          <w:p w14:paraId="26C344ED" w14:textId="75C348DB" w:rsidR="003C65A8" w:rsidRPr="00176D3F" w:rsidRDefault="00B817E1" w:rsidP="002476E6">
            <w:pPr>
              <w:pStyle w:val="Source"/>
            </w:pPr>
            <w:r>
              <w:rPr>
                <w:i/>
              </w:rPr>
              <w:t>S</w:t>
            </w:r>
            <w:r w:rsidR="003C65A8" w:rsidRPr="00784A05">
              <w:rPr>
                <w:i/>
              </w:rPr>
              <w:t>ource</w:t>
            </w:r>
            <w:r w:rsidR="003C65A8" w:rsidRPr="00176D3F">
              <w:t xml:space="preserve">: </w:t>
            </w:r>
            <w:r w:rsidR="003C65A8" w:rsidRPr="00FE3767">
              <w:t>State</w:t>
            </w:r>
            <w:r w:rsidR="003C65A8">
              <w:t xml:space="preserve"> and Territory court authorities and departments (unpublished); table</w:t>
            </w:r>
            <w:r w:rsidR="002476E6">
              <w:t>s</w:t>
            </w:r>
            <w:r w:rsidR="003C65A8">
              <w:t> 7A.</w:t>
            </w:r>
            <w:r w:rsidR="003A1204">
              <w:t>19</w:t>
            </w:r>
            <w:r w:rsidR="003A1204" w:rsidRPr="003A1204">
              <w:t>−</w:t>
            </w:r>
            <w:r w:rsidR="002476E6">
              <w:t>20</w:t>
            </w:r>
            <w:r w:rsidR="003C65A8">
              <w:t>.</w:t>
            </w:r>
          </w:p>
        </w:tc>
      </w:tr>
      <w:tr w:rsidR="003C65A8" w14:paraId="6E17E754" w14:textId="77777777" w:rsidTr="008560BF">
        <w:tc>
          <w:tcPr>
            <w:tcW w:w="8789" w:type="dxa"/>
            <w:tcBorders>
              <w:top w:val="nil"/>
              <w:left w:val="nil"/>
              <w:bottom w:val="single" w:sz="6" w:space="0" w:color="78A22F"/>
              <w:right w:val="nil"/>
            </w:tcBorders>
            <w:shd w:val="clear" w:color="auto" w:fill="auto"/>
          </w:tcPr>
          <w:p w14:paraId="7AB0DCEA" w14:textId="77777777" w:rsidR="003C65A8" w:rsidRDefault="003C65A8" w:rsidP="00AC2754">
            <w:pPr>
              <w:pStyle w:val="Figurespace"/>
            </w:pPr>
          </w:p>
        </w:tc>
      </w:tr>
      <w:tr w:rsidR="003C65A8" w:rsidRPr="000863A5" w14:paraId="2D975225" w14:textId="77777777" w:rsidTr="008560BF">
        <w:tc>
          <w:tcPr>
            <w:tcW w:w="8789" w:type="dxa"/>
            <w:tcBorders>
              <w:top w:val="single" w:sz="6" w:space="0" w:color="78A22F"/>
              <w:left w:val="nil"/>
              <w:bottom w:val="nil"/>
              <w:right w:val="nil"/>
            </w:tcBorders>
          </w:tcPr>
          <w:p w14:paraId="26127821" w14:textId="198ED57E" w:rsidR="003C65A8" w:rsidRPr="00626D32" w:rsidRDefault="003C65A8" w:rsidP="00AC2754">
            <w:pPr>
              <w:pStyle w:val="BoxSpaceBelow"/>
            </w:pPr>
          </w:p>
        </w:tc>
      </w:tr>
    </w:tbl>
    <w:p w14:paraId="7D669A86" w14:textId="77777777" w:rsidR="00C61FAB" w:rsidRDefault="00C61FAB" w:rsidP="00C61FAB">
      <w:pPr>
        <w:pStyle w:val="Heading4"/>
      </w:pPr>
      <w:r>
        <w:lastRenderedPageBreak/>
        <w:t>Access — attendance</w:t>
      </w:r>
    </w:p>
    <w:p w14:paraId="6443065B" w14:textId="781549C8" w:rsidR="00C61FAB" w:rsidRDefault="00C61FAB" w:rsidP="00C61FAB">
      <w:pPr>
        <w:pStyle w:val="BodyText"/>
      </w:pPr>
      <w:r w:rsidRPr="006455B1">
        <w:rPr>
          <w:rStyle w:val="BodyTextChar"/>
        </w:rPr>
        <w:t>‘Attendance’ is an indicator of governments’ achievement against the objective of</w:t>
      </w:r>
      <w:r w:rsidR="003C298E">
        <w:t xml:space="preserve"> processing matters</w:t>
      </w:r>
      <w:r>
        <w:t xml:space="preserve"> in a</w:t>
      </w:r>
      <w:r w:rsidR="003C298E">
        <w:t>n expeditious and</w:t>
      </w:r>
      <w:r w:rsidR="00F61437">
        <w:t xml:space="preserve"> timely manner (box 7.</w:t>
      </w:r>
      <w:r w:rsidR="00132292">
        <w:t>6</w:t>
      </w:r>
      <w:r>
        <w:t xml:space="preserve">). </w:t>
      </w:r>
    </w:p>
    <w:p w14:paraId="7A57BEAD" w14:textId="77777777" w:rsidR="00C61FAB" w:rsidRDefault="00C61FAB" w:rsidP="00C61FA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1FAB" w14:paraId="560CBCBE" w14:textId="77777777" w:rsidTr="008560BF">
        <w:tc>
          <w:tcPr>
            <w:tcW w:w="8789" w:type="dxa"/>
            <w:tcBorders>
              <w:top w:val="single" w:sz="6" w:space="0" w:color="78A22F"/>
              <w:left w:val="nil"/>
              <w:bottom w:val="nil"/>
              <w:right w:val="nil"/>
            </w:tcBorders>
            <w:shd w:val="clear" w:color="auto" w:fill="F2F2F2" w:themeFill="background1" w:themeFillShade="F2"/>
          </w:tcPr>
          <w:p w14:paraId="133AE916" w14:textId="4D416031" w:rsidR="00C61FAB" w:rsidRDefault="00C61FAB" w:rsidP="00824B15">
            <w:pPr>
              <w:pStyle w:val="BoxTitle"/>
            </w:pPr>
            <w:r>
              <w:rPr>
                <w:b w:val="0"/>
              </w:rPr>
              <w:t xml:space="preserve">Box </w:t>
            </w:r>
            <w:r w:rsidR="00796A83">
              <w:rPr>
                <w:b w:val="0"/>
              </w:rPr>
              <w:t>7.</w:t>
            </w:r>
            <w:r w:rsidR="00132292">
              <w:rPr>
                <w:b w:val="0"/>
              </w:rPr>
              <w:t>6</w:t>
            </w:r>
            <w:r>
              <w:tab/>
            </w:r>
            <w:r w:rsidRPr="00D35720">
              <w:t>Attendance</w:t>
            </w:r>
          </w:p>
        </w:tc>
      </w:tr>
      <w:tr w:rsidR="00C61FAB" w14:paraId="3948AD4E" w14:textId="77777777" w:rsidTr="008560BF">
        <w:trPr>
          <w:cantSplit/>
        </w:trPr>
        <w:tc>
          <w:tcPr>
            <w:tcW w:w="8789" w:type="dxa"/>
            <w:tcBorders>
              <w:top w:val="nil"/>
              <w:left w:val="nil"/>
              <w:bottom w:val="nil"/>
              <w:right w:val="nil"/>
            </w:tcBorders>
            <w:shd w:val="clear" w:color="auto" w:fill="F2F2F2" w:themeFill="background1" w:themeFillShade="F2"/>
          </w:tcPr>
          <w:p w14:paraId="41B1B75D" w14:textId="77777777" w:rsidR="00C61FAB" w:rsidRDefault="00C61FAB" w:rsidP="00B53D55">
            <w:pPr>
              <w:pStyle w:val="Box"/>
            </w:pPr>
            <w:r>
              <w:t>‘Attendance’ is defined as the average number of attendances recorded (no matter when the attendance occurred) for those cases that were finalised during the year. The number of attendances is the number of times that parties or their representatives are required to be present in court to be heard by a judicial officer or mediator/arbitrator where binding orders can be made. The number includes appointments that are adjourned or rescheduled.</w:t>
            </w:r>
          </w:p>
          <w:p w14:paraId="59D44BAB" w14:textId="77777777" w:rsidR="00C61FAB" w:rsidRDefault="00C61FAB" w:rsidP="00B53D55">
            <w:pPr>
              <w:pStyle w:val="Box"/>
            </w:pPr>
            <w:r>
              <w:t xml:space="preserve">Fewer attendances may suggest a more effective process. However, this should be balanced against the likelihood that the number of attendances will increase if rehabilitation or diversionary programs are used, or if intensive case management is used. Both of these paths are believed to improve the quality of outcomes: </w:t>
            </w:r>
          </w:p>
          <w:p w14:paraId="4067B3A4" w14:textId="77777777" w:rsidR="00C61FAB" w:rsidRDefault="00C61FAB" w:rsidP="00B53D55">
            <w:pPr>
              <w:pStyle w:val="BoxListBullet"/>
            </w:pPr>
            <w:r>
              <w:t>rehabilitation and diversionary programs aim to provide therapeutic benefits for the offenders, and benefits of reduced recidivism for the community</w:t>
            </w:r>
          </w:p>
          <w:p w14:paraId="65637038" w14:textId="77777777" w:rsidR="00C61FAB" w:rsidRDefault="00C61FAB" w:rsidP="00B53D55">
            <w:pPr>
              <w:pStyle w:val="BoxListBullet"/>
            </w:pPr>
            <w:r>
              <w:t>intensive case management is believed to maximise the prospects of settlement (and thereby reduce the litigant’s costs, the number of cases queuing for hearing, and the flow of work on to appellate courts); alternatively, it can narrow the issues for trial (thus shortening trial time and also reducing costs and the queuing time for other cases waiting for hearing).</w:t>
            </w:r>
          </w:p>
          <w:p w14:paraId="32D505C9" w14:textId="77777777" w:rsidR="00CF1A6D" w:rsidRDefault="00CF1A6D" w:rsidP="00B53D55">
            <w:pPr>
              <w:pStyle w:val="BoxListBullet"/>
              <w:numPr>
                <w:ilvl w:val="0"/>
                <w:numId w:val="0"/>
              </w:numPr>
            </w:pPr>
            <w:r w:rsidRPr="009A766B">
              <w:t>Alternative Dispute Reso</w:t>
            </w:r>
            <w:r>
              <w:t>lution (ADR) can resolve some types of</w:t>
            </w:r>
            <w:r w:rsidRPr="009A766B">
              <w:t xml:space="preserve"> matters out of court and thereby reduce the need for judicial hearings. Accordingly, differences </w:t>
            </w:r>
            <w:r>
              <w:t>across jurisdictions</w:t>
            </w:r>
            <w:r w:rsidRPr="009A766B">
              <w:t xml:space="preserve"> in the availability and use of ADR can affect the comparability of the attendance indicator.</w:t>
            </w:r>
          </w:p>
          <w:p w14:paraId="314BCA02" w14:textId="77777777" w:rsidR="00C61FAB" w:rsidRDefault="00C61FAB" w:rsidP="00B53D55">
            <w:pPr>
              <w:pStyle w:val="BoxListBullet"/>
              <w:numPr>
                <w:ilvl w:val="0"/>
                <w:numId w:val="0"/>
              </w:numPr>
              <w:rPr>
                <w:szCs w:val="22"/>
              </w:rPr>
            </w:pPr>
            <w:r>
              <w:t>Data reported for this indicator are:</w:t>
            </w:r>
          </w:p>
          <w:p w14:paraId="43918E56" w14:textId="77777777" w:rsidR="00C61FAB" w:rsidRPr="00CC40E3" w:rsidRDefault="00C61FAB" w:rsidP="00B53D55">
            <w:pPr>
              <w:pStyle w:val="BoxListBullet"/>
            </w:pPr>
            <w:r w:rsidRPr="00CC40E3">
              <w:t>comparable (subject to caveats) within jurisdictions over time but are not comparable across jurisdictions</w:t>
            </w:r>
          </w:p>
          <w:p w14:paraId="420E4A64" w14:textId="671F70BD" w:rsidR="00C61FAB" w:rsidRDefault="00C61FAB" w:rsidP="007628FE">
            <w:pPr>
              <w:pStyle w:val="BoxListBullet"/>
              <w:spacing w:after="120"/>
            </w:pPr>
            <w:r w:rsidRPr="00CC40E3">
              <w:t xml:space="preserve">incomplete for the current reporting period. </w:t>
            </w:r>
            <w:r w:rsidRPr="008958EE">
              <w:t>Required 201</w:t>
            </w:r>
            <w:r w:rsidR="000326B3" w:rsidRPr="008958EE">
              <w:t>6</w:t>
            </w:r>
            <w:r w:rsidR="00105127">
              <w:rPr>
                <w:color w:val="000000" w:themeColor="text1"/>
              </w:rPr>
              <w:t>–</w:t>
            </w:r>
            <w:r w:rsidRPr="008958EE">
              <w:t>1</w:t>
            </w:r>
            <w:r w:rsidR="000326B3" w:rsidRPr="008958EE">
              <w:t>7</w:t>
            </w:r>
            <w:r w:rsidRPr="008958EE">
              <w:t xml:space="preserve"> data were not availabl</w:t>
            </w:r>
            <w:r w:rsidR="007628FE" w:rsidRPr="008958EE">
              <w:t>e for the NSW Supreme court</w:t>
            </w:r>
            <w:r w:rsidRPr="008958EE">
              <w:t>. Data were not provided for the Victorian Supreme c</w:t>
            </w:r>
            <w:r w:rsidR="00981576" w:rsidRPr="008958EE">
              <w:t>ourt.</w:t>
            </w:r>
          </w:p>
        </w:tc>
      </w:tr>
      <w:tr w:rsidR="00C61FAB" w:rsidRPr="000863A5" w14:paraId="4917EB7D" w14:textId="77777777" w:rsidTr="008560BF">
        <w:tc>
          <w:tcPr>
            <w:tcW w:w="8789" w:type="dxa"/>
            <w:tcBorders>
              <w:top w:val="single" w:sz="6" w:space="0" w:color="78A22F"/>
              <w:left w:val="nil"/>
              <w:bottom w:val="nil"/>
              <w:right w:val="nil"/>
            </w:tcBorders>
          </w:tcPr>
          <w:p w14:paraId="342D4E0C" w14:textId="77777777" w:rsidR="00C61FAB" w:rsidRPr="00626D32" w:rsidRDefault="00C61FAB" w:rsidP="00B53D55">
            <w:pPr>
              <w:pStyle w:val="BoxSpaceBelow"/>
            </w:pPr>
          </w:p>
        </w:tc>
      </w:tr>
    </w:tbl>
    <w:p w14:paraId="35B1FF0A" w14:textId="5F9362DB" w:rsidR="00C61FAB" w:rsidRDefault="00C61FAB" w:rsidP="00C61FAB">
      <w:pPr>
        <w:pStyle w:val="BodyText"/>
      </w:pPr>
      <w:r w:rsidRPr="00D35720">
        <w:t>Attendance data can be difficult to collect. Due to system limitations, some jurisdictions supply data on listed hearings rather than actual attendances in court</w:t>
      </w:r>
      <w:r w:rsidR="00FA7365">
        <w:t xml:space="preserve"> (see table 7A.21</w:t>
      </w:r>
      <w:r>
        <w:t xml:space="preserve"> for details)</w:t>
      </w:r>
      <w:r w:rsidRPr="00D35720">
        <w:t>.</w:t>
      </w:r>
      <w:r>
        <w:t xml:space="preserve"> </w:t>
      </w:r>
    </w:p>
    <w:p w14:paraId="0891FA4D" w14:textId="0FEDB353" w:rsidR="00C61FAB" w:rsidRDefault="00C61FAB" w:rsidP="00C61FAB">
      <w:pPr>
        <w:pStyle w:val="BodyText"/>
      </w:pPr>
      <w:r w:rsidRPr="00D35720">
        <w:t xml:space="preserve">Attendance indicator results </w:t>
      </w:r>
      <w:r>
        <w:t xml:space="preserve">for </w:t>
      </w:r>
      <w:r w:rsidRPr="00D35720">
        <w:t>c</w:t>
      </w:r>
      <w:r>
        <w:t>riminal proceedings</w:t>
      </w:r>
      <w:r w:rsidRPr="00D35720">
        <w:t xml:space="preserve"> are reported in </w:t>
      </w:r>
      <w:r w:rsidR="00934B1C">
        <w:t>table 7.6</w:t>
      </w:r>
      <w:r w:rsidR="00CF3FFC">
        <w:t xml:space="preserve"> and</w:t>
      </w:r>
      <w:r w:rsidR="00CF3FFC" w:rsidRPr="00D35720">
        <w:t xml:space="preserve"> </w:t>
      </w:r>
      <w:r w:rsidR="00CF3FFC">
        <w:t xml:space="preserve">for </w:t>
      </w:r>
      <w:r w:rsidR="00CF3FFC" w:rsidRPr="00D35720">
        <w:t>c</w:t>
      </w:r>
      <w:r w:rsidR="00CF3FFC">
        <w:t>ivil proceedings</w:t>
      </w:r>
      <w:r w:rsidR="00CF3FFC" w:rsidRPr="00D35720">
        <w:t xml:space="preserve"> are reported in </w:t>
      </w:r>
      <w:r w:rsidR="00CF3FFC">
        <w:t>table 7.7.</w:t>
      </w: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61FAB" w14:paraId="725B9C15" w14:textId="77777777" w:rsidTr="008560BF">
        <w:tc>
          <w:tcPr>
            <w:tcW w:w="8789" w:type="dxa"/>
            <w:tcBorders>
              <w:top w:val="single" w:sz="6" w:space="0" w:color="78A22F" w:themeColor="accent1"/>
              <w:left w:val="nil"/>
              <w:bottom w:val="nil"/>
              <w:right w:val="nil"/>
            </w:tcBorders>
            <w:shd w:val="clear" w:color="auto" w:fill="auto"/>
          </w:tcPr>
          <w:p w14:paraId="15261E0D" w14:textId="2D5CECB1" w:rsidR="00C61FAB" w:rsidRPr="00784A05" w:rsidRDefault="00C61FAB" w:rsidP="00934B1C">
            <w:pPr>
              <w:pStyle w:val="TableTitle"/>
              <w:rPr>
                <w:lang w:eastAsia="en-US"/>
              </w:rPr>
            </w:pPr>
            <w:r>
              <w:rPr>
                <w:b w:val="0"/>
              </w:rPr>
              <w:lastRenderedPageBreak/>
              <w:t>Table 7.</w:t>
            </w:r>
            <w:r w:rsidR="00934B1C">
              <w:rPr>
                <w:b w:val="0"/>
              </w:rPr>
              <w:t>6</w:t>
            </w:r>
            <w:r>
              <w:tab/>
              <w:t>Attendance</w:t>
            </w:r>
            <w:r w:rsidRPr="00D50A5D">
              <w:t xml:space="preserve"> — criminal</w:t>
            </w:r>
            <w:r w:rsidRPr="00A62627">
              <w:t xml:space="preserve">, </w:t>
            </w:r>
            <w:r w:rsidR="00C74137" w:rsidRPr="00A62627">
              <w:t>201</w:t>
            </w:r>
            <w:r w:rsidR="00EF3050" w:rsidRPr="00A62627">
              <w:t>6</w:t>
            </w:r>
            <w:r w:rsidRPr="00A62627">
              <w:t>-1</w:t>
            </w:r>
            <w:r w:rsidR="00EF3050" w:rsidRPr="00A62627">
              <w:t>7</w:t>
            </w:r>
            <w:r w:rsidRPr="00A62627">
              <w:rPr>
                <w:rStyle w:val="NoteLabel"/>
                <w:b/>
              </w:rPr>
              <w:t>a</w:t>
            </w:r>
          </w:p>
        </w:tc>
      </w:tr>
      <w:tr w:rsidR="00C61FAB" w14:paraId="1AD59CFD" w14:textId="77777777" w:rsidTr="008560BF">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37"/>
              <w:gridCol w:w="822"/>
              <w:gridCol w:w="797"/>
              <w:gridCol w:w="808"/>
              <w:gridCol w:w="809"/>
              <w:gridCol w:w="795"/>
              <w:gridCol w:w="802"/>
              <w:gridCol w:w="808"/>
              <w:gridCol w:w="663"/>
            </w:tblGrid>
            <w:tr w:rsidR="00C61FAB" w14:paraId="04CE9587" w14:textId="77777777" w:rsidTr="00A62627">
              <w:tc>
                <w:tcPr>
                  <w:tcW w:w="2037" w:type="dxa"/>
                  <w:tcBorders>
                    <w:top w:val="single" w:sz="6" w:space="0" w:color="BFBFBF"/>
                    <w:bottom w:val="single" w:sz="6" w:space="0" w:color="BFBFBF"/>
                  </w:tcBorders>
                </w:tcPr>
                <w:p w14:paraId="3F7FB6C8" w14:textId="77777777" w:rsidR="00C61FAB" w:rsidRDefault="00C61FAB" w:rsidP="00B53D55">
                  <w:pPr>
                    <w:pStyle w:val="TableColumnHeading"/>
                    <w:jc w:val="left"/>
                  </w:pPr>
                </w:p>
              </w:tc>
              <w:tc>
                <w:tcPr>
                  <w:tcW w:w="822" w:type="dxa"/>
                  <w:tcBorders>
                    <w:top w:val="single" w:sz="6" w:space="0" w:color="BFBFBF"/>
                    <w:bottom w:val="single" w:sz="6" w:space="0" w:color="BFBFBF"/>
                  </w:tcBorders>
                </w:tcPr>
                <w:p w14:paraId="2193F8E4" w14:textId="77777777" w:rsidR="00C61FAB" w:rsidRPr="006702FC" w:rsidRDefault="00C61FAB" w:rsidP="00CB1FA4">
                  <w:pPr>
                    <w:pStyle w:val="TableColumnHeading"/>
                    <w:ind w:left="0"/>
                    <w:rPr>
                      <w:rStyle w:val="NoteLabel"/>
                    </w:rPr>
                  </w:pPr>
                  <w:r>
                    <w:t>NSW</w:t>
                  </w:r>
                </w:p>
              </w:tc>
              <w:tc>
                <w:tcPr>
                  <w:tcW w:w="797" w:type="dxa"/>
                  <w:tcBorders>
                    <w:top w:val="single" w:sz="6" w:space="0" w:color="BFBFBF"/>
                    <w:bottom w:val="single" w:sz="6" w:space="0" w:color="BFBFBF"/>
                  </w:tcBorders>
                </w:tcPr>
                <w:p w14:paraId="44BFFB53" w14:textId="77777777" w:rsidR="00C61FAB" w:rsidRDefault="00C61FAB" w:rsidP="00CB1FA4">
                  <w:pPr>
                    <w:pStyle w:val="TableColumnHeading"/>
                    <w:ind w:left="0"/>
                  </w:pPr>
                  <w:r>
                    <w:t>Vic</w:t>
                  </w:r>
                </w:p>
              </w:tc>
              <w:tc>
                <w:tcPr>
                  <w:tcW w:w="808" w:type="dxa"/>
                  <w:tcBorders>
                    <w:top w:val="single" w:sz="6" w:space="0" w:color="BFBFBF"/>
                    <w:bottom w:val="single" w:sz="6" w:space="0" w:color="BFBFBF"/>
                  </w:tcBorders>
                </w:tcPr>
                <w:p w14:paraId="14197759" w14:textId="77777777" w:rsidR="00C61FAB" w:rsidRPr="006702FC" w:rsidRDefault="00C61FAB" w:rsidP="00CB1FA4">
                  <w:pPr>
                    <w:pStyle w:val="TableColumnHeading"/>
                    <w:ind w:left="0"/>
                    <w:rPr>
                      <w:rStyle w:val="NoteLabel"/>
                    </w:rPr>
                  </w:pPr>
                  <w:r>
                    <w:t>Qld</w:t>
                  </w:r>
                </w:p>
              </w:tc>
              <w:tc>
                <w:tcPr>
                  <w:tcW w:w="809" w:type="dxa"/>
                  <w:tcBorders>
                    <w:top w:val="single" w:sz="6" w:space="0" w:color="BFBFBF"/>
                    <w:bottom w:val="single" w:sz="6" w:space="0" w:color="BFBFBF"/>
                  </w:tcBorders>
                </w:tcPr>
                <w:p w14:paraId="30043CCB" w14:textId="77777777" w:rsidR="00C61FAB" w:rsidRPr="006702FC" w:rsidRDefault="00C61FAB" w:rsidP="00CB1FA4">
                  <w:pPr>
                    <w:pStyle w:val="TableColumnHeading"/>
                    <w:ind w:left="0"/>
                    <w:rPr>
                      <w:rStyle w:val="NoteLabel"/>
                    </w:rPr>
                  </w:pPr>
                  <w:r>
                    <w:t>WA</w:t>
                  </w:r>
                </w:p>
              </w:tc>
              <w:tc>
                <w:tcPr>
                  <w:tcW w:w="795" w:type="dxa"/>
                  <w:tcBorders>
                    <w:top w:val="single" w:sz="6" w:space="0" w:color="BFBFBF"/>
                    <w:bottom w:val="single" w:sz="6" w:space="0" w:color="BFBFBF"/>
                  </w:tcBorders>
                </w:tcPr>
                <w:p w14:paraId="2D9CF8B6" w14:textId="77777777" w:rsidR="00C61FAB" w:rsidRDefault="00C61FAB" w:rsidP="00CB1FA4">
                  <w:pPr>
                    <w:pStyle w:val="TableColumnHeading"/>
                    <w:ind w:left="0"/>
                  </w:pPr>
                  <w:r>
                    <w:t>SA</w:t>
                  </w:r>
                </w:p>
              </w:tc>
              <w:tc>
                <w:tcPr>
                  <w:tcW w:w="802" w:type="dxa"/>
                  <w:tcBorders>
                    <w:top w:val="single" w:sz="6" w:space="0" w:color="BFBFBF"/>
                    <w:bottom w:val="single" w:sz="6" w:space="0" w:color="BFBFBF"/>
                  </w:tcBorders>
                </w:tcPr>
                <w:p w14:paraId="79FE2419" w14:textId="77777777" w:rsidR="00C61FAB" w:rsidRDefault="00C61FAB" w:rsidP="00CB1FA4">
                  <w:pPr>
                    <w:pStyle w:val="TableColumnHeading"/>
                    <w:ind w:left="0"/>
                  </w:pPr>
                  <w:r>
                    <w:t>Tas</w:t>
                  </w:r>
                </w:p>
              </w:tc>
              <w:tc>
                <w:tcPr>
                  <w:tcW w:w="808" w:type="dxa"/>
                  <w:tcBorders>
                    <w:top w:val="single" w:sz="6" w:space="0" w:color="BFBFBF"/>
                    <w:bottom w:val="single" w:sz="6" w:space="0" w:color="BFBFBF"/>
                  </w:tcBorders>
                </w:tcPr>
                <w:p w14:paraId="25BBC5F3" w14:textId="77777777" w:rsidR="00C61FAB" w:rsidRPr="006702FC" w:rsidRDefault="00C61FAB" w:rsidP="00CB1FA4">
                  <w:pPr>
                    <w:pStyle w:val="TableColumnHeading"/>
                    <w:ind w:left="0"/>
                    <w:rPr>
                      <w:rStyle w:val="NoteLabel"/>
                      <w:b w:val="0"/>
                      <w:i w:val="0"/>
                      <w:szCs w:val="24"/>
                    </w:rPr>
                  </w:pPr>
                  <w:r>
                    <w:t>ACT</w:t>
                  </w:r>
                </w:p>
              </w:tc>
              <w:tc>
                <w:tcPr>
                  <w:tcW w:w="663" w:type="dxa"/>
                  <w:tcBorders>
                    <w:top w:val="single" w:sz="6" w:space="0" w:color="BFBFBF"/>
                    <w:bottom w:val="single" w:sz="6" w:space="0" w:color="BFBFBF"/>
                  </w:tcBorders>
                </w:tcPr>
                <w:p w14:paraId="2FA5C04A" w14:textId="77777777" w:rsidR="00C61FAB" w:rsidRDefault="00C61FAB" w:rsidP="00B53D55">
                  <w:pPr>
                    <w:pStyle w:val="TableColumnHeading"/>
                    <w:ind w:right="28"/>
                  </w:pPr>
                  <w:r>
                    <w:t>NT</w:t>
                  </w:r>
                </w:p>
              </w:tc>
            </w:tr>
            <w:tr w:rsidR="00C61FAB" w:rsidRPr="00EB64F9" w14:paraId="4DC4BCD1" w14:textId="77777777" w:rsidTr="00A62627">
              <w:tc>
                <w:tcPr>
                  <w:tcW w:w="8341" w:type="dxa"/>
                  <w:gridSpan w:val="9"/>
                  <w:tcBorders>
                    <w:top w:val="single" w:sz="6" w:space="0" w:color="BFBFBF"/>
                  </w:tcBorders>
                </w:tcPr>
                <w:p w14:paraId="044B09D4" w14:textId="77777777" w:rsidR="00C61FAB" w:rsidRPr="00EB64F9" w:rsidRDefault="00C61FAB" w:rsidP="00B53D55">
                  <w:pPr>
                    <w:pStyle w:val="TableBodyText"/>
                    <w:spacing w:before="40"/>
                    <w:ind w:right="28"/>
                    <w:jc w:val="left"/>
                  </w:pPr>
                  <w:r w:rsidRPr="00EB64F9">
                    <w:rPr>
                      <w:i/>
                    </w:rPr>
                    <w:t>Average attendances per finalisation</w:t>
                  </w:r>
                </w:p>
              </w:tc>
            </w:tr>
            <w:tr w:rsidR="00A62627" w:rsidRPr="003D4D27" w14:paraId="36357C76" w14:textId="77777777" w:rsidTr="00A62627">
              <w:tc>
                <w:tcPr>
                  <w:tcW w:w="2037" w:type="dxa"/>
                </w:tcPr>
                <w:p w14:paraId="0F8C7D9D" w14:textId="77777777" w:rsidR="00A62627" w:rsidRPr="00D50A5D" w:rsidRDefault="00A62627" w:rsidP="00A62627">
                  <w:pPr>
                    <w:pStyle w:val="TableBodyText"/>
                    <w:jc w:val="left"/>
                  </w:pPr>
                  <w:r w:rsidRPr="00D50A5D">
                    <w:t>Supreme</w:t>
                  </w:r>
                </w:p>
              </w:tc>
              <w:tc>
                <w:tcPr>
                  <w:tcW w:w="822" w:type="dxa"/>
                  <w:vAlign w:val="bottom"/>
                </w:tcPr>
                <w:p w14:paraId="1BBBA1CA" w14:textId="50BC9958" w:rsidR="00A62627" w:rsidRPr="00A62627" w:rsidRDefault="00A62627" w:rsidP="00A62627">
                  <w:pPr>
                    <w:pStyle w:val="TableBodyText"/>
                  </w:pPr>
                  <w:r w:rsidRPr="00A62627">
                    <w:t>na</w:t>
                  </w:r>
                </w:p>
              </w:tc>
              <w:tc>
                <w:tcPr>
                  <w:tcW w:w="797" w:type="dxa"/>
                  <w:vAlign w:val="bottom"/>
                </w:tcPr>
                <w:p w14:paraId="083A8D3D" w14:textId="6E53B030" w:rsidR="00A62627" w:rsidRPr="00A62627" w:rsidRDefault="00A62627" w:rsidP="00A62627">
                  <w:pPr>
                    <w:pStyle w:val="TableBodyText"/>
                  </w:pPr>
                  <w:r w:rsidRPr="00A62627">
                    <w:t>na</w:t>
                  </w:r>
                </w:p>
              </w:tc>
              <w:tc>
                <w:tcPr>
                  <w:tcW w:w="808" w:type="dxa"/>
                  <w:vAlign w:val="bottom"/>
                </w:tcPr>
                <w:p w14:paraId="4949223E" w14:textId="1B9B1EDF" w:rsidR="00A62627" w:rsidRPr="00A62627" w:rsidRDefault="00A62627" w:rsidP="00A62627">
                  <w:pPr>
                    <w:pStyle w:val="TableBodyText"/>
                  </w:pPr>
                  <w:r w:rsidRPr="00A62627">
                    <w:t xml:space="preserve"> 2.9</w:t>
                  </w:r>
                </w:p>
              </w:tc>
              <w:tc>
                <w:tcPr>
                  <w:tcW w:w="809" w:type="dxa"/>
                  <w:vAlign w:val="bottom"/>
                </w:tcPr>
                <w:p w14:paraId="15B3907F" w14:textId="28FC0730" w:rsidR="00A62627" w:rsidRPr="00A62627" w:rsidRDefault="00A62627" w:rsidP="00A62627">
                  <w:pPr>
                    <w:pStyle w:val="TableBodyText"/>
                  </w:pPr>
                  <w:r w:rsidRPr="00A62627">
                    <w:t xml:space="preserve"> 3.2</w:t>
                  </w:r>
                </w:p>
              </w:tc>
              <w:tc>
                <w:tcPr>
                  <w:tcW w:w="795" w:type="dxa"/>
                  <w:vAlign w:val="bottom"/>
                </w:tcPr>
                <w:p w14:paraId="24BB282A" w14:textId="67AC7C6D" w:rsidR="00A62627" w:rsidRPr="00A62627" w:rsidRDefault="00A62627" w:rsidP="00A62627">
                  <w:pPr>
                    <w:pStyle w:val="TableBodyText"/>
                  </w:pPr>
                  <w:r w:rsidRPr="00A62627">
                    <w:t xml:space="preserve"> 4.2</w:t>
                  </w:r>
                </w:p>
              </w:tc>
              <w:tc>
                <w:tcPr>
                  <w:tcW w:w="802" w:type="dxa"/>
                  <w:vAlign w:val="bottom"/>
                </w:tcPr>
                <w:p w14:paraId="3B00866F" w14:textId="5F2E4015" w:rsidR="00A62627" w:rsidRPr="00A62627" w:rsidRDefault="00A62627" w:rsidP="00A62627">
                  <w:pPr>
                    <w:pStyle w:val="TableBodyText"/>
                  </w:pPr>
                  <w:r w:rsidRPr="00A62627">
                    <w:t xml:space="preserve"> 5.4</w:t>
                  </w:r>
                </w:p>
              </w:tc>
              <w:tc>
                <w:tcPr>
                  <w:tcW w:w="808" w:type="dxa"/>
                  <w:vAlign w:val="bottom"/>
                </w:tcPr>
                <w:p w14:paraId="1E322C7D" w14:textId="0C5D4158" w:rsidR="00A62627" w:rsidRPr="00A62627" w:rsidRDefault="00A62627" w:rsidP="00A62627">
                  <w:pPr>
                    <w:pStyle w:val="TableBodyText"/>
                  </w:pPr>
                  <w:r w:rsidRPr="00A62627">
                    <w:t xml:space="preserve"> 5.9</w:t>
                  </w:r>
                </w:p>
              </w:tc>
              <w:tc>
                <w:tcPr>
                  <w:tcW w:w="663" w:type="dxa"/>
                  <w:vAlign w:val="bottom"/>
                </w:tcPr>
                <w:p w14:paraId="05E17AED" w14:textId="70A08D08" w:rsidR="00A62627" w:rsidRPr="00A62627" w:rsidRDefault="00A62627" w:rsidP="00CB1FA4">
                  <w:pPr>
                    <w:pStyle w:val="TableBodyText"/>
                    <w:ind w:right="0"/>
                  </w:pPr>
                  <w:r w:rsidRPr="00A62627">
                    <w:t xml:space="preserve"> 6.7</w:t>
                  </w:r>
                </w:p>
              </w:tc>
            </w:tr>
            <w:tr w:rsidR="00A62627" w:rsidRPr="003D4D27" w14:paraId="50A3D2F2" w14:textId="77777777" w:rsidTr="00A62627">
              <w:tc>
                <w:tcPr>
                  <w:tcW w:w="2037" w:type="dxa"/>
                </w:tcPr>
                <w:p w14:paraId="3CF494B5" w14:textId="77777777" w:rsidR="00A62627" w:rsidRPr="00D50A5D" w:rsidRDefault="00A62627" w:rsidP="00A62627">
                  <w:pPr>
                    <w:pStyle w:val="TableBodyText"/>
                    <w:jc w:val="left"/>
                  </w:pPr>
                  <w:r w:rsidRPr="00D50A5D">
                    <w:t>District/County</w:t>
                  </w:r>
                </w:p>
              </w:tc>
              <w:tc>
                <w:tcPr>
                  <w:tcW w:w="822" w:type="dxa"/>
                  <w:vAlign w:val="bottom"/>
                </w:tcPr>
                <w:p w14:paraId="0DF9B56E" w14:textId="5A4F515C" w:rsidR="00A62627" w:rsidRPr="00A62627" w:rsidRDefault="00A62627" w:rsidP="00A62627">
                  <w:pPr>
                    <w:pStyle w:val="TableBodyText"/>
                  </w:pPr>
                  <w:r w:rsidRPr="00A62627">
                    <w:t xml:space="preserve"> 3.1</w:t>
                  </w:r>
                </w:p>
              </w:tc>
              <w:tc>
                <w:tcPr>
                  <w:tcW w:w="797" w:type="dxa"/>
                  <w:vAlign w:val="bottom"/>
                </w:tcPr>
                <w:p w14:paraId="3FB1EFFD" w14:textId="2FF10E2A" w:rsidR="00A62627" w:rsidRPr="00A62627" w:rsidRDefault="00A62627" w:rsidP="00A62627">
                  <w:pPr>
                    <w:pStyle w:val="TableBodyText"/>
                  </w:pPr>
                  <w:r w:rsidRPr="00A62627">
                    <w:t xml:space="preserve"> 4.4</w:t>
                  </w:r>
                </w:p>
              </w:tc>
              <w:tc>
                <w:tcPr>
                  <w:tcW w:w="808" w:type="dxa"/>
                  <w:vAlign w:val="bottom"/>
                </w:tcPr>
                <w:p w14:paraId="28508B23" w14:textId="4DB92FA2" w:rsidR="00A62627" w:rsidRPr="00A62627" w:rsidRDefault="00A62627" w:rsidP="00A62627">
                  <w:pPr>
                    <w:pStyle w:val="TableBodyText"/>
                  </w:pPr>
                  <w:r w:rsidRPr="00A62627">
                    <w:t xml:space="preserve"> 4.0</w:t>
                  </w:r>
                </w:p>
              </w:tc>
              <w:tc>
                <w:tcPr>
                  <w:tcW w:w="809" w:type="dxa"/>
                  <w:vAlign w:val="bottom"/>
                </w:tcPr>
                <w:p w14:paraId="34F68978" w14:textId="5465338A" w:rsidR="00A62627" w:rsidRPr="00A62627" w:rsidRDefault="00A62627" w:rsidP="00A62627">
                  <w:pPr>
                    <w:pStyle w:val="TableBodyText"/>
                  </w:pPr>
                  <w:r w:rsidRPr="00A62627">
                    <w:t xml:space="preserve"> 4.0</w:t>
                  </w:r>
                </w:p>
              </w:tc>
              <w:tc>
                <w:tcPr>
                  <w:tcW w:w="795" w:type="dxa"/>
                  <w:vAlign w:val="bottom"/>
                </w:tcPr>
                <w:p w14:paraId="71048C92" w14:textId="49771F3B" w:rsidR="00A62627" w:rsidRPr="00A62627" w:rsidRDefault="00A62627" w:rsidP="00A62627">
                  <w:pPr>
                    <w:pStyle w:val="TableBodyText"/>
                  </w:pPr>
                  <w:r w:rsidRPr="00A62627">
                    <w:t xml:space="preserve"> 6.1</w:t>
                  </w:r>
                </w:p>
              </w:tc>
              <w:tc>
                <w:tcPr>
                  <w:tcW w:w="802" w:type="dxa"/>
                  <w:vAlign w:val="bottom"/>
                </w:tcPr>
                <w:p w14:paraId="56919DEC" w14:textId="79F5FC10" w:rsidR="00A62627" w:rsidRPr="00A62627" w:rsidRDefault="00A62627" w:rsidP="00A62627">
                  <w:pPr>
                    <w:pStyle w:val="TableBodyText"/>
                  </w:pPr>
                  <w:r w:rsidRPr="00A62627">
                    <w:t>..</w:t>
                  </w:r>
                </w:p>
              </w:tc>
              <w:tc>
                <w:tcPr>
                  <w:tcW w:w="808" w:type="dxa"/>
                  <w:vAlign w:val="bottom"/>
                </w:tcPr>
                <w:p w14:paraId="2B643B54" w14:textId="6CD3E5A6" w:rsidR="00A62627" w:rsidRPr="00A62627" w:rsidRDefault="00A62627" w:rsidP="00A62627">
                  <w:pPr>
                    <w:pStyle w:val="TableBodyText"/>
                  </w:pPr>
                  <w:r w:rsidRPr="00A62627">
                    <w:t>..</w:t>
                  </w:r>
                </w:p>
              </w:tc>
              <w:tc>
                <w:tcPr>
                  <w:tcW w:w="663" w:type="dxa"/>
                  <w:vAlign w:val="bottom"/>
                </w:tcPr>
                <w:p w14:paraId="3F44E221" w14:textId="181E0A9E" w:rsidR="00A62627" w:rsidRPr="00A62627" w:rsidRDefault="00A62627" w:rsidP="00CB1FA4">
                  <w:pPr>
                    <w:pStyle w:val="TableBodyText"/>
                    <w:ind w:right="0"/>
                  </w:pPr>
                  <w:r w:rsidRPr="00A62627">
                    <w:t>..</w:t>
                  </w:r>
                </w:p>
              </w:tc>
            </w:tr>
            <w:tr w:rsidR="00A62627" w:rsidRPr="003D4D27" w14:paraId="6E592D3D" w14:textId="77777777" w:rsidTr="0078489F">
              <w:tc>
                <w:tcPr>
                  <w:tcW w:w="2037" w:type="dxa"/>
                </w:tcPr>
                <w:p w14:paraId="37E06847" w14:textId="77777777" w:rsidR="00A62627" w:rsidRPr="00D50A5D" w:rsidRDefault="00A62627" w:rsidP="00A62627">
                  <w:pPr>
                    <w:pStyle w:val="TableBodyText"/>
                    <w:jc w:val="left"/>
                  </w:pPr>
                  <w:r w:rsidRPr="00D50A5D">
                    <w:t>Magistrates’</w:t>
                  </w:r>
                </w:p>
              </w:tc>
              <w:tc>
                <w:tcPr>
                  <w:tcW w:w="822" w:type="dxa"/>
                  <w:vAlign w:val="bottom"/>
                </w:tcPr>
                <w:p w14:paraId="370D47E1" w14:textId="538A05DF" w:rsidR="00A62627" w:rsidRPr="00A62627" w:rsidRDefault="00A62627" w:rsidP="00A62627">
                  <w:pPr>
                    <w:pStyle w:val="TableBodyText"/>
                  </w:pPr>
                  <w:r w:rsidRPr="00A62627">
                    <w:t xml:space="preserve"> 2.7</w:t>
                  </w:r>
                </w:p>
              </w:tc>
              <w:tc>
                <w:tcPr>
                  <w:tcW w:w="797" w:type="dxa"/>
                  <w:vAlign w:val="bottom"/>
                </w:tcPr>
                <w:p w14:paraId="138B65A6" w14:textId="711017DF" w:rsidR="00A62627" w:rsidRPr="00A62627" w:rsidRDefault="00A62627" w:rsidP="00A62627">
                  <w:pPr>
                    <w:pStyle w:val="TableBodyText"/>
                  </w:pPr>
                  <w:r w:rsidRPr="00A62627">
                    <w:t xml:space="preserve"> 2.6</w:t>
                  </w:r>
                </w:p>
              </w:tc>
              <w:tc>
                <w:tcPr>
                  <w:tcW w:w="808" w:type="dxa"/>
                  <w:vAlign w:val="bottom"/>
                </w:tcPr>
                <w:p w14:paraId="65C73BC9" w14:textId="1170BA61" w:rsidR="00A62627" w:rsidRPr="00A62627" w:rsidRDefault="00A62627" w:rsidP="00A62627">
                  <w:pPr>
                    <w:pStyle w:val="TableBodyText"/>
                  </w:pPr>
                  <w:r w:rsidRPr="00A62627">
                    <w:t xml:space="preserve"> 3.5</w:t>
                  </w:r>
                </w:p>
              </w:tc>
              <w:tc>
                <w:tcPr>
                  <w:tcW w:w="809" w:type="dxa"/>
                  <w:vAlign w:val="bottom"/>
                </w:tcPr>
                <w:p w14:paraId="274D8DD9" w14:textId="2CAAD22A" w:rsidR="00A62627" w:rsidRPr="00A62627" w:rsidRDefault="00A62627" w:rsidP="00A62627">
                  <w:pPr>
                    <w:pStyle w:val="TableBodyText"/>
                  </w:pPr>
                  <w:r w:rsidRPr="00A62627">
                    <w:t xml:space="preserve"> 2.7</w:t>
                  </w:r>
                </w:p>
              </w:tc>
              <w:tc>
                <w:tcPr>
                  <w:tcW w:w="795" w:type="dxa"/>
                  <w:vAlign w:val="bottom"/>
                </w:tcPr>
                <w:p w14:paraId="65479306" w14:textId="304D4E34" w:rsidR="00A62627" w:rsidRPr="00A62627" w:rsidRDefault="00A62627" w:rsidP="00A62627">
                  <w:pPr>
                    <w:pStyle w:val="TableBodyText"/>
                  </w:pPr>
                  <w:r w:rsidRPr="00A62627">
                    <w:t xml:space="preserve"> 4.2</w:t>
                  </w:r>
                </w:p>
              </w:tc>
              <w:tc>
                <w:tcPr>
                  <w:tcW w:w="802" w:type="dxa"/>
                  <w:vAlign w:val="bottom"/>
                </w:tcPr>
                <w:p w14:paraId="05E03B2E" w14:textId="20BDFC88" w:rsidR="00A62627" w:rsidRPr="00A62627" w:rsidRDefault="00A62627" w:rsidP="00A62627">
                  <w:pPr>
                    <w:pStyle w:val="TableBodyText"/>
                  </w:pPr>
                  <w:r w:rsidRPr="00A62627">
                    <w:t xml:space="preserve"> 4.2</w:t>
                  </w:r>
                </w:p>
              </w:tc>
              <w:tc>
                <w:tcPr>
                  <w:tcW w:w="808" w:type="dxa"/>
                  <w:vAlign w:val="bottom"/>
                </w:tcPr>
                <w:p w14:paraId="064AF9B4" w14:textId="068C5CE8" w:rsidR="00A62627" w:rsidRPr="00A62627" w:rsidRDefault="003F143D" w:rsidP="00A62627">
                  <w:pPr>
                    <w:pStyle w:val="TableBodyText"/>
                  </w:pPr>
                  <w:r>
                    <w:t xml:space="preserve"> 4.1</w:t>
                  </w:r>
                </w:p>
              </w:tc>
              <w:tc>
                <w:tcPr>
                  <w:tcW w:w="663" w:type="dxa"/>
                  <w:shd w:val="clear" w:color="auto" w:fill="auto"/>
                  <w:vAlign w:val="bottom"/>
                </w:tcPr>
                <w:p w14:paraId="055A2564" w14:textId="243341B2" w:rsidR="00A62627" w:rsidRPr="00A62627" w:rsidRDefault="000F2EE2" w:rsidP="00CB1FA4">
                  <w:pPr>
                    <w:pStyle w:val="TableBodyText"/>
                    <w:ind w:right="0"/>
                  </w:pPr>
                  <w:r>
                    <w:t xml:space="preserve"> 3.3</w:t>
                  </w:r>
                </w:p>
              </w:tc>
            </w:tr>
            <w:tr w:rsidR="00A62627" w:rsidRPr="003D4D27" w14:paraId="4365D391" w14:textId="77777777" w:rsidTr="0078489F">
              <w:tc>
                <w:tcPr>
                  <w:tcW w:w="2037" w:type="dxa"/>
                  <w:tcBorders>
                    <w:bottom w:val="single" w:sz="4" w:space="0" w:color="BFBFBF"/>
                  </w:tcBorders>
                </w:tcPr>
                <w:p w14:paraId="6E297B0A" w14:textId="77777777" w:rsidR="00A62627" w:rsidRPr="00D50A5D" w:rsidRDefault="00A62627" w:rsidP="00A62627">
                  <w:pPr>
                    <w:pStyle w:val="TableBodyText"/>
                    <w:jc w:val="left"/>
                  </w:pPr>
                  <w:r w:rsidRPr="00D50A5D">
                    <w:t>Children’s</w:t>
                  </w:r>
                </w:p>
              </w:tc>
              <w:tc>
                <w:tcPr>
                  <w:tcW w:w="822" w:type="dxa"/>
                  <w:tcBorders>
                    <w:bottom w:val="single" w:sz="4" w:space="0" w:color="BFBFBF"/>
                  </w:tcBorders>
                  <w:shd w:val="clear" w:color="auto" w:fill="auto"/>
                  <w:vAlign w:val="bottom"/>
                </w:tcPr>
                <w:p w14:paraId="48620E77" w14:textId="210DBE1F" w:rsidR="00A62627" w:rsidRPr="00A62627" w:rsidRDefault="00A62627" w:rsidP="00A62627">
                  <w:pPr>
                    <w:pStyle w:val="TableBodyText"/>
                  </w:pPr>
                  <w:r w:rsidRPr="00A62627">
                    <w:t xml:space="preserve"> 3.9</w:t>
                  </w:r>
                </w:p>
              </w:tc>
              <w:tc>
                <w:tcPr>
                  <w:tcW w:w="797" w:type="dxa"/>
                  <w:tcBorders>
                    <w:bottom w:val="single" w:sz="4" w:space="0" w:color="BFBFBF"/>
                  </w:tcBorders>
                  <w:shd w:val="clear" w:color="auto" w:fill="auto"/>
                  <w:vAlign w:val="bottom"/>
                </w:tcPr>
                <w:p w14:paraId="74D1D15B" w14:textId="27436F39" w:rsidR="00A62627" w:rsidRPr="00A62627" w:rsidRDefault="00A62627" w:rsidP="00A62627">
                  <w:pPr>
                    <w:pStyle w:val="TableBodyText"/>
                  </w:pPr>
                  <w:r w:rsidRPr="00A62627">
                    <w:t xml:space="preserve"> 2.0</w:t>
                  </w:r>
                </w:p>
              </w:tc>
              <w:tc>
                <w:tcPr>
                  <w:tcW w:w="808" w:type="dxa"/>
                  <w:tcBorders>
                    <w:bottom w:val="single" w:sz="4" w:space="0" w:color="BFBFBF"/>
                  </w:tcBorders>
                  <w:vAlign w:val="bottom"/>
                </w:tcPr>
                <w:p w14:paraId="30598001" w14:textId="610EADE1" w:rsidR="00A62627" w:rsidRPr="00A62627" w:rsidRDefault="00A62627" w:rsidP="00A62627">
                  <w:pPr>
                    <w:pStyle w:val="TableBodyText"/>
                  </w:pPr>
                  <w:r w:rsidRPr="00A62627">
                    <w:t xml:space="preserve"> 4.0</w:t>
                  </w:r>
                </w:p>
              </w:tc>
              <w:tc>
                <w:tcPr>
                  <w:tcW w:w="809" w:type="dxa"/>
                  <w:tcBorders>
                    <w:bottom w:val="single" w:sz="4" w:space="0" w:color="BFBFBF"/>
                  </w:tcBorders>
                  <w:vAlign w:val="bottom"/>
                </w:tcPr>
                <w:p w14:paraId="74906839" w14:textId="0B317838" w:rsidR="00A62627" w:rsidRPr="00A62627" w:rsidRDefault="00A62627" w:rsidP="00A62627">
                  <w:pPr>
                    <w:pStyle w:val="TableBodyText"/>
                  </w:pPr>
                  <w:r w:rsidRPr="00A62627">
                    <w:t xml:space="preserve"> 4.1</w:t>
                  </w:r>
                </w:p>
              </w:tc>
              <w:tc>
                <w:tcPr>
                  <w:tcW w:w="795" w:type="dxa"/>
                  <w:tcBorders>
                    <w:bottom w:val="single" w:sz="4" w:space="0" w:color="BFBFBF"/>
                  </w:tcBorders>
                  <w:vAlign w:val="bottom"/>
                </w:tcPr>
                <w:p w14:paraId="62FB45F2" w14:textId="03DDA9E7" w:rsidR="00A62627" w:rsidRPr="00A62627" w:rsidRDefault="00A62627" w:rsidP="00A62627">
                  <w:pPr>
                    <w:pStyle w:val="TableBodyText"/>
                  </w:pPr>
                  <w:r w:rsidRPr="00A62627">
                    <w:t xml:space="preserve"> 4.3</w:t>
                  </w:r>
                </w:p>
              </w:tc>
              <w:tc>
                <w:tcPr>
                  <w:tcW w:w="802" w:type="dxa"/>
                  <w:tcBorders>
                    <w:bottom w:val="single" w:sz="4" w:space="0" w:color="BFBFBF"/>
                  </w:tcBorders>
                  <w:vAlign w:val="bottom"/>
                </w:tcPr>
                <w:p w14:paraId="5CB73CD7" w14:textId="69CBC72D" w:rsidR="00A62627" w:rsidRPr="00A62627" w:rsidRDefault="00A62627" w:rsidP="00A62627">
                  <w:pPr>
                    <w:pStyle w:val="TableBodyText"/>
                  </w:pPr>
                  <w:r w:rsidRPr="00A62627">
                    <w:t xml:space="preserve"> 4.9</w:t>
                  </w:r>
                </w:p>
              </w:tc>
              <w:tc>
                <w:tcPr>
                  <w:tcW w:w="808" w:type="dxa"/>
                  <w:tcBorders>
                    <w:bottom w:val="single" w:sz="4" w:space="0" w:color="BFBFBF"/>
                  </w:tcBorders>
                  <w:vAlign w:val="bottom"/>
                </w:tcPr>
                <w:p w14:paraId="7CA5DB78" w14:textId="49A4F565" w:rsidR="00A62627" w:rsidRPr="00A62627" w:rsidRDefault="00A62627" w:rsidP="00A62627">
                  <w:pPr>
                    <w:pStyle w:val="TableBodyText"/>
                  </w:pPr>
                  <w:r w:rsidRPr="00A62627">
                    <w:t xml:space="preserve"> 4.7</w:t>
                  </w:r>
                </w:p>
              </w:tc>
              <w:tc>
                <w:tcPr>
                  <w:tcW w:w="663" w:type="dxa"/>
                  <w:tcBorders>
                    <w:bottom w:val="single" w:sz="4" w:space="0" w:color="BFBFBF"/>
                  </w:tcBorders>
                  <w:shd w:val="clear" w:color="auto" w:fill="auto"/>
                  <w:vAlign w:val="bottom"/>
                </w:tcPr>
                <w:p w14:paraId="01E182DC" w14:textId="5B3C099F" w:rsidR="00A62627" w:rsidRPr="00A62627" w:rsidRDefault="000F2EE2" w:rsidP="00CB1FA4">
                  <w:pPr>
                    <w:pStyle w:val="TableBodyText"/>
                    <w:ind w:right="0"/>
                  </w:pPr>
                  <w:r>
                    <w:t xml:space="preserve"> 5</w:t>
                  </w:r>
                  <w:r w:rsidR="00A62627" w:rsidRPr="00A62627">
                    <w:t>.3</w:t>
                  </w:r>
                </w:p>
              </w:tc>
            </w:tr>
          </w:tbl>
          <w:p w14:paraId="34722A82" w14:textId="77777777" w:rsidR="00C61FAB" w:rsidRDefault="00C61FAB" w:rsidP="00B53D55">
            <w:pPr>
              <w:pStyle w:val="Box"/>
            </w:pPr>
          </w:p>
        </w:tc>
      </w:tr>
      <w:tr w:rsidR="00C61FAB" w14:paraId="2A796396" w14:textId="77777777" w:rsidTr="008560BF">
        <w:trPr>
          <w:cantSplit/>
        </w:trPr>
        <w:tc>
          <w:tcPr>
            <w:tcW w:w="8789" w:type="dxa"/>
            <w:tcBorders>
              <w:top w:val="nil"/>
              <w:left w:val="nil"/>
              <w:bottom w:val="nil"/>
              <w:right w:val="nil"/>
            </w:tcBorders>
            <w:shd w:val="clear" w:color="auto" w:fill="auto"/>
          </w:tcPr>
          <w:p w14:paraId="0FF44EA2" w14:textId="7CDBB369" w:rsidR="00C61FAB" w:rsidRPr="001E4D63" w:rsidRDefault="00C61FAB" w:rsidP="00B53D55">
            <w:pPr>
              <w:pStyle w:val="Note"/>
              <w:spacing w:before="60"/>
            </w:pPr>
            <w:r>
              <w:rPr>
                <w:rStyle w:val="NoteLabel"/>
              </w:rPr>
              <w:t>a </w:t>
            </w:r>
            <w:r w:rsidR="00132292">
              <w:t>See box 7.6</w:t>
            </w:r>
            <w:r w:rsidR="00F05F7B">
              <w:t xml:space="preserve"> and table 7A.21</w:t>
            </w:r>
            <w:r w:rsidRPr="00221E2A">
              <w:t xml:space="preserve"> for detailed definitions, footnotes and caveats</w:t>
            </w:r>
            <w:r>
              <w:t xml:space="preserve">. </w:t>
            </w:r>
            <w:r w:rsidRPr="00F40060">
              <w:rPr>
                <w:b/>
              </w:rPr>
              <w:t>na</w:t>
            </w:r>
            <w:r w:rsidRPr="00F40060">
              <w:t xml:space="preserve"> Not available. </w:t>
            </w:r>
            <w:r w:rsidRPr="0051648A">
              <w:t>..</w:t>
            </w:r>
            <w:r w:rsidRPr="00F40060">
              <w:t> Not applicable.</w:t>
            </w:r>
          </w:p>
        </w:tc>
      </w:tr>
      <w:tr w:rsidR="00C61FAB" w14:paraId="06BEF0BB" w14:textId="77777777" w:rsidTr="008560BF">
        <w:trPr>
          <w:cantSplit/>
        </w:trPr>
        <w:tc>
          <w:tcPr>
            <w:tcW w:w="8789" w:type="dxa"/>
            <w:tcBorders>
              <w:top w:val="nil"/>
              <w:left w:val="nil"/>
              <w:bottom w:val="nil"/>
              <w:right w:val="nil"/>
            </w:tcBorders>
            <w:shd w:val="clear" w:color="auto" w:fill="auto"/>
          </w:tcPr>
          <w:p w14:paraId="0DEE36F4" w14:textId="17DE3232" w:rsidR="00C61FAB" w:rsidRDefault="00C61FAB" w:rsidP="00B53D55">
            <w:pPr>
              <w:pStyle w:val="Source"/>
            </w:pPr>
            <w:r>
              <w:rPr>
                <w:i/>
              </w:rPr>
              <w:t>Source</w:t>
            </w:r>
            <w:r w:rsidRPr="00AF5D20">
              <w:t>:</w:t>
            </w:r>
            <w:r>
              <w:rPr>
                <w:i/>
              </w:rPr>
              <w:t xml:space="preserve"> </w:t>
            </w:r>
            <w:r w:rsidRPr="00A13CA9">
              <w:t>State and Territory court authorities and departments (unpublished); table 7A.</w:t>
            </w:r>
            <w:r w:rsidR="00F05F7B">
              <w:t>21</w:t>
            </w:r>
            <w:r w:rsidRPr="00A13CA9">
              <w:t>.</w:t>
            </w:r>
          </w:p>
        </w:tc>
      </w:tr>
      <w:tr w:rsidR="00C61FAB" w:rsidRPr="000863A5" w14:paraId="58A8E51B" w14:textId="77777777" w:rsidTr="008560BF">
        <w:tc>
          <w:tcPr>
            <w:tcW w:w="8789" w:type="dxa"/>
            <w:tcBorders>
              <w:top w:val="single" w:sz="6" w:space="0" w:color="78A22F" w:themeColor="accent1"/>
              <w:left w:val="nil"/>
              <w:bottom w:val="nil"/>
              <w:right w:val="nil"/>
            </w:tcBorders>
          </w:tcPr>
          <w:p w14:paraId="6625F15A" w14:textId="77777777" w:rsidR="00C61FAB" w:rsidRPr="00626D32" w:rsidRDefault="00C61FAB" w:rsidP="00B53D55">
            <w:pPr>
              <w:pStyle w:val="BoxSpaceBelow"/>
            </w:pPr>
          </w:p>
        </w:tc>
      </w:tr>
    </w:tbl>
    <w:p w14:paraId="626A2DB9" w14:textId="45F5BDEB" w:rsidR="00C61FAB" w:rsidRDefault="00C61FAB" w:rsidP="00A741A6">
      <w:pPr>
        <w:pStyle w:val="BodyText"/>
        <w:spacing w:before="120" w:line="240" w:lineRule="auto"/>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61FAB" w14:paraId="0E93DB4C" w14:textId="77777777" w:rsidTr="008560BF">
        <w:tc>
          <w:tcPr>
            <w:tcW w:w="8789" w:type="dxa"/>
            <w:tcBorders>
              <w:top w:val="single" w:sz="6" w:space="0" w:color="78A22F" w:themeColor="accent1"/>
              <w:left w:val="nil"/>
              <w:bottom w:val="nil"/>
              <w:right w:val="nil"/>
            </w:tcBorders>
            <w:shd w:val="clear" w:color="auto" w:fill="auto"/>
          </w:tcPr>
          <w:p w14:paraId="3E6A4989" w14:textId="04E849B4" w:rsidR="00C61FAB" w:rsidRPr="00784A05" w:rsidRDefault="00C61FAB" w:rsidP="00934B1C">
            <w:pPr>
              <w:pStyle w:val="TableTitle"/>
              <w:rPr>
                <w:lang w:eastAsia="en-US"/>
              </w:rPr>
            </w:pPr>
            <w:r>
              <w:rPr>
                <w:b w:val="0"/>
              </w:rPr>
              <w:t>Table 7.</w:t>
            </w:r>
            <w:r w:rsidR="00934B1C">
              <w:rPr>
                <w:b w:val="0"/>
              </w:rPr>
              <w:t>7</w:t>
            </w:r>
            <w:r>
              <w:tab/>
              <w:t>Attendance</w:t>
            </w:r>
            <w:r w:rsidRPr="007907DB">
              <w:t xml:space="preserve"> — civil</w:t>
            </w:r>
            <w:r w:rsidRPr="0005758A">
              <w:t xml:space="preserve">, </w:t>
            </w:r>
            <w:r w:rsidR="00C74137" w:rsidRPr="0005758A">
              <w:t>201</w:t>
            </w:r>
            <w:r w:rsidR="00B37FA4" w:rsidRPr="0005758A">
              <w:t>6</w:t>
            </w:r>
            <w:r w:rsidR="00A02890">
              <w:rPr>
                <w:color w:val="000000" w:themeColor="text1"/>
              </w:rPr>
              <w:t>-</w:t>
            </w:r>
            <w:r w:rsidRPr="0005758A">
              <w:t>1</w:t>
            </w:r>
            <w:r w:rsidR="00B37FA4" w:rsidRPr="0005758A">
              <w:t>7</w:t>
            </w:r>
            <w:r w:rsidRPr="0005758A">
              <w:rPr>
                <w:rStyle w:val="NoteLabel"/>
                <w:b/>
              </w:rPr>
              <w:t>a</w:t>
            </w:r>
          </w:p>
        </w:tc>
      </w:tr>
      <w:tr w:rsidR="00C61FAB" w14:paraId="287116FA" w14:textId="77777777" w:rsidTr="008560BF">
        <w:trPr>
          <w:cantSplit/>
        </w:trPr>
        <w:tc>
          <w:tcPr>
            <w:tcW w:w="8789" w:type="dxa"/>
            <w:tcBorders>
              <w:top w:val="nil"/>
              <w:left w:val="nil"/>
              <w:bottom w:val="nil"/>
              <w:right w:val="nil"/>
            </w:tcBorders>
            <w:shd w:val="clear" w:color="auto" w:fill="auto"/>
          </w:tcPr>
          <w:tbl>
            <w:tblPr>
              <w:tblW w:w="8483" w:type="dxa"/>
              <w:tblCellMar>
                <w:left w:w="0" w:type="dxa"/>
                <w:right w:w="0" w:type="dxa"/>
              </w:tblCellMar>
              <w:tblLook w:val="0000" w:firstRow="0" w:lastRow="0" w:firstColumn="0" w:lastColumn="0" w:noHBand="0" w:noVBand="0"/>
            </w:tblPr>
            <w:tblGrid>
              <w:gridCol w:w="1679"/>
              <w:gridCol w:w="709"/>
              <w:gridCol w:w="709"/>
              <w:gridCol w:w="850"/>
              <w:gridCol w:w="851"/>
              <w:gridCol w:w="850"/>
              <w:gridCol w:w="709"/>
              <w:gridCol w:w="709"/>
              <w:gridCol w:w="708"/>
              <w:gridCol w:w="709"/>
            </w:tblGrid>
            <w:tr w:rsidR="00C61FAB" w14:paraId="105644FE" w14:textId="77777777" w:rsidTr="00B53D55">
              <w:tc>
                <w:tcPr>
                  <w:tcW w:w="1679" w:type="dxa"/>
                  <w:tcBorders>
                    <w:top w:val="single" w:sz="6" w:space="0" w:color="BFBFBF"/>
                    <w:bottom w:val="single" w:sz="6" w:space="0" w:color="BFBFBF"/>
                  </w:tcBorders>
                </w:tcPr>
                <w:p w14:paraId="5950B3DF" w14:textId="77777777" w:rsidR="00C61FAB" w:rsidRDefault="00C61FAB" w:rsidP="00B53D55">
                  <w:pPr>
                    <w:pStyle w:val="TableColumnHeading"/>
                    <w:jc w:val="left"/>
                  </w:pPr>
                </w:p>
              </w:tc>
              <w:tc>
                <w:tcPr>
                  <w:tcW w:w="709" w:type="dxa"/>
                  <w:tcBorders>
                    <w:top w:val="single" w:sz="6" w:space="0" w:color="BFBFBF"/>
                    <w:bottom w:val="single" w:sz="6" w:space="0" w:color="BFBFBF"/>
                  </w:tcBorders>
                </w:tcPr>
                <w:p w14:paraId="081153DF" w14:textId="77777777" w:rsidR="00C61FAB" w:rsidRPr="00AC6D5F" w:rsidRDefault="00C61FAB" w:rsidP="00CB1FA4">
                  <w:pPr>
                    <w:pStyle w:val="TableColumnHeading"/>
                    <w:ind w:left="0"/>
                    <w:rPr>
                      <w:rStyle w:val="NoteLabel"/>
                    </w:rPr>
                  </w:pPr>
                  <w:r>
                    <w:t>NSW</w:t>
                  </w:r>
                </w:p>
              </w:tc>
              <w:tc>
                <w:tcPr>
                  <w:tcW w:w="709" w:type="dxa"/>
                  <w:tcBorders>
                    <w:top w:val="single" w:sz="6" w:space="0" w:color="BFBFBF"/>
                    <w:bottom w:val="single" w:sz="6" w:space="0" w:color="BFBFBF"/>
                  </w:tcBorders>
                </w:tcPr>
                <w:p w14:paraId="1BCB4E08" w14:textId="77777777" w:rsidR="00C61FAB" w:rsidRPr="00AC6D5F" w:rsidRDefault="00C61FAB" w:rsidP="00CB1FA4">
                  <w:pPr>
                    <w:pStyle w:val="TableColumnHeading"/>
                    <w:ind w:left="0"/>
                    <w:rPr>
                      <w:rStyle w:val="NoteLabel"/>
                    </w:rPr>
                  </w:pPr>
                  <w:r>
                    <w:t>Vic</w:t>
                  </w:r>
                </w:p>
              </w:tc>
              <w:tc>
                <w:tcPr>
                  <w:tcW w:w="850" w:type="dxa"/>
                  <w:tcBorders>
                    <w:top w:val="single" w:sz="6" w:space="0" w:color="BFBFBF"/>
                    <w:bottom w:val="single" w:sz="6" w:space="0" w:color="BFBFBF"/>
                  </w:tcBorders>
                </w:tcPr>
                <w:p w14:paraId="617D4F56" w14:textId="77777777" w:rsidR="00C61FAB" w:rsidRPr="00AC6D5F" w:rsidRDefault="00C61FAB" w:rsidP="00CB1FA4">
                  <w:pPr>
                    <w:pStyle w:val="TableColumnHeading"/>
                    <w:ind w:left="0"/>
                    <w:rPr>
                      <w:rStyle w:val="NoteLabel"/>
                    </w:rPr>
                  </w:pPr>
                  <w:r>
                    <w:t>Qld</w:t>
                  </w:r>
                </w:p>
              </w:tc>
              <w:tc>
                <w:tcPr>
                  <w:tcW w:w="851" w:type="dxa"/>
                  <w:tcBorders>
                    <w:top w:val="single" w:sz="6" w:space="0" w:color="BFBFBF"/>
                    <w:bottom w:val="single" w:sz="6" w:space="0" w:color="BFBFBF"/>
                  </w:tcBorders>
                </w:tcPr>
                <w:p w14:paraId="1F598C8E" w14:textId="77777777" w:rsidR="00C61FAB" w:rsidRPr="00AC6D5F" w:rsidRDefault="00C61FAB" w:rsidP="00CB1FA4">
                  <w:pPr>
                    <w:pStyle w:val="TableColumnHeading"/>
                    <w:ind w:left="0"/>
                    <w:rPr>
                      <w:rStyle w:val="NoteLabel"/>
                    </w:rPr>
                  </w:pPr>
                  <w:r>
                    <w:t>WA</w:t>
                  </w:r>
                </w:p>
              </w:tc>
              <w:tc>
                <w:tcPr>
                  <w:tcW w:w="850" w:type="dxa"/>
                  <w:tcBorders>
                    <w:top w:val="single" w:sz="6" w:space="0" w:color="BFBFBF"/>
                    <w:bottom w:val="single" w:sz="6" w:space="0" w:color="BFBFBF"/>
                  </w:tcBorders>
                </w:tcPr>
                <w:p w14:paraId="4971F628" w14:textId="77777777" w:rsidR="00C61FAB" w:rsidRDefault="00C61FAB" w:rsidP="00CB1FA4">
                  <w:pPr>
                    <w:pStyle w:val="TableColumnHeading"/>
                    <w:ind w:left="0"/>
                  </w:pPr>
                  <w:r>
                    <w:t>SA</w:t>
                  </w:r>
                </w:p>
              </w:tc>
              <w:tc>
                <w:tcPr>
                  <w:tcW w:w="709" w:type="dxa"/>
                  <w:tcBorders>
                    <w:top w:val="single" w:sz="6" w:space="0" w:color="BFBFBF"/>
                    <w:bottom w:val="single" w:sz="6" w:space="0" w:color="BFBFBF"/>
                  </w:tcBorders>
                </w:tcPr>
                <w:p w14:paraId="33FD3CD1" w14:textId="77777777" w:rsidR="00C61FAB" w:rsidRDefault="00C61FAB" w:rsidP="00CB1FA4">
                  <w:pPr>
                    <w:pStyle w:val="TableColumnHeading"/>
                    <w:ind w:left="0"/>
                  </w:pPr>
                  <w:r>
                    <w:t>Tas</w:t>
                  </w:r>
                </w:p>
              </w:tc>
              <w:tc>
                <w:tcPr>
                  <w:tcW w:w="709" w:type="dxa"/>
                  <w:tcBorders>
                    <w:top w:val="single" w:sz="6" w:space="0" w:color="BFBFBF"/>
                    <w:bottom w:val="single" w:sz="6" w:space="0" w:color="BFBFBF"/>
                  </w:tcBorders>
                </w:tcPr>
                <w:p w14:paraId="1512E111" w14:textId="77777777" w:rsidR="00C61FAB" w:rsidRPr="00AC6D5F" w:rsidRDefault="00C61FAB" w:rsidP="00CB1FA4">
                  <w:pPr>
                    <w:pStyle w:val="TableColumnHeading"/>
                    <w:ind w:left="0"/>
                    <w:rPr>
                      <w:rStyle w:val="NoteLabel"/>
                    </w:rPr>
                  </w:pPr>
                  <w:r>
                    <w:t>ACT</w:t>
                  </w:r>
                </w:p>
              </w:tc>
              <w:tc>
                <w:tcPr>
                  <w:tcW w:w="708" w:type="dxa"/>
                  <w:tcBorders>
                    <w:top w:val="single" w:sz="6" w:space="0" w:color="BFBFBF"/>
                    <w:bottom w:val="single" w:sz="6" w:space="0" w:color="BFBFBF"/>
                  </w:tcBorders>
                </w:tcPr>
                <w:p w14:paraId="1050F310" w14:textId="77777777" w:rsidR="00C61FAB" w:rsidRDefault="00C61FAB" w:rsidP="00CB1FA4">
                  <w:pPr>
                    <w:pStyle w:val="TableColumnHeading"/>
                    <w:ind w:left="0"/>
                  </w:pPr>
                  <w:r>
                    <w:t>NT</w:t>
                  </w:r>
                </w:p>
              </w:tc>
              <w:tc>
                <w:tcPr>
                  <w:tcW w:w="709" w:type="dxa"/>
                  <w:tcBorders>
                    <w:top w:val="single" w:sz="6" w:space="0" w:color="BFBFBF"/>
                    <w:bottom w:val="single" w:sz="6" w:space="0" w:color="BFBFBF"/>
                  </w:tcBorders>
                </w:tcPr>
                <w:p w14:paraId="0C8974E6" w14:textId="77777777" w:rsidR="00C61FAB" w:rsidRDefault="00C61FAB" w:rsidP="00B53D55">
                  <w:pPr>
                    <w:pStyle w:val="TableColumnHeading"/>
                    <w:ind w:right="28"/>
                  </w:pPr>
                  <w:r>
                    <w:t>Aust courts</w:t>
                  </w:r>
                </w:p>
              </w:tc>
            </w:tr>
            <w:tr w:rsidR="00C61FAB" w:rsidRPr="00EE7102" w14:paraId="480E14CE" w14:textId="77777777" w:rsidTr="00B53D55">
              <w:tc>
                <w:tcPr>
                  <w:tcW w:w="8483" w:type="dxa"/>
                  <w:gridSpan w:val="10"/>
                  <w:tcBorders>
                    <w:top w:val="single" w:sz="6" w:space="0" w:color="BFBFBF"/>
                  </w:tcBorders>
                </w:tcPr>
                <w:p w14:paraId="58A188E8" w14:textId="77777777" w:rsidR="00C61FAB" w:rsidRPr="00EE7102" w:rsidRDefault="00C61FAB" w:rsidP="00B53D55">
                  <w:pPr>
                    <w:pStyle w:val="TableBodyText"/>
                    <w:spacing w:before="40"/>
                    <w:ind w:left="0" w:right="0"/>
                    <w:jc w:val="left"/>
                    <w:rPr>
                      <w:i/>
                    </w:rPr>
                  </w:pPr>
                  <w:r w:rsidRPr="00EE7102">
                    <w:rPr>
                      <w:i/>
                    </w:rPr>
                    <w:t>Average attendances per finalisation</w:t>
                  </w:r>
                </w:p>
              </w:tc>
            </w:tr>
            <w:tr w:rsidR="0005758A" w:rsidRPr="003D4D27" w14:paraId="48C55504" w14:textId="77777777" w:rsidTr="006967AB">
              <w:tc>
                <w:tcPr>
                  <w:tcW w:w="1679" w:type="dxa"/>
                </w:tcPr>
                <w:p w14:paraId="5F410B96" w14:textId="77777777" w:rsidR="0005758A" w:rsidRPr="000B0EDE" w:rsidRDefault="0005758A" w:rsidP="0005758A">
                  <w:pPr>
                    <w:pStyle w:val="TableBodyText"/>
                    <w:ind w:left="0" w:right="0"/>
                    <w:jc w:val="left"/>
                    <w:rPr>
                      <w:rStyle w:val="NoteLabel"/>
                      <w:b w:val="0"/>
                    </w:rPr>
                  </w:pPr>
                  <w:r w:rsidRPr="000B0EDE">
                    <w:t>Supreme (excl</w:t>
                  </w:r>
                  <w:r>
                    <w:t>.</w:t>
                  </w:r>
                  <w:r w:rsidRPr="000B0EDE">
                    <w:t xml:space="preserve"> probate)</w:t>
                  </w:r>
                  <w:r w:rsidRPr="00347D7B">
                    <w:rPr>
                      <w:rStyle w:val="NoteChar"/>
                    </w:rPr>
                    <w:t>/</w:t>
                  </w:r>
                  <w:r w:rsidRPr="000B0EDE">
                    <w:t>Federal</w:t>
                  </w:r>
                </w:p>
              </w:tc>
              <w:tc>
                <w:tcPr>
                  <w:tcW w:w="709" w:type="dxa"/>
                  <w:vAlign w:val="bottom"/>
                </w:tcPr>
                <w:p w14:paraId="5D6650C8" w14:textId="0C67F9F1" w:rsidR="0005758A" w:rsidRDefault="0005758A" w:rsidP="0005758A">
                  <w:pPr>
                    <w:pStyle w:val="TableBodyText"/>
                  </w:pPr>
                  <w:r>
                    <w:t>na</w:t>
                  </w:r>
                </w:p>
              </w:tc>
              <w:tc>
                <w:tcPr>
                  <w:tcW w:w="709" w:type="dxa"/>
                  <w:vAlign w:val="bottom"/>
                </w:tcPr>
                <w:p w14:paraId="3935F9F3" w14:textId="0BEC46B4" w:rsidR="0005758A" w:rsidRDefault="0005758A" w:rsidP="0005758A">
                  <w:pPr>
                    <w:pStyle w:val="TableBodyText"/>
                  </w:pPr>
                  <w:r>
                    <w:t>na</w:t>
                  </w:r>
                </w:p>
              </w:tc>
              <w:tc>
                <w:tcPr>
                  <w:tcW w:w="850" w:type="dxa"/>
                  <w:vAlign w:val="bottom"/>
                </w:tcPr>
                <w:p w14:paraId="66C2AB54" w14:textId="02612B0E" w:rsidR="0005758A" w:rsidRDefault="0005758A" w:rsidP="0005758A">
                  <w:pPr>
                    <w:pStyle w:val="TableBodyText"/>
                  </w:pPr>
                  <w:r>
                    <w:t xml:space="preserve"> 1.2</w:t>
                  </w:r>
                </w:p>
              </w:tc>
              <w:tc>
                <w:tcPr>
                  <w:tcW w:w="851" w:type="dxa"/>
                  <w:vAlign w:val="bottom"/>
                </w:tcPr>
                <w:p w14:paraId="55339D5E" w14:textId="64BD6C62" w:rsidR="0005758A" w:rsidRDefault="0005758A" w:rsidP="0005758A">
                  <w:pPr>
                    <w:pStyle w:val="TableBodyText"/>
                  </w:pPr>
                  <w:r>
                    <w:t xml:space="preserve"> 1.9</w:t>
                  </w:r>
                </w:p>
              </w:tc>
              <w:tc>
                <w:tcPr>
                  <w:tcW w:w="850" w:type="dxa"/>
                  <w:vAlign w:val="bottom"/>
                </w:tcPr>
                <w:p w14:paraId="3828EF8C" w14:textId="51F3E390" w:rsidR="0005758A" w:rsidRDefault="0005758A" w:rsidP="0005758A">
                  <w:pPr>
                    <w:pStyle w:val="TableBodyText"/>
                  </w:pPr>
                  <w:r>
                    <w:t xml:space="preserve"> 3.1</w:t>
                  </w:r>
                </w:p>
              </w:tc>
              <w:tc>
                <w:tcPr>
                  <w:tcW w:w="709" w:type="dxa"/>
                  <w:shd w:val="clear" w:color="auto" w:fill="auto"/>
                  <w:vAlign w:val="bottom"/>
                </w:tcPr>
                <w:p w14:paraId="157AA3E1" w14:textId="146DF4BD" w:rsidR="0005758A" w:rsidRDefault="0005758A" w:rsidP="0005758A">
                  <w:pPr>
                    <w:pStyle w:val="TableBodyText"/>
                  </w:pPr>
                  <w:r>
                    <w:t xml:space="preserve"> 1.6</w:t>
                  </w:r>
                </w:p>
              </w:tc>
              <w:tc>
                <w:tcPr>
                  <w:tcW w:w="709" w:type="dxa"/>
                  <w:shd w:val="clear" w:color="auto" w:fill="auto"/>
                  <w:vAlign w:val="bottom"/>
                </w:tcPr>
                <w:p w14:paraId="1CEDB64C" w14:textId="5952BFF0" w:rsidR="0005758A" w:rsidRDefault="0005758A" w:rsidP="0005758A">
                  <w:pPr>
                    <w:pStyle w:val="TableBodyText"/>
                  </w:pPr>
                  <w:r>
                    <w:t xml:space="preserve"> 5.4</w:t>
                  </w:r>
                </w:p>
              </w:tc>
              <w:tc>
                <w:tcPr>
                  <w:tcW w:w="708" w:type="dxa"/>
                  <w:vAlign w:val="bottom"/>
                </w:tcPr>
                <w:p w14:paraId="667746FE" w14:textId="569A4CC0" w:rsidR="0005758A" w:rsidRDefault="0005758A" w:rsidP="0005758A">
                  <w:pPr>
                    <w:pStyle w:val="TableBodyText"/>
                  </w:pPr>
                  <w:r>
                    <w:t xml:space="preserve"> 6.0</w:t>
                  </w:r>
                </w:p>
              </w:tc>
              <w:tc>
                <w:tcPr>
                  <w:tcW w:w="709" w:type="dxa"/>
                  <w:vAlign w:val="bottom"/>
                </w:tcPr>
                <w:p w14:paraId="08EB5FC2" w14:textId="787F5789" w:rsidR="0005758A" w:rsidRDefault="0005758A" w:rsidP="00CB1FA4">
                  <w:pPr>
                    <w:pStyle w:val="TableBodyText"/>
                    <w:ind w:right="0"/>
                  </w:pPr>
                  <w:r>
                    <w:t xml:space="preserve"> 3.0</w:t>
                  </w:r>
                </w:p>
              </w:tc>
            </w:tr>
            <w:tr w:rsidR="0005758A" w:rsidRPr="003D4D27" w14:paraId="2CD99EB3" w14:textId="77777777" w:rsidTr="00B53D55">
              <w:tc>
                <w:tcPr>
                  <w:tcW w:w="1679" w:type="dxa"/>
                </w:tcPr>
                <w:p w14:paraId="555B557D" w14:textId="77777777" w:rsidR="0005758A" w:rsidRPr="000B0EDE" w:rsidRDefault="0005758A" w:rsidP="0005758A">
                  <w:pPr>
                    <w:pStyle w:val="TableBodyText"/>
                    <w:jc w:val="left"/>
                  </w:pPr>
                  <w:r w:rsidRPr="000B0EDE">
                    <w:t>District/county</w:t>
                  </w:r>
                </w:p>
              </w:tc>
              <w:tc>
                <w:tcPr>
                  <w:tcW w:w="709" w:type="dxa"/>
                  <w:vAlign w:val="bottom"/>
                </w:tcPr>
                <w:p w14:paraId="2BEB90DA" w14:textId="484E114A" w:rsidR="0005758A" w:rsidRDefault="0005758A" w:rsidP="0005758A">
                  <w:pPr>
                    <w:pStyle w:val="TableBodyText"/>
                  </w:pPr>
                  <w:r>
                    <w:t xml:space="preserve"> 3.3</w:t>
                  </w:r>
                </w:p>
              </w:tc>
              <w:tc>
                <w:tcPr>
                  <w:tcW w:w="709" w:type="dxa"/>
                  <w:vAlign w:val="bottom"/>
                </w:tcPr>
                <w:p w14:paraId="0720B904" w14:textId="75FA1AB9" w:rsidR="0005758A" w:rsidRDefault="0005758A" w:rsidP="0005758A">
                  <w:pPr>
                    <w:pStyle w:val="TableBodyText"/>
                  </w:pPr>
                  <w:r>
                    <w:t xml:space="preserve"> 0.6</w:t>
                  </w:r>
                </w:p>
              </w:tc>
              <w:tc>
                <w:tcPr>
                  <w:tcW w:w="850" w:type="dxa"/>
                  <w:vAlign w:val="bottom"/>
                </w:tcPr>
                <w:p w14:paraId="0D667C50" w14:textId="16E0190E" w:rsidR="0005758A" w:rsidRDefault="0005758A" w:rsidP="0005758A">
                  <w:pPr>
                    <w:pStyle w:val="TableBodyText"/>
                  </w:pPr>
                  <w:r>
                    <w:t xml:space="preserve"> 0.3</w:t>
                  </w:r>
                </w:p>
              </w:tc>
              <w:tc>
                <w:tcPr>
                  <w:tcW w:w="851" w:type="dxa"/>
                  <w:vAlign w:val="bottom"/>
                </w:tcPr>
                <w:p w14:paraId="2FBBC2D5" w14:textId="2E2DECA7" w:rsidR="0005758A" w:rsidRDefault="0005758A" w:rsidP="0005758A">
                  <w:pPr>
                    <w:pStyle w:val="TableBodyText"/>
                  </w:pPr>
                  <w:r>
                    <w:t xml:space="preserve"> 1.1</w:t>
                  </w:r>
                </w:p>
              </w:tc>
              <w:tc>
                <w:tcPr>
                  <w:tcW w:w="850" w:type="dxa"/>
                  <w:vAlign w:val="bottom"/>
                </w:tcPr>
                <w:p w14:paraId="512E40F1" w14:textId="32DC8FD8" w:rsidR="0005758A" w:rsidRDefault="0005758A" w:rsidP="0005758A">
                  <w:pPr>
                    <w:pStyle w:val="TableBodyText"/>
                  </w:pPr>
                  <w:r>
                    <w:t xml:space="preserve"> 2.8</w:t>
                  </w:r>
                </w:p>
              </w:tc>
              <w:tc>
                <w:tcPr>
                  <w:tcW w:w="709" w:type="dxa"/>
                  <w:vAlign w:val="bottom"/>
                </w:tcPr>
                <w:p w14:paraId="767E360A" w14:textId="52872EC1" w:rsidR="0005758A" w:rsidRDefault="0005758A" w:rsidP="0005758A">
                  <w:pPr>
                    <w:pStyle w:val="TableBodyText"/>
                  </w:pPr>
                  <w:r>
                    <w:t>..</w:t>
                  </w:r>
                </w:p>
              </w:tc>
              <w:tc>
                <w:tcPr>
                  <w:tcW w:w="709" w:type="dxa"/>
                  <w:vAlign w:val="bottom"/>
                </w:tcPr>
                <w:p w14:paraId="62EC0B53" w14:textId="2719816D" w:rsidR="0005758A" w:rsidRDefault="0005758A" w:rsidP="0005758A">
                  <w:pPr>
                    <w:pStyle w:val="TableBodyText"/>
                  </w:pPr>
                  <w:r>
                    <w:t>..</w:t>
                  </w:r>
                </w:p>
              </w:tc>
              <w:tc>
                <w:tcPr>
                  <w:tcW w:w="708" w:type="dxa"/>
                  <w:vAlign w:val="bottom"/>
                </w:tcPr>
                <w:p w14:paraId="147B6C5C" w14:textId="1886E7E0" w:rsidR="0005758A" w:rsidRDefault="0005758A" w:rsidP="0005758A">
                  <w:pPr>
                    <w:pStyle w:val="TableBodyText"/>
                  </w:pPr>
                  <w:r>
                    <w:t>..</w:t>
                  </w:r>
                </w:p>
              </w:tc>
              <w:tc>
                <w:tcPr>
                  <w:tcW w:w="709" w:type="dxa"/>
                  <w:vAlign w:val="bottom"/>
                </w:tcPr>
                <w:p w14:paraId="5DF8CCE7" w14:textId="0A7A3579" w:rsidR="0005758A" w:rsidRDefault="0005758A" w:rsidP="00CB1FA4">
                  <w:pPr>
                    <w:pStyle w:val="TableBodyText"/>
                    <w:ind w:right="0"/>
                  </w:pPr>
                  <w:r>
                    <w:t>..</w:t>
                  </w:r>
                </w:p>
              </w:tc>
            </w:tr>
            <w:tr w:rsidR="0005758A" w:rsidRPr="003D4D27" w14:paraId="0200F4BD" w14:textId="77777777" w:rsidTr="00B53D55">
              <w:tc>
                <w:tcPr>
                  <w:tcW w:w="1679" w:type="dxa"/>
                </w:tcPr>
                <w:p w14:paraId="33A9F845" w14:textId="7374DF93" w:rsidR="0005758A" w:rsidRPr="000B0EDE" w:rsidRDefault="0005758A" w:rsidP="0005758A">
                  <w:pPr>
                    <w:pStyle w:val="TableBodyText"/>
                    <w:jc w:val="left"/>
                  </w:pPr>
                  <w:r>
                    <w:t>Magistrates</w:t>
                  </w:r>
                  <w:r w:rsidR="00154293">
                    <w:t>’</w:t>
                  </w:r>
                </w:p>
              </w:tc>
              <w:tc>
                <w:tcPr>
                  <w:tcW w:w="709" w:type="dxa"/>
                  <w:vAlign w:val="bottom"/>
                </w:tcPr>
                <w:p w14:paraId="1AA62E3C" w14:textId="0D62262C" w:rsidR="0005758A" w:rsidRDefault="0005758A" w:rsidP="0005758A">
                  <w:pPr>
                    <w:pStyle w:val="TableBodyText"/>
                  </w:pPr>
                  <w:r>
                    <w:t xml:space="preserve"> 0.9</w:t>
                  </w:r>
                </w:p>
              </w:tc>
              <w:tc>
                <w:tcPr>
                  <w:tcW w:w="709" w:type="dxa"/>
                  <w:vAlign w:val="bottom"/>
                </w:tcPr>
                <w:p w14:paraId="74486BFD" w14:textId="095F16D7" w:rsidR="0005758A" w:rsidRDefault="0005758A" w:rsidP="0005758A">
                  <w:pPr>
                    <w:pStyle w:val="TableBodyText"/>
                  </w:pPr>
                  <w:r>
                    <w:t xml:space="preserve"> 1.2</w:t>
                  </w:r>
                </w:p>
              </w:tc>
              <w:tc>
                <w:tcPr>
                  <w:tcW w:w="850" w:type="dxa"/>
                  <w:vAlign w:val="bottom"/>
                </w:tcPr>
                <w:p w14:paraId="1963D1F5" w14:textId="1FFBFA11" w:rsidR="0005758A" w:rsidRDefault="0005758A" w:rsidP="0005758A">
                  <w:pPr>
                    <w:pStyle w:val="TableBodyText"/>
                  </w:pPr>
                  <w:r>
                    <w:t xml:space="preserve"> 1.2</w:t>
                  </w:r>
                </w:p>
              </w:tc>
              <w:tc>
                <w:tcPr>
                  <w:tcW w:w="851" w:type="dxa"/>
                  <w:vAlign w:val="bottom"/>
                </w:tcPr>
                <w:p w14:paraId="257A6006" w14:textId="20B52E5A" w:rsidR="0005758A" w:rsidRDefault="0005758A" w:rsidP="0005758A">
                  <w:pPr>
                    <w:pStyle w:val="TableBodyText"/>
                  </w:pPr>
                  <w:r>
                    <w:t xml:space="preserve"> 0.8</w:t>
                  </w:r>
                </w:p>
              </w:tc>
              <w:tc>
                <w:tcPr>
                  <w:tcW w:w="850" w:type="dxa"/>
                  <w:vAlign w:val="bottom"/>
                </w:tcPr>
                <w:p w14:paraId="62C28C9C" w14:textId="61BFF3CE" w:rsidR="0005758A" w:rsidRDefault="0005758A" w:rsidP="0005758A">
                  <w:pPr>
                    <w:pStyle w:val="TableBodyText"/>
                  </w:pPr>
                  <w:r>
                    <w:t xml:space="preserve"> 1.1</w:t>
                  </w:r>
                </w:p>
              </w:tc>
              <w:tc>
                <w:tcPr>
                  <w:tcW w:w="709" w:type="dxa"/>
                  <w:vAlign w:val="bottom"/>
                </w:tcPr>
                <w:p w14:paraId="5C9932FB" w14:textId="1BF9201F" w:rsidR="0005758A" w:rsidRDefault="0005758A" w:rsidP="0005758A">
                  <w:pPr>
                    <w:pStyle w:val="TableBodyText"/>
                  </w:pPr>
                  <w:r>
                    <w:t xml:space="preserve"> 1.2</w:t>
                  </w:r>
                </w:p>
              </w:tc>
              <w:tc>
                <w:tcPr>
                  <w:tcW w:w="709" w:type="dxa"/>
                  <w:vAlign w:val="bottom"/>
                </w:tcPr>
                <w:p w14:paraId="7C45C01D" w14:textId="3F520986" w:rsidR="0005758A" w:rsidRDefault="0005758A" w:rsidP="0005758A">
                  <w:pPr>
                    <w:pStyle w:val="TableBodyText"/>
                  </w:pPr>
                  <w:r>
                    <w:t xml:space="preserve"> 2.1</w:t>
                  </w:r>
                </w:p>
              </w:tc>
              <w:tc>
                <w:tcPr>
                  <w:tcW w:w="708" w:type="dxa"/>
                  <w:vAlign w:val="bottom"/>
                </w:tcPr>
                <w:p w14:paraId="1AE81F2F" w14:textId="49441F5D" w:rsidR="0005758A" w:rsidRDefault="0005758A" w:rsidP="0005758A">
                  <w:pPr>
                    <w:pStyle w:val="TableBodyText"/>
                  </w:pPr>
                  <w:r>
                    <w:t xml:space="preserve"> 1.3</w:t>
                  </w:r>
                </w:p>
              </w:tc>
              <w:tc>
                <w:tcPr>
                  <w:tcW w:w="709" w:type="dxa"/>
                  <w:vAlign w:val="bottom"/>
                </w:tcPr>
                <w:p w14:paraId="56011149" w14:textId="557409C7" w:rsidR="0005758A" w:rsidRDefault="0005758A" w:rsidP="00CB1FA4">
                  <w:pPr>
                    <w:pStyle w:val="TableBodyText"/>
                    <w:ind w:right="0"/>
                  </w:pPr>
                  <w:r>
                    <w:t>..</w:t>
                  </w:r>
                </w:p>
              </w:tc>
            </w:tr>
            <w:tr w:rsidR="0005758A" w:rsidRPr="003D4D27" w14:paraId="46A2F012" w14:textId="77777777" w:rsidTr="00B53D55">
              <w:tc>
                <w:tcPr>
                  <w:tcW w:w="1679" w:type="dxa"/>
                </w:tcPr>
                <w:p w14:paraId="79B9BA9E" w14:textId="77777777" w:rsidR="0005758A" w:rsidRPr="000B0EDE" w:rsidRDefault="0005758A" w:rsidP="0005758A">
                  <w:pPr>
                    <w:pStyle w:val="TableBodyText"/>
                    <w:jc w:val="left"/>
                  </w:pPr>
                  <w:r w:rsidRPr="000B0EDE">
                    <w:t>Children’s</w:t>
                  </w:r>
                </w:p>
              </w:tc>
              <w:tc>
                <w:tcPr>
                  <w:tcW w:w="709" w:type="dxa"/>
                  <w:vAlign w:val="bottom"/>
                </w:tcPr>
                <w:p w14:paraId="653935EF" w14:textId="5FA7ECB6" w:rsidR="0005758A" w:rsidRDefault="0005758A" w:rsidP="0005758A">
                  <w:pPr>
                    <w:pStyle w:val="TableBodyText"/>
                  </w:pPr>
                  <w:r>
                    <w:t xml:space="preserve"> 4.8</w:t>
                  </w:r>
                </w:p>
              </w:tc>
              <w:tc>
                <w:tcPr>
                  <w:tcW w:w="709" w:type="dxa"/>
                  <w:vAlign w:val="bottom"/>
                </w:tcPr>
                <w:p w14:paraId="5ED71060" w14:textId="4830DEA7" w:rsidR="0005758A" w:rsidRDefault="0005758A" w:rsidP="0005758A">
                  <w:pPr>
                    <w:pStyle w:val="TableBodyText"/>
                  </w:pPr>
                  <w:r>
                    <w:t xml:space="preserve"> 1.8</w:t>
                  </w:r>
                </w:p>
              </w:tc>
              <w:tc>
                <w:tcPr>
                  <w:tcW w:w="850" w:type="dxa"/>
                  <w:vAlign w:val="bottom"/>
                </w:tcPr>
                <w:p w14:paraId="7B9C2B0F" w14:textId="15DA9306" w:rsidR="0005758A" w:rsidRDefault="0005758A" w:rsidP="0005758A">
                  <w:pPr>
                    <w:pStyle w:val="TableBodyText"/>
                  </w:pPr>
                  <w:r>
                    <w:t xml:space="preserve"> 3.6</w:t>
                  </w:r>
                </w:p>
              </w:tc>
              <w:tc>
                <w:tcPr>
                  <w:tcW w:w="851" w:type="dxa"/>
                  <w:vAlign w:val="bottom"/>
                </w:tcPr>
                <w:p w14:paraId="312CC5C7" w14:textId="7D47054C" w:rsidR="0005758A" w:rsidRDefault="0005758A" w:rsidP="0005758A">
                  <w:pPr>
                    <w:pStyle w:val="TableBodyText"/>
                  </w:pPr>
                  <w:r>
                    <w:t xml:space="preserve"> 5.0</w:t>
                  </w:r>
                </w:p>
              </w:tc>
              <w:tc>
                <w:tcPr>
                  <w:tcW w:w="850" w:type="dxa"/>
                  <w:vAlign w:val="bottom"/>
                </w:tcPr>
                <w:p w14:paraId="1DAC295A" w14:textId="28A336B0" w:rsidR="0005758A" w:rsidRDefault="0005758A" w:rsidP="0005758A">
                  <w:pPr>
                    <w:pStyle w:val="TableBodyText"/>
                  </w:pPr>
                  <w:r>
                    <w:t xml:space="preserve"> 2.8</w:t>
                  </w:r>
                </w:p>
              </w:tc>
              <w:tc>
                <w:tcPr>
                  <w:tcW w:w="709" w:type="dxa"/>
                  <w:vAlign w:val="bottom"/>
                </w:tcPr>
                <w:p w14:paraId="70BB352A" w14:textId="1875BE01" w:rsidR="0005758A" w:rsidRDefault="0005758A" w:rsidP="0005758A">
                  <w:pPr>
                    <w:pStyle w:val="TableBodyText"/>
                  </w:pPr>
                  <w:r>
                    <w:t xml:space="preserve"> 4.8</w:t>
                  </w:r>
                </w:p>
              </w:tc>
              <w:tc>
                <w:tcPr>
                  <w:tcW w:w="709" w:type="dxa"/>
                  <w:vAlign w:val="bottom"/>
                </w:tcPr>
                <w:p w14:paraId="58F3736F" w14:textId="7806EB73" w:rsidR="0005758A" w:rsidRDefault="0005758A" w:rsidP="0005758A">
                  <w:pPr>
                    <w:pStyle w:val="TableBodyText"/>
                  </w:pPr>
                  <w:r>
                    <w:t xml:space="preserve"> 8.7</w:t>
                  </w:r>
                </w:p>
              </w:tc>
              <w:tc>
                <w:tcPr>
                  <w:tcW w:w="708" w:type="dxa"/>
                  <w:vAlign w:val="bottom"/>
                </w:tcPr>
                <w:p w14:paraId="0EA047D0" w14:textId="3C8398BB" w:rsidR="0005758A" w:rsidRDefault="0005758A" w:rsidP="0005758A">
                  <w:pPr>
                    <w:pStyle w:val="TableBodyText"/>
                  </w:pPr>
                  <w:r>
                    <w:t xml:space="preserve"> 4.3</w:t>
                  </w:r>
                </w:p>
              </w:tc>
              <w:tc>
                <w:tcPr>
                  <w:tcW w:w="709" w:type="dxa"/>
                  <w:vAlign w:val="bottom"/>
                </w:tcPr>
                <w:p w14:paraId="35EFABEA" w14:textId="1F8724D0" w:rsidR="0005758A" w:rsidRDefault="0005758A" w:rsidP="00CB1FA4">
                  <w:pPr>
                    <w:pStyle w:val="TableBodyText"/>
                    <w:ind w:right="0"/>
                  </w:pPr>
                  <w:r>
                    <w:t>..</w:t>
                  </w:r>
                </w:p>
              </w:tc>
            </w:tr>
            <w:tr w:rsidR="0005758A" w:rsidRPr="003D4D27" w14:paraId="0AB385A7" w14:textId="77777777" w:rsidTr="00B53D55">
              <w:tc>
                <w:tcPr>
                  <w:tcW w:w="1679" w:type="dxa"/>
                </w:tcPr>
                <w:p w14:paraId="73E0C7FD" w14:textId="77777777" w:rsidR="0005758A" w:rsidRPr="000B0EDE" w:rsidRDefault="0005758A" w:rsidP="0005758A">
                  <w:pPr>
                    <w:pStyle w:val="TableBodyText"/>
                    <w:jc w:val="left"/>
                  </w:pPr>
                  <w:r w:rsidRPr="000B0EDE">
                    <w:t>Family</w:t>
                  </w:r>
                </w:p>
              </w:tc>
              <w:tc>
                <w:tcPr>
                  <w:tcW w:w="709" w:type="dxa"/>
                  <w:vAlign w:val="bottom"/>
                </w:tcPr>
                <w:p w14:paraId="116532DE" w14:textId="1E9C021A" w:rsidR="0005758A" w:rsidRDefault="0005758A" w:rsidP="0005758A">
                  <w:pPr>
                    <w:pStyle w:val="TableBodyText"/>
                  </w:pPr>
                  <w:r>
                    <w:t>..</w:t>
                  </w:r>
                </w:p>
              </w:tc>
              <w:tc>
                <w:tcPr>
                  <w:tcW w:w="709" w:type="dxa"/>
                  <w:vAlign w:val="bottom"/>
                </w:tcPr>
                <w:p w14:paraId="725D2F29" w14:textId="62095E4F" w:rsidR="0005758A" w:rsidRDefault="0005758A" w:rsidP="0005758A">
                  <w:pPr>
                    <w:pStyle w:val="TableBodyText"/>
                  </w:pPr>
                  <w:r>
                    <w:t>..</w:t>
                  </w:r>
                </w:p>
              </w:tc>
              <w:tc>
                <w:tcPr>
                  <w:tcW w:w="850" w:type="dxa"/>
                  <w:vAlign w:val="bottom"/>
                </w:tcPr>
                <w:p w14:paraId="7BE720CA" w14:textId="1C73E5C0" w:rsidR="0005758A" w:rsidRDefault="0005758A" w:rsidP="0005758A">
                  <w:pPr>
                    <w:pStyle w:val="TableBodyText"/>
                  </w:pPr>
                  <w:r>
                    <w:t>..</w:t>
                  </w:r>
                </w:p>
              </w:tc>
              <w:tc>
                <w:tcPr>
                  <w:tcW w:w="851" w:type="dxa"/>
                  <w:vAlign w:val="bottom"/>
                </w:tcPr>
                <w:p w14:paraId="6CE1F0F9" w14:textId="2541C38E" w:rsidR="0005758A" w:rsidRDefault="0005758A" w:rsidP="0005758A">
                  <w:pPr>
                    <w:pStyle w:val="TableBodyText"/>
                  </w:pPr>
                  <w:r>
                    <w:t xml:space="preserve"> 2.2</w:t>
                  </w:r>
                </w:p>
              </w:tc>
              <w:tc>
                <w:tcPr>
                  <w:tcW w:w="850" w:type="dxa"/>
                  <w:vAlign w:val="bottom"/>
                </w:tcPr>
                <w:p w14:paraId="32E66995" w14:textId="66F7D907" w:rsidR="0005758A" w:rsidRDefault="0005758A" w:rsidP="0005758A">
                  <w:pPr>
                    <w:pStyle w:val="TableBodyText"/>
                  </w:pPr>
                  <w:r>
                    <w:t>..</w:t>
                  </w:r>
                </w:p>
              </w:tc>
              <w:tc>
                <w:tcPr>
                  <w:tcW w:w="709" w:type="dxa"/>
                  <w:vAlign w:val="bottom"/>
                </w:tcPr>
                <w:p w14:paraId="4C6D4CF9" w14:textId="4D4DD575" w:rsidR="0005758A" w:rsidRDefault="0005758A" w:rsidP="0005758A">
                  <w:pPr>
                    <w:pStyle w:val="TableBodyText"/>
                  </w:pPr>
                  <w:r>
                    <w:t>..</w:t>
                  </w:r>
                </w:p>
              </w:tc>
              <w:tc>
                <w:tcPr>
                  <w:tcW w:w="709" w:type="dxa"/>
                  <w:vAlign w:val="bottom"/>
                </w:tcPr>
                <w:p w14:paraId="182ED01D" w14:textId="3E02C345" w:rsidR="0005758A" w:rsidRDefault="0005758A" w:rsidP="0005758A">
                  <w:pPr>
                    <w:pStyle w:val="TableBodyText"/>
                  </w:pPr>
                  <w:r>
                    <w:t>..</w:t>
                  </w:r>
                </w:p>
              </w:tc>
              <w:tc>
                <w:tcPr>
                  <w:tcW w:w="708" w:type="dxa"/>
                  <w:vAlign w:val="bottom"/>
                </w:tcPr>
                <w:p w14:paraId="56F2B257" w14:textId="0B09F8C6" w:rsidR="0005758A" w:rsidRDefault="0005758A" w:rsidP="0005758A">
                  <w:pPr>
                    <w:pStyle w:val="TableBodyText"/>
                  </w:pPr>
                  <w:r>
                    <w:t>..</w:t>
                  </w:r>
                </w:p>
              </w:tc>
              <w:tc>
                <w:tcPr>
                  <w:tcW w:w="709" w:type="dxa"/>
                  <w:vAlign w:val="bottom"/>
                </w:tcPr>
                <w:p w14:paraId="37B08A39" w14:textId="18997B14" w:rsidR="0005758A" w:rsidRDefault="0005758A" w:rsidP="00CB1FA4">
                  <w:pPr>
                    <w:pStyle w:val="TableBodyText"/>
                    <w:ind w:right="0"/>
                  </w:pPr>
                  <w:r>
                    <w:t xml:space="preserve"> 2.0</w:t>
                  </w:r>
                </w:p>
              </w:tc>
            </w:tr>
            <w:tr w:rsidR="0005758A" w:rsidRPr="003D4D27" w14:paraId="31C29F98" w14:textId="77777777" w:rsidTr="00B53D55">
              <w:tc>
                <w:tcPr>
                  <w:tcW w:w="1679" w:type="dxa"/>
                </w:tcPr>
                <w:p w14:paraId="241AFC16" w14:textId="77777777" w:rsidR="0005758A" w:rsidRPr="000B0EDE" w:rsidRDefault="0005758A" w:rsidP="0005758A">
                  <w:pPr>
                    <w:pStyle w:val="TableBodyText"/>
                    <w:jc w:val="left"/>
                    <w:rPr>
                      <w:rStyle w:val="NoteLabel"/>
                    </w:rPr>
                  </w:pPr>
                  <w:r w:rsidRPr="000B0EDE">
                    <w:t xml:space="preserve">Federal </w:t>
                  </w:r>
                  <w:r>
                    <w:t>Circuit</w:t>
                  </w:r>
                </w:p>
              </w:tc>
              <w:tc>
                <w:tcPr>
                  <w:tcW w:w="709" w:type="dxa"/>
                  <w:vAlign w:val="bottom"/>
                </w:tcPr>
                <w:p w14:paraId="3A45961C" w14:textId="53137C1E" w:rsidR="0005758A" w:rsidRDefault="0005758A" w:rsidP="0005758A">
                  <w:pPr>
                    <w:pStyle w:val="TableBodyText"/>
                  </w:pPr>
                  <w:r>
                    <w:t>..</w:t>
                  </w:r>
                </w:p>
              </w:tc>
              <w:tc>
                <w:tcPr>
                  <w:tcW w:w="709" w:type="dxa"/>
                  <w:vAlign w:val="bottom"/>
                </w:tcPr>
                <w:p w14:paraId="1A9C79E7" w14:textId="2D8D5A2D" w:rsidR="0005758A" w:rsidRDefault="0005758A" w:rsidP="0005758A">
                  <w:pPr>
                    <w:pStyle w:val="TableBodyText"/>
                  </w:pPr>
                  <w:r>
                    <w:t>..</w:t>
                  </w:r>
                </w:p>
              </w:tc>
              <w:tc>
                <w:tcPr>
                  <w:tcW w:w="850" w:type="dxa"/>
                  <w:vAlign w:val="bottom"/>
                </w:tcPr>
                <w:p w14:paraId="7FFD6290" w14:textId="22C92A92" w:rsidR="0005758A" w:rsidRDefault="0005758A" w:rsidP="0005758A">
                  <w:pPr>
                    <w:pStyle w:val="TableBodyText"/>
                  </w:pPr>
                  <w:r>
                    <w:t>..</w:t>
                  </w:r>
                </w:p>
              </w:tc>
              <w:tc>
                <w:tcPr>
                  <w:tcW w:w="851" w:type="dxa"/>
                  <w:vAlign w:val="bottom"/>
                </w:tcPr>
                <w:p w14:paraId="36BB31BD" w14:textId="1A72DBB0" w:rsidR="0005758A" w:rsidRDefault="0005758A" w:rsidP="0005758A">
                  <w:pPr>
                    <w:pStyle w:val="TableBodyText"/>
                  </w:pPr>
                  <w:r>
                    <w:t>..</w:t>
                  </w:r>
                </w:p>
              </w:tc>
              <w:tc>
                <w:tcPr>
                  <w:tcW w:w="850" w:type="dxa"/>
                  <w:vAlign w:val="bottom"/>
                </w:tcPr>
                <w:p w14:paraId="466FEA37" w14:textId="4362AEB4" w:rsidR="0005758A" w:rsidRDefault="0005758A" w:rsidP="0005758A">
                  <w:pPr>
                    <w:pStyle w:val="TableBodyText"/>
                  </w:pPr>
                  <w:r>
                    <w:t>..</w:t>
                  </w:r>
                </w:p>
              </w:tc>
              <w:tc>
                <w:tcPr>
                  <w:tcW w:w="709" w:type="dxa"/>
                  <w:vAlign w:val="bottom"/>
                </w:tcPr>
                <w:p w14:paraId="4E790F8E" w14:textId="3BD4F8F9" w:rsidR="0005758A" w:rsidRDefault="0005758A" w:rsidP="0005758A">
                  <w:pPr>
                    <w:pStyle w:val="TableBodyText"/>
                  </w:pPr>
                  <w:r>
                    <w:t>..</w:t>
                  </w:r>
                </w:p>
              </w:tc>
              <w:tc>
                <w:tcPr>
                  <w:tcW w:w="709" w:type="dxa"/>
                  <w:vAlign w:val="bottom"/>
                </w:tcPr>
                <w:p w14:paraId="155690AE" w14:textId="74602A2B" w:rsidR="0005758A" w:rsidRDefault="0005758A" w:rsidP="0005758A">
                  <w:pPr>
                    <w:pStyle w:val="TableBodyText"/>
                  </w:pPr>
                  <w:r>
                    <w:t>..</w:t>
                  </w:r>
                </w:p>
              </w:tc>
              <w:tc>
                <w:tcPr>
                  <w:tcW w:w="708" w:type="dxa"/>
                  <w:vAlign w:val="bottom"/>
                </w:tcPr>
                <w:p w14:paraId="34F931BD" w14:textId="283E98ED" w:rsidR="0005758A" w:rsidRDefault="0005758A" w:rsidP="0005758A">
                  <w:pPr>
                    <w:pStyle w:val="TableBodyText"/>
                  </w:pPr>
                  <w:r>
                    <w:t>..</w:t>
                  </w:r>
                </w:p>
              </w:tc>
              <w:tc>
                <w:tcPr>
                  <w:tcW w:w="709" w:type="dxa"/>
                  <w:vAlign w:val="bottom"/>
                </w:tcPr>
                <w:p w14:paraId="56F5E0EC" w14:textId="047D85C2" w:rsidR="0005758A" w:rsidRDefault="0005758A" w:rsidP="00CB1FA4">
                  <w:pPr>
                    <w:pStyle w:val="TableBodyText"/>
                    <w:ind w:right="0"/>
                  </w:pPr>
                  <w:r>
                    <w:t xml:space="preserve"> 2.0</w:t>
                  </w:r>
                </w:p>
              </w:tc>
            </w:tr>
            <w:tr w:rsidR="0005758A" w:rsidRPr="003D4D27" w14:paraId="427F81D3" w14:textId="77777777" w:rsidTr="00B53D55">
              <w:tc>
                <w:tcPr>
                  <w:tcW w:w="1679" w:type="dxa"/>
                  <w:tcBorders>
                    <w:bottom w:val="single" w:sz="6" w:space="0" w:color="BFBFBF"/>
                  </w:tcBorders>
                </w:tcPr>
                <w:p w14:paraId="1271463D" w14:textId="77777777" w:rsidR="0005758A" w:rsidRPr="000B0EDE" w:rsidRDefault="0005758A" w:rsidP="0005758A">
                  <w:pPr>
                    <w:pStyle w:val="TableBodyText"/>
                    <w:jc w:val="left"/>
                  </w:pPr>
                  <w:r w:rsidRPr="000B0EDE">
                    <w:t>Coroners’ courts</w:t>
                  </w:r>
                </w:p>
              </w:tc>
              <w:tc>
                <w:tcPr>
                  <w:tcW w:w="709" w:type="dxa"/>
                  <w:tcBorders>
                    <w:bottom w:val="single" w:sz="6" w:space="0" w:color="BFBFBF"/>
                  </w:tcBorders>
                  <w:vAlign w:val="bottom"/>
                </w:tcPr>
                <w:p w14:paraId="1EA05898" w14:textId="5E8105CB" w:rsidR="0005758A" w:rsidRDefault="0005758A" w:rsidP="0005758A">
                  <w:pPr>
                    <w:pStyle w:val="TableBodyText"/>
                  </w:pPr>
                  <w:r>
                    <w:t xml:space="preserve"> 6.8</w:t>
                  </w:r>
                </w:p>
              </w:tc>
              <w:tc>
                <w:tcPr>
                  <w:tcW w:w="709" w:type="dxa"/>
                  <w:tcBorders>
                    <w:bottom w:val="single" w:sz="6" w:space="0" w:color="BFBFBF"/>
                  </w:tcBorders>
                  <w:vAlign w:val="bottom"/>
                </w:tcPr>
                <w:p w14:paraId="08738F2C" w14:textId="16C81DEE" w:rsidR="0005758A" w:rsidRDefault="0005758A" w:rsidP="0005758A">
                  <w:pPr>
                    <w:pStyle w:val="TableBodyText"/>
                  </w:pPr>
                  <w:r>
                    <w:t xml:space="preserve"> 1.5</w:t>
                  </w:r>
                </w:p>
              </w:tc>
              <w:tc>
                <w:tcPr>
                  <w:tcW w:w="850" w:type="dxa"/>
                  <w:tcBorders>
                    <w:bottom w:val="single" w:sz="6" w:space="0" w:color="BFBFBF"/>
                  </w:tcBorders>
                  <w:vAlign w:val="bottom"/>
                </w:tcPr>
                <w:p w14:paraId="54483731" w14:textId="1630FD7E" w:rsidR="0005758A" w:rsidRDefault="0005758A" w:rsidP="0005758A">
                  <w:pPr>
                    <w:pStyle w:val="TableBodyText"/>
                  </w:pPr>
                  <w:r>
                    <w:t xml:space="preserve"> 4.8</w:t>
                  </w:r>
                </w:p>
              </w:tc>
              <w:tc>
                <w:tcPr>
                  <w:tcW w:w="851" w:type="dxa"/>
                  <w:tcBorders>
                    <w:bottom w:val="single" w:sz="6" w:space="0" w:color="BFBFBF"/>
                  </w:tcBorders>
                  <w:vAlign w:val="bottom"/>
                </w:tcPr>
                <w:p w14:paraId="717A3315" w14:textId="70798FEE" w:rsidR="0005758A" w:rsidRDefault="0005758A" w:rsidP="0005758A">
                  <w:pPr>
                    <w:pStyle w:val="TableBodyText"/>
                  </w:pPr>
                  <w:r>
                    <w:t xml:space="preserve"> 2.7</w:t>
                  </w:r>
                </w:p>
              </w:tc>
              <w:tc>
                <w:tcPr>
                  <w:tcW w:w="850" w:type="dxa"/>
                  <w:tcBorders>
                    <w:bottom w:val="single" w:sz="6" w:space="0" w:color="BFBFBF"/>
                  </w:tcBorders>
                  <w:vAlign w:val="bottom"/>
                </w:tcPr>
                <w:p w14:paraId="78069620" w14:textId="02939068" w:rsidR="0005758A" w:rsidRDefault="0005758A" w:rsidP="0005758A">
                  <w:pPr>
                    <w:pStyle w:val="TableBodyText"/>
                  </w:pPr>
                  <w:r>
                    <w:t xml:space="preserve"> 1.3</w:t>
                  </w:r>
                </w:p>
              </w:tc>
              <w:tc>
                <w:tcPr>
                  <w:tcW w:w="709" w:type="dxa"/>
                  <w:tcBorders>
                    <w:bottom w:val="single" w:sz="6" w:space="0" w:color="BFBFBF"/>
                  </w:tcBorders>
                  <w:vAlign w:val="bottom"/>
                </w:tcPr>
                <w:p w14:paraId="2FBA403D" w14:textId="72178B78" w:rsidR="0005758A" w:rsidRDefault="0005758A" w:rsidP="0005758A">
                  <w:pPr>
                    <w:pStyle w:val="TableBodyText"/>
                  </w:pPr>
                  <w:r>
                    <w:t xml:space="preserve"> 3.1</w:t>
                  </w:r>
                </w:p>
              </w:tc>
              <w:tc>
                <w:tcPr>
                  <w:tcW w:w="709" w:type="dxa"/>
                  <w:tcBorders>
                    <w:bottom w:val="single" w:sz="6" w:space="0" w:color="BFBFBF"/>
                  </w:tcBorders>
                  <w:vAlign w:val="bottom"/>
                </w:tcPr>
                <w:p w14:paraId="173F2C52" w14:textId="0C4E6273" w:rsidR="0005758A" w:rsidRDefault="0005758A" w:rsidP="0005758A">
                  <w:pPr>
                    <w:pStyle w:val="TableBodyText"/>
                  </w:pPr>
                  <w:r>
                    <w:t xml:space="preserve"> 7.1</w:t>
                  </w:r>
                </w:p>
              </w:tc>
              <w:tc>
                <w:tcPr>
                  <w:tcW w:w="708" w:type="dxa"/>
                  <w:tcBorders>
                    <w:bottom w:val="single" w:sz="6" w:space="0" w:color="BFBFBF"/>
                  </w:tcBorders>
                  <w:vAlign w:val="bottom"/>
                </w:tcPr>
                <w:p w14:paraId="6D93F631" w14:textId="362396E4" w:rsidR="0005758A" w:rsidRDefault="0005758A" w:rsidP="0005758A">
                  <w:pPr>
                    <w:pStyle w:val="TableBodyText"/>
                  </w:pPr>
                  <w:r>
                    <w:t xml:space="preserve"> 1.0</w:t>
                  </w:r>
                </w:p>
              </w:tc>
              <w:tc>
                <w:tcPr>
                  <w:tcW w:w="709" w:type="dxa"/>
                  <w:tcBorders>
                    <w:bottom w:val="single" w:sz="6" w:space="0" w:color="BFBFBF"/>
                  </w:tcBorders>
                  <w:vAlign w:val="bottom"/>
                </w:tcPr>
                <w:p w14:paraId="60589CAD" w14:textId="0E607CC0" w:rsidR="0005758A" w:rsidRDefault="0005758A" w:rsidP="00CB1FA4">
                  <w:pPr>
                    <w:pStyle w:val="TableBodyText"/>
                    <w:ind w:right="0"/>
                  </w:pPr>
                  <w:r>
                    <w:t>..</w:t>
                  </w:r>
                </w:p>
              </w:tc>
            </w:tr>
          </w:tbl>
          <w:p w14:paraId="30A4417D" w14:textId="77777777" w:rsidR="00C61FAB" w:rsidRDefault="00C61FAB" w:rsidP="00B53D55">
            <w:pPr>
              <w:pStyle w:val="Box"/>
            </w:pPr>
          </w:p>
        </w:tc>
      </w:tr>
      <w:tr w:rsidR="00C61FAB" w14:paraId="1A6FB0ED" w14:textId="77777777" w:rsidTr="008560BF">
        <w:trPr>
          <w:cantSplit/>
        </w:trPr>
        <w:tc>
          <w:tcPr>
            <w:tcW w:w="8789" w:type="dxa"/>
            <w:tcBorders>
              <w:top w:val="nil"/>
              <w:left w:val="nil"/>
              <w:bottom w:val="nil"/>
              <w:right w:val="nil"/>
            </w:tcBorders>
            <w:shd w:val="clear" w:color="auto" w:fill="auto"/>
          </w:tcPr>
          <w:p w14:paraId="158B4200" w14:textId="6131F3C3" w:rsidR="00C61FAB" w:rsidRDefault="00C61FAB" w:rsidP="00B53D55">
            <w:pPr>
              <w:pStyle w:val="Note"/>
              <w:rPr>
                <w:i/>
              </w:rPr>
            </w:pPr>
            <w:r>
              <w:rPr>
                <w:rStyle w:val="NoteLabel"/>
              </w:rPr>
              <w:t>a</w:t>
            </w:r>
            <w:r>
              <w:t> </w:t>
            </w:r>
            <w:r w:rsidR="00A722C4">
              <w:t>See box 7.6</w:t>
            </w:r>
            <w:r w:rsidR="00F05F7B">
              <w:t xml:space="preserve"> and table 7A.21</w:t>
            </w:r>
            <w:r w:rsidRPr="00221E2A">
              <w:t xml:space="preserve"> for detailed definitions, footnotes and caveats</w:t>
            </w:r>
            <w:r w:rsidRPr="00AC09DB">
              <w:t>.</w:t>
            </w:r>
            <w:r>
              <w:t xml:space="preserve"> </w:t>
            </w:r>
            <w:r>
              <w:rPr>
                <w:b/>
              </w:rPr>
              <w:t>na </w:t>
            </w:r>
            <w:r w:rsidRPr="00E92ADD">
              <w:t>Not available</w:t>
            </w:r>
            <w:r>
              <w:t xml:space="preserve">. </w:t>
            </w:r>
            <w:r w:rsidRPr="0051648A">
              <w:t>..</w:t>
            </w:r>
            <w:r>
              <w:rPr>
                <w:b/>
              </w:rPr>
              <w:t> </w:t>
            </w:r>
            <w:r w:rsidRPr="00E92ADD">
              <w:t>Not</w:t>
            </w:r>
            <w:r>
              <w:t> applicable</w:t>
            </w:r>
          </w:p>
        </w:tc>
      </w:tr>
      <w:tr w:rsidR="00C61FAB" w14:paraId="2B43DAA3" w14:textId="77777777" w:rsidTr="008560BF">
        <w:trPr>
          <w:cantSplit/>
        </w:trPr>
        <w:tc>
          <w:tcPr>
            <w:tcW w:w="8789" w:type="dxa"/>
            <w:tcBorders>
              <w:top w:val="nil"/>
              <w:left w:val="nil"/>
              <w:bottom w:val="nil"/>
              <w:right w:val="nil"/>
            </w:tcBorders>
            <w:shd w:val="clear" w:color="auto" w:fill="auto"/>
          </w:tcPr>
          <w:p w14:paraId="49E32D0B" w14:textId="6F4CCD01" w:rsidR="00C61FAB" w:rsidRDefault="00C61FAB" w:rsidP="00B53D55">
            <w:pPr>
              <w:pStyle w:val="Source"/>
            </w:pPr>
            <w:r>
              <w:rPr>
                <w:i/>
              </w:rPr>
              <w:t>Source</w:t>
            </w:r>
            <w:r w:rsidRPr="00AF5D20">
              <w:t>:</w:t>
            </w:r>
            <w:r>
              <w:rPr>
                <w:i/>
              </w:rPr>
              <w:t xml:space="preserve"> </w:t>
            </w:r>
            <w:r>
              <w:t>Australian, State and Territory court authorities and depart</w:t>
            </w:r>
            <w:r w:rsidR="00F05F7B">
              <w:t>ments (unpublished); table 7A.21</w:t>
            </w:r>
            <w:r>
              <w:t>.</w:t>
            </w:r>
          </w:p>
        </w:tc>
      </w:tr>
      <w:tr w:rsidR="004B0BD8" w14:paraId="1B9A6D07" w14:textId="77777777" w:rsidTr="008560BF">
        <w:trPr>
          <w:cantSplit/>
        </w:trPr>
        <w:tc>
          <w:tcPr>
            <w:tcW w:w="8789" w:type="dxa"/>
            <w:tcBorders>
              <w:top w:val="nil"/>
              <w:left w:val="nil"/>
              <w:bottom w:val="nil"/>
              <w:right w:val="nil"/>
            </w:tcBorders>
            <w:shd w:val="clear" w:color="auto" w:fill="auto"/>
          </w:tcPr>
          <w:p w14:paraId="34402363" w14:textId="77777777" w:rsidR="004B0BD8" w:rsidRDefault="004B0BD8" w:rsidP="00FA7365">
            <w:pPr>
              <w:pStyle w:val="Figurespace"/>
              <w:rPr>
                <w:i/>
              </w:rPr>
            </w:pPr>
          </w:p>
        </w:tc>
      </w:tr>
      <w:tr w:rsidR="00C61FAB" w:rsidRPr="000863A5" w14:paraId="3173B846" w14:textId="77777777" w:rsidTr="008560BF">
        <w:tc>
          <w:tcPr>
            <w:tcW w:w="8789" w:type="dxa"/>
            <w:tcBorders>
              <w:top w:val="single" w:sz="6" w:space="0" w:color="78A22F" w:themeColor="accent1"/>
              <w:left w:val="nil"/>
              <w:bottom w:val="nil"/>
              <w:right w:val="nil"/>
            </w:tcBorders>
          </w:tcPr>
          <w:p w14:paraId="6527584F" w14:textId="77777777" w:rsidR="00C61FAB" w:rsidRPr="00626D32" w:rsidRDefault="00C61FAB" w:rsidP="00B53D55">
            <w:pPr>
              <w:pStyle w:val="BoxSpaceBelow"/>
            </w:pPr>
          </w:p>
        </w:tc>
      </w:tr>
    </w:tbl>
    <w:p w14:paraId="3F712CA6" w14:textId="77777777" w:rsidR="00D93502" w:rsidRDefault="00D93502" w:rsidP="002D3194">
      <w:pPr>
        <w:pStyle w:val="Heading4"/>
        <w:spacing w:before="280" w:after="80"/>
      </w:pPr>
      <w:r>
        <w:t xml:space="preserve">Access — </w:t>
      </w:r>
      <w:r w:rsidR="00CE53ED">
        <w:t>c</w:t>
      </w:r>
      <w:r>
        <w:t>learance</w:t>
      </w:r>
    </w:p>
    <w:p w14:paraId="73CAA043" w14:textId="39521080" w:rsidR="00D93502" w:rsidRDefault="00D93502" w:rsidP="007360E2">
      <w:pPr>
        <w:pStyle w:val="BodyText"/>
        <w:spacing w:after="300"/>
      </w:pPr>
      <w:r>
        <w:t xml:space="preserve">‘Clearance’ </w:t>
      </w:r>
      <w:r w:rsidRPr="00F66BA3">
        <w:t>is an indicator</w:t>
      </w:r>
      <w:r>
        <w:t xml:space="preserve"> of governments’ achievement against the objective of</w:t>
      </w:r>
      <w:r w:rsidR="00D04412">
        <w:t xml:space="preserve"> processing matters in an expeditious and timely manner</w:t>
      </w:r>
      <w:r>
        <w:t xml:space="preserve"> (box 7.</w:t>
      </w:r>
      <w:r w:rsidR="00A722C4">
        <w:t>7</w:t>
      </w:r>
      <w:r>
        <w:t xml:space="preserve">). </w:t>
      </w:r>
    </w:p>
    <w:p w14:paraId="00F0A2B5" w14:textId="17A10E87"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24B8FE7D" w14:textId="77777777" w:rsidTr="008560BF">
        <w:trPr>
          <w:tblHeader/>
        </w:trPr>
        <w:tc>
          <w:tcPr>
            <w:tcW w:w="5000" w:type="pct"/>
            <w:tcBorders>
              <w:top w:val="single" w:sz="6" w:space="0" w:color="78A22F"/>
              <w:left w:val="nil"/>
              <w:bottom w:val="nil"/>
              <w:right w:val="nil"/>
            </w:tcBorders>
            <w:shd w:val="clear" w:color="auto" w:fill="F2F2F2"/>
          </w:tcPr>
          <w:p w14:paraId="2A9EAF54" w14:textId="15291E26" w:rsidR="008560BF" w:rsidRDefault="008560BF" w:rsidP="008560BF">
            <w:pPr>
              <w:pStyle w:val="BoxTitle"/>
            </w:pPr>
            <w:r>
              <w:rPr>
                <w:b w:val="0"/>
              </w:rPr>
              <w:t>Box 7.7</w:t>
            </w:r>
            <w:r>
              <w:tab/>
            </w:r>
            <w:r w:rsidRPr="00923134">
              <w:t>Clearance</w:t>
            </w:r>
          </w:p>
        </w:tc>
      </w:tr>
      <w:tr w:rsidR="008560BF" w14:paraId="0C4FB795" w14:textId="77777777" w:rsidTr="008560BF">
        <w:tc>
          <w:tcPr>
            <w:tcW w:w="5000" w:type="pct"/>
            <w:tcBorders>
              <w:top w:val="nil"/>
              <w:left w:val="nil"/>
              <w:bottom w:val="nil"/>
              <w:right w:val="nil"/>
            </w:tcBorders>
            <w:shd w:val="clear" w:color="auto" w:fill="F2F2F2"/>
          </w:tcPr>
          <w:p w14:paraId="5F344659" w14:textId="6DA50441" w:rsidR="008560BF" w:rsidRDefault="008560BF" w:rsidP="00CA3F79">
            <w:pPr>
              <w:pStyle w:val="Box"/>
            </w:pPr>
            <w:r>
              <w:t xml:space="preserve">‘Clearance’ indicates whether a court’s pending caseload </w:t>
            </w:r>
            <w:r w:rsidRPr="00135FCD">
              <w:t>has</w:t>
            </w:r>
            <w:r>
              <w:t xml:space="preserve"> increased or decreased over the measurement period</w:t>
            </w:r>
            <w:r w:rsidRPr="00135FCD">
              <w:t>, by comparing the</w:t>
            </w:r>
            <w:r>
              <w:t xml:space="preserve"> volume of case </w:t>
            </w:r>
            <w:r w:rsidRPr="00135FCD">
              <w:t>finalisations and</w:t>
            </w:r>
            <w:r>
              <w:t xml:space="preserve"> case lodgements during the reporting period. It is measured by dividing the number of finalisations in the reporting period by the number of lodgements in the same period, multiplied by 100.</w:t>
            </w:r>
          </w:p>
          <w:p w14:paraId="135C225E" w14:textId="77777777" w:rsidR="008560BF" w:rsidRDefault="008560BF" w:rsidP="008560BF">
            <w:pPr>
              <w:pStyle w:val="Box"/>
              <w:keepNext w:val="0"/>
            </w:pPr>
            <w:r>
              <w:t>The following can assist in interpretation of this indicator:</w:t>
            </w:r>
          </w:p>
          <w:p w14:paraId="6807BFA3" w14:textId="04C114B2" w:rsidR="008560BF" w:rsidRDefault="008560BF" w:rsidP="00CA3F79">
            <w:pPr>
              <w:pStyle w:val="BoxListBullet"/>
              <w:keepNext w:val="0"/>
            </w:pPr>
            <w:r>
              <w:t>a figure of 100 per cent indicates that, during the reporting period, the court finalised as many cases as were lodged, and the pending caseload should be similar to the pending caseload 12 months earlier</w:t>
            </w:r>
          </w:p>
        </w:tc>
      </w:tr>
      <w:tr w:rsidR="008560BF" w14:paraId="3803A132" w14:textId="77777777" w:rsidTr="008560BF">
        <w:tc>
          <w:tcPr>
            <w:tcW w:w="5000" w:type="pct"/>
            <w:tcBorders>
              <w:top w:val="nil"/>
              <w:left w:val="nil"/>
              <w:bottom w:val="nil"/>
              <w:right w:val="nil"/>
            </w:tcBorders>
            <w:shd w:val="clear" w:color="auto" w:fill="F2F2F2"/>
          </w:tcPr>
          <w:p w14:paraId="69428560" w14:textId="27247B8B" w:rsidR="008560BF" w:rsidRPr="008560BF" w:rsidRDefault="008560BF" w:rsidP="00A741A6">
            <w:pPr>
              <w:pStyle w:val="BoxSource"/>
              <w:spacing w:before="0"/>
              <w:jc w:val="right"/>
            </w:pPr>
            <w:r w:rsidRPr="008560BF">
              <w:t>(continued next page)</w:t>
            </w:r>
          </w:p>
        </w:tc>
      </w:tr>
      <w:tr w:rsidR="008560BF" w14:paraId="3E4B7821" w14:textId="77777777" w:rsidTr="008560BF">
        <w:tc>
          <w:tcPr>
            <w:tcW w:w="5000" w:type="pct"/>
            <w:tcBorders>
              <w:top w:val="nil"/>
              <w:left w:val="nil"/>
              <w:bottom w:val="single" w:sz="6" w:space="0" w:color="78A22F"/>
              <w:right w:val="nil"/>
            </w:tcBorders>
            <w:shd w:val="clear" w:color="auto" w:fill="F2F2F2"/>
          </w:tcPr>
          <w:p w14:paraId="7E4BD586" w14:textId="77777777" w:rsidR="008560BF" w:rsidRDefault="008560BF">
            <w:pPr>
              <w:pStyle w:val="Box"/>
              <w:spacing w:before="0" w:line="120" w:lineRule="exact"/>
            </w:pPr>
          </w:p>
        </w:tc>
      </w:tr>
      <w:tr w:rsidR="008560BF" w:rsidRPr="000863A5" w14:paraId="3EFD3DE9" w14:textId="77777777" w:rsidTr="008560BF">
        <w:tc>
          <w:tcPr>
            <w:tcW w:w="5000" w:type="pct"/>
            <w:tcBorders>
              <w:top w:val="single" w:sz="6" w:space="0" w:color="78A22F"/>
              <w:left w:val="nil"/>
              <w:bottom w:val="nil"/>
              <w:right w:val="nil"/>
            </w:tcBorders>
          </w:tcPr>
          <w:p w14:paraId="704C6CF7" w14:textId="18B71D06" w:rsidR="008560BF" w:rsidRPr="00626D32" w:rsidRDefault="008560BF" w:rsidP="00CA3F79">
            <w:pPr>
              <w:pStyle w:val="BoxSpaceBelow"/>
            </w:pPr>
          </w:p>
        </w:tc>
      </w:tr>
    </w:tbl>
    <w:p w14:paraId="368BABA5" w14:textId="43E129B3"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113AF7F4" w14:textId="77777777" w:rsidTr="00CA3F79">
        <w:trPr>
          <w:tblHeader/>
        </w:trPr>
        <w:tc>
          <w:tcPr>
            <w:tcW w:w="5000" w:type="pct"/>
            <w:tcBorders>
              <w:top w:val="single" w:sz="6" w:space="0" w:color="78A22F"/>
              <w:left w:val="nil"/>
              <w:bottom w:val="nil"/>
              <w:right w:val="nil"/>
            </w:tcBorders>
            <w:shd w:val="clear" w:color="auto" w:fill="F2F2F2"/>
          </w:tcPr>
          <w:p w14:paraId="2744B0AF" w14:textId="43970F0C" w:rsidR="008560BF" w:rsidRDefault="008560BF" w:rsidP="008560BF">
            <w:pPr>
              <w:pStyle w:val="BoxTitle"/>
            </w:pPr>
            <w:r>
              <w:rPr>
                <w:b w:val="0"/>
              </w:rPr>
              <w:t>Box 7.7</w:t>
            </w:r>
            <w:r>
              <w:tab/>
            </w:r>
            <w:r w:rsidRPr="008560BF">
              <w:rPr>
                <w:b w:val="0"/>
                <w:sz w:val="18"/>
                <w:szCs w:val="18"/>
              </w:rPr>
              <w:t>(continued)</w:t>
            </w:r>
          </w:p>
        </w:tc>
      </w:tr>
      <w:tr w:rsidR="008560BF" w14:paraId="24B033D5" w14:textId="77777777" w:rsidTr="00CA3F79">
        <w:tc>
          <w:tcPr>
            <w:tcW w:w="5000" w:type="pct"/>
            <w:tcBorders>
              <w:top w:val="nil"/>
              <w:left w:val="nil"/>
              <w:bottom w:val="nil"/>
              <w:right w:val="nil"/>
            </w:tcBorders>
            <w:shd w:val="clear" w:color="auto" w:fill="F2F2F2"/>
          </w:tcPr>
          <w:p w14:paraId="77DA7858" w14:textId="77777777" w:rsidR="008560BF" w:rsidRDefault="008560BF" w:rsidP="008560BF">
            <w:pPr>
              <w:pStyle w:val="BoxListBullet"/>
              <w:keepNext w:val="0"/>
            </w:pPr>
            <w:r>
              <w:t>a figure greater than 100 per cent indicates that, during the reporting period, the court finalised more cases than were lodged, and the pending caseload should have decreased</w:t>
            </w:r>
          </w:p>
          <w:p w14:paraId="1347B332" w14:textId="77777777" w:rsidR="008560BF" w:rsidRDefault="008560BF" w:rsidP="008560BF">
            <w:pPr>
              <w:pStyle w:val="BoxListBullet"/>
              <w:keepNext w:val="0"/>
            </w:pPr>
            <w:r>
              <w:t>a figure less than 100 per cent indicates that, during the reporting period, the court finalised fewer cases than were lodged, and the pending caseload should have increased.</w:t>
            </w:r>
          </w:p>
          <w:p w14:paraId="40B235F1" w14:textId="05562E97" w:rsidR="008560BF" w:rsidRPr="008244F7" w:rsidRDefault="008560BF" w:rsidP="008560BF">
            <w:pPr>
              <w:pStyle w:val="Box"/>
              <w:keepNext w:val="0"/>
            </w:pPr>
            <w:r>
              <w:t xml:space="preserve">The clearance indicator can be affected by external factors (such as those causing changes in lodgement rates), as well as by changes in a court’s case management practices. </w:t>
            </w:r>
            <w:r w:rsidRPr="00DF2105">
              <w:t>Results for this indicator need to be interpreted within the context of changes in the volumes of lodg</w:t>
            </w:r>
            <w:r>
              <w:t>e</w:t>
            </w:r>
            <w:r w:rsidRPr="00DF2105">
              <w:t>ments, finalisations and pending caseloads over time</w:t>
            </w:r>
            <w:r w:rsidRPr="008244F7">
              <w:t>.</w:t>
            </w:r>
          </w:p>
          <w:p w14:paraId="0FCC41E9" w14:textId="77777777" w:rsidR="008560BF" w:rsidRDefault="008560BF" w:rsidP="008560BF">
            <w:pPr>
              <w:pStyle w:val="Box"/>
              <w:keepNext w:val="0"/>
            </w:pPr>
            <w:r>
              <w:t>Data reported for this indicator are:</w:t>
            </w:r>
          </w:p>
          <w:p w14:paraId="2A093594" w14:textId="77777777" w:rsidR="008560BF" w:rsidRPr="00396E26" w:rsidRDefault="008560BF" w:rsidP="008560BF">
            <w:pPr>
              <w:pStyle w:val="BoxListBullet"/>
              <w:keepNext w:val="0"/>
            </w:pPr>
            <w:r w:rsidRPr="00396E26">
              <w:t>comparable (subject to caveats) across jurisdictions and over time</w:t>
            </w:r>
          </w:p>
          <w:p w14:paraId="1E46FEF8" w14:textId="3E592F81" w:rsidR="008560BF" w:rsidRDefault="008560BF" w:rsidP="008560BF">
            <w:pPr>
              <w:pStyle w:val="BoxListBullet"/>
            </w:pPr>
            <w:r w:rsidRPr="00396E26">
              <w:t xml:space="preserve">complete for the current reporting period (subject to caveats). All </w:t>
            </w:r>
            <w:r w:rsidRPr="008958EE">
              <w:t>required 2016</w:t>
            </w:r>
            <w:r>
              <w:rPr>
                <w:color w:val="000000" w:themeColor="text1"/>
              </w:rPr>
              <w:t>–</w:t>
            </w:r>
            <w:r w:rsidRPr="008958EE">
              <w:t xml:space="preserve">17 </w:t>
            </w:r>
            <w:r w:rsidRPr="00396E26">
              <w:t>data are a</w:t>
            </w:r>
            <w:r>
              <w:t>vailable for all jurisdictions.</w:t>
            </w:r>
          </w:p>
        </w:tc>
      </w:tr>
      <w:tr w:rsidR="008560BF" w14:paraId="7C07A5F6" w14:textId="77777777" w:rsidTr="00CA3F79">
        <w:tc>
          <w:tcPr>
            <w:tcW w:w="5000" w:type="pct"/>
            <w:tcBorders>
              <w:top w:val="nil"/>
              <w:left w:val="nil"/>
              <w:bottom w:val="single" w:sz="6" w:space="0" w:color="78A22F"/>
              <w:right w:val="nil"/>
            </w:tcBorders>
            <w:shd w:val="clear" w:color="auto" w:fill="F2F2F2"/>
          </w:tcPr>
          <w:p w14:paraId="1E6DF974" w14:textId="77777777" w:rsidR="008560BF" w:rsidRDefault="008560BF">
            <w:pPr>
              <w:pStyle w:val="Box"/>
              <w:spacing w:before="0" w:line="120" w:lineRule="exact"/>
            </w:pPr>
          </w:p>
        </w:tc>
      </w:tr>
      <w:tr w:rsidR="008560BF" w:rsidRPr="000863A5" w14:paraId="055E0319" w14:textId="77777777" w:rsidTr="00CA3F79">
        <w:tc>
          <w:tcPr>
            <w:tcW w:w="5000" w:type="pct"/>
            <w:tcBorders>
              <w:top w:val="single" w:sz="6" w:space="0" w:color="78A22F"/>
              <w:left w:val="nil"/>
              <w:bottom w:val="nil"/>
              <w:right w:val="nil"/>
            </w:tcBorders>
          </w:tcPr>
          <w:p w14:paraId="4C76D1DE" w14:textId="30098C8C" w:rsidR="008560BF" w:rsidRPr="00626D32" w:rsidRDefault="008560BF" w:rsidP="00CA3F79">
            <w:pPr>
              <w:pStyle w:val="BoxSpaceBelow"/>
            </w:pPr>
          </w:p>
        </w:tc>
      </w:tr>
    </w:tbl>
    <w:p w14:paraId="1A63175A" w14:textId="31698EC2" w:rsidR="002B3D6E" w:rsidRPr="00A6200E" w:rsidRDefault="00E1425D" w:rsidP="00D93502">
      <w:pPr>
        <w:pStyle w:val="BodyText"/>
      </w:pPr>
      <w:r>
        <w:t xml:space="preserve">Clearance indicator data </w:t>
      </w:r>
      <w:r w:rsidRPr="00C4205E">
        <w:t xml:space="preserve">in </w:t>
      </w:r>
      <w:r w:rsidRPr="008958EE">
        <w:t>201</w:t>
      </w:r>
      <w:r w:rsidR="00660B9B" w:rsidRPr="008958EE">
        <w:t>6</w:t>
      </w:r>
      <w:r w:rsidR="005E0AAC">
        <w:rPr>
          <w:color w:val="000000" w:themeColor="text1"/>
        </w:rPr>
        <w:t>-</w:t>
      </w:r>
      <w:r w:rsidR="00D93502" w:rsidRPr="008958EE">
        <w:t>1</w:t>
      </w:r>
      <w:r w:rsidR="00660B9B" w:rsidRPr="008958EE">
        <w:t>7</w:t>
      </w:r>
      <w:r w:rsidR="00D93502" w:rsidRPr="008958EE">
        <w:t xml:space="preserve"> </w:t>
      </w:r>
      <w:r w:rsidR="0078329E" w:rsidRPr="00C4205E">
        <w:t xml:space="preserve">are </w:t>
      </w:r>
      <w:r w:rsidR="00747B8C">
        <w:t>presented in table </w:t>
      </w:r>
      <w:r w:rsidR="00747B8C" w:rsidRPr="00A6200E">
        <w:t>7.</w:t>
      </w:r>
      <w:r w:rsidR="002F7750" w:rsidRPr="00A6200E">
        <w:t>8</w:t>
      </w:r>
      <w:r w:rsidR="00FD1717" w:rsidRPr="00A6200E">
        <w:t>.</w:t>
      </w:r>
      <w:r w:rsidR="00E21200" w:rsidRPr="00A6200E">
        <w:t xml:space="preserve"> </w:t>
      </w:r>
      <w:r w:rsidR="00E21200" w:rsidRPr="008520CE">
        <w:t>Data</w:t>
      </w:r>
      <w:r w:rsidR="00806DAA" w:rsidRPr="008520CE">
        <w:t xml:space="preserve"> are available by jurisdiction </w:t>
      </w:r>
      <w:r w:rsidR="00E21200" w:rsidRPr="008520CE">
        <w:t xml:space="preserve">(civil and criminal) and appeal/non-appeal in </w:t>
      </w:r>
      <w:r w:rsidR="00E21200" w:rsidRPr="00A6200E">
        <w:t xml:space="preserve">tables </w:t>
      </w:r>
      <w:r w:rsidR="00161DEB">
        <w:t>7A.22</w:t>
      </w:r>
      <w:r w:rsidR="00161DEB">
        <w:rPr>
          <w:color w:val="000000" w:themeColor="text1"/>
        </w:rPr>
        <w:t>–</w:t>
      </w:r>
      <w:r w:rsidR="00A6200E" w:rsidRPr="00A6200E">
        <w:t>23</w:t>
      </w:r>
      <w:r w:rsidR="00E21200" w:rsidRPr="00A6200E">
        <w:t>.</w:t>
      </w:r>
    </w:p>
    <w:p w14:paraId="6B1ABDF4" w14:textId="77777777" w:rsidR="00074A15" w:rsidRDefault="00074A15" w:rsidP="00074A15">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0264C9" w:rsidRPr="008520CE" w14:paraId="2C5010AC" w14:textId="77777777" w:rsidTr="008560BF">
        <w:tc>
          <w:tcPr>
            <w:tcW w:w="8789" w:type="dxa"/>
            <w:tcBorders>
              <w:top w:val="single" w:sz="6" w:space="0" w:color="78A22F" w:themeColor="accent1"/>
              <w:left w:val="nil"/>
              <w:bottom w:val="nil"/>
              <w:right w:val="nil"/>
            </w:tcBorders>
            <w:shd w:val="clear" w:color="auto" w:fill="auto"/>
          </w:tcPr>
          <w:p w14:paraId="7BF620AA" w14:textId="754A6F27" w:rsidR="00074A15" w:rsidRPr="008520CE" w:rsidRDefault="00074A15" w:rsidP="002F7750">
            <w:pPr>
              <w:pStyle w:val="TableTitle"/>
              <w:rPr>
                <w:lang w:eastAsia="en-US"/>
              </w:rPr>
            </w:pPr>
            <w:r w:rsidRPr="008520CE">
              <w:rPr>
                <w:b w:val="0"/>
              </w:rPr>
              <w:t>Table 7.</w:t>
            </w:r>
            <w:r w:rsidR="002F7750" w:rsidRPr="008520CE">
              <w:rPr>
                <w:b w:val="0"/>
              </w:rPr>
              <w:t>8</w:t>
            </w:r>
            <w:r w:rsidR="00A02890">
              <w:tab/>
              <w:t>Clearance — all matters, 2016-</w:t>
            </w:r>
            <w:r w:rsidRPr="008520CE">
              <w:t>17</w:t>
            </w:r>
            <w:r w:rsidR="00BF6E30" w:rsidRPr="008520CE">
              <w:t xml:space="preserve"> (per </w:t>
            </w:r>
            <w:r w:rsidRPr="008520CE">
              <w:t>cent)</w:t>
            </w:r>
            <w:r w:rsidRPr="008520CE">
              <w:rPr>
                <w:rStyle w:val="NoteLabel"/>
                <w:b/>
              </w:rPr>
              <w:t>a</w:t>
            </w:r>
          </w:p>
        </w:tc>
      </w:tr>
      <w:tr w:rsidR="000264C9" w:rsidRPr="008520CE" w14:paraId="1BB9B67D" w14:textId="77777777" w:rsidTr="008560BF">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97"/>
              <w:gridCol w:w="712"/>
              <w:gridCol w:w="712"/>
              <w:gridCol w:w="712"/>
              <w:gridCol w:w="712"/>
              <w:gridCol w:w="712"/>
              <w:gridCol w:w="712"/>
              <w:gridCol w:w="712"/>
              <w:gridCol w:w="712"/>
              <w:gridCol w:w="712"/>
            </w:tblGrid>
            <w:tr w:rsidR="000264C9" w:rsidRPr="008520CE" w14:paraId="5FB09921" w14:textId="77777777" w:rsidTr="008560BF">
              <w:tc>
                <w:tcPr>
                  <w:tcW w:w="2097" w:type="dxa"/>
                  <w:tcBorders>
                    <w:top w:val="single" w:sz="6" w:space="0" w:color="BFBFBF"/>
                    <w:bottom w:val="single" w:sz="6" w:space="0" w:color="BFBFBF"/>
                  </w:tcBorders>
                </w:tcPr>
                <w:p w14:paraId="169C5427" w14:textId="77777777" w:rsidR="00074A15" w:rsidRPr="008520CE" w:rsidRDefault="00074A15" w:rsidP="00774636">
                  <w:pPr>
                    <w:pStyle w:val="TableColumnHeading"/>
                    <w:jc w:val="left"/>
                  </w:pPr>
                </w:p>
              </w:tc>
              <w:tc>
                <w:tcPr>
                  <w:tcW w:w="712" w:type="dxa"/>
                  <w:tcBorders>
                    <w:top w:val="single" w:sz="6" w:space="0" w:color="BFBFBF"/>
                    <w:bottom w:val="single" w:sz="6" w:space="0" w:color="BFBFBF"/>
                  </w:tcBorders>
                </w:tcPr>
                <w:p w14:paraId="06552274" w14:textId="77777777" w:rsidR="00074A15" w:rsidRPr="008520CE" w:rsidRDefault="00074A15" w:rsidP="00774636">
                  <w:pPr>
                    <w:pStyle w:val="TableColumnHeading"/>
                    <w:ind w:left="0" w:right="28"/>
                  </w:pPr>
                  <w:r w:rsidRPr="008520CE">
                    <w:br/>
                    <w:t>NSW</w:t>
                  </w:r>
                </w:p>
              </w:tc>
              <w:tc>
                <w:tcPr>
                  <w:tcW w:w="712" w:type="dxa"/>
                  <w:tcBorders>
                    <w:top w:val="single" w:sz="6" w:space="0" w:color="BFBFBF"/>
                    <w:bottom w:val="single" w:sz="6" w:space="0" w:color="BFBFBF"/>
                  </w:tcBorders>
                </w:tcPr>
                <w:p w14:paraId="0B177E28" w14:textId="77777777" w:rsidR="00074A15" w:rsidRPr="008520CE" w:rsidRDefault="00074A15" w:rsidP="00774636">
                  <w:pPr>
                    <w:pStyle w:val="TableColumnHeading"/>
                    <w:ind w:left="0" w:right="28"/>
                  </w:pPr>
                  <w:r w:rsidRPr="008520CE">
                    <w:br/>
                    <w:t>Vic</w:t>
                  </w:r>
                </w:p>
              </w:tc>
              <w:tc>
                <w:tcPr>
                  <w:tcW w:w="712" w:type="dxa"/>
                  <w:tcBorders>
                    <w:top w:val="single" w:sz="6" w:space="0" w:color="BFBFBF"/>
                    <w:bottom w:val="single" w:sz="6" w:space="0" w:color="BFBFBF"/>
                  </w:tcBorders>
                </w:tcPr>
                <w:p w14:paraId="1F4F78FC" w14:textId="77777777" w:rsidR="00074A15" w:rsidRPr="008520CE" w:rsidRDefault="00074A15" w:rsidP="00774636">
                  <w:pPr>
                    <w:pStyle w:val="TableColumnHeading"/>
                    <w:ind w:left="0" w:right="28"/>
                  </w:pPr>
                  <w:r w:rsidRPr="008520CE">
                    <w:br/>
                    <w:t>Qld</w:t>
                  </w:r>
                </w:p>
              </w:tc>
              <w:tc>
                <w:tcPr>
                  <w:tcW w:w="712" w:type="dxa"/>
                  <w:tcBorders>
                    <w:top w:val="single" w:sz="6" w:space="0" w:color="BFBFBF"/>
                    <w:bottom w:val="single" w:sz="6" w:space="0" w:color="BFBFBF"/>
                  </w:tcBorders>
                </w:tcPr>
                <w:p w14:paraId="46E114B8" w14:textId="77777777" w:rsidR="00074A15" w:rsidRPr="008520CE" w:rsidRDefault="00074A15" w:rsidP="00774636">
                  <w:pPr>
                    <w:pStyle w:val="TableColumnHeading"/>
                    <w:ind w:left="0" w:right="28"/>
                  </w:pPr>
                  <w:r w:rsidRPr="008520CE">
                    <w:br/>
                    <w:t>WA</w:t>
                  </w:r>
                </w:p>
              </w:tc>
              <w:tc>
                <w:tcPr>
                  <w:tcW w:w="712" w:type="dxa"/>
                  <w:tcBorders>
                    <w:top w:val="single" w:sz="6" w:space="0" w:color="BFBFBF"/>
                    <w:bottom w:val="single" w:sz="6" w:space="0" w:color="BFBFBF"/>
                  </w:tcBorders>
                </w:tcPr>
                <w:p w14:paraId="43E4A106" w14:textId="77777777" w:rsidR="00074A15" w:rsidRPr="008520CE" w:rsidRDefault="00074A15" w:rsidP="00774636">
                  <w:pPr>
                    <w:pStyle w:val="TableColumnHeading"/>
                    <w:ind w:left="0" w:right="28"/>
                  </w:pPr>
                  <w:r w:rsidRPr="008520CE">
                    <w:br/>
                    <w:t>SA</w:t>
                  </w:r>
                </w:p>
              </w:tc>
              <w:tc>
                <w:tcPr>
                  <w:tcW w:w="712" w:type="dxa"/>
                  <w:tcBorders>
                    <w:top w:val="single" w:sz="6" w:space="0" w:color="BFBFBF"/>
                    <w:bottom w:val="single" w:sz="6" w:space="0" w:color="BFBFBF"/>
                  </w:tcBorders>
                </w:tcPr>
                <w:p w14:paraId="35023647" w14:textId="77777777" w:rsidR="00074A15" w:rsidRPr="008520CE" w:rsidRDefault="00074A15" w:rsidP="00774636">
                  <w:pPr>
                    <w:pStyle w:val="TableColumnHeading"/>
                    <w:ind w:left="0" w:right="28"/>
                  </w:pPr>
                  <w:r w:rsidRPr="008520CE">
                    <w:br/>
                    <w:t>Tas</w:t>
                  </w:r>
                </w:p>
              </w:tc>
              <w:tc>
                <w:tcPr>
                  <w:tcW w:w="712" w:type="dxa"/>
                  <w:tcBorders>
                    <w:top w:val="single" w:sz="6" w:space="0" w:color="BFBFBF"/>
                    <w:bottom w:val="single" w:sz="6" w:space="0" w:color="BFBFBF"/>
                  </w:tcBorders>
                </w:tcPr>
                <w:p w14:paraId="30E90621" w14:textId="77777777" w:rsidR="00074A15" w:rsidRPr="008520CE" w:rsidRDefault="00074A15" w:rsidP="00774636">
                  <w:pPr>
                    <w:pStyle w:val="TableColumnHeading"/>
                    <w:ind w:left="0" w:right="28"/>
                  </w:pPr>
                  <w:r w:rsidRPr="008520CE">
                    <w:br/>
                    <w:t>ACT</w:t>
                  </w:r>
                </w:p>
              </w:tc>
              <w:tc>
                <w:tcPr>
                  <w:tcW w:w="712" w:type="dxa"/>
                  <w:tcBorders>
                    <w:top w:val="single" w:sz="6" w:space="0" w:color="BFBFBF"/>
                    <w:bottom w:val="single" w:sz="6" w:space="0" w:color="BFBFBF"/>
                  </w:tcBorders>
                </w:tcPr>
                <w:p w14:paraId="769CECA3" w14:textId="77777777" w:rsidR="00074A15" w:rsidRPr="008520CE" w:rsidRDefault="00074A15" w:rsidP="00774636">
                  <w:pPr>
                    <w:pStyle w:val="TableColumnHeading"/>
                    <w:ind w:left="0" w:right="28"/>
                  </w:pPr>
                  <w:r w:rsidRPr="008520CE">
                    <w:br/>
                    <w:t>NT</w:t>
                  </w:r>
                </w:p>
              </w:tc>
              <w:tc>
                <w:tcPr>
                  <w:tcW w:w="712" w:type="dxa"/>
                  <w:tcBorders>
                    <w:top w:val="single" w:sz="6" w:space="0" w:color="BFBFBF"/>
                    <w:bottom w:val="single" w:sz="6" w:space="0" w:color="BFBFBF"/>
                  </w:tcBorders>
                </w:tcPr>
                <w:p w14:paraId="14496B93" w14:textId="484F384B" w:rsidR="00074A15" w:rsidRPr="008520CE" w:rsidRDefault="00074A15" w:rsidP="00074A15">
                  <w:pPr>
                    <w:pStyle w:val="TableColumnHeading"/>
                    <w:ind w:left="0" w:right="28"/>
                  </w:pPr>
                  <w:r w:rsidRPr="008520CE">
                    <w:t xml:space="preserve">Aust courts </w:t>
                  </w:r>
                </w:p>
              </w:tc>
            </w:tr>
            <w:tr w:rsidR="008958EE" w:rsidRPr="008520CE" w14:paraId="00535A08" w14:textId="77777777" w:rsidTr="008560BF">
              <w:tc>
                <w:tcPr>
                  <w:tcW w:w="2097" w:type="dxa"/>
                  <w:tcBorders>
                    <w:top w:val="single" w:sz="6" w:space="0" w:color="BFBFBF"/>
                  </w:tcBorders>
                </w:tcPr>
                <w:p w14:paraId="14EF5FB5" w14:textId="77777777" w:rsidR="008958EE" w:rsidRPr="008520CE" w:rsidRDefault="008958EE" w:rsidP="008958EE">
                  <w:pPr>
                    <w:pStyle w:val="TableBodyText"/>
                    <w:spacing w:before="40"/>
                    <w:jc w:val="left"/>
                  </w:pPr>
                  <w:r w:rsidRPr="008520CE">
                    <w:t>Supreme/Federal</w:t>
                  </w:r>
                </w:p>
              </w:tc>
              <w:tc>
                <w:tcPr>
                  <w:tcW w:w="712" w:type="dxa"/>
                  <w:tcBorders>
                    <w:top w:val="single" w:sz="6" w:space="0" w:color="BFBFBF"/>
                  </w:tcBorders>
                  <w:vAlign w:val="bottom"/>
                </w:tcPr>
                <w:p w14:paraId="3E3758A1" w14:textId="59FCC179" w:rsidR="008958EE" w:rsidRPr="008958EE" w:rsidRDefault="008958EE" w:rsidP="00B9240E">
                  <w:pPr>
                    <w:pStyle w:val="TableBodyText"/>
                    <w:ind w:right="23"/>
                  </w:pPr>
                  <w:r w:rsidRPr="008958EE">
                    <w:t>102.4</w:t>
                  </w:r>
                </w:p>
              </w:tc>
              <w:tc>
                <w:tcPr>
                  <w:tcW w:w="712" w:type="dxa"/>
                  <w:tcBorders>
                    <w:top w:val="single" w:sz="6" w:space="0" w:color="BFBFBF"/>
                  </w:tcBorders>
                  <w:vAlign w:val="bottom"/>
                </w:tcPr>
                <w:p w14:paraId="6C4FE2F7" w14:textId="3A237491" w:rsidR="008958EE" w:rsidRPr="008958EE" w:rsidRDefault="008958EE" w:rsidP="00B9240E">
                  <w:pPr>
                    <w:pStyle w:val="TableBodyText"/>
                    <w:ind w:right="23"/>
                  </w:pPr>
                  <w:r w:rsidRPr="008958EE">
                    <w:t xml:space="preserve"> 105.3</w:t>
                  </w:r>
                </w:p>
              </w:tc>
              <w:tc>
                <w:tcPr>
                  <w:tcW w:w="712" w:type="dxa"/>
                  <w:tcBorders>
                    <w:top w:val="single" w:sz="6" w:space="0" w:color="BFBFBF"/>
                  </w:tcBorders>
                  <w:vAlign w:val="bottom"/>
                </w:tcPr>
                <w:p w14:paraId="4FC30CB3" w14:textId="7D3BC2C7" w:rsidR="008958EE" w:rsidRPr="008958EE" w:rsidRDefault="008958EE" w:rsidP="00B9240E">
                  <w:pPr>
                    <w:pStyle w:val="TableBodyText"/>
                    <w:ind w:right="23"/>
                  </w:pPr>
                  <w:r w:rsidRPr="008958EE">
                    <w:t xml:space="preserve"> 91.4</w:t>
                  </w:r>
                </w:p>
              </w:tc>
              <w:tc>
                <w:tcPr>
                  <w:tcW w:w="712" w:type="dxa"/>
                  <w:tcBorders>
                    <w:top w:val="single" w:sz="6" w:space="0" w:color="BFBFBF"/>
                  </w:tcBorders>
                  <w:vAlign w:val="bottom"/>
                </w:tcPr>
                <w:p w14:paraId="08CB0952" w14:textId="78AC3FE7" w:rsidR="008958EE" w:rsidRPr="008958EE" w:rsidRDefault="008958EE" w:rsidP="00B9240E">
                  <w:pPr>
                    <w:pStyle w:val="TableBodyText"/>
                    <w:ind w:right="23"/>
                  </w:pPr>
                  <w:r w:rsidRPr="008958EE">
                    <w:t xml:space="preserve"> 90.9</w:t>
                  </w:r>
                </w:p>
              </w:tc>
              <w:tc>
                <w:tcPr>
                  <w:tcW w:w="712" w:type="dxa"/>
                  <w:tcBorders>
                    <w:top w:val="single" w:sz="6" w:space="0" w:color="BFBFBF"/>
                  </w:tcBorders>
                  <w:vAlign w:val="bottom"/>
                </w:tcPr>
                <w:p w14:paraId="70313D8B" w14:textId="031C8B9D" w:rsidR="008958EE" w:rsidRPr="008958EE" w:rsidRDefault="008958EE" w:rsidP="00B9240E">
                  <w:pPr>
                    <w:pStyle w:val="TableBodyText"/>
                    <w:ind w:right="23"/>
                  </w:pPr>
                  <w:r w:rsidRPr="008958EE">
                    <w:t xml:space="preserve"> 94.8</w:t>
                  </w:r>
                </w:p>
              </w:tc>
              <w:tc>
                <w:tcPr>
                  <w:tcW w:w="712" w:type="dxa"/>
                  <w:tcBorders>
                    <w:top w:val="single" w:sz="6" w:space="0" w:color="BFBFBF"/>
                  </w:tcBorders>
                  <w:shd w:val="clear" w:color="auto" w:fill="auto"/>
                  <w:vAlign w:val="bottom"/>
                </w:tcPr>
                <w:p w14:paraId="2C12E486" w14:textId="7924C1E6" w:rsidR="008958EE" w:rsidRPr="008958EE" w:rsidRDefault="008958EE" w:rsidP="00B9240E">
                  <w:pPr>
                    <w:pStyle w:val="TableBodyText"/>
                    <w:ind w:right="23"/>
                  </w:pPr>
                  <w:r w:rsidRPr="008958EE">
                    <w:t xml:space="preserve"> 95.7</w:t>
                  </w:r>
                </w:p>
              </w:tc>
              <w:tc>
                <w:tcPr>
                  <w:tcW w:w="712" w:type="dxa"/>
                  <w:tcBorders>
                    <w:top w:val="single" w:sz="6" w:space="0" w:color="BFBFBF"/>
                  </w:tcBorders>
                  <w:shd w:val="clear" w:color="auto" w:fill="auto"/>
                  <w:vAlign w:val="bottom"/>
                </w:tcPr>
                <w:p w14:paraId="6BD5B93A" w14:textId="122F99C8" w:rsidR="008958EE" w:rsidRPr="008958EE" w:rsidRDefault="008958EE" w:rsidP="00B9240E">
                  <w:pPr>
                    <w:pStyle w:val="TableBodyText"/>
                    <w:ind w:right="23"/>
                  </w:pPr>
                  <w:r w:rsidRPr="008958EE">
                    <w:t xml:space="preserve"> 107.4</w:t>
                  </w:r>
                </w:p>
              </w:tc>
              <w:tc>
                <w:tcPr>
                  <w:tcW w:w="712" w:type="dxa"/>
                  <w:tcBorders>
                    <w:top w:val="single" w:sz="6" w:space="0" w:color="BFBFBF"/>
                  </w:tcBorders>
                  <w:shd w:val="clear" w:color="auto" w:fill="auto"/>
                  <w:vAlign w:val="bottom"/>
                </w:tcPr>
                <w:p w14:paraId="012FCA07" w14:textId="472B5690" w:rsidR="008958EE" w:rsidRPr="008958EE" w:rsidRDefault="008958EE" w:rsidP="00B9240E">
                  <w:pPr>
                    <w:pStyle w:val="TableBodyText"/>
                    <w:ind w:right="23"/>
                  </w:pPr>
                  <w:r w:rsidRPr="008958EE">
                    <w:t xml:space="preserve"> 99.0</w:t>
                  </w:r>
                </w:p>
              </w:tc>
              <w:tc>
                <w:tcPr>
                  <w:tcW w:w="712" w:type="dxa"/>
                  <w:tcBorders>
                    <w:top w:val="single" w:sz="6" w:space="0" w:color="BFBFBF"/>
                  </w:tcBorders>
                  <w:shd w:val="clear" w:color="auto" w:fill="auto"/>
                  <w:vAlign w:val="bottom"/>
                </w:tcPr>
                <w:p w14:paraId="67FA170E" w14:textId="64A4A209" w:rsidR="008958EE" w:rsidRPr="008958EE" w:rsidRDefault="008958EE" w:rsidP="00B9240E">
                  <w:pPr>
                    <w:pStyle w:val="TableBodyText"/>
                    <w:ind w:right="23"/>
                  </w:pPr>
                  <w:r w:rsidRPr="008958EE">
                    <w:t xml:space="preserve"> 98.9</w:t>
                  </w:r>
                </w:p>
              </w:tc>
            </w:tr>
            <w:tr w:rsidR="008958EE" w:rsidRPr="008520CE" w14:paraId="4CA54419" w14:textId="77777777" w:rsidTr="008560BF">
              <w:tc>
                <w:tcPr>
                  <w:tcW w:w="2097" w:type="dxa"/>
                </w:tcPr>
                <w:p w14:paraId="18B189EC" w14:textId="77777777" w:rsidR="008958EE" w:rsidRPr="008520CE" w:rsidRDefault="008958EE" w:rsidP="008958EE">
                  <w:pPr>
                    <w:pStyle w:val="TableBodyText"/>
                    <w:tabs>
                      <w:tab w:val="right" w:pos="8789"/>
                    </w:tabs>
                    <w:spacing w:before="40"/>
                    <w:ind w:left="0" w:right="0"/>
                    <w:jc w:val="left"/>
                  </w:pPr>
                  <w:r w:rsidRPr="008520CE">
                    <w:t>District/County</w:t>
                  </w:r>
                </w:p>
              </w:tc>
              <w:tc>
                <w:tcPr>
                  <w:tcW w:w="712" w:type="dxa"/>
                  <w:vAlign w:val="bottom"/>
                </w:tcPr>
                <w:p w14:paraId="6E04F23B" w14:textId="509736EB" w:rsidR="008958EE" w:rsidRPr="008958EE" w:rsidRDefault="008958EE" w:rsidP="00B9240E">
                  <w:pPr>
                    <w:pStyle w:val="TableBodyText"/>
                    <w:ind w:right="23"/>
                  </w:pPr>
                  <w:r w:rsidRPr="008958EE">
                    <w:t>100.6</w:t>
                  </w:r>
                </w:p>
              </w:tc>
              <w:tc>
                <w:tcPr>
                  <w:tcW w:w="712" w:type="dxa"/>
                  <w:vAlign w:val="bottom"/>
                </w:tcPr>
                <w:p w14:paraId="4ECDC54A" w14:textId="7B2FAB41" w:rsidR="008958EE" w:rsidRPr="008958EE" w:rsidRDefault="008958EE" w:rsidP="00B9240E">
                  <w:pPr>
                    <w:pStyle w:val="TableBodyText"/>
                    <w:ind w:right="23"/>
                  </w:pPr>
                  <w:r w:rsidRPr="008958EE">
                    <w:t xml:space="preserve"> 98.5</w:t>
                  </w:r>
                </w:p>
              </w:tc>
              <w:tc>
                <w:tcPr>
                  <w:tcW w:w="712" w:type="dxa"/>
                  <w:vAlign w:val="bottom"/>
                </w:tcPr>
                <w:p w14:paraId="47167D87" w14:textId="6EC9C4FC" w:rsidR="008958EE" w:rsidRPr="008958EE" w:rsidRDefault="008958EE" w:rsidP="00B9240E">
                  <w:pPr>
                    <w:pStyle w:val="TableBodyText"/>
                    <w:ind w:right="23"/>
                  </w:pPr>
                  <w:r w:rsidRPr="008958EE">
                    <w:t xml:space="preserve"> 98.1</w:t>
                  </w:r>
                </w:p>
              </w:tc>
              <w:tc>
                <w:tcPr>
                  <w:tcW w:w="712" w:type="dxa"/>
                  <w:vAlign w:val="bottom"/>
                </w:tcPr>
                <w:p w14:paraId="44DA6F1F" w14:textId="4D96F8CC" w:rsidR="008958EE" w:rsidRPr="008958EE" w:rsidRDefault="008958EE" w:rsidP="00B9240E">
                  <w:pPr>
                    <w:pStyle w:val="TableBodyText"/>
                    <w:ind w:right="23"/>
                  </w:pPr>
                  <w:r w:rsidRPr="008958EE">
                    <w:t xml:space="preserve"> 94.2</w:t>
                  </w:r>
                </w:p>
              </w:tc>
              <w:tc>
                <w:tcPr>
                  <w:tcW w:w="712" w:type="dxa"/>
                  <w:vAlign w:val="bottom"/>
                </w:tcPr>
                <w:p w14:paraId="0AE5D241" w14:textId="33D390B0" w:rsidR="008958EE" w:rsidRPr="008958EE" w:rsidRDefault="008958EE" w:rsidP="00B9240E">
                  <w:pPr>
                    <w:pStyle w:val="TableBodyText"/>
                    <w:ind w:right="23"/>
                  </w:pPr>
                  <w:r w:rsidRPr="008958EE">
                    <w:t xml:space="preserve"> 101.6</w:t>
                  </w:r>
                </w:p>
              </w:tc>
              <w:tc>
                <w:tcPr>
                  <w:tcW w:w="712" w:type="dxa"/>
                  <w:vAlign w:val="bottom"/>
                </w:tcPr>
                <w:p w14:paraId="2DBFC0DC" w14:textId="56627CF6" w:rsidR="008958EE" w:rsidRPr="008958EE" w:rsidRDefault="008958EE" w:rsidP="00B9240E">
                  <w:pPr>
                    <w:pStyle w:val="TableBodyText"/>
                    <w:ind w:right="23"/>
                  </w:pPr>
                  <w:r w:rsidRPr="008958EE">
                    <w:t>..</w:t>
                  </w:r>
                </w:p>
              </w:tc>
              <w:tc>
                <w:tcPr>
                  <w:tcW w:w="712" w:type="dxa"/>
                  <w:vAlign w:val="bottom"/>
                </w:tcPr>
                <w:p w14:paraId="30568912" w14:textId="1B60DF15" w:rsidR="008958EE" w:rsidRPr="008958EE" w:rsidRDefault="008958EE" w:rsidP="00B9240E">
                  <w:pPr>
                    <w:pStyle w:val="TableBodyText"/>
                    <w:ind w:right="23"/>
                  </w:pPr>
                  <w:r w:rsidRPr="008958EE">
                    <w:t>..</w:t>
                  </w:r>
                </w:p>
              </w:tc>
              <w:tc>
                <w:tcPr>
                  <w:tcW w:w="712" w:type="dxa"/>
                  <w:vAlign w:val="bottom"/>
                </w:tcPr>
                <w:p w14:paraId="02D54684" w14:textId="6E5AE9D0" w:rsidR="008958EE" w:rsidRPr="008958EE" w:rsidRDefault="008958EE" w:rsidP="00B9240E">
                  <w:pPr>
                    <w:pStyle w:val="TableBodyText"/>
                    <w:ind w:right="23"/>
                  </w:pPr>
                  <w:r w:rsidRPr="008958EE">
                    <w:t>..</w:t>
                  </w:r>
                </w:p>
              </w:tc>
              <w:tc>
                <w:tcPr>
                  <w:tcW w:w="712" w:type="dxa"/>
                  <w:vAlign w:val="bottom"/>
                </w:tcPr>
                <w:p w14:paraId="32E314E4" w14:textId="30C8D1D1" w:rsidR="008958EE" w:rsidRPr="008958EE" w:rsidRDefault="008958EE" w:rsidP="00B9240E">
                  <w:pPr>
                    <w:pStyle w:val="TableBodyText"/>
                    <w:ind w:right="23"/>
                  </w:pPr>
                  <w:r w:rsidRPr="008958EE">
                    <w:t>..</w:t>
                  </w:r>
                </w:p>
              </w:tc>
            </w:tr>
            <w:tr w:rsidR="008958EE" w:rsidRPr="008520CE" w14:paraId="7EEB8FDE" w14:textId="77777777" w:rsidTr="008560BF">
              <w:tc>
                <w:tcPr>
                  <w:tcW w:w="2097" w:type="dxa"/>
                </w:tcPr>
                <w:p w14:paraId="7B3241AE" w14:textId="3CE49A8F" w:rsidR="008958EE" w:rsidRPr="008520CE" w:rsidRDefault="008958EE" w:rsidP="008958EE">
                  <w:pPr>
                    <w:pStyle w:val="TableBodyText"/>
                    <w:tabs>
                      <w:tab w:val="right" w:pos="8789"/>
                    </w:tabs>
                    <w:spacing w:before="40"/>
                    <w:ind w:left="0" w:right="0"/>
                    <w:jc w:val="left"/>
                  </w:pPr>
                  <w:r w:rsidRPr="008520CE">
                    <w:t>Magistrates</w:t>
                  </w:r>
                  <w:r w:rsidR="00154293">
                    <w:t>’</w:t>
                  </w:r>
                </w:p>
              </w:tc>
              <w:tc>
                <w:tcPr>
                  <w:tcW w:w="712" w:type="dxa"/>
                  <w:vAlign w:val="bottom"/>
                </w:tcPr>
                <w:p w14:paraId="520E9ECE" w14:textId="5422A7CB" w:rsidR="008958EE" w:rsidRPr="008958EE" w:rsidRDefault="008958EE" w:rsidP="00B9240E">
                  <w:pPr>
                    <w:pStyle w:val="TableBodyText"/>
                    <w:ind w:right="23"/>
                  </w:pPr>
                  <w:r w:rsidRPr="008958EE">
                    <w:t>102.5</w:t>
                  </w:r>
                </w:p>
              </w:tc>
              <w:tc>
                <w:tcPr>
                  <w:tcW w:w="712" w:type="dxa"/>
                  <w:vAlign w:val="bottom"/>
                </w:tcPr>
                <w:p w14:paraId="15EF2293" w14:textId="03B9D51C" w:rsidR="008958EE" w:rsidRPr="008958EE" w:rsidRDefault="008958EE" w:rsidP="00B9240E">
                  <w:pPr>
                    <w:pStyle w:val="TableBodyText"/>
                    <w:ind w:right="23"/>
                  </w:pPr>
                  <w:r w:rsidRPr="008958EE">
                    <w:t xml:space="preserve"> 111.1</w:t>
                  </w:r>
                </w:p>
              </w:tc>
              <w:tc>
                <w:tcPr>
                  <w:tcW w:w="712" w:type="dxa"/>
                  <w:vAlign w:val="bottom"/>
                </w:tcPr>
                <w:p w14:paraId="120E1DCC" w14:textId="0B313C29" w:rsidR="008958EE" w:rsidRPr="008958EE" w:rsidRDefault="008958EE" w:rsidP="00B9240E">
                  <w:pPr>
                    <w:pStyle w:val="TableBodyText"/>
                    <w:ind w:right="23"/>
                  </w:pPr>
                  <w:r w:rsidRPr="008958EE">
                    <w:t xml:space="preserve"> 100.1</w:t>
                  </w:r>
                </w:p>
              </w:tc>
              <w:tc>
                <w:tcPr>
                  <w:tcW w:w="712" w:type="dxa"/>
                  <w:vAlign w:val="bottom"/>
                </w:tcPr>
                <w:p w14:paraId="4299DE05" w14:textId="7ADDB214" w:rsidR="008958EE" w:rsidRPr="008958EE" w:rsidRDefault="008958EE" w:rsidP="00B9240E">
                  <w:pPr>
                    <w:pStyle w:val="TableBodyText"/>
                    <w:ind w:right="23"/>
                  </w:pPr>
                  <w:r w:rsidRPr="008958EE">
                    <w:t xml:space="preserve"> 103.5</w:t>
                  </w:r>
                </w:p>
              </w:tc>
              <w:tc>
                <w:tcPr>
                  <w:tcW w:w="712" w:type="dxa"/>
                  <w:vAlign w:val="bottom"/>
                </w:tcPr>
                <w:p w14:paraId="23E74786" w14:textId="2605AA85" w:rsidR="008958EE" w:rsidRPr="008958EE" w:rsidRDefault="008958EE" w:rsidP="00B9240E">
                  <w:pPr>
                    <w:pStyle w:val="TableBodyText"/>
                    <w:ind w:right="23"/>
                  </w:pPr>
                  <w:r w:rsidRPr="008958EE">
                    <w:t xml:space="preserve"> 103.1</w:t>
                  </w:r>
                </w:p>
              </w:tc>
              <w:tc>
                <w:tcPr>
                  <w:tcW w:w="712" w:type="dxa"/>
                  <w:vAlign w:val="bottom"/>
                </w:tcPr>
                <w:p w14:paraId="7AAFB41F" w14:textId="426B7088" w:rsidR="008958EE" w:rsidRPr="008958EE" w:rsidRDefault="008958EE" w:rsidP="00B9240E">
                  <w:pPr>
                    <w:pStyle w:val="TableBodyText"/>
                    <w:ind w:right="23"/>
                  </w:pPr>
                  <w:r w:rsidRPr="008958EE">
                    <w:t xml:space="preserve"> 95.3</w:t>
                  </w:r>
                </w:p>
              </w:tc>
              <w:tc>
                <w:tcPr>
                  <w:tcW w:w="712" w:type="dxa"/>
                  <w:vAlign w:val="bottom"/>
                </w:tcPr>
                <w:p w14:paraId="419DFE4D" w14:textId="65E3F251" w:rsidR="008958EE" w:rsidRPr="008958EE" w:rsidRDefault="004B674A" w:rsidP="00B9240E">
                  <w:pPr>
                    <w:pStyle w:val="TableBodyText"/>
                    <w:ind w:right="23"/>
                  </w:pPr>
                  <w:r>
                    <w:t xml:space="preserve"> 79.9</w:t>
                  </w:r>
                </w:p>
              </w:tc>
              <w:tc>
                <w:tcPr>
                  <w:tcW w:w="712" w:type="dxa"/>
                  <w:shd w:val="clear" w:color="auto" w:fill="auto"/>
                  <w:vAlign w:val="bottom"/>
                </w:tcPr>
                <w:p w14:paraId="65319F2B" w14:textId="785E53C1" w:rsidR="008958EE" w:rsidRPr="008958EE" w:rsidRDefault="001E51D2" w:rsidP="00B9240E">
                  <w:pPr>
                    <w:pStyle w:val="TableBodyText"/>
                    <w:ind w:right="23"/>
                  </w:pPr>
                  <w:r>
                    <w:t xml:space="preserve"> 109.4</w:t>
                  </w:r>
                </w:p>
              </w:tc>
              <w:tc>
                <w:tcPr>
                  <w:tcW w:w="712" w:type="dxa"/>
                  <w:vAlign w:val="bottom"/>
                </w:tcPr>
                <w:p w14:paraId="0B52B4B7" w14:textId="7D3B0908" w:rsidR="008958EE" w:rsidRPr="008958EE" w:rsidRDefault="008958EE" w:rsidP="00B9240E">
                  <w:pPr>
                    <w:pStyle w:val="TableBodyText"/>
                    <w:ind w:right="23"/>
                  </w:pPr>
                  <w:r w:rsidRPr="008958EE">
                    <w:t>..</w:t>
                  </w:r>
                </w:p>
              </w:tc>
            </w:tr>
            <w:tr w:rsidR="008958EE" w:rsidRPr="008520CE" w14:paraId="44164CEE" w14:textId="77777777" w:rsidTr="008560BF">
              <w:tc>
                <w:tcPr>
                  <w:tcW w:w="2097" w:type="dxa"/>
                </w:tcPr>
                <w:p w14:paraId="2DFB2B1D" w14:textId="77777777" w:rsidR="008958EE" w:rsidRPr="008520CE" w:rsidRDefault="008958EE" w:rsidP="008958EE">
                  <w:pPr>
                    <w:pStyle w:val="TableBodyText"/>
                    <w:tabs>
                      <w:tab w:val="right" w:pos="8789"/>
                    </w:tabs>
                    <w:spacing w:before="40"/>
                    <w:ind w:left="0" w:right="0"/>
                    <w:jc w:val="left"/>
                  </w:pPr>
                  <w:r w:rsidRPr="008520CE">
                    <w:t>Children’s</w:t>
                  </w:r>
                </w:p>
              </w:tc>
              <w:tc>
                <w:tcPr>
                  <w:tcW w:w="712" w:type="dxa"/>
                  <w:vAlign w:val="bottom"/>
                </w:tcPr>
                <w:p w14:paraId="17B1CDEE" w14:textId="508BE917" w:rsidR="008958EE" w:rsidRPr="008958EE" w:rsidRDefault="008958EE" w:rsidP="00B9240E">
                  <w:pPr>
                    <w:pStyle w:val="TableBodyText"/>
                    <w:ind w:right="23"/>
                  </w:pPr>
                  <w:r w:rsidRPr="008958EE">
                    <w:t>102.0</w:t>
                  </w:r>
                </w:p>
              </w:tc>
              <w:tc>
                <w:tcPr>
                  <w:tcW w:w="712" w:type="dxa"/>
                  <w:vAlign w:val="bottom"/>
                </w:tcPr>
                <w:p w14:paraId="1B35E780" w14:textId="2AF899DA" w:rsidR="008958EE" w:rsidRPr="008958EE" w:rsidRDefault="008958EE" w:rsidP="00B9240E">
                  <w:pPr>
                    <w:pStyle w:val="TableBodyText"/>
                    <w:ind w:right="23"/>
                  </w:pPr>
                  <w:r w:rsidRPr="008958EE">
                    <w:t xml:space="preserve"> 107.2</w:t>
                  </w:r>
                </w:p>
              </w:tc>
              <w:tc>
                <w:tcPr>
                  <w:tcW w:w="712" w:type="dxa"/>
                  <w:vAlign w:val="bottom"/>
                </w:tcPr>
                <w:p w14:paraId="7DFECA46" w14:textId="1E3304FB" w:rsidR="008958EE" w:rsidRPr="008958EE" w:rsidRDefault="008958EE" w:rsidP="00B9240E">
                  <w:pPr>
                    <w:pStyle w:val="TableBodyText"/>
                    <w:ind w:right="23"/>
                  </w:pPr>
                  <w:r w:rsidRPr="008958EE">
                    <w:t xml:space="preserve"> 96.4</w:t>
                  </w:r>
                </w:p>
              </w:tc>
              <w:tc>
                <w:tcPr>
                  <w:tcW w:w="712" w:type="dxa"/>
                  <w:vAlign w:val="bottom"/>
                </w:tcPr>
                <w:p w14:paraId="32A2E926" w14:textId="2652E149" w:rsidR="008958EE" w:rsidRPr="008958EE" w:rsidRDefault="008958EE" w:rsidP="00B9240E">
                  <w:pPr>
                    <w:pStyle w:val="TableBodyText"/>
                    <w:ind w:right="23"/>
                  </w:pPr>
                  <w:r w:rsidRPr="008958EE">
                    <w:t xml:space="preserve"> 109.2</w:t>
                  </w:r>
                </w:p>
              </w:tc>
              <w:tc>
                <w:tcPr>
                  <w:tcW w:w="712" w:type="dxa"/>
                  <w:vAlign w:val="bottom"/>
                </w:tcPr>
                <w:p w14:paraId="2ED72B1A" w14:textId="549967AA" w:rsidR="008958EE" w:rsidRPr="008958EE" w:rsidRDefault="008958EE" w:rsidP="00B9240E">
                  <w:pPr>
                    <w:pStyle w:val="TableBodyText"/>
                    <w:ind w:right="23"/>
                  </w:pPr>
                  <w:r w:rsidRPr="008958EE">
                    <w:t xml:space="preserve"> 108.3</w:t>
                  </w:r>
                </w:p>
              </w:tc>
              <w:tc>
                <w:tcPr>
                  <w:tcW w:w="712" w:type="dxa"/>
                  <w:vAlign w:val="bottom"/>
                </w:tcPr>
                <w:p w14:paraId="0F9D4530" w14:textId="1C2ABCCD" w:rsidR="008958EE" w:rsidRPr="008958EE" w:rsidRDefault="008958EE" w:rsidP="00B9240E">
                  <w:pPr>
                    <w:pStyle w:val="TableBodyText"/>
                    <w:ind w:right="23"/>
                  </w:pPr>
                  <w:r w:rsidRPr="008958EE">
                    <w:t xml:space="preserve"> 90.5</w:t>
                  </w:r>
                </w:p>
              </w:tc>
              <w:tc>
                <w:tcPr>
                  <w:tcW w:w="712" w:type="dxa"/>
                  <w:vAlign w:val="bottom"/>
                </w:tcPr>
                <w:p w14:paraId="1F73F385" w14:textId="2E99C85C" w:rsidR="008958EE" w:rsidRPr="008958EE" w:rsidRDefault="008958EE" w:rsidP="00B9240E">
                  <w:pPr>
                    <w:pStyle w:val="TableBodyText"/>
                    <w:ind w:right="23"/>
                  </w:pPr>
                  <w:r w:rsidRPr="008958EE">
                    <w:t xml:space="preserve"> 99.1</w:t>
                  </w:r>
                </w:p>
              </w:tc>
              <w:tc>
                <w:tcPr>
                  <w:tcW w:w="712" w:type="dxa"/>
                  <w:shd w:val="clear" w:color="auto" w:fill="auto"/>
                  <w:vAlign w:val="bottom"/>
                </w:tcPr>
                <w:p w14:paraId="3E51E7D2" w14:textId="46FF6B50" w:rsidR="008958EE" w:rsidRPr="008958EE" w:rsidRDefault="001E51D2" w:rsidP="00B9240E">
                  <w:pPr>
                    <w:pStyle w:val="TableBodyText"/>
                    <w:ind w:right="23"/>
                  </w:pPr>
                  <w:r>
                    <w:t xml:space="preserve"> 98.0</w:t>
                  </w:r>
                </w:p>
              </w:tc>
              <w:tc>
                <w:tcPr>
                  <w:tcW w:w="712" w:type="dxa"/>
                  <w:vAlign w:val="bottom"/>
                </w:tcPr>
                <w:p w14:paraId="49E3D2AF" w14:textId="3CDDF7B9" w:rsidR="008958EE" w:rsidRPr="008958EE" w:rsidRDefault="008958EE" w:rsidP="00B9240E">
                  <w:pPr>
                    <w:pStyle w:val="TableBodyText"/>
                    <w:ind w:right="23"/>
                  </w:pPr>
                  <w:r w:rsidRPr="008958EE">
                    <w:t>..</w:t>
                  </w:r>
                </w:p>
              </w:tc>
            </w:tr>
            <w:tr w:rsidR="008958EE" w:rsidRPr="008520CE" w14:paraId="04A5906B" w14:textId="77777777" w:rsidTr="008560BF">
              <w:tc>
                <w:tcPr>
                  <w:tcW w:w="2097" w:type="dxa"/>
                </w:tcPr>
                <w:p w14:paraId="269219A2" w14:textId="77777777" w:rsidR="008958EE" w:rsidRPr="008520CE" w:rsidRDefault="008958EE" w:rsidP="008958EE">
                  <w:pPr>
                    <w:pStyle w:val="TableBodyText"/>
                    <w:tabs>
                      <w:tab w:val="right" w:pos="8789"/>
                    </w:tabs>
                    <w:ind w:right="0" w:hanging="6"/>
                    <w:jc w:val="left"/>
                  </w:pPr>
                  <w:r w:rsidRPr="008520CE">
                    <w:t>Family</w:t>
                  </w:r>
                </w:p>
              </w:tc>
              <w:tc>
                <w:tcPr>
                  <w:tcW w:w="712" w:type="dxa"/>
                  <w:vAlign w:val="bottom"/>
                </w:tcPr>
                <w:p w14:paraId="4DEE2727" w14:textId="2A7547C1" w:rsidR="008958EE" w:rsidRPr="008958EE" w:rsidRDefault="008958EE" w:rsidP="00B9240E">
                  <w:pPr>
                    <w:pStyle w:val="TableBodyText"/>
                    <w:ind w:right="23"/>
                  </w:pPr>
                  <w:r w:rsidRPr="008958EE">
                    <w:t>..</w:t>
                  </w:r>
                </w:p>
              </w:tc>
              <w:tc>
                <w:tcPr>
                  <w:tcW w:w="712" w:type="dxa"/>
                  <w:vAlign w:val="bottom"/>
                </w:tcPr>
                <w:p w14:paraId="4460F210" w14:textId="704E7EE4" w:rsidR="008958EE" w:rsidRPr="008958EE" w:rsidRDefault="008958EE" w:rsidP="00B9240E">
                  <w:pPr>
                    <w:pStyle w:val="TableBodyText"/>
                    <w:ind w:right="23"/>
                  </w:pPr>
                  <w:r w:rsidRPr="008958EE">
                    <w:t>..</w:t>
                  </w:r>
                </w:p>
              </w:tc>
              <w:tc>
                <w:tcPr>
                  <w:tcW w:w="712" w:type="dxa"/>
                  <w:vAlign w:val="bottom"/>
                </w:tcPr>
                <w:p w14:paraId="5633230F" w14:textId="0E66F17C" w:rsidR="008958EE" w:rsidRPr="008958EE" w:rsidRDefault="008958EE" w:rsidP="00B9240E">
                  <w:pPr>
                    <w:pStyle w:val="TableBodyText"/>
                    <w:ind w:right="23"/>
                  </w:pPr>
                  <w:r w:rsidRPr="008958EE">
                    <w:t>..</w:t>
                  </w:r>
                </w:p>
              </w:tc>
              <w:tc>
                <w:tcPr>
                  <w:tcW w:w="712" w:type="dxa"/>
                  <w:vAlign w:val="bottom"/>
                </w:tcPr>
                <w:p w14:paraId="02D4C8B9" w14:textId="1E4AD0E1" w:rsidR="008958EE" w:rsidRPr="008958EE" w:rsidRDefault="008958EE" w:rsidP="00B9240E">
                  <w:pPr>
                    <w:pStyle w:val="TableBodyText"/>
                    <w:ind w:right="23"/>
                  </w:pPr>
                  <w:r w:rsidRPr="008958EE">
                    <w:t xml:space="preserve"> 92.3</w:t>
                  </w:r>
                </w:p>
              </w:tc>
              <w:tc>
                <w:tcPr>
                  <w:tcW w:w="712" w:type="dxa"/>
                  <w:vAlign w:val="bottom"/>
                </w:tcPr>
                <w:p w14:paraId="3825259E" w14:textId="373C0F5F" w:rsidR="008958EE" w:rsidRPr="008958EE" w:rsidRDefault="008958EE" w:rsidP="00B9240E">
                  <w:pPr>
                    <w:pStyle w:val="TableBodyText"/>
                    <w:ind w:right="23"/>
                  </w:pPr>
                  <w:r w:rsidRPr="008958EE">
                    <w:t>..</w:t>
                  </w:r>
                </w:p>
              </w:tc>
              <w:tc>
                <w:tcPr>
                  <w:tcW w:w="712" w:type="dxa"/>
                  <w:vAlign w:val="bottom"/>
                </w:tcPr>
                <w:p w14:paraId="0420F206" w14:textId="16267BDE" w:rsidR="008958EE" w:rsidRPr="008958EE" w:rsidRDefault="008958EE" w:rsidP="00B9240E">
                  <w:pPr>
                    <w:pStyle w:val="TableBodyText"/>
                    <w:ind w:right="23"/>
                  </w:pPr>
                  <w:r w:rsidRPr="008958EE">
                    <w:t>..</w:t>
                  </w:r>
                </w:p>
              </w:tc>
              <w:tc>
                <w:tcPr>
                  <w:tcW w:w="712" w:type="dxa"/>
                  <w:vAlign w:val="bottom"/>
                </w:tcPr>
                <w:p w14:paraId="7EF18F91" w14:textId="5D6AAAA5" w:rsidR="008958EE" w:rsidRPr="008958EE" w:rsidRDefault="008958EE" w:rsidP="00B9240E">
                  <w:pPr>
                    <w:pStyle w:val="TableBodyText"/>
                    <w:ind w:right="23"/>
                  </w:pPr>
                  <w:r w:rsidRPr="008958EE">
                    <w:t>..</w:t>
                  </w:r>
                </w:p>
              </w:tc>
              <w:tc>
                <w:tcPr>
                  <w:tcW w:w="712" w:type="dxa"/>
                  <w:vAlign w:val="bottom"/>
                </w:tcPr>
                <w:p w14:paraId="141DA125" w14:textId="60216238" w:rsidR="008958EE" w:rsidRPr="008958EE" w:rsidRDefault="008958EE" w:rsidP="00B9240E">
                  <w:pPr>
                    <w:pStyle w:val="TableBodyText"/>
                    <w:ind w:right="23"/>
                  </w:pPr>
                  <w:r w:rsidRPr="008958EE">
                    <w:t>..</w:t>
                  </w:r>
                </w:p>
              </w:tc>
              <w:tc>
                <w:tcPr>
                  <w:tcW w:w="712" w:type="dxa"/>
                  <w:vAlign w:val="bottom"/>
                </w:tcPr>
                <w:p w14:paraId="6FA0BDFD" w14:textId="7BC1D5DB" w:rsidR="008958EE" w:rsidRPr="008958EE" w:rsidRDefault="008958EE" w:rsidP="00B9240E">
                  <w:pPr>
                    <w:pStyle w:val="TableBodyText"/>
                    <w:ind w:right="23"/>
                  </w:pPr>
                  <w:r w:rsidRPr="008958EE">
                    <w:t xml:space="preserve"> 97.8</w:t>
                  </w:r>
                </w:p>
              </w:tc>
            </w:tr>
            <w:tr w:rsidR="008958EE" w:rsidRPr="008520CE" w14:paraId="0DB64FD4" w14:textId="77777777" w:rsidTr="008560BF">
              <w:tc>
                <w:tcPr>
                  <w:tcW w:w="2097" w:type="dxa"/>
                </w:tcPr>
                <w:p w14:paraId="5EA215F0" w14:textId="77777777" w:rsidR="008958EE" w:rsidRPr="008520CE" w:rsidRDefault="008958EE" w:rsidP="008958EE">
                  <w:pPr>
                    <w:pStyle w:val="TableBodyText"/>
                    <w:tabs>
                      <w:tab w:val="right" w:pos="8789"/>
                    </w:tabs>
                    <w:ind w:left="0" w:right="0"/>
                    <w:jc w:val="left"/>
                  </w:pPr>
                  <w:r w:rsidRPr="008520CE">
                    <w:t>Federal Circuit</w:t>
                  </w:r>
                </w:p>
              </w:tc>
              <w:tc>
                <w:tcPr>
                  <w:tcW w:w="712" w:type="dxa"/>
                  <w:vAlign w:val="bottom"/>
                </w:tcPr>
                <w:p w14:paraId="0B307374" w14:textId="563638C1" w:rsidR="008958EE" w:rsidRPr="008958EE" w:rsidRDefault="008958EE" w:rsidP="00B9240E">
                  <w:pPr>
                    <w:pStyle w:val="TableBodyText"/>
                    <w:ind w:right="23"/>
                  </w:pPr>
                  <w:r w:rsidRPr="008958EE">
                    <w:t>..</w:t>
                  </w:r>
                </w:p>
              </w:tc>
              <w:tc>
                <w:tcPr>
                  <w:tcW w:w="712" w:type="dxa"/>
                  <w:vAlign w:val="bottom"/>
                </w:tcPr>
                <w:p w14:paraId="5CC9E5C2" w14:textId="792C2A3D" w:rsidR="008958EE" w:rsidRPr="008958EE" w:rsidRDefault="008958EE" w:rsidP="00B9240E">
                  <w:pPr>
                    <w:pStyle w:val="TableBodyText"/>
                    <w:ind w:right="23"/>
                  </w:pPr>
                  <w:r w:rsidRPr="008958EE">
                    <w:t>..</w:t>
                  </w:r>
                </w:p>
              </w:tc>
              <w:tc>
                <w:tcPr>
                  <w:tcW w:w="712" w:type="dxa"/>
                  <w:vAlign w:val="bottom"/>
                </w:tcPr>
                <w:p w14:paraId="48801B4B" w14:textId="2E5D561B" w:rsidR="008958EE" w:rsidRPr="008958EE" w:rsidRDefault="008958EE" w:rsidP="00B9240E">
                  <w:pPr>
                    <w:pStyle w:val="TableBodyText"/>
                    <w:ind w:right="23"/>
                  </w:pPr>
                  <w:r w:rsidRPr="008958EE">
                    <w:t>..</w:t>
                  </w:r>
                </w:p>
              </w:tc>
              <w:tc>
                <w:tcPr>
                  <w:tcW w:w="712" w:type="dxa"/>
                  <w:vAlign w:val="bottom"/>
                </w:tcPr>
                <w:p w14:paraId="75A3E196" w14:textId="4DBD0BAC" w:rsidR="008958EE" w:rsidRPr="008958EE" w:rsidRDefault="008958EE" w:rsidP="00B9240E">
                  <w:pPr>
                    <w:pStyle w:val="TableBodyText"/>
                    <w:ind w:right="23"/>
                  </w:pPr>
                  <w:r w:rsidRPr="008958EE">
                    <w:t>..</w:t>
                  </w:r>
                </w:p>
              </w:tc>
              <w:tc>
                <w:tcPr>
                  <w:tcW w:w="712" w:type="dxa"/>
                  <w:vAlign w:val="bottom"/>
                </w:tcPr>
                <w:p w14:paraId="2B12336D" w14:textId="6875925C" w:rsidR="008958EE" w:rsidRPr="008958EE" w:rsidRDefault="008958EE" w:rsidP="00B9240E">
                  <w:pPr>
                    <w:pStyle w:val="TableBodyText"/>
                    <w:ind w:right="23"/>
                  </w:pPr>
                  <w:r w:rsidRPr="008958EE">
                    <w:t>..</w:t>
                  </w:r>
                </w:p>
              </w:tc>
              <w:tc>
                <w:tcPr>
                  <w:tcW w:w="712" w:type="dxa"/>
                  <w:vAlign w:val="bottom"/>
                </w:tcPr>
                <w:p w14:paraId="744BA0B4" w14:textId="017CBB34" w:rsidR="008958EE" w:rsidRPr="008958EE" w:rsidRDefault="008958EE" w:rsidP="00B9240E">
                  <w:pPr>
                    <w:pStyle w:val="TableBodyText"/>
                    <w:ind w:right="23"/>
                  </w:pPr>
                  <w:r w:rsidRPr="008958EE">
                    <w:t>..</w:t>
                  </w:r>
                </w:p>
              </w:tc>
              <w:tc>
                <w:tcPr>
                  <w:tcW w:w="712" w:type="dxa"/>
                  <w:vAlign w:val="bottom"/>
                </w:tcPr>
                <w:p w14:paraId="14611DDE" w14:textId="29265CF5" w:rsidR="008958EE" w:rsidRPr="008958EE" w:rsidRDefault="008958EE" w:rsidP="00B9240E">
                  <w:pPr>
                    <w:pStyle w:val="TableBodyText"/>
                    <w:ind w:right="23"/>
                  </w:pPr>
                  <w:r w:rsidRPr="008958EE">
                    <w:t>..</w:t>
                  </w:r>
                </w:p>
              </w:tc>
              <w:tc>
                <w:tcPr>
                  <w:tcW w:w="712" w:type="dxa"/>
                  <w:vAlign w:val="bottom"/>
                </w:tcPr>
                <w:p w14:paraId="6CC38684" w14:textId="3FC8FD25" w:rsidR="008958EE" w:rsidRPr="008958EE" w:rsidRDefault="008958EE" w:rsidP="00B9240E">
                  <w:pPr>
                    <w:pStyle w:val="TableBodyText"/>
                    <w:ind w:right="23"/>
                  </w:pPr>
                  <w:r w:rsidRPr="008958EE">
                    <w:t>..</w:t>
                  </w:r>
                </w:p>
              </w:tc>
              <w:tc>
                <w:tcPr>
                  <w:tcW w:w="712" w:type="dxa"/>
                  <w:vAlign w:val="bottom"/>
                </w:tcPr>
                <w:p w14:paraId="0C575721" w14:textId="1CA44721" w:rsidR="008958EE" w:rsidRPr="008958EE" w:rsidRDefault="008958EE" w:rsidP="00B9240E">
                  <w:pPr>
                    <w:pStyle w:val="TableBodyText"/>
                    <w:ind w:right="23"/>
                  </w:pPr>
                  <w:r w:rsidRPr="008958EE">
                    <w:t xml:space="preserve"> 95.4</w:t>
                  </w:r>
                </w:p>
              </w:tc>
            </w:tr>
            <w:tr w:rsidR="008958EE" w:rsidRPr="008520CE" w14:paraId="386B1D9C" w14:textId="77777777" w:rsidTr="008560BF">
              <w:tc>
                <w:tcPr>
                  <w:tcW w:w="2097" w:type="dxa"/>
                </w:tcPr>
                <w:p w14:paraId="26212C64" w14:textId="4240F371" w:rsidR="008958EE" w:rsidRPr="008520CE" w:rsidRDefault="008958EE" w:rsidP="008958EE">
                  <w:pPr>
                    <w:pStyle w:val="TableBodyText"/>
                    <w:tabs>
                      <w:tab w:val="right" w:pos="8789"/>
                    </w:tabs>
                    <w:spacing w:before="40"/>
                    <w:ind w:right="0" w:hanging="6"/>
                    <w:jc w:val="left"/>
                  </w:pPr>
                  <w:r w:rsidRPr="008520CE">
                    <w:t>Coroners’ courts</w:t>
                  </w:r>
                </w:p>
              </w:tc>
              <w:tc>
                <w:tcPr>
                  <w:tcW w:w="712" w:type="dxa"/>
                  <w:vAlign w:val="bottom"/>
                </w:tcPr>
                <w:p w14:paraId="61B0D0E4" w14:textId="65496E24" w:rsidR="008958EE" w:rsidRPr="008958EE" w:rsidRDefault="008958EE" w:rsidP="00B9240E">
                  <w:pPr>
                    <w:pStyle w:val="TableBodyText"/>
                    <w:ind w:right="23"/>
                  </w:pPr>
                  <w:r w:rsidRPr="008958EE">
                    <w:t xml:space="preserve"> 94.5</w:t>
                  </w:r>
                </w:p>
              </w:tc>
              <w:tc>
                <w:tcPr>
                  <w:tcW w:w="712" w:type="dxa"/>
                  <w:vAlign w:val="bottom"/>
                </w:tcPr>
                <w:p w14:paraId="574AAF7E" w14:textId="4D133AE9" w:rsidR="008958EE" w:rsidRPr="008958EE" w:rsidRDefault="008958EE" w:rsidP="00B9240E">
                  <w:pPr>
                    <w:pStyle w:val="TableBodyText"/>
                    <w:ind w:right="23"/>
                  </w:pPr>
                  <w:r w:rsidRPr="008958EE">
                    <w:t xml:space="preserve"> 100.6</w:t>
                  </w:r>
                </w:p>
              </w:tc>
              <w:tc>
                <w:tcPr>
                  <w:tcW w:w="712" w:type="dxa"/>
                  <w:vAlign w:val="bottom"/>
                </w:tcPr>
                <w:p w14:paraId="673B477E" w14:textId="75C7E2B2" w:rsidR="008958EE" w:rsidRPr="008958EE" w:rsidRDefault="008958EE" w:rsidP="00B9240E">
                  <w:pPr>
                    <w:pStyle w:val="TableBodyText"/>
                    <w:ind w:right="23"/>
                  </w:pPr>
                  <w:r w:rsidRPr="008958EE">
                    <w:t xml:space="preserve"> 89.7</w:t>
                  </w:r>
                </w:p>
              </w:tc>
              <w:tc>
                <w:tcPr>
                  <w:tcW w:w="712" w:type="dxa"/>
                  <w:vAlign w:val="bottom"/>
                </w:tcPr>
                <w:p w14:paraId="68329AFE" w14:textId="1050AFA4" w:rsidR="008958EE" w:rsidRPr="008958EE" w:rsidRDefault="008958EE" w:rsidP="00B9240E">
                  <w:pPr>
                    <w:pStyle w:val="TableBodyText"/>
                    <w:ind w:right="23"/>
                  </w:pPr>
                  <w:r w:rsidRPr="008958EE">
                    <w:t xml:space="preserve"> 99.9</w:t>
                  </w:r>
                </w:p>
              </w:tc>
              <w:tc>
                <w:tcPr>
                  <w:tcW w:w="712" w:type="dxa"/>
                  <w:vAlign w:val="bottom"/>
                </w:tcPr>
                <w:p w14:paraId="7870E387" w14:textId="026EEC7E" w:rsidR="008958EE" w:rsidRPr="008958EE" w:rsidRDefault="008958EE" w:rsidP="00B9240E">
                  <w:pPr>
                    <w:pStyle w:val="TableBodyText"/>
                    <w:ind w:right="23"/>
                  </w:pPr>
                  <w:r w:rsidRPr="008958EE">
                    <w:t xml:space="preserve"> 72.9</w:t>
                  </w:r>
                </w:p>
              </w:tc>
              <w:tc>
                <w:tcPr>
                  <w:tcW w:w="712" w:type="dxa"/>
                  <w:vAlign w:val="bottom"/>
                </w:tcPr>
                <w:p w14:paraId="1DD5A968" w14:textId="74733CF1" w:rsidR="008958EE" w:rsidRPr="008958EE" w:rsidRDefault="008958EE" w:rsidP="00B9240E">
                  <w:pPr>
                    <w:pStyle w:val="TableBodyText"/>
                    <w:ind w:right="23"/>
                  </w:pPr>
                  <w:r w:rsidRPr="008958EE">
                    <w:t xml:space="preserve"> 100.5</w:t>
                  </w:r>
                </w:p>
              </w:tc>
              <w:tc>
                <w:tcPr>
                  <w:tcW w:w="712" w:type="dxa"/>
                  <w:vAlign w:val="bottom"/>
                </w:tcPr>
                <w:p w14:paraId="28D0BBE5" w14:textId="03F5D8FA" w:rsidR="008958EE" w:rsidRPr="008958EE" w:rsidRDefault="008958EE" w:rsidP="00B9240E">
                  <w:pPr>
                    <w:pStyle w:val="TableBodyText"/>
                    <w:ind w:right="23"/>
                  </w:pPr>
                  <w:r w:rsidRPr="008958EE">
                    <w:t xml:space="preserve"> 102.0</w:t>
                  </w:r>
                </w:p>
              </w:tc>
              <w:tc>
                <w:tcPr>
                  <w:tcW w:w="712" w:type="dxa"/>
                  <w:vAlign w:val="bottom"/>
                </w:tcPr>
                <w:p w14:paraId="6AC5141C" w14:textId="099196C3" w:rsidR="008958EE" w:rsidRPr="008958EE" w:rsidRDefault="008958EE" w:rsidP="00B9240E">
                  <w:pPr>
                    <w:pStyle w:val="TableBodyText"/>
                    <w:ind w:right="23"/>
                  </w:pPr>
                  <w:r w:rsidRPr="008958EE">
                    <w:t xml:space="preserve"> 118.5</w:t>
                  </w:r>
                </w:p>
              </w:tc>
              <w:tc>
                <w:tcPr>
                  <w:tcW w:w="712" w:type="dxa"/>
                  <w:vAlign w:val="bottom"/>
                </w:tcPr>
                <w:p w14:paraId="3B0B37DE" w14:textId="31516333" w:rsidR="008958EE" w:rsidRPr="008958EE" w:rsidRDefault="008958EE" w:rsidP="00B9240E">
                  <w:pPr>
                    <w:pStyle w:val="TableBodyText"/>
                    <w:ind w:right="23"/>
                  </w:pPr>
                  <w:r w:rsidRPr="008958EE">
                    <w:t>..</w:t>
                  </w:r>
                </w:p>
              </w:tc>
            </w:tr>
            <w:tr w:rsidR="008958EE" w:rsidRPr="008520CE" w14:paraId="1C66AB31" w14:textId="77777777" w:rsidTr="008560BF">
              <w:tc>
                <w:tcPr>
                  <w:tcW w:w="2097" w:type="dxa"/>
                  <w:tcBorders>
                    <w:bottom w:val="single" w:sz="6" w:space="0" w:color="BFBFBF"/>
                  </w:tcBorders>
                </w:tcPr>
                <w:p w14:paraId="005BBAF9" w14:textId="77777777" w:rsidR="008958EE" w:rsidRPr="008520CE" w:rsidRDefault="008958EE" w:rsidP="008958EE">
                  <w:pPr>
                    <w:pStyle w:val="TableBodyText"/>
                    <w:tabs>
                      <w:tab w:val="right" w:pos="2042"/>
                    </w:tabs>
                    <w:spacing w:before="40"/>
                    <w:ind w:right="0" w:hanging="6"/>
                    <w:jc w:val="left"/>
                    <w:rPr>
                      <w:rStyle w:val="NoteLabel"/>
                    </w:rPr>
                  </w:pPr>
                  <w:r w:rsidRPr="008520CE">
                    <w:rPr>
                      <w:b/>
                    </w:rPr>
                    <w:t>Total</w:t>
                  </w:r>
                  <w:r w:rsidRPr="008520CE">
                    <w:rPr>
                      <w:b/>
                    </w:rPr>
                    <w:tab/>
                  </w:r>
                </w:p>
              </w:tc>
              <w:tc>
                <w:tcPr>
                  <w:tcW w:w="712" w:type="dxa"/>
                  <w:tcBorders>
                    <w:bottom w:val="single" w:sz="6" w:space="0" w:color="BFBFBF"/>
                  </w:tcBorders>
                  <w:vAlign w:val="bottom"/>
                </w:tcPr>
                <w:p w14:paraId="5A209901" w14:textId="227A0919" w:rsidR="008958EE" w:rsidRPr="00000EB2" w:rsidRDefault="008958EE" w:rsidP="00B9240E">
                  <w:pPr>
                    <w:pStyle w:val="TableBodyText"/>
                    <w:ind w:right="23"/>
                    <w:rPr>
                      <w:b/>
                    </w:rPr>
                  </w:pPr>
                  <w:r w:rsidRPr="00000EB2">
                    <w:rPr>
                      <w:b/>
                    </w:rPr>
                    <w:t>102.2</w:t>
                  </w:r>
                </w:p>
              </w:tc>
              <w:tc>
                <w:tcPr>
                  <w:tcW w:w="712" w:type="dxa"/>
                  <w:tcBorders>
                    <w:bottom w:val="single" w:sz="6" w:space="0" w:color="BFBFBF"/>
                  </w:tcBorders>
                  <w:vAlign w:val="bottom"/>
                </w:tcPr>
                <w:p w14:paraId="2F9A9E32" w14:textId="258C87DC" w:rsidR="008958EE" w:rsidRPr="00000EB2" w:rsidRDefault="008958EE" w:rsidP="00B9240E">
                  <w:pPr>
                    <w:pStyle w:val="TableBodyText"/>
                    <w:ind w:right="23"/>
                    <w:rPr>
                      <w:b/>
                    </w:rPr>
                  </w:pPr>
                  <w:r w:rsidRPr="00000EB2">
                    <w:rPr>
                      <w:b/>
                    </w:rPr>
                    <w:t xml:space="preserve"> 110.0</w:t>
                  </w:r>
                </w:p>
              </w:tc>
              <w:tc>
                <w:tcPr>
                  <w:tcW w:w="712" w:type="dxa"/>
                  <w:tcBorders>
                    <w:bottom w:val="single" w:sz="6" w:space="0" w:color="BFBFBF"/>
                  </w:tcBorders>
                  <w:vAlign w:val="bottom"/>
                </w:tcPr>
                <w:p w14:paraId="59B3BC6E" w14:textId="1B44D3EC" w:rsidR="008958EE" w:rsidRPr="00000EB2" w:rsidRDefault="008958EE" w:rsidP="00B9240E">
                  <w:pPr>
                    <w:pStyle w:val="TableBodyText"/>
                    <w:ind w:right="23"/>
                    <w:rPr>
                      <w:b/>
                    </w:rPr>
                  </w:pPr>
                  <w:r w:rsidRPr="00000EB2">
                    <w:rPr>
                      <w:b/>
                    </w:rPr>
                    <w:t xml:space="preserve"> 99.5</w:t>
                  </w:r>
                </w:p>
              </w:tc>
              <w:tc>
                <w:tcPr>
                  <w:tcW w:w="712" w:type="dxa"/>
                  <w:tcBorders>
                    <w:bottom w:val="single" w:sz="6" w:space="0" w:color="BFBFBF"/>
                  </w:tcBorders>
                  <w:vAlign w:val="bottom"/>
                </w:tcPr>
                <w:p w14:paraId="5F50A0C0" w14:textId="3A82C5C6" w:rsidR="008958EE" w:rsidRPr="00000EB2" w:rsidRDefault="008958EE" w:rsidP="00B9240E">
                  <w:pPr>
                    <w:pStyle w:val="TableBodyText"/>
                    <w:ind w:right="23"/>
                    <w:rPr>
                      <w:b/>
                    </w:rPr>
                  </w:pPr>
                  <w:r w:rsidRPr="00000EB2">
                    <w:rPr>
                      <w:b/>
                    </w:rPr>
                    <w:t xml:space="preserve"> 102.1</w:t>
                  </w:r>
                </w:p>
              </w:tc>
              <w:tc>
                <w:tcPr>
                  <w:tcW w:w="712" w:type="dxa"/>
                  <w:tcBorders>
                    <w:bottom w:val="single" w:sz="6" w:space="0" w:color="BFBFBF"/>
                  </w:tcBorders>
                  <w:vAlign w:val="bottom"/>
                </w:tcPr>
                <w:p w14:paraId="3333C8F5" w14:textId="45EA09E2" w:rsidR="008958EE" w:rsidRPr="00000EB2" w:rsidRDefault="008958EE" w:rsidP="00B9240E">
                  <w:pPr>
                    <w:pStyle w:val="TableBodyText"/>
                    <w:ind w:right="23"/>
                    <w:rPr>
                      <w:b/>
                    </w:rPr>
                  </w:pPr>
                  <w:r w:rsidRPr="00000EB2">
                    <w:rPr>
                      <w:b/>
                    </w:rPr>
                    <w:t xml:space="preserve"> 102.3</w:t>
                  </w:r>
                </w:p>
              </w:tc>
              <w:tc>
                <w:tcPr>
                  <w:tcW w:w="712" w:type="dxa"/>
                  <w:tcBorders>
                    <w:bottom w:val="single" w:sz="6" w:space="0" w:color="BFBFBF"/>
                  </w:tcBorders>
                  <w:vAlign w:val="bottom"/>
                </w:tcPr>
                <w:p w14:paraId="64B1255C" w14:textId="3E89EB7C" w:rsidR="008958EE" w:rsidRPr="00000EB2" w:rsidRDefault="008958EE" w:rsidP="00B9240E">
                  <w:pPr>
                    <w:pStyle w:val="TableBodyText"/>
                    <w:ind w:right="23"/>
                    <w:rPr>
                      <w:b/>
                    </w:rPr>
                  </w:pPr>
                  <w:r w:rsidRPr="00000EB2">
                    <w:rPr>
                      <w:b/>
                    </w:rPr>
                    <w:t xml:space="preserve"> 95.1</w:t>
                  </w:r>
                </w:p>
              </w:tc>
              <w:tc>
                <w:tcPr>
                  <w:tcW w:w="712" w:type="dxa"/>
                  <w:tcBorders>
                    <w:bottom w:val="single" w:sz="6" w:space="0" w:color="BFBFBF"/>
                  </w:tcBorders>
                  <w:shd w:val="clear" w:color="auto" w:fill="auto"/>
                  <w:vAlign w:val="bottom"/>
                </w:tcPr>
                <w:p w14:paraId="7AF329C3" w14:textId="43918323" w:rsidR="008958EE" w:rsidRPr="00000EB2" w:rsidRDefault="004B674A" w:rsidP="00B9240E">
                  <w:pPr>
                    <w:pStyle w:val="TableBodyText"/>
                    <w:ind w:right="23"/>
                    <w:rPr>
                      <w:b/>
                    </w:rPr>
                  </w:pPr>
                  <w:r>
                    <w:rPr>
                      <w:b/>
                    </w:rPr>
                    <w:t xml:space="preserve"> 82.9</w:t>
                  </w:r>
                </w:p>
              </w:tc>
              <w:tc>
                <w:tcPr>
                  <w:tcW w:w="712" w:type="dxa"/>
                  <w:tcBorders>
                    <w:bottom w:val="single" w:sz="6" w:space="0" w:color="BFBFBF"/>
                  </w:tcBorders>
                  <w:vAlign w:val="bottom"/>
                </w:tcPr>
                <w:p w14:paraId="5D961AE5" w14:textId="1E0D39FE" w:rsidR="008958EE" w:rsidRPr="00000EB2" w:rsidRDefault="001E51D2" w:rsidP="00B9240E">
                  <w:pPr>
                    <w:pStyle w:val="TableBodyText"/>
                    <w:ind w:right="23"/>
                    <w:rPr>
                      <w:b/>
                    </w:rPr>
                  </w:pPr>
                  <w:r>
                    <w:rPr>
                      <w:b/>
                    </w:rPr>
                    <w:t xml:space="preserve"> </w:t>
                  </w:r>
                  <w:r w:rsidRPr="0078489F">
                    <w:rPr>
                      <w:b/>
                    </w:rPr>
                    <w:t>107.8</w:t>
                  </w:r>
                </w:p>
              </w:tc>
              <w:tc>
                <w:tcPr>
                  <w:tcW w:w="712" w:type="dxa"/>
                  <w:tcBorders>
                    <w:bottom w:val="single" w:sz="6" w:space="0" w:color="BFBFBF"/>
                  </w:tcBorders>
                  <w:vAlign w:val="bottom"/>
                </w:tcPr>
                <w:p w14:paraId="2E8AC2FA" w14:textId="22A97511" w:rsidR="008958EE" w:rsidRPr="00000EB2" w:rsidRDefault="008958EE" w:rsidP="00B9240E">
                  <w:pPr>
                    <w:pStyle w:val="TableBodyText"/>
                    <w:ind w:right="23"/>
                    <w:rPr>
                      <w:b/>
                    </w:rPr>
                  </w:pPr>
                  <w:r w:rsidRPr="00000EB2">
                    <w:rPr>
                      <w:b/>
                    </w:rPr>
                    <w:t xml:space="preserve"> 96.0</w:t>
                  </w:r>
                </w:p>
              </w:tc>
            </w:tr>
          </w:tbl>
          <w:p w14:paraId="29C23D63" w14:textId="77777777" w:rsidR="00074A15" w:rsidRPr="008520CE" w:rsidRDefault="00074A15" w:rsidP="00774636">
            <w:pPr>
              <w:pStyle w:val="Box"/>
            </w:pPr>
          </w:p>
        </w:tc>
      </w:tr>
      <w:tr w:rsidR="00074A15" w14:paraId="4D886AB1" w14:textId="77777777" w:rsidTr="008560BF">
        <w:trPr>
          <w:cantSplit/>
        </w:trPr>
        <w:tc>
          <w:tcPr>
            <w:tcW w:w="8789" w:type="dxa"/>
            <w:tcBorders>
              <w:top w:val="nil"/>
              <w:left w:val="nil"/>
              <w:bottom w:val="nil"/>
              <w:right w:val="nil"/>
            </w:tcBorders>
            <w:shd w:val="clear" w:color="auto" w:fill="auto"/>
          </w:tcPr>
          <w:p w14:paraId="3E9AA3BD" w14:textId="4B0C616B" w:rsidR="00074A15" w:rsidRPr="007035C4" w:rsidRDefault="00074A15" w:rsidP="000101A9">
            <w:pPr>
              <w:pStyle w:val="Note"/>
              <w:keepNext/>
            </w:pPr>
            <w:r w:rsidRPr="006313AD">
              <w:rPr>
                <w:rStyle w:val="NoteLabel"/>
              </w:rPr>
              <w:t>a</w:t>
            </w:r>
            <w:r w:rsidRPr="006313AD">
              <w:t> </w:t>
            </w:r>
            <w:r w:rsidR="00A722C4">
              <w:t>See box 7.7</w:t>
            </w:r>
            <w:r w:rsidR="000101A9">
              <w:t xml:space="preserve"> and tables 7A.22</w:t>
            </w:r>
            <w:r w:rsidR="00083B08">
              <w:rPr>
                <w:color w:val="000000" w:themeColor="text1"/>
              </w:rPr>
              <w:t>–</w:t>
            </w:r>
            <w:r w:rsidR="00A6200E">
              <w:t>23</w:t>
            </w:r>
            <w:r w:rsidR="00920FEF" w:rsidRPr="00D93C46">
              <w:t xml:space="preserve"> for detailed definitions, footnotes and caveats</w:t>
            </w:r>
            <w:r w:rsidRPr="00584FFF">
              <w:t xml:space="preserve">. </w:t>
            </w:r>
            <w:r w:rsidRPr="005E0AAC">
              <w:t>..</w:t>
            </w:r>
            <w:r w:rsidRPr="00584FFF">
              <w:rPr>
                <w:b/>
              </w:rPr>
              <w:t> </w:t>
            </w:r>
            <w:r w:rsidRPr="00584FFF">
              <w:t>Not applicable.</w:t>
            </w:r>
          </w:p>
        </w:tc>
      </w:tr>
      <w:tr w:rsidR="00074A15" w14:paraId="7E47E1E0" w14:textId="77777777" w:rsidTr="008560BF">
        <w:trPr>
          <w:cantSplit/>
        </w:trPr>
        <w:tc>
          <w:tcPr>
            <w:tcW w:w="8789" w:type="dxa"/>
            <w:tcBorders>
              <w:top w:val="nil"/>
              <w:left w:val="nil"/>
              <w:bottom w:val="nil"/>
              <w:right w:val="nil"/>
            </w:tcBorders>
            <w:shd w:val="clear" w:color="auto" w:fill="auto"/>
          </w:tcPr>
          <w:p w14:paraId="0571EAC3" w14:textId="6C066E91" w:rsidR="00074A15" w:rsidRDefault="00074A15" w:rsidP="00A6200E">
            <w:pPr>
              <w:pStyle w:val="Source"/>
              <w:keepNext/>
            </w:pPr>
            <w:r>
              <w:rPr>
                <w:i/>
              </w:rPr>
              <w:t>Source</w:t>
            </w:r>
            <w:r w:rsidRPr="00AF5D20">
              <w:t>:</w:t>
            </w:r>
            <w:r>
              <w:rPr>
                <w:i/>
              </w:rPr>
              <w:t xml:space="preserve"> </w:t>
            </w:r>
            <w:r w:rsidRPr="00584FFF">
              <w:t>Australian, State and Territory court authorities and departments (unpublished); table</w:t>
            </w:r>
            <w:r w:rsidR="00934790">
              <w:t>s</w:t>
            </w:r>
            <w:r w:rsidRPr="00584FFF">
              <w:t> </w:t>
            </w:r>
            <w:r w:rsidR="00083B08">
              <w:t>7A.1</w:t>
            </w:r>
            <w:r w:rsidR="00083B08">
              <w:rPr>
                <w:color w:val="000000" w:themeColor="text1"/>
              </w:rPr>
              <w:t>–</w:t>
            </w:r>
            <w:r w:rsidR="00A6200E">
              <w:t>2</w:t>
            </w:r>
            <w:r w:rsidR="00083B08">
              <w:t>, 7A.5</w:t>
            </w:r>
            <w:r w:rsidR="00083B08">
              <w:rPr>
                <w:color w:val="000000" w:themeColor="text1"/>
              </w:rPr>
              <w:t>–</w:t>
            </w:r>
            <w:r w:rsidR="00A6200E">
              <w:t>6</w:t>
            </w:r>
            <w:r w:rsidR="00934790">
              <w:t>,</w:t>
            </w:r>
            <w:r w:rsidR="00A6200E">
              <w:t xml:space="preserve"> </w:t>
            </w:r>
            <w:r w:rsidR="00934790">
              <w:t>7A.2</w:t>
            </w:r>
            <w:r w:rsidR="00083B08">
              <w:t>2</w:t>
            </w:r>
            <w:r w:rsidR="00083B08">
              <w:rPr>
                <w:color w:val="000000" w:themeColor="text1"/>
              </w:rPr>
              <w:t>–</w:t>
            </w:r>
            <w:r w:rsidR="00A6200E">
              <w:t>23</w:t>
            </w:r>
            <w:r w:rsidRPr="00584FFF">
              <w:t>.</w:t>
            </w:r>
          </w:p>
        </w:tc>
      </w:tr>
      <w:tr w:rsidR="004B0BD8" w14:paraId="36190E60" w14:textId="77777777" w:rsidTr="008560BF">
        <w:trPr>
          <w:cantSplit/>
        </w:trPr>
        <w:tc>
          <w:tcPr>
            <w:tcW w:w="8789" w:type="dxa"/>
            <w:tcBorders>
              <w:top w:val="nil"/>
              <w:left w:val="nil"/>
              <w:bottom w:val="nil"/>
              <w:right w:val="nil"/>
            </w:tcBorders>
            <w:shd w:val="clear" w:color="auto" w:fill="auto"/>
          </w:tcPr>
          <w:p w14:paraId="1B6613FA" w14:textId="77777777" w:rsidR="004B0BD8" w:rsidRDefault="004B0BD8" w:rsidP="00BB76ED">
            <w:pPr>
              <w:pStyle w:val="Figurespace"/>
              <w:rPr>
                <w:i/>
              </w:rPr>
            </w:pPr>
          </w:p>
        </w:tc>
      </w:tr>
      <w:tr w:rsidR="00074A15" w:rsidRPr="000863A5" w14:paraId="7906CD9E" w14:textId="77777777" w:rsidTr="008560BF">
        <w:tc>
          <w:tcPr>
            <w:tcW w:w="8789" w:type="dxa"/>
            <w:tcBorders>
              <w:top w:val="single" w:sz="6" w:space="0" w:color="78A22F" w:themeColor="accent1"/>
              <w:left w:val="nil"/>
              <w:bottom w:val="nil"/>
              <w:right w:val="nil"/>
            </w:tcBorders>
          </w:tcPr>
          <w:p w14:paraId="26B14091" w14:textId="77777777" w:rsidR="00074A15" w:rsidRPr="00626D32" w:rsidRDefault="00074A15" w:rsidP="00774636">
            <w:pPr>
              <w:pStyle w:val="BoxSpaceBelow"/>
            </w:pPr>
          </w:p>
        </w:tc>
      </w:tr>
    </w:tbl>
    <w:p w14:paraId="0AB76C0D" w14:textId="77777777" w:rsidR="0017225F" w:rsidRDefault="00CE53ED" w:rsidP="0017225F">
      <w:pPr>
        <w:pStyle w:val="Heading4"/>
      </w:pPr>
      <w:r>
        <w:t xml:space="preserve">Access — affordability — </w:t>
      </w:r>
      <w:r w:rsidR="0017225F">
        <w:t>fees paid by applicants</w:t>
      </w:r>
    </w:p>
    <w:p w14:paraId="39B8DB88" w14:textId="02307F2C" w:rsidR="009D5E9A" w:rsidRDefault="00E622BC" w:rsidP="00F463FD">
      <w:pPr>
        <w:pStyle w:val="BodyText"/>
      </w:pPr>
      <w:r>
        <w:t>‘Fees paid by applicants’ is an indicator of governments’</w:t>
      </w:r>
      <w:r w:rsidR="008A3647">
        <w:t xml:space="preserve"> achievement against the</w:t>
      </w:r>
      <w:r>
        <w:t xml:space="preserve"> objective </w:t>
      </w:r>
      <w:r w:rsidR="008A3647">
        <w:t>of</w:t>
      </w:r>
      <w:r w:rsidR="008F62B4">
        <w:t xml:space="preserve"> </w:t>
      </w:r>
      <w:r w:rsidR="002F729B">
        <w:t xml:space="preserve">enabling courts to be open, accessible and affordable </w:t>
      </w:r>
      <w:r w:rsidR="00A573FF">
        <w:t>(box 7.</w:t>
      </w:r>
      <w:r w:rsidR="00A722C4">
        <w:t>8</w:t>
      </w:r>
      <w:r w:rsidR="00A573FF">
        <w:t>)</w:t>
      </w:r>
      <w:r w:rsidR="007C0913">
        <w:t>.</w:t>
      </w:r>
      <w:r w:rsidR="00B12494">
        <w:t xml:space="preserve"> </w:t>
      </w:r>
    </w:p>
    <w:p w14:paraId="03CABBB7" w14:textId="77777777" w:rsidR="00B83572" w:rsidRDefault="00B8357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3572" w14:paraId="16029C8E" w14:textId="77777777" w:rsidTr="00B9240E">
        <w:tc>
          <w:tcPr>
            <w:tcW w:w="8789" w:type="dxa"/>
            <w:tcBorders>
              <w:top w:val="single" w:sz="6" w:space="0" w:color="78A22F"/>
              <w:left w:val="nil"/>
              <w:bottom w:val="nil"/>
              <w:right w:val="nil"/>
            </w:tcBorders>
            <w:shd w:val="clear" w:color="auto" w:fill="F2F2F2" w:themeFill="background1" w:themeFillShade="F2"/>
          </w:tcPr>
          <w:p w14:paraId="138FFDA7" w14:textId="0CDDA85B" w:rsidR="00B83572" w:rsidRDefault="00B83572" w:rsidP="00A722C4">
            <w:pPr>
              <w:pStyle w:val="BoxTitle"/>
              <w:rPr>
                <w:lang w:eastAsia="en-US"/>
              </w:rPr>
            </w:pPr>
            <w:r>
              <w:rPr>
                <w:b w:val="0"/>
              </w:rPr>
              <w:t>Box 7</w:t>
            </w:r>
            <w:r w:rsidR="000408FB">
              <w:rPr>
                <w:b w:val="0"/>
              </w:rPr>
              <w:t>.</w:t>
            </w:r>
            <w:r w:rsidR="00A722C4">
              <w:rPr>
                <w:b w:val="0"/>
              </w:rPr>
              <w:t>8</w:t>
            </w:r>
            <w:r>
              <w:tab/>
            </w:r>
            <w:r w:rsidRPr="007F6EA4">
              <w:t>Fees paid by applicants</w:t>
            </w:r>
          </w:p>
        </w:tc>
      </w:tr>
      <w:tr w:rsidR="00B83572" w14:paraId="69064978" w14:textId="77777777" w:rsidTr="00B9240E">
        <w:trPr>
          <w:cantSplit/>
        </w:trPr>
        <w:tc>
          <w:tcPr>
            <w:tcW w:w="8789" w:type="dxa"/>
            <w:tcBorders>
              <w:top w:val="nil"/>
              <w:left w:val="nil"/>
              <w:bottom w:val="nil"/>
              <w:right w:val="nil"/>
            </w:tcBorders>
            <w:shd w:val="clear" w:color="auto" w:fill="F2F2F2" w:themeFill="background1" w:themeFillShade="F2"/>
          </w:tcPr>
          <w:p w14:paraId="7D3C9F7E" w14:textId="77777777" w:rsidR="00B83572" w:rsidRPr="007608F7" w:rsidRDefault="00B83572" w:rsidP="00E948C5">
            <w:pPr>
              <w:pStyle w:val="Box"/>
            </w:pPr>
            <w:r w:rsidRPr="007608F7">
              <w:t>‘Fees paid by applicants’ is defined as the average</w:t>
            </w:r>
            <w:r w:rsidR="0097395D" w:rsidRPr="007608F7">
              <w:t xml:space="preserve"> civil</w:t>
            </w:r>
            <w:r w:rsidRPr="007608F7">
              <w:t xml:space="preserve"> court fees paid per lodgment. It is derived by dividing the total </w:t>
            </w:r>
            <w:r w:rsidR="0097395D" w:rsidRPr="007608F7">
              <w:t xml:space="preserve">civil </w:t>
            </w:r>
            <w:r w:rsidRPr="007608F7">
              <w:t>court fees collected</w:t>
            </w:r>
            <w:r w:rsidR="00265F2A" w:rsidRPr="007608F7">
              <w:t xml:space="preserve"> (filing, sitting, hearing and deposition fees)</w:t>
            </w:r>
            <w:r w:rsidRPr="007608F7">
              <w:t xml:space="preserve"> by the number of</w:t>
            </w:r>
            <w:r w:rsidR="0097395D" w:rsidRPr="007608F7">
              <w:t xml:space="preserve"> civil</w:t>
            </w:r>
            <w:r w:rsidRPr="007608F7">
              <w:t xml:space="preserve"> lodgments in a year.</w:t>
            </w:r>
          </w:p>
          <w:p w14:paraId="19BF8F8D" w14:textId="77777777" w:rsidR="00B83572" w:rsidRPr="007608F7" w:rsidRDefault="00B83572" w:rsidP="00E948C5">
            <w:pPr>
              <w:pStyle w:val="Box"/>
            </w:pPr>
            <w:r w:rsidRPr="007608F7">
              <w:t>Providing court service quality is held constant, lower court fees help keep courts accessible.</w:t>
            </w:r>
          </w:p>
          <w:p w14:paraId="64F2C18D" w14:textId="77777777" w:rsidR="00B83572" w:rsidRPr="007608F7" w:rsidRDefault="00B83572" w:rsidP="00E948C5">
            <w:pPr>
              <w:pStyle w:val="Box"/>
            </w:pPr>
            <w:r w:rsidRPr="007608F7">
              <w:t>Data reported for this indicator are:</w:t>
            </w:r>
          </w:p>
          <w:p w14:paraId="4FF83A4E" w14:textId="77777777" w:rsidR="00B83572" w:rsidRPr="007608F7" w:rsidRDefault="00B83572" w:rsidP="00942EFA">
            <w:pPr>
              <w:pStyle w:val="BoxListBullet"/>
            </w:pPr>
            <w:r w:rsidRPr="007608F7">
              <w:t>comparable (subject to caveats) across jurisdictions and over time</w:t>
            </w:r>
          </w:p>
          <w:p w14:paraId="00E19463" w14:textId="5981DFED" w:rsidR="00B83572" w:rsidRPr="00E22551" w:rsidRDefault="00B83572">
            <w:pPr>
              <w:pStyle w:val="BoxListBullet"/>
              <w:spacing w:after="120"/>
              <w:rPr>
                <w:rFonts w:cs="Arial"/>
                <w:szCs w:val="22"/>
              </w:rPr>
            </w:pPr>
            <w:r w:rsidRPr="007608F7">
              <w:t>complete for the current reporting period (subjec</w:t>
            </w:r>
            <w:r w:rsidR="0006114D" w:rsidRPr="007608F7">
              <w:t xml:space="preserve">t to caveats). All required </w:t>
            </w:r>
            <w:r w:rsidR="0006114D" w:rsidRPr="004B0799">
              <w:t>201</w:t>
            </w:r>
            <w:r w:rsidR="008F6E44" w:rsidRPr="004B0799">
              <w:t>6</w:t>
            </w:r>
            <w:r w:rsidR="00362378">
              <w:rPr>
                <w:color w:val="000000" w:themeColor="text1"/>
              </w:rPr>
              <w:t>–</w:t>
            </w:r>
            <w:r w:rsidRPr="004B0799">
              <w:t>1</w:t>
            </w:r>
            <w:r w:rsidR="008F6E44" w:rsidRPr="004B0799">
              <w:t>7</w:t>
            </w:r>
            <w:r w:rsidRPr="004B0799">
              <w:t xml:space="preserve"> </w:t>
            </w:r>
            <w:r w:rsidRPr="007608F7">
              <w:t>data are available for all jurisdictions.</w:t>
            </w:r>
          </w:p>
        </w:tc>
      </w:tr>
      <w:tr w:rsidR="00B83572" w:rsidRPr="000863A5" w14:paraId="1AAEE6DC" w14:textId="77777777" w:rsidTr="00B9240E">
        <w:tc>
          <w:tcPr>
            <w:tcW w:w="8789" w:type="dxa"/>
            <w:tcBorders>
              <w:top w:val="single" w:sz="6" w:space="0" w:color="78A22F"/>
              <w:left w:val="nil"/>
              <w:bottom w:val="nil"/>
              <w:right w:val="nil"/>
            </w:tcBorders>
          </w:tcPr>
          <w:p w14:paraId="313D6094" w14:textId="77777777" w:rsidR="00B83572" w:rsidRPr="00626D32" w:rsidRDefault="00B83572" w:rsidP="00E948C5">
            <w:pPr>
              <w:pStyle w:val="BoxSpaceBelow"/>
            </w:pPr>
          </w:p>
        </w:tc>
      </w:tr>
    </w:tbl>
    <w:p w14:paraId="6F0AB1AA" w14:textId="6C4CB0C2" w:rsidR="007F6EA4" w:rsidRDefault="007F6EA4" w:rsidP="007360E2">
      <w:pPr>
        <w:pStyle w:val="BodyText"/>
        <w:keepNext/>
        <w:keepLines/>
      </w:pPr>
      <w:r w:rsidRPr="004B0799">
        <w:t xml:space="preserve">In </w:t>
      </w:r>
      <w:r w:rsidR="007D2884" w:rsidRPr="004B0799">
        <w:t>201</w:t>
      </w:r>
      <w:r w:rsidR="008F6E44" w:rsidRPr="004B0799">
        <w:t>6</w:t>
      </w:r>
      <w:r w:rsidR="00205BCF" w:rsidRPr="004B0799">
        <w:noBreakHyphen/>
      </w:r>
      <w:r w:rsidR="00A76F58" w:rsidRPr="004B0799">
        <w:t>1</w:t>
      </w:r>
      <w:r w:rsidR="008F6E44" w:rsidRPr="004B0799">
        <w:t>7</w:t>
      </w:r>
      <w:r w:rsidRPr="00637879">
        <w:t>,</w:t>
      </w:r>
      <w:r w:rsidRPr="00DC49DD">
        <w:t xml:space="preserve"> </w:t>
      </w:r>
      <w:r w:rsidRPr="004811D3">
        <w:t xml:space="preserve">average </w:t>
      </w:r>
      <w:r w:rsidR="005F02EA">
        <w:t xml:space="preserve">civil </w:t>
      </w:r>
      <w:r w:rsidRPr="004811D3">
        <w:t xml:space="preserve">court fees paid per lodgment were greater in </w:t>
      </w:r>
      <w:r w:rsidR="00010F4A" w:rsidRPr="004811D3">
        <w:t>supreme c</w:t>
      </w:r>
      <w:r w:rsidR="00BC62E9" w:rsidRPr="004811D3">
        <w:t>ourt</w:t>
      </w:r>
      <w:r w:rsidRPr="004811D3">
        <w:t xml:space="preserve">s than in </w:t>
      </w:r>
      <w:r w:rsidR="00F43AAD" w:rsidRPr="004811D3">
        <w:t>district/county</w:t>
      </w:r>
      <w:r w:rsidRPr="004811D3">
        <w:t xml:space="preserve"> and </w:t>
      </w:r>
      <w:r w:rsidR="00010F4A" w:rsidRPr="004811D3">
        <w:t>magistrates’ c</w:t>
      </w:r>
      <w:r w:rsidR="00BC62E9" w:rsidRPr="004811D3">
        <w:t>ourt</w:t>
      </w:r>
      <w:r w:rsidRPr="004811D3">
        <w:t>s</w:t>
      </w:r>
      <w:r>
        <w:t xml:space="preserve"> (</w:t>
      </w:r>
      <w:r w:rsidR="00A76A9C">
        <w:t>table 7</w:t>
      </w:r>
      <w:r w:rsidR="00C96B64">
        <w:t>.</w:t>
      </w:r>
      <w:r w:rsidR="002F7750">
        <w:t>9</w:t>
      </w:r>
      <w:r>
        <w:t xml:space="preserve">). </w:t>
      </w:r>
      <w:r w:rsidR="00C82082">
        <w:t>The average fees collected by the Australian, State and Territory courts vary for many reasons and caution should be used in making direct comparisons.</w:t>
      </w:r>
    </w:p>
    <w:p w14:paraId="084EB79B" w14:textId="77777777" w:rsidR="00EC63FC" w:rsidRDefault="00EC63FC" w:rsidP="00167BB6">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EC63FC" w14:paraId="75BF562D" w14:textId="77777777" w:rsidTr="00B9240E">
        <w:tc>
          <w:tcPr>
            <w:tcW w:w="8789" w:type="dxa"/>
            <w:tcBorders>
              <w:top w:val="single" w:sz="6" w:space="0" w:color="78A22F" w:themeColor="accent1"/>
              <w:left w:val="nil"/>
              <w:bottom w:val="nil"/>
              <w:right w:val="nil"/>
            </w:tcBorders>
            <w:shd w:val="clear" w:color="auto" w:fill="auto"/>
          </w:tcPr>
          <w:p w14:paraId="4EE657B3" w14:textId="02F837FA" w:rsidR="00EC63FC" w:rsidRPr="00784A05" w:rsidRDefault="00EC63FC" w:rsidP="002F7750">
            <w:pPr>
              <w:pStyle w:val="TableTitle"/>
              <w:rPr>
                <w:lang w:eastAsia="en-US"/>
              </w:rPr>
            </w:pPr>
            <w:r>
              <w:rPr>
                <w:b w:val="0"/>
              </w:rPr>
              <w:t>Table 7.</w:t>
            </w:r>
            <w:r w:rsidR="002F7750">
              <w:rPr>
                <w:b w:val="0"/>
              </w:rPr>
              <w:t>9</w:t>
            </w:r>
            <w:r>
              <w:tab/>
            </w:r>
            <w:r w:rsidRPr="00EA54A1">
              <w:t xml:space="preserve">Average civil court fees collected per lodgment, </w:t>
            </w:r>
            <w:r w:rsidRPr="00F71A14">
              <w:t>201</w:t>
            </w:r>
            <w:r w:rsidR="008F6E44" w:rsidRPr="00F71A14">
              <w:t>6</w:t>
            </w:r>
            <w:r w:rsidRPr="00F71A14">
              <w:t>-1</w:t>
            </w:r>
            <w:r w:rsidR="008F6E44" w:rsidRPr="00F71A14">
              <w:t>7</w:t>
            </w:r>
            <w:r w:rsidRPr="00F71A14">
              <w:t xml:space="preserve"> </w:t>
            </w:r>
            <w:r w:rsidRPr="00DD6D58">
              <w:t>(dollars)</w:t>
            </w:r>
            <w:r w:rsidRPr="00697C70">
              <w:rPr>
                <w:rStyle w:val="NoteLabel"/>
                <w:b/>
              </w:rPr>
              <w:t>a</w:t>
            </w:r>
            <w:r w:rsidRPr="00572A8F">
              <w:rPr>
                <w:rStyle w:val="NoteLabel"/>
              </w:rPr>
              <w:t>,</w:t>
            </w:r>
            <w:r>
              <w:rPr>
                <w:rStyle w:val="NoteLabel"/>
              </w:rPr>
              <w:t xml:space="preserve"> </w:t>
            </w:r>
            <w:r w:rsidRPr="00572A8F">
              <w:rPr>
                <w:rStyle w:val="NoteLabel"/>
                <w:b/>
              </w:rPr>
              <w:t>b</w:t>
            </w:r>
          </w:p>
        </w:tc>
      </w:tr>
      <w:tr w:rsidR="00EC63FC" w14:paraId="09E762F7" w14:textId="77777777" w:rsidTr="00B9240E">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898"/>
              <w:gridCol w:w="660"/>
              <w:gridCol w:w="661"/>
              <w:gridCol w:w="661"/>
              <w:gridCol w:w="660"/>
              <w:gridCol w:w="661"/>
              <w:gridCol w:w="661"/>
              <w:gridCol w:w="660"/>
              <w:gridCol w:w="661"/>
              <w:gridCol w:w="661"/>
              <w:gridCol w:w="661"/>
            </w:tblGrid>
            <w:tr w:rsidR="00EC63FC" w:rsidRPr="00B65A58" w14:paraId="73765557" w14:textId="77777777" w:rsidTr="00B9240E">
              <w:tc>
                <w:tcPr>
                  <w:tcW w:w="1898" w:type="dxa"/>
                  <w:tcBorders>
                    <w:top w:val="single" w:sz="6" w:space="0" w:color="BFBFBF"/>
                    <w:bottom w:val="single" w:sz="6" w:space="0" w:color="BFBFBF"/>
                  </w:tcBorders>
                </w:tcPr>
                <w:p w14:paraId="4859E89E" w14:textId="77777777" w:rsidR="00EC63FC" w:rsidRPr="00B65A58" w:rsidRDefault="00EC63FC" w:rsidP="009B6132">
                  <w:pPr>
                    <w:pStyle w:val="TableColumnHeading"/>
                    <w:jc w:val="left"/>
                  </w:pPr>
                </w:p>
              </w:tc>
              <w:tc>
                <w:tcPr>
                  <w:tcW w:w="660" w:type="dxa"/>
                  <w:tcBorders>
                    <w:top w:val="single" w:sz="6" w:space="0" w:color="BFBFBF"/>
                    <w:bottom w:val="single" w:sz="6" w:space="0" w:color="BFBFBF"/>
                  </w:tcBorders>
                </w:tcPr>
                <w:p w14:paraId="3C3DE15F" w14:textId="77777777" w:rsidR="00EC63FC" w:rsidRPr="00B65A58" w:rsidRDefault="00EC63FC" w:rsidP="009B6132">
                  <w:pPr>
                    <w:pStyle w:val="TableColumnHeading"/>
                    <w:ind w:left="0" w:right="28"/>
                    <w:rPr>
                      <w:rStyle w:val="NoteLabel"/>
                      <w:i w:val="0"/>
                    </w:rPr>
                  </w:pPr>
                  <w:r>
                    <w:br/>
                  </w:r>
                  <w:r w:rsidRPr="00B65A58">
                    <w:t>NSW</w:t>
                  </w:r>
                </w:p>
              </w:tc>
              <w:tc>
                <w:tcPr>
                  <w:tcW w:w="661" w:type="dxa"/>
                  <w:tcBorders>
                    <w:top w:val="single" w:sz="6" w:space="0" w:color="BFBFBF"/>
                    <w:bottom w:val="single" w:sz="6" w:space="0" w:color="BFBFBF"/>
                  </w:tcBorders>
                </w:tcPr>
                <w:p w14:paraId="2CFBC989" w14:textId="77777777" w:rsidR="00EC63FC" w:rsidRPr="00B65A58" w:rsidRDefault="00EC63FC" w:rsidP="009B6132">
                  <w:pPr>
                    <w:pStyle w:val="TableColumnHeading"/>
                    <w:ind w:left="0" w:right="28"/>
                  </w:pPr>
                  <w:r>
                    <w:br/>
                  </w:r>
                  <w:r w:rsidRPr="00B65A58">
                    <w:t>Vic</w:t>
                  </w:r>
                </w:p>
              </w:tc>
              <w:tc>
                <w:tcPr>
                  <w:tcW w:w="661" w:type="dxa"/>
                  <w:tcBorders>
                    <w:top w:val="single" w:sz="6" w:space="0" w:color="BFBFBF"/>
                    <w:bottom w:val="single" w:sz="6" w:space="0" w:color="BFBFBF"/>
                  </w:tcBorders>
                </w:tcPr>
                <w:p w14:paraId="526F664F" w14:textId="77777777" w:rsidR="00EC63FC" w:rsidRPr="00B65A58" w:rsidRDefault="00EC63FC" w:rsidP="009B6132">
                  <w:pPr>
                    <w:pStyle w:val="TableColumnHeading"/>
                    <w:ind w:left="0" w:right="28"/>
                  </w:pPr>
                  <w:r>
                    <w:br/>
                  </w:r>
                  <w:r w:rsidRPr="00B65A58">
                    <w:t>Qld</w:t>
                  </w:r>
                </w:p>
              </w:tc>
              <w:tc>
                <w:tcPr>
                  <w:tcW w:w="660" w:type="dxa"/>
                  <w:tcBorders>
                    <w:top w:val="single" w:sz="6" w:space="0" w:color="BFBFBF"/>
                    <w:bottom w:val="single" w:sz="6" w:space="0" w:color="BFBFBF"/>
                  </w:tcBorders>
                </w:tcPr>
                <w:p w14:paraId="16B4C0DD" w14:textId="77777777" w:rsidR="00EC63FC" w:rsidRPr="00B65A58" w:rsidRDefault="00EC63FC" w:rsidP="009B6132">
                  <w:pPr>
                    <w:pStyle w:val="TableColumnHeading"/>
                    <w:ind w:left="0" w:right="28"/>
                  </w:pPr>
                  <w:r>
                    <w:br/>
                  </w:r>
                  <w:r w:rsidRPr="00B65A58">
                    <w:t>WA</w:t>
                  </w:r>
                </w:p>
              </w:tc>
              <w:tc>
                <w:tcPr>
                  <w:tcW w:w="661" w:type="dxa"/>
                  <w:tcBorders>
                    <w:top w:val="single" w:sz="6" w:space="0" w:color="BFBFBF"/>
                    <w:bottom w:val="single" w:sz="6" w:space="0" w:color="BFBFBF"/>
                  </w:tcBorders>
                </w:tcPr>
                <w:p w14:paraId="2F57A1CC" w14:textId="77777777" w:rsidR="00EC63FC" w:rsidRPr="00B65A58" w:rsidRDefault="00EC63FC" w:rsidP="009B6132">
                  <w:pPr>
                    <w:pStyle w:val="TableColumnHeading"/>
                    <w:ind w:left="0" w:right="28"/>
                  </w:pPr>
                  <w:r>
                    <w:br/>
                  </w:r>
                  <w:r w:rsidRPr="00B65A58">
                    <w:t>SA</w:t>
                  </w:r>
                </w:p>
              </w:tc>
              <w:tc>
                <w:tcPr>
                  <w:tcW w:w="661" w:type="dxa"/>
                  <w:tcBorders>
                    <w:top w:val="single" w:sz="6" w:space="0" w:color="BFBFBF"/>
                    <w:bottom w:val="single" w:sz="6" w:space="0" w:color="BFBFBF"/>
                  </w:tcBorders>
                </w:tcPr>
                <w:p w14:paraId="4FE6DBD6" w14:textId="77777777" w:rsidR="00EC63FC" w:rsidRPr="00B65A58" w:rsidRDefault="00EC63FC" w:rsidP="009B6132">
                  <w:pPr>
                    <w:pStyle w:val="TableColumnHeading"/>
                    <w:ind w:left="0" w:right="28"/>
                  </w:pPr>
                  <w:r>
                    <w:br/>
                  </w:r>
                  <w:r w:rsidRPr="00B65A58">
                    <w:t>Tas</w:t>
                  </w:r>
                </w:p>
              </w:tc>
              <w:tc>
                <w:tcPr>
                  <w:tcW w:w="660" w:type="dxa"/>
                  <w:tcBorders>
                    <w:top w:val="single" w:sz="6" w:space="0" w:color="BFBFBF"/>
                    <w:bottom w:val="single" w:sz="6" w:space="0" w:color="BFBFBF"/>
                  </w:tcBorders>
                </w:tcPr>
                <w:p w14:paraId="668C7A94" w14:textId="77777777" w:rsidR="00EC63FC" w:rsidRPr="00B65A58" w:rsidRDefault="00EC63FC" w:rsidP="009B6132">
                  <w:pPr>
                    <w:pStyle w:val="TableColumnHeading"/>
                    <w:ind w:left="0" w:right="28"/>
                  </w:pPr>
                  <w:r>
                    <w:br/>
                  </w:r>
                  <w:r w:rsidRPr="00B65A58">
                    <w:t>ACT</w:t>
                  </w:r>
                </w:p>
              </w:tc>
              <w:tc>
                <w:tcPr>
                  <w:tcW w:w="661" w:type="dxa"/>
                  <w:tcBorders>
                    <w:top w:val="single" w:sz="6" w:space="0" w:color="BFBFBF"/>
                    <w:bottom w:val="single" w:sz="6" w:space="0" w:color="BFBFBF"/>
                  </w:tcBorders>
                </w:tcPr>
                <w:p w14:paraId="364777CD" w14:textId="77777777" w:rsidR="00EC63FC" w:rsidRPr="00B65A58" w:rsidRDefault="00EC63FC" w:rsidP="009B6132">
                  <w:pPr>
                    <w:pStyle w:val="TableColumnHeading"/>
                    <w:ind w:left="0" w:right="28"/>
                  </w:pPr>
                  <w:r>
                    <w:br/>
                  </w:r>
                  <w:r w:rsidRPr="00B65A58">
                    <w:t>NT</w:t>
                  </w:r>
                </w:p>
              </w:tc>
              <w:tc>
                <w:tcPr>
                  <w:tcW w:w="661" w:type="dxa"/>
                  <w:tcBorders>
                    <w:top w:val="single" w:sz="6" w:space="0" w:color="BFBFBF"/>
                    <w:bottom w:val="single" w:sz="6" w:space="0" w:color="BFBFBF"/>
                  </w:tcBorders>
                </w:tcPr>
                <w:p w14:paraId="6ECBCCDC" w14:textId="77777777" w:rsidR="00EC63FC" w:rsidRPr="00B65A58" w:rsidRDefault="00EC63FC" w:rsidP="00B9240E">
                  <w:pPr>
                    <w:pStyle w:val="TableColumnHeading"/>
                    <w:ind w:right="28"/>
                  </w:pPr>
                  <w:r w:rsidRPr="00B65A58">
                    <w:t>Aust courts</w:t>
                  </w:r>
                </w:p>
              </w:tc>
              <w:tc>
                <w:tcPr>
                  <w:tcW w:w="661" w:type="dxa"/>
                  <w:tcBorders>
                    <w:top w:val="single" w:sz="6" w:space="0" w:color="BFBFBF"/>
                    <w:bottom w:val="single" w:sz="6" w:space="0" w:color="BFBFBF"/>
                  </w:tcBorders>
                </w:tcPr>
                <w:p w14:paraId="1B7F0883" w14:textId="77777777" w:rsidR="00EC63FC" w:rsidRPr="00B65A58" w:rsidRDefault="00EC63FC" w:rsidP="009B6132">
                  <w:pPr>
                    <w:pStyle w:val="TableColumnHeading"/>
                    <w:ind w:right="28"/>
                  </w:pPr>
                  <w:r>
                    <w:br/>
                  </w:r>
                  <w:r w:rsidRPr="00B65A58">
                    <w:t>Total</w:t>
                  </w:r>
                </w:p>
              </w:tc>
            </w:tr>
            <w:tr w:rsidR="004B0799" w:rsidRPr="001D4C8E" w14:paraId="599ABE75" w14:textId="77777777" w:rsidTr="00B9240E">
              <w:tc>
                <w:tcPr>
                  <w:tcW w:w="1898" w:type="dxa"/>
                  <w:tcBorders>
                    <w:top w:val="single" w:sz="6" w:space="0" w:color="BFBFBF"/>
                  </w:tcBorders>
                  <w:vAlign w:val="bottom"/>
                </w:tcPr>
                <w:p w14:paraId="1DB4DCF3" w14:textId="77777777" w:rsidR="004B0799" w:rsidRPr="00ED4185" w:rsidRDefault="004B0799" w:rsidP="004B0799">
                  <w:pPr>
                    <w:pStyle w:val="TableBodyText"/>
                    <w:spacing w:before="40"/>
                    <w:ind w:left="0" w:right="0"/>
                    <w:jc w:val="left"/>
                  </w:pPr>
                  <w:r w:rsidRPr="00ED4185">
                    <w:t>Supreme (excl</w:t>
                  </w:r>
                  <w:r>
                    <w:t>.</w:t>
                  </w:r>
                  <w:r w:rsidRPr="00ED4185">
                    <w:t xml:space="preserve"> probate)</w:t>
                  </w:r>
                  <w:r w:rsidRPr="00677E61">
                    <w:rPr>
                      <w:rStyle w:val="NoteLabel"/>
                      <w:i/>
                    </w:rPr>
                    <w:t xml:space="preserve"> </w:t>
                  </w:r>
                  <w:r w:rsidRPr="00ED4185">
                    <w:t>/Federal</w:t>
                  </w:r>
                </w:p>
              </w:tc>
              <w:tc>
                <w:tcPr>
                  <w:tcW w:w="660" w:type="dxa"/>
                  <w:tcBorders>
                    <w:top w:val="single" w:sz="6" w:space="0" w:color="BFBFBF"/>
                  </w:tcBorders>
                  <w:vAlign w:val="center"/>
                </w:tcPr>
                <w:p w14:paraId="3E8D10F2" w14:textId="0C9786B2" w:rsidR="004B0799" w:rsidRDefault="004B0799" w:rsidP="00B9240E">
                  <w:pPr>
                    <w:pStyle w:val="TableBodyText"/>
                    <w:ind w:right="23"/>
                  </w:pPr>
                  <w:r>
                    <w:t xml:space="preserve"> 3 818</w:t>
                  </w:r>
                </w:p>
              </w:tc>
              <w:tc>
                <w:tcPr>
                  <w:tcW w:w="661" w:type="dxa"/>
                  <w:tcBorders>
                    <w:top w:val="single" w:sz="6" w:space="0" w:color="BFBFBF"/>
                  </w:tcBorders>
                  <w:vAlign w:val="center"/>
                </w:tcPr>
                <w:p w14:paraId="44CFF65F" w14:textId="2C1701A1" w:rsidR="004B0799" w:rsidRDefault="004B0799" w:rsidP="00B9240E">
                  <w:pPr>
                    <w:pStyle w:val="TableBodyText"/>
                    <w:ind w:right="23"/>
                  </w:pPr>
                  <w:r>
                    <w:t xml:space="preserve"> 2 110</w:t>
                  </w:r>
                </w:p>
              </w:tc>
              <w:tc>
                <w:tcPr>
                  <w:tcW w:w="661" w:type="dxa"/>
                  <w:tcBorders>
                    <w:top w:val="single" w:sz="6" w:space="0" w:color="BFBFBF"/>
                  </w:tcBorders>
                  <w:vAlign w:val="center"/>
                </w:tcPr>
                <w:p w14:paraId="792B67E9" w14:textId="09A65958" w:rsidR="004B0799" w:rsidRDefault="004B0799" w:rsidP="00B9240E">
                  <w:pPr>
                    <w:pStyle w:val="TableBodyText"/>
                    <w:ind w:right="23"/>
                  </w:pPr>
                  <w:r>
                    <w:t xml:space="preserve"> 2 282</w:t>
                  </w:r>
                </w:p>
              </w:tc>
              <w:tc>
                <w:tcPr>
                  <w:tcW w:w="660" w:type="dxa"/>
                  <w:tcBorders>
                    <w:top w:val="single" w:sz="6" w:space="0" w:color="BFBFBF"/>
                  </w:tcBorders>
                  <w:vAlign w:val="center"/>
                </w:tcPr>
                <w:p w14:paraId="113E47D7" w14:textId="4DBE43B8" w:rsidR="004B0799" w:rsidRDefault="004B0799" w:rsidP="00B9240E">
                  <w:pPr>
                    <w:pStyle w:val="TableBodyText"/>
                    <w:ind w:right="23"/>
                  </w:pPr>
                  <w:r>
                    <w:t xml:space="preserve"> 2 646</w:t>
                  </w:r>
                </w:p>
              </w:tc>
              <w:tc>
                <w:tcPr>
                  <w:tcW w:w="661" w:type="dxa"/>
                  <w:tcBorders>
                    <w:top w:val="single" w:sz="6" w:space="0" w:color="BFBFBF"/>
                  </w:tcBorders>
                  <w:vAlign w:val="center"/>
                </w:tcPr>
                <w:p w14:paraId="1D56AFB1" w14:textId="1738DBA0" w:rsidR="004B0799" w:rsidRDefault="004B0799" w:rsidP="00B9240E">
                  <w:pPr>
                    <w:pStyle w:val="TableBodyText"/>
                    <w:ind w:right="23"/>
                  </w:pPr>
                  <w:r>
                    <w:t xml:space="preserve"> 2 941</w:t>
                  </w:r>
                </w:p>
              </w:tc>
              <w:tc>
                <w:tcPr>
                  <w:tcW w:w="661" w:type="dxa"/>
                  <w:tcBorders>
                    <w:top w:val="single" w:sz="6" w:space="0" w:color="BFBFBF"/>
                  </w:tcBorders>
                  <w:vAlign w:val="center"/>
                </w:tcPr>
                <w:p w14:paraId="219ECFB3" w14:textId="7B4E48F6" w:rsidR="004B0799" w:rsidRDefault="004B0799" w:rsidP="00B9240E">
                  <w:pPr>
                    <w:pStyle w:val="TableBodyText"/>
                    <w:ind w:right="23"/>
                  </w:pPr>
                  <w:r>
                    <w:t xml:space="preserve">  710</w:t>
                  </w:r>
                </w:p>
              </w:tc>
              <w:tc>
                <w:tcPr>
                  <w:tcW w:w="660" w:type="dxa"/>
                  <w:tcBorders>
                    <w:top w:val="single" w:sz="6" w:space="0" w:color="BFBFBF"/>
                  </w:tcBorders>
                  <w:vAlign w:val="center"/>
                </w:tcPr>
                <w:p w14:paraId="6492DAEB" w14:textId="0551FC48" w:rsidR="004B0799" w:rsidRDefault="004B0799" w:rsidP="00B9240E">
                  <w:pPr>
                    <w:pStyle w:val="TableBodyText"/>
                    <w:ind w:right="23"/>
                  </w:pPr>
                  <w:r>
                    <w:t xml:space="preserve"> 3 092</w:t>
                  </w:r>
                </w:p>
              </w:tc>
              <w:tc>
                <w:tcPr>
                  <w:tcW w:w="661" w:type="dxa"/>
                  <w:tcBorders>
                    <w:top w:val="single" w:sz="6" w:space="0" w:color="BFBFBF"/>
                  </w:tcBorders>
                  <w:vAlign w:val="center"/>
                </w:tcPr>
                <w:p w14:paraId="70E561DA" w14:textId="354813D3" w:rsidR="004B0799" w:rsidRDefault="004B0799" w:rsidP="00B9240E">
                  <w:pPr>
                    <w:pStyle w:val="TableBodyText"/>
                    <w:ind w:right="23"/>
                  </w:pPr>
                  <w:r>
                    <w:t xml:space="preserve"> 2 525</w:t>
                  </w:r>
                </w:p>
              </w:tc>
              <w:tc>
                <w:tcPr>
                  <w:tcW w:w="661" w:type="dxa"/>
                  <w:tcBorders>
                    <w:top w:val="single" w:sz="6" w:space="0" w:color="BFBFBF"/>
                  </w:tcBorders>
                  <w:vAlign w:val="center"/>
                </w:tcPr>
                <w:p w14:paraId="2AE7EB65" w14:textId="4B4C86EC" w:rsidR="004B0799" w:rsidRDefault="004B0799" w:rsidP="00B9240E">
                  <w:pPr>
                    <w:pStyle w:val="TableBodyText"/>
                    <w:ind w:right="23"/>
                  </w:pPr>
                  <w:r>
                    <w:t>2 661</w:t>
                  </w:r>
                </w:p>
              </w:tc>
              <w:tc>
                <w:tcPr>
                  <w:tcW w:w="661" w:type="dxa"/>
                  <w:tcBorders>
                    <w:top w:val="single" w:sz="6" w:space="0" w:color="BFBFBF"/>
                  </w:tcBorders>
                  <w:vAlign w:val="center"/>
                </w:tcPr>
                <w:p w14:paraId="1E3E5DA1" w14:textId="49C6F833" w:rsidR="004B0799" w:rsidRDefault="004B0799" w:rsidP="00B9240E">
                  <w:pPr>
                    <w:pStyle w:val="TableBodyText"/>
                    <w:ind w:right="23"/>
                  </w:pPr>
                  <w:r>
                    <w:t xml:space="preserve"> 2 780</w:t>
                  </w:r>
                </w:p>
              </w:tc>
            </w:tr>
            <w:tr w:rsidR="004B0799" w:rsidRPr="001D4C8E" w14:paraId="4C1842E5" w14:textId="77777777" w:rsidTr="00B9240E">
              <w:tc>
                <w:tcPr>
                  <w:tcW w:w="1898" w:type="dxa"/>
                  <w:vAlign w:val="bottom"/>
                </w:tcPr>
                <w:p w14:paraId="20896799" w14:textId="77777777" w:rsidR="004B0799" w:rsidRPr="00DC49DD" w:rsidRDefault="004B0799" w:rsidP="004B0799">
                  <w:pPr>
                    <w:pStyle w:val="TableBodyText"/>
                    <w:spacing w:before="40"/>
                    <w:jc w:val="left"/>
                  </w:pPr>
                  <w:r w:rsidRPr="00DC49DD">
                    <w:t>District/county</w:t>
                  </w:r>
                </w:p>
              </w:tc>
              <w:tc>
                <w:tcPr>
                  <w:tcW w:w="660" w:type="dxa"/>
                  <w:vAlign w:val="center"/>
                </w:tcPr>
                <w:p w14:paraId="52580AEF" w14:textId="712C9756" w:rsidR="004B0799" w:rsidRDefault="004B0799" w:rsidP="00B9240E">
                  <w:pPr>
                    <w:pStyle w:val="TableBodyText"/>
                    <w:ind w:right="23"/>
                  </w:pPr>
                  <w:r>
                    <w:t xml:space="preserve"> 1 899</w:t>
                  </w:r>
                </w:p>
              </w:tc>
              <w:tc>
                <w:tcPr>
                  <w:tcW w:w="661" w:type="dxa"/>
                  <w:vAlign w:val="center"/>
                </w:tcPr>
                <w:p w14:paraId="16A84F10" w14:textId="56B6C423" w:rsidR="004B0799" w:rsidRDefault="004B0799" w:rsidP="00B9240E">
                  <w:pPr>
                    <w:pStyle w:val="TableBodyText"/>
                    <w:ind w:right="23"/>
                  </w:pPr>
                  <w:r>
                    <w:t xml:space="preserve"> 1 889</w:t>
                  </w:r>
                </w:p>
              </w:tc>
              <w:tc>
                <w:tcPr>
                  <w:tcW w:w="661" w:type="dxa"/>
                  <w:vAlign w:val="center"/>
                </w:tcPr>
                <w:p w14:paraId="51EDE34A" w14:textId="3C8F6355" w:rsidR="004B0799" w:rsidRDefault="004B0799" w:rsidP="00B9240E">
                  <w:pPr>
                    <w:pStyle w:val="TableBodyText"/>
                    <w:ind w:right="23"/>
                  </w:pPr>
                  <w:r>
                    <w:t xml:space="preserve"> 1 059</w:t>
                  </w:r>
                </w:p>
              </w:tc>
              <w:tc>
                <w:tcPr>
                  <w:tcW w:w="660" w:type="dxa"/>
                  <w:vAlign w:val="center"/>
                </w:tcPr>
                <w:p w14:paraId="2E357CDA" w14:textId="63E28DF1" w:rsidR="004B0799" w:rsidRDefault="004B0799" w:rsidP="00B9240E">
                  <w:pPr>
                    <w:pStyle w:val="TableBodyText"/>
                    <w:ind w:right="23"/>
                  </w:pPr>
                  <w:r>
                    <w:t xml:space="preserve"> 1 213</w:t>
                  </w:r>
                </w:p>
              </w:tc>
              <w:tc>
                <w:tcPr>
                  <w:tcW w:w="661" w:type="dxa"/>
                  <w:vAlign w:val="center"/>
                </w:tcPr>
                <w:p w14:paraId="55039168" w14:textId="056C3D22" w:rsidR="004B0799" w:rsidRDefault="004B0799" w:rsidP="00B9240E">
                  <w:pPr>
                    <w:pStyle w:val="TableBodyText"/>
                    <w:ind w:right="23"/>
                  </w:pPr>
                  <w:r>
                    <w:t xml:space="preserve"> 1 055</w:t>
                  </w:r>
                </w:p>
              </w:tc>
              <w:tc>
                <w:tcPr>
                  <w:tcW w:w="661" w:type="dxa"/>
                  <w:vAlign w:val="center"/>
                </w:tcPr>
                <w:p w14:paraId="04EE374C" w14:textId="2471E804" w:rsidR="004B0799" w:rsidRDefault="004B0799" w:rsidP="00B9240E">
                  <w:pPr>
                    <w:pStyle w:val="TableBodyText"/>
                    <w:ind w:right="23"/>
                  </w:pPr>
                  <w:r>
                    <w:t>..</w:t>
                  </w:r>
                </w:p>
              </w:tc>
              <w:tc>
                <w:tcPr>
                  <w:tcW w:w="660" w:type="dxa"/>
                  <w:vAlign w:val="center"/>
                </w:tcPr>
                <w:p w14:paraId="41CC2365" w14:textId="40DEB0CD" w:rsidR="004B0799" w:rsidRDefault="004B0799" w:rsidP="00B9240E">
                  <w:pPr>
                    <w:pStyle w:val="TableBodyText"/>
                    <w:ind w:right="23"/>
                  </w:pPr>
                  <w:r>
                    <w:t>..</w:t>
                  </w:r>
                </w:p>
              </w:tc>
              <w:tc>
                <w:tcPr>
                  <w:tcW w:w="661" w:type="dxa"/>
                  <w:vAlign w:val="center"/>
                </w:tcPr>
                <w:p w14:paraId="4F76A9CA" w14:textId="3A319006" w:rsidR="004B0799" w:rsidRDefault="004B0799" w:rsidP="00B9240E">
                  <w:pPr>
                    <w:pStyle w:val="TableBodyText"/>
                    <w:ind w:right="23"/>
                  </w:pPr>
                  <w:r>
                    <w:t>..</w:t>
                  </w:r>
                </w:p>
              </w:tc>
              <w:tc>
                <w:tcPr>
                  <w:tcW w:w="661" w:type="dxa"/>
                  <w:vAlign w:val="center"/>
                </w:tcPr>
                <w:p w14:paraId="165C8AE5" w14:textId="1A6F1112" w:rsidR="004B0799" w:rsidRDefault="004B0799" w:rsidP="00B9240E">
                  <w:pPr>
                    <w:pStyle w:val="TableBodyText"/>
                    <w:ind w:right="23"/>
                  </w:pPr>
                  <w:r>
                    <w:t>..</w:t>
                  </w:r>
                </w:p>
              </w:tc>
              <w:tc>
                <w:tcPr>
                  <w:tcW w:w="661" w:type="dxa"/>
                  <w:vAlign w:val="center"/>
                </w:tcPr>
                <w:p w14:paraId="774924DE" w14:textId="31EE9FAE" w:rsidR="004B0799" w:rsidRDefault="004B0799" w:rsidP="00B9240E">
                  <w:pPr>
                    <w:pStyle w:val="TableBodyText"/>
                    <w:ind w:right="23"/>
                  </w:pPr>
                  <w:r>
                    <w:t xml:space="preserve"> 1 535</w:t>
                  </w:r>
                </w:p>
              </w:tc>
            </w:tr>
            <w:tr w:rsidR="004B0799" w:rsidRPr="001D4C8E" w14:paraId="433884FC" w14:textId="77777777" w:rsidTr="00B9240E">
              <w:tc>
                <w:tcPr>
                  <w:tcW w:w="1898" w:type="dxa"/>
                  <w:vAlign w:val="bottom"/>
                </w:tcPr>
                <w:p w14:paraId="59CB3AE9" w14:textId="77777777" w:rsidR="004B0799" w:rsidRPr="00DC49DD" w:rsidRDefault="004B0799" w:rsidP="004B0799">
                  <w:pPr>
                    <w:pStyle w:val="TableBodyText"/>
                    <w:spacing w:before="40"/>
                    <w:jc w:val="left"/>
                    <w:rPr>
                      <w:rStyle w:val="NoteLabel"/>
                    </w:rPr>
                  </w:pPr>
                  <w:r w:rsidRPr="00DC49DD">
                    <w:t>Magistrates’ (total)</w:t>
                  </w:r>
                </w:p>
              </w:tc>
              <w:tc>
                <w:tcPr>
                  <w:tcW w:w="660" w:type="dxa"/>
                  <w:vAlign w:val="center"/>
                </w:tcPr>
                <w:p w14:paraId="649FCFD0" w14:textId="2A709C45" w:rsidR="004B0799" w:rsidRDefault="004B0799" w:rsidP="00B9240E">
                  <w:pPr>
                    <w:pStyle w:val="TableBodyText"/>
                    <w:ind w:right="23"/>
                  </w:pPr>
                  <w:r>
                    <w:t xml:space="preserve">  202</w:t>
                  </w:r>
                </w:p>
              </w:tc>
              <w:tc>
                <w:tcPr>
                  <w:tcW w:w="661" w:type="dxa"/>
                  <w:vAlign w:val="center"/>
                </w:tcPr>
                <w:p w14:paraId="61F4503A" w14:textId="3D27D689" w:rsidR="004B0799" w:rsidRDefault="004B0799" w:rsidP="00B9240E">
                  <w:pPr>
                    <w:pStyle w:val="TableBodyText"/>
                    <w:ind w:right="23"/>
                  </w:pPr>
                  <w:r>
                    <w:t xml:space="preserve">  209</w:t>
                  </w:r>
                </w:p>
              </w:tc>
              <w:tc>
                <w:tcPr>
                  <w:tcW w:w="661" w:type="dxa"/>
                  <w:vAlign w:val="center"/>
                </w:tcPr>
                <w:p w14:paraId="74B6AFF6" w14:textId="3C5E2CF2" w:rsidR="004B0799" w:rsidRDefault="004B0799" w:rsidP="00B9240E">
                  <w:pPr>
                    <w:pStyle w:val="TableBodyText"/>
                    <w:ind w:right="23"/>
                  </w:pPr>
                  <w:r>
                    <w:t xml:space="preserve">  114</w:t>
                  </w:r>
                </w:p>
              </w:tc>
              <w:tc>
                <w:tcPr>
                  <w:tcW w:w="660" w:type="dxa"/>
                  <w:vAlign w:val="center"/>
                </w:tcPr>
                <w:p w14:paraId="1F8969FA" w14:textId="03EF1E54" w:rsidR="004B0799" w:rsidRDefault="004B0799" w:rsidP="00B9240E">
                  <w:pPr>
                    <w:pStyle w:val="TableBodyText"/>
                    <w:ind w:right="23"/>
                  </w:pPr>
                  <w:r>
                    <w:t xml:space="preserve">  150</w:t>
                  </w:r>
                </w:p>
              </w:tc>
              <w:tc>
                <w:tcPr>
                  <w:tcW w:w="661" w:type="dxa"/>
                  <w:vAlign w:val="center"/>
                </w:tcPr>
                <w:p w14:paraId="75B36E2A" w14:textId="076B2AE6" w:rsidR="004B0799" w:rsidRDefault="004B0799" w:rsidP="00B9240E">
                  <w:pPr>
                    <w:pStyle w:val="TableBodyText"/>
                    <w:ind w:right="23"/>
                  </w:pPr>
                  <w:r>
                    <w:t xml:space="preserve">  123</w:t>
                  </w:r>
                </w:p>
              </w:tc>
              <w:tc>
                <w:tcPr>
                  <w:tcW w:w="661" w:type="dxa"/>
                  <w:vAlign w:val="center"/>
                </w:tcPr>
                <w:p w14:paraId="7F9632FF" w14:textId="35597DBE" w:rsidR="004B0799" w:rsidRDefault="004B0799" w:rsidP="00B9240E">
                  <w:pPr>
                    <w:pStyle w:val="TableBodyText"/>
                    <w:ind w:right="23"/>
                  </w:pPr>
                  <w:r>
                    <w:t xml:space="preserve">  82</w:t>
                  </w:r>
                </w:p>
              </w:tc>
              <w:tc>
                <w:tcPr>
                  <w:tcW w:w="660" w:type="dxa"/>
                  <w:vAlign w:val="center"/>
                </w:tcPr>
                <w:p w14:paraId="402F56A6" w14:textId="5E4B9417" w:rsidR="004B0799" w:rsidRPr="00CC6784" w:rsidRDefault="00CC6784" w:rsidP="00B9240E">
                  <w:pPr>
                    <w:pStyle w:val="TableBodyText"/>
                    <w:ind w:right="23"/>
                    <w:rPr>
                      <w:highlight w:val="yellow"/>
                    </w:rPr>
                  </w:pPr>
                  <w:r w:rsidRPr="00F7552D">
                    <w:t xml:space="preserve">  258</w:t>
                  </w:r>
                </w:p>
              </w:tc>
              <w:tc>
                <w:tcPr>
                  <w:tcW w:w="661" w:type="dxa"/>
                  <w:vAlign w:val="center"/>
                </w:tcPr>
                <w:p w14:paraId="731BFB70" w14:textId="4ED84DC6" w:rsidR="004B0799" w:rsidRDefault="004B0799" w:rsidP="00B9240E">
                  <w:pPr>
                    <w:pStyle w:val="TableBodyText"/>
                    <w:ind w:right="23"/>
                  </w:pPr>
                  <w:r>
                    <w:t xml:space="preserve">  17</w:t>
                  </w:r>
                </w:p>
              </w:tc>
              <w:tc>
                <w:tcPr>
                  <w:tcW w:w="661" w:type="dxa"/>
                  <w:vAlign w:val="center"/>
                </w:tcPr>
                <w:p w14:paraId="1389EF6D" w14:textId="5B2C79F9" w:rsidR="004B0799" w:rsidRDefault="004B0799" w:rsidP="00B9240E">
                  <w:pPr>
                    <w:pStyle w:val="TableBodyText"/>
                    <w:ind w:right="23"/>
                  </w:pPr>
                  <w:r>
                    <w:t>..</w:t>
                  </w:r>
                </w:p>
              </w:tc>
              <w:tc>
                <w:tcPr>
                  <w:tcW w:w="661" w:type="dxa"/>
                  <w:vAlign w:val="center"/>
                </w:tcPr>
                <w:p w14:paraId="2DB2E644" w14:textId="25309F15" w:rsidR="004B0799" w:rsidRPr="00F7552D" w:rsidRDefault="00923A4E" w:rsidP="00B9240E">
                  <w:pPr>
                    <w:pStyle w:val="TableBodyText"/>
                    <w:ind w:right="23"/>
                  </w:pPr>
                  <w:r w:rsidRPr="00F7552D">
                    <w:t xml:space="preserve">  172</w:t>
                  </w:r>
                </w:p>
              </w:tc>
            </w:tr>
            <w:tr w:rsidR="004B0799" w:rsidRPr="001D4C8E" w14:paraId="59AB7D4E" w14:textId="77777777" w:rsidTr="00B9240E">
              <w:tc>
                <w:tcPr>
                  <w:tcW w:w="1898" w:type="dxa"/>
                  <w:vAlign w:val="bottom"/>
                </w:tcPr>
                <w:p w14:paraId="6A529FEB" w14:textId="77777777" w:rsidR="004B0799" w:rsidRPr="00DC49DD" w:rsidRDefault="004B0799" w:rsidP="004B0799">
                  <w:pPr>
                    <w:pStyle w:val="TableBodyText"/>
                    <w:spacing w:before="40"/>
                    <w:ind w:left="284"/>
                    <w:jc w:val="left"/>
                    <w:rPr>
                      <w:i/>
                      <w:szCs w:val="24"/>
                    </w:rPr>
                  </w:pPr>
                  <w:r w:rsidRPr="00DC49DD">
                    <w:rPr>
                      <w:i/>
                    </w:rPr>
                    <w:t>Magistrates’ only</w:t>
                  </w:r>
                </w:p>
              </w:tc>
              <w:tc>
                <w:tcPr>
                  <w:tcW w:w="660" w:type="dxa"/>
                  <w:vAlign w:val="center"/>
                </w:tcPr>
                <w:p w14:paraId="7ECDFB8B" w14:textId="21BC0D8D" w:rsidR="004B0799" w:rsidRPr="00CB1FA4" w:rsidRDefault="004B0799" w:rsidP="00B9240E">
                  <w:pPr>
                    <w:pStyle w:val="TableBodyText"/>
                    <w:ind w:right="23"/>
                    <w:rPr>
                      <w:i/>
                    </w:rPr>
                  </w:pPr>
                  <w:r w:rsidRPr="00CB1FA4">
                    <w:rPr>
                      <w:i/>
                    </w:rPr>
                    <w:t xml:space="preserve">  217</w:t>
                  </w:r>
                </w:p>
              </w:tc>
              <w:tc>
                <w:tcPr>
                  <w:tcW w:w="661" w:type="dxa"/>
                  <w:vAlign w:val="center"/>
                </w:tcPr>
                <w:p w14:paraId="3F380965" w14:textId="46609078" w:rsidR="004B0799" w:rsidRPr="00CB1FA4" w:rsidRDefault="004B0799" w:rsidP="00B9240E">
                  <w:pPr>
                    <w:pStyle w:val="TableBodyText"/>
                    <w:ind w:right="23"/>
                    <w:rPr>
                      <w:i/>
                    </w:rPr>
                  </w:pPr>
                  <w:r w:rsidRPr="00CB1FA4">
                    <w:rPr>
                      <w:i/>
                    </w:rPr>
                    <w:t xml:space="preserve">  227</w:t>
                  </w:r>
                </w:p>
              </w:tc>
              <w:tc>
                <w:tcPr>
                  <w:tcW w:w="661" w:type="dxa"/>
                  <w:vAlign w:val="center"/>
                </w:tcPr>
                <w:p w14:paraId="63CD31F2" w14:textId="019338EB" w:rsidR="004B0799" w:rsidRPr="00CB1FA4" w:rsidRDefault="004B0799" w:rsidP="00B9240E">
                  <w:pPr>
                    <w:pStyle w:val="TableBodyText"/>
                    <w:ind w:right="23"/>
                    <w:rPr>
                      <w:i/>
                    </w:rPr>
                  </w:pPr>
                  <w:r w:rsidRPr="00CB1FA4">
                    <w:rPr>
                      <w:i/>
                    </w:rPr>
                    <w:t xml:space="preserve">  122</w:t>
                  </w:r>
                </w:p>
              </w:tc>
              <w:tc>
                <w:tcPr>
                  <w:tcW w:w="660" w:type="dxa"/>
                  <w:vAlign w:val="center"/>
                </w:tcPr>
                <w:p w14:paraId="5201EAFA" w14:textId="07FB4360" w:rsidR="004B0799" w:rsidRPr="00CB1FA4" w:rsidRDefault="004B0799" w:rsidP="00B9240E">
                  <w:pPr>
                    <w:pStyle w:val="TableBodyText"/>
                    <w:ind w:right="23"/>
                    <w:rPr>
                      <w:i/>
                    </w:rPr>
                  </w:pPr>
                  <w:r w:rsidRPr="00CB1FA4">
                    <w:rPr>
                      <w:i/>
                    </w:rPr>
                    <w:t xml:space="preserve">  155</w:t>
                  </w:r>
                </w:p>
              </w:tc>
              <w:tc>
                <w:tcPr>
                  <w:tcW w:w="661" w:type="dxa"/>
                  <w:vAlign w:val="center"/>
                </w:tcPr>
                <w:p w14:paraId="2EA05F66" w14:textId="4D546F99" w:rsidR="004B0799" w:rsidRPr="00CB1FA4" w:rsidRDefault="004B0799" w:rsidP="00B9240E">
                  <w:pPr>
                    <w:pStyle w:val="TableBodyText"/>
                    <w:ind w:right="23"/>
                    <w:rPr>
                      <w:i/>
                    </w:rPr>
                  </w:pPr>
                  <w:r w:rsidRPr="00CB1FA4">
                    <w:rPr>
                      <w:i/>
                    </w:rPr>
                    <w:t xml:space="preserve">  134</w:t>
                  </w:r>
                </w:p>
              </w:tc>
              <w:tc>
                <w:tcPr>
                  <w:tcW w:w="661" w:type="dxa"/>
                  <w:vAlign w:val="center"/>
                </w:tcPr>
                <w:p w14:paraId="59789914" w14:textId="3B4A2EFD" w:rsidR="004B0799" w:rsidRPr="00CB1FA4" w:rsidRDefault="004B0799" w:rsidP="00B9240E">
                  <w:pPr>
                    <w:pStyle w:val="TableBodyText"/>
                    <w:ind w:right="23"/>
                    <w:rPr>
                      <w:i/>
                    </w:rPr>
                  </w:pPr>
                  <w:r w:rsidRPr="00CB1FA4">
                    <w:rPr>
                      <w:i/>
                    </w:rPr>
                    <w:t xml:space="preserve">  86</w:t>
                  </w:r>
                </w:p>
              </w:tc>
              <w:tc>
                <w:tcPr>
                  <w:tcW w:w="660" w:type="dxa"/>
                  <w:vAlign w:val="center"/>
                </w:tcPr>
                <w:p w14:paraId="029589FB" w14:textId="4B55833A" w:rsidR="004B0799" w:rsidRPr="00CB1FA4" w:rsidRDefault="00CC6784" w:rsidP="00B9240E">
                  <w:pPr>
                    <w:pStyle w:val="TableBodyText"/>
                    <w:ind w:right="23"/>
                    <w:rPr>
                      <w:i/>
                      <w:highlight w:val="yellow"/>
                    </w:rPr>
                  </w:pPr>
                  <w:r w:rsidRPr="00CB1FA4">
                    <w:rPr>
                      <w:i/>
                    </w:rPr>
                    <w:t xml:space="preserve">  271</w:t>
                  </w:r>
                </w:p>
              </w:tc>
              <w:tc>
                <w:tcPr>
                  <w:tcW w:w="661" w:type="dxa"/>
                  <w:vAlign w:val="center"/>
                </w:tcPr>
                <w:p w14:paraId="3DDB235F" w14:textId="299822B9" w:rsidR="004B0799" w:rsidRPr="00CB1FA4" w:rsidRDefault="004B0799" w:rsidP="00B9240E">
                  <w:pPr>
                    <w:pStyle w:val="TableBodyText"/>
                    <w:ind w:right="23"/>
                    <w:rPr>
                      <w:i/>
                    </w:rPr>
                  </w:pPr>
                  <w:r w:rsidRPr="00CB1FA4">
                    <w:rPr>
                      <w:i/>
                    </w:rPr>
                    <w:t xml:space="preserve">  18</w:t>
                  </w:r>
                </w:p>
              </w:tc>
              <w:tc>
                <w:tcPr>
                  <w:tcW w:w="661" w:type="dxa"/>
                  <w:vAlign w:val="center"/>
                </w:tcPr>
                <w:p w14:paraId="1AE8CE68" w14:textId="4C78EA6C" w:rsidR="004B0799" w:rsidRPr="00CB1FA4" w:rsidRDefault="004B0799" w:rsidP="00B9240E">
                  <w:pPr>
                    <w:pStyle w:val="TableBodyText"/>
                    <w:ind w:right="23"/>
                    <w:rPr>
                      <w:i/>
                    </w:rPr>
                  </w:pPr>
                  <w:r w:rsidRPr="00CB1FA4">
                    <w:rPr>
                      <w:i/>
                    </w:rPr>
                    <w:t>..</w:t>
                  </w:r>
                </w:p>
              </w:tc>
              <w:tc>
                <w:tcPr>
                  <w:tcW w:w="661" w:type="dxa"/>
                  <w:vAlign w:val="center"/>
                </w:tcPr>
                <w:p w14:paraId="70431C8F" w14:textId="23283119" w:rsidR="004B0799" w:rsidRPr="00CB1FA4" w:rsidRDefault="00923A4E" w:rsidP="00B9240E">
                  <w:pPr>
                    <w:pStyle w:val="TableBodyText"/>
                    <w:ind w:right="23"/>
                    <w:rPr>
                      <w:i/>
                    </w:rPr>
                  </w:pPr>
                  <w:r w:rsidRPr="00CB1FA4">
                    <w:rPr>
                      <w:i/>
                    </w:rPr>
                    <w:t xml:space="preserve">  185</w:t>
                  </w:r>
                </w:p>
              </w:tc>
            </w:tr>
            <w:tr w:rsidR="004B0799" w:rsidRPr="001D4C8E" w14:paraId="52C10FE7" w14:textId="77777777" w:rsidTr="00B9240E">
              <w:tc>
                <w:tcPr>
                  <w:tcW w:w="1898" w:type="dxa"/>
                  <w:vAlign w:val="bottom"/>
                </w:tcPr>
                <w:p w14:paraId="22F2EDC8" w14:textId="77777777" w:rsidR="004B0799" w:rsidRPr="00DC49DD" w:rsidRDefault="004B0799" w:rsidP="004B0799">
                  <w:pPr>
                    <w:pStyle w:val="TableBodyText"/>
                    <w:spacing w:before="40"/>
                    <w:ind w:left="284"/>
                    <w:jc w:val="left"/>
                    <w:rPr>
                      <w:i/>
                    </w:rPr>
                  </w:pPr>
                  <w:r w:rsidRPr="00DC49DD">
                    <w:rPr>
                      <w:i/>
                    </w:rPr>
                    <w:t>Children’s</w:t>
                  </w:r>
                </w:p>
              </w:tc>
              <w:tc>
                <w:tcPr>
                  <w:tcW w:w="660" w:type="dxa"/>
                  <w:vAlign w:val="center"/>
                </w:tcPr>
                <w:p w14:paraId="5C98E054" w14:textId="2C1C0D20" w:rsidR="004B0799" w:rsidRPr="00CB1FA4" w:rsidRDefault="004B0799" w:rsidP="00B9240E">
                  <w:pPr>
                    <w:pStyle w:val="TableBodyText"/>
                    <w:ind w:right="23"/>
                    <w:rPr>
                      <w:i/>
                    </w:rPr>
                  </w:pPr>
                  <w:r w:rsidRPr="00CB1FA4">
                    <w:rPr>
                      <w:i/>
                    </w:rPr>
                    <w:t>–</w:t>
                  </w:r>
                </w:p>
              </w:tc>
              <w:tc>
                <w:tcPr>
                  <w:tcW w:w="661" w:type="dxa"/>
                  <w:vAlign w:val="center"/>
                </w:tcPr>
                <w:p w14:paraId="6FE2EC13" w14:textId="4B3045BD" w:rsidR="004B0799" w:rsidRPr="00CB1FA4" w:rsidRDefault="004B0799" w:rsidP="00B9240E">
                  <w:pPr>
                    <w:pStyle w:val="TableBodyText"/>
                    <w:ind w:right="23"/>
                    <w:rPr>
                      <w:i/>
                    </w:rPr>
                  </w:pPr>
                  <w:r w:rsidRPr="00CB1FA4">
                    <w:rPr>
                      <w:i/>
                    </w:rPr>
                    <w:t>–</w:t>
                  </w:r>
                </w:p>
              </w:tc>
              <w:tc>
                <w:tcPr>
                  <w:tcW w:w="661" w:type="dxa"/>
                  <w:vAlign w:val="center"/>
                </w:tcPr>
                <w:p w14:paraId="6F8794E1" w14:textId="15F03795" w:rsidR="004B0799" w:rsidRPr="00CB1FA4" w:rsidRDefault="004B0799" w:rsidP="00B9240E">
                  <w:pPr>
                    <w:pStyle w:val="TableBodyText"/>
                    <w:ind w:right="23"/>
                    <w:rPr>
                      <w:i/>
                    </w:rPr>
                  </w:pPr>
                  <w:r w:rsidRPr="00CB1FA4">
                    <w:rPr>
                      <w:i/>
                    </w:rPr>
                    <w:t>–</w:t>
                  </w:r>
                </w:p>
              </w:tc>
              <w:tc>
                <w:tcPr>
                  <w:tcW w:w="660" w:type="dxa"/>
                  <w:vAlign w:val="center"/>
                </w:tcPr>
                <w:p w14:paraId="3F675EDE" w14:textId="3B911364" w:rsidR="004B0799" w:rsidRPr="00CB1FA4" w:rsidRDefault="004B0799" w:rsidP="00B9240E">
                  <w:pPr>
                    <w:pStyle w:val="TableBodyText"/>
                    <w:ind w:right="23"/>
                    <w:rPr>
                      <w:i/>
                    </w:rPr>
                  </w:pPr>
                  <w:r w:rsidRPr="00CB1FA4">
                    <w:rPr>
                      <w:i/>
                    </w:rPr>
                    <w:t>–</w:t>
                  </w:r>
                </w:p>
              </w:tc>
              <w:tc>
                <w:tcPr>
                  <w:tcW w:w="661" w:type="dxa"/>
                  <w:vAlign w:val="center"/>
                </w:tcPr>
                <w:p w14:paraId="7BAF5079" w14:textId="47A1A903" w:rsidR="004B0799" w:rsidRPr="00CB1FA4" w:rsidRDefault="004B0799" w:rsidP="00B9240E">
                  <w:pPr>
                    <w:pStyle w:val="TableBodyText"/>
                    <w:ind w:right="23"/>
                    <w:rPr>
                      <w:i/>
                    </w:rPr>
                  </w:pPr>
                  <w:r w:rsidRPr="00CB1FA4">
                    <w:rPr>
                      <w:i/>
                    </w:rPr>
                    <w:t xml:space="preserve">  1</w:t>
                  </w:r>
                </w:p>
              </w:tc>
              <w:tc>
                <w:tcPr>
                  <w:tcW w:w="661" w:type="dxa"/>
                  <w:vAlign w:val="center"/>
                </w:tcPr>
                <w:p w14:paraId="0FAF2C65" w14:textId="1FDDAF15" w:rsidR="004B0799" w:rsidRPr="00CB1FA4" w:rsidRDefault="004B0799" w:rsidP="00B9240E">
                  <w:pPr>
                    <w:pStyle w:val="TableBodyText"/>
                    <w:ind w:right="23"/>
                    <w:rPr>
                      <w:i/>
                    </w:rPr>
                  </w:pPr>
                  <w:r w:rsidRPr="00CB1FA4">
                    <w:rPr>
                      <w:i/>
                    </w:rPr>
                    <w:t>–</w:t>
                  </w:r>
                </w:p>
              </w:tc>
              <w:tc>
                <w:tcPr>
                  <w:tcW w:w="660" w:type="dxa"/>
                  <w:vAlign w:val="center"/>
                </w:tcPr>
                <w:p w14:paraId="4E46CAAC" w14:textId="16928E0D" w:rsidR="004B0799" w:rsidRPr="00CB1FA4" w:rsidRDefault="004B0799" w:rsidP="00B9240E">
                  <w:pPr>
                    <w:pStyle w:val="TableBodyText"/>
                    <w:ind w:right="23"/>
                    <w:rPr>
                      <w:i/>
                    </w:rPr>
                  </w:pPr>
                  <w:r w:rsidRPr="00CB1FA4">
                    <w:rPr>
                      <w:i/>
                    </w:rPr>
                    <w:t>–</w:t>
                  </w:r>
                </w:p>
              </w:tc>
              <w:tc>
                <w:tcPr>
                  <w:tcW w:w="661" w:type="dxa"/>
                  <w:vAlign w:val="center"/>
                </w:tcPr>
                <w:p w14:paraId="0CDA1A3B" w14:textId="4F51A918" w:rsidR="004B0799" w:rsidRPr="00CB1FA4" w:rsidRDefault="003277D9" w:rsidP="00B9240E">
                  <w:pPr>
                    <w:pStyle w:val="TableBodyText"/>
                    <w:ind w:right="23"/>
                    <w:rPr>
                      <w:i/>
                    </w:rPr>
                  </w:pPr>
                  <w:r w:rsidRPr="00CB1FA4">
                    <w:rPr>
                      <w:i/>
                    </w:rPr>
                    <w:t xml:space="preserve">–  </w:t>
                  </w:r>
                </w:p>
              </w:tc>
              <w:tc>
                <w:tcPr>
                  <w:tcW w:w="661" w:type="dxa"/>
                  <w:vAlign w:val="center"/>
                </w:tcPr>
                <w:p w14:paraId="262CF292" w14:textId="7A59BD8A" w:rsidR="004B0799" w:rsidRPr="00CB1FA4" w:rsidRDefault="004B0799" w:rsidP="00B9240E">
                  <w:pPr>
                    <w:pStyle w:val="TableBodyText"/>
                    <w:ind w:right="23"/>
                    <w:rPr>
                      <w:i/>
                    </w:rPr>
                  </w:pPr>
                  <w:r w:rsidRPr="00CB1FA4">
                    <w:rPr>
                      <w:i/>
                    </w:rPr>
                    <w:t>..</w:t>
                  </w:r>
                </w:p>
              </w:tc>
              <w:tc>
                <w:tcPr>
                  <w:tcW w:w="661" w:type="dxa"/>
                  <w:vAlign w:val="center"/>
                </w:tcPr>
                <w:p w14:paraId="25629A2A" w14:textId="5652F239" w:rsidR="004B0799" w:rsidRPr="00CB1FA4" w:rsidRDefault="00C03BCE" w:rsidP="00B9240E">
                  <w:pPr>
                    <w:pStyle w:val="TableBodyText"/>
                    <w:ind w:right="23"/>
                    <w:rPr>
                      <w:i/>
                    </w:rPr>
                  </w:pPr>
                  <w:r w:rsidRPr="00CB1FA4">
                    <w:rPr>
                      <w:i/>
                    </w:rPr>
                    <w:t>–</w:t>
                  </w:r>
                </w:p>
              </w:tc>
            </w:tr>
            <w:tr w:rsidR="004B0799" w:rsidRPr="001D4C8E" w14:paraId="2C44A32F" w14:textId="77777777" w:rsidTr="00B9240E">
              <w:tc>
                <w:tcPr>
                  <w:tcW w:w="1898" w:type="dxa"/>
                  <w:vAlign w:val="bottom"/>
                </w:tcPr>
                <w:p w14:paraId="538BF82B" w14:textId="77777777" w:rsidR="004B0799" w:rsidRPr="00DC49DD" w:rsidRDefault="004B0799" w:rsidP="004B0799">
                  <w:pPr>
                    <w:pStyle w:val="TableBodyText"/>
                    <w:spacing w:before="40"/>
                    <w:jc w:val="left"/>
                    <w:rPr>
                      <w:rStyle w:val="NoteLabel"/>
                    </w:rPr>
                  </w:pPr>
                  <w:r w:rsidRPr="00DC49DD">
                    <w:t>Family</w:t>
                  </w:r>
                </w:p>
              </w:tc>
              <w:tc>
                <w:tcPr>
                  <w:tcW w:w="660" w:type="dxa"/>
                  <w:vAlign w:val="center"/>
                </w:tcPr>
                <w:p w14:paraId="3BBC6F00" w14:textId="4ADA87F8" w:rsidR="004B0799" w:rsidRDefault="004B0799" w:rsidP="00B9240E">
                  <w:pPr>
                    <w:pStyle w:val="TableBodyText"/>
                    <w:ind w:right="23"/>
                  </w:pPr>
                  <w:r>
                    <w:t>..</w:t>
                  </w:r>
                </w:p>
              </w:tc>
              <w:tc>
                <w:tcPr>
                  <w:tcW w:w="661" w:type="dxa"/>
                  <w:vAlign w:val="center"/>
                </w:tcPr>
                <w:p w14:paraId="46FB239F" w14:textId="3C9F227D" w:rsidR="004B0799" w:rsidRDefault="004B0799" w:rsidP="00B9240E">
                  <w:pPr>
                    <w:pStyle w:val="TableBodyText"/>
                    <w:ind w:right="23"/>
                  </w:pPr>
                  <w:r>
                    <w:t>..</w:t>
                  </w:r>
                </w:p>
              </w:tc>
              <w:tc>
                <w:tcPr>
                  <w:tcW w:w="661" w:type="dxa"/>
                  <w:vAlign w:val="center"/>
                </w:tcPr>
                <w:p w14:paraId="2B9275B0" w14:textId="3FFAF6BE" w:rsidR="004B0799" w:rsidRDefault="004B0799" w:rsidP="00B9240E">
                  <w:pPr>
                    <w:pStyle w:val="TableBodyText"/>
                    <w:ind w:right="23"/>
                  </w:pPr>
                  <w:r>
                    <w:t>..</w:t>
                  </w:r>
                </w:p>
              </w:tc>
              <w:tc>
                <w:tcPr>
                  <w:tcW w:w="660" w:type="dxa"/>
                  <w:shd w:val="clear" w:color="auto" w:fill="auto"/>
                  <w:vAlign w:val="center"/>
                </w:tcPr>
                <w:p w14:paraId="2CB99C22" w14:textId="19D8AEFE" w:rsidR="004B0799" w:rsidRDefault="004B0799" w:rsidP="00B9240E">
                  <w:pPr>
                    <w:pStyle w:val="TableBodyText"/>
                    <w:ind w:right="23"/>
                  </w:pPr>
                  <w:r>
                    <w:t xml:space="preserve">  384</w:t>
                  </w:r>
                </w:p>
              </w:tc>
              <w:tc>
                <w:tcPr>
                  <w:tcW w:w="661" w:type="dxa"/>
                  <w:shd w:val="clear" w:color="auto" w:fill="auto"/>
                  <w:vAlign w:val="center"/>
                </w:tcPr>
                <w:p w14:paraId="67A78ADB" w14:textId="28BE0331" w:rsidR="004B0799" w:rsidRDefault="004B0799" w:rsidP="00B9240E">
                  <w:pPr>
                    <w:pStyle w:val="TableBodyText"/>
                    <w:ind w:right="23"/>
                  </w:pPr>
                  <w:r>
                    <w:t>..</w:t>
                  </w:r>
                </w:p>
              </w:tc>
              <w:tc>
                <w:tcPr>
                  <w:tcW w:w="661" w:type="dxa"/>
                  <w:vAlign w:val="center"/>
                </w:tcPr>
                <w:p w14:paraId="2186F0D7" w14:textId="1C8D3C21" w:rsidR="004B0799" w:rsidRDefault="004B0799" w:rsidP="00B9240E">
                  <w:pPr>
                    <w:pStyle w:val="TableBodyText"/>
                    <w:ind w:right="23"/>
                  </w:pPr>
                  <w:r>
                    <w:t>..</w:t>
                  </w:r>
                </w:p>
              </w:tc>
              <w:tc>
                <w:tcPr>
                  <w:tcW w:w="660" w:type="dxa"/>
                  <w:vAlign w:val="center"/>
                </w:tcPr>
                <w:p w14:paraId="50D2368E" w14:textId="714882D8" w:rsidR="004B0799" w:rsidRDefault="004B0799" w:rsidP="00B9240E">
                  <w:pPr>
                    <w:pStyle w:val="TableBodyText"/>
                    <w:ind w:right="23"/>
                  </w:pPr>
                  <w:r>
                    <w:t>..</w:t>
                  </w:r>
                </w:p>
              </w:tc>
              <w:tc>
                <w:tcPr>
                  <w:tcW w:w="661" w:type="dxa"/>
                  <w:vAlign w:val="center"/>
                </w:tcPr>
                <w:p w14:paraId="2B83C63F" w14:textId="05D095E7" w:rsidR="004B0799" w:rsidRDefault="004B0799" w:rsidP="00B9240E">
                  <w:pPr>
                    <w:pStyle w:val="TableBodyText"/>
                    <w:ind w:right="23"/>
                  </w:pPr>
                  <w:r>
                    <w:t>..</w:t>
                  </w:r>
                </w:p>
              </w:tc>
              <w:tc>
                <w:tcPr>
                  <w:tcW w:w="661" w:type="dxa"/>
                  <w:shd w:val="clear" w:color="auto" w:fill="auto"/>
                  <w:vAlign w:val="center"/>
                </w:tcPr>
                <w:p w14:paraId="79591E7F" w14:textId="2E137518" w:rsidR="004B0799" w:rsidRDefault="004B0799" w:rsidP="00B9240E">
                  <w:pPr>
                    <w:pStyle w:val="TableBodyText"/>
                    <w:ind w:right="23"/>
                  </w:pPr>
                  <w:r>
                    <w:t xml:space="preserve">  260</w:t>
                  </w:r>
                </w:p>
              </w:tc>
              <w:tc>
                <w:tcPr>
                  <w:tcW w:w="661" w:type="dxa"/>
                  <w:shd w:val="clear" w:color="auto" w:fill="auto"/>
                  <w:vAlign w:val="center"/>
                </w:tcPr>
                <w:p w14:paraId="6AF3F681" w14:textId="3B7FD9B5" w:rsidR="004B0799" w:rsidRDefault="004B0799" w:rsidP="00B9240E">
                  <w:pPr>
                    <w:pStyle w:val="TableBodyText"/>
                    <w:ind w:right="23"/>
                  </w:pPr>
                  <w:r>
                    <w:t xml:space="preserve">  314</w:t>
                  </w:r>
                </w:p>
              </w:tc>
            </w:tr>
            <w:tr w:rsidR="004B0799" w:rsidRPr="007E17BC" w14:paraId="0B30084C" w14:textId="77777777" w:rsidTr="00B9240E">
              <w:tc>
                <w:tcPr>
                  <w:tcW w:w="1898" w:type="dxa"/>
                  <w:vAlign w:val="bottom"/>
                </w:tcPr>
                <w:p w14:paraId="60350057" w14:textId="77777777" w:rsidR="004B0799" w:rsidRPr="00DC49DD" w:rsidRDefault="004B0799" w:rsidP="004B0799">
                  <w:pPr>
                    <w:pStyle w:val="TableBodyText"/>
                    <w:spacing w:before="40"/>
                    <w:jc w:val="left"/>
                  </w:pPr>
                  <w:r w:rsidRPr="00DC49DD">
                    <w:t xml:space="preserve">Federal </w:t>
                  </w:r>
                  <w:r>
                    <w:t>Circuit</w:t>
                  </w:r>
                </w:p>
              </w:tc>
              <w:tc>
                <w:tcPr>
                  <w:tcW w:w="660" w:type="dxa"/>
                  <w:vAlign w:val="center"/>
                </w:tcPr>
                <w:p w14:paraId="6C5AE145" w14:textId="32CFD33D" w:rsidR="004B0799" w:rsidRDefault="004B0799" w:rsidP="00B9240E">
                  <w:pPr>
                    <w:pStyle w:val="TableBodyText"/>
                    <w:ind w:right="23"/>
                  </w:pPr>
                  <w:r>
                    <w:t>..</w:t>
                  </w:r>
                </w:p>
              </w:tc>
              <w:tc>
                <w:tcPr>
                  <w:tcW w:w="661" w:type="dxa"/>
                  <w:vAlign w:val="center"/>
                </w:tcPr>
                <w:p w14:paraId="758101D5" w14:textId="69E7A6DF" w:rsidR="004B0799" w:rsidRDefault="004B0799" w:rsidP="00B9240E">
                  <w:pPr>
                    <w:pStyle w:val="TableBodyText"/>
                    <w:ind w:right="23"/>
                  </w:pPr>
                  <w:r>
                    <w:t>..</w:t>
                  </w:r>
                </w:p>
              </w:tc>
              <w:tc>
                <w:tcPr>
                  <w:tcW w:w="661" w:type="dxa"/>
                  <w:vAlign w:val="center"/>
                </w:tcPr>
                <w:p w14:paraId="71304CA0" w14:textId="76F99F70" w:rsidR="004B0799" w:rsidRDefault="004B0799" w:rsidP="00B9240E">
                  <w:pPr>
                    <w:pStyle w:val="TableBodyText"/>
                    <w:ind w:right="23"/>
                  </w:pPr>
                  <w:r>
                    <w:t>..</w:t>
                  </w:r>
                </w:p>
              </w:tc>
              <w:tc>
                <w:tcPr>
                  <w:tcW w:w="660" w:type="dxa"/>
                  <w:vAlign w:val="center"/>
                </w:tcPr>
                <w:p w14:paraId="64F886E4" w14:textId="61667124" w:rsidR="004B0799" w:rsidRDefault="004B0799" w:rsidP="00B9240E">
                  <w:pPr>
                    <w:pStyle w:val="TableBodyText"/>
                    <w:ind w:right="23"/>
                  </w:pPr>
                  <w:r>
                    <w:t>..</w:t>
                  </w:r>
                </w:p>
              </w:tc>
              <w:tc>
                <w:tcPr>
                  <w:tcW w:w="661" w:type="dxa"/>
                  <w:vAlign w:val="center"/>
                </w:tcPr>
                <w:p w14:paraId="2D5BC0E8" w14:textId="320F49D2" w:rsidR="004B0799" w:rsidRDefault="004B0799" w:rsidP="00B9240E">
                  <w:pPr>
                    <w:pStyle w:val="TableBodyText"/>
                    <w:ind w:right="23"/>
                  </w:pPr>
                  <w:r>
                    <w:t>..</w:t>
                  </w:r>
                </w:p>
              </w:tc>
              <w:tc>
                <w:tcPr>
                  <w:tcW w:w="661" w:type="dxa"/>
                  <w:vAlign w:val="center"/>
                </w:tcPr>
                <w:p w14:paraId="34044339" w14:textId="0F8FCBAB" w:rsidR="004B0799" w:rsidRDefault="004B0799" w:rsidP="00B9240E">
                  <w:pPr>
                    <w:pStyle w:val="TableBodyText"/>
                    <w:ind w:right="23"/>
                  </w:pPr>
                  <w:r>
                    <w:t>..</w:t>
                  </w:r>
                </w:p>
              </w:tc>
              <w:tc>
                <w:tcPr>
                  <w:tcW w:w="660" w:type="dxa"/>
                  <w:vAlign w:val="center"/>
                </w:tcPr>
                <w:p w14:paraId="2293AB5D" w14:textId="1A851273" w:rsidR="004B0799" w:rsidRDefault="004B0799" w:rsidP="00B9240E">
                  <w:pPr>
                    <w:pStyle w:val="TableBodyText"/>
                    <w:ind w:right="23"/>
                  </w:pPr>
                  <w:r>
                    <w:t>..</w:t>
                  </w:r>
                </w:p>
              </w:tc>
              <w:tc>
                <w:tcPr>
                  <w:tcW w:w="661" w:type="dxa"/>
                  <w:vAlign w:val="center"/>
                </w:tcPr>
                <w:p w14:paraId="1621D778" w14:textId="7E218982" w:rsidR="004B0799" w:rsidRDefault="004B0799" w:rsidP="00B9240E">
                  <w:pPr>
                    <w:pStyle w:val="TableBodyText"/>
                    <w:ind w:right="23"/>
                  </w:pPr>
                  <w:r>
                    <w:t>..</w:t>
                  </w:r>
                </w:p>
              </w:tc>
              <w:tc>
                <w:tcPr>
                  <w:tcW w:w="661" w:type="dxa"/>
                  <w:vAlign w:val="center"/>
                </w:tcPr>
                <w:p w14:paraId="2B53D16A" w14:textId="67A54838" w:rsidR="004B0799" w:rsidRDefault="004B0799" w:rsidP="00B9240E">
                  <w:pPr>
                    <w:pStyle w:val="TableBodyText"/>
                    <w:ind w:right="23"/>
                  </w:pPr>
                  <w:r>
                    <w:t xml:space="preserve">  611</w:t>
                  </w:r>
                </w:p>
              </w:tc>
              <w:tc>
                <w:tcPr>
                  <w:tcW w:w="661" w:type="dxa"/>
                  <w:vAlign w:val="center"/>
                </w:tcPr>
                <w:p w14:paraId="49959989" w14:textId="2682A47D" w:rsidR="004B0799" w:rsidRDefault="008F429B" w:rsidP="00B9240E">
                  <w:pPr>
                    <w:pStyle w:val="TableBodyText"/>
                    <w:ind w:right="23"/>
                  </w:pPr>
                  <w:r>
                    <w:t>611</w:t>
                  </w:r>
                </w:p>
              </w:tc>
            </w:tr>
            <w:tr w:rsidR="004B0799" w:rsidRPr="001D4C8E" w14:paraId="29C5DA8E" w14:textId="77777777" w:rsidTr="00B9240E">
              <w:tc>
                <w:tcPr>
                  <w:tcW w:w="1898" w:type="dxa"/>
                  <w:tcBorders>
                    <w:bottom w:val="single" w:sz="4" w:space="0" w:color="BFBFBF"/>
                  </w:tcBorders>
                  <w:vAlign w:val="bottom"/>
                </w:tcPr>
                <w:p w14:paraId="4CBAF1D3" w14:textId="77777777" w:rsidR="004B0799" w:rsidRPr="00DC49DD" w:rsidRDefault="004B0799" w:rsidP="004B0799">
                  <w:pPr>
                    <w:pStyle w:val="TableBodyText"/>
                    <w:spacing w:before="40"/>
                    <w:jc w:val="left"/>
                  </w:pPr>
                  <w:r w:rsidRPr="00DC49DD">
                    <w:t>Probate — Supreme</w:t>
                  </w:r>
                </w:p>
              </w:tc>
              <w:tc>
                <w:tcPr>
                  <w:tcW w:w="660" w:type="dxa"/>
                  <w:tcBorders>
                    <w:bottom w:val="single" w:sz="4" w:space="0" w:color="BFBFBF"/>
                  </w:tcBorders>
                  <w:vAlign w:val="center"/>
                </w:tcPr>
                <w:p w14:paraId="3ADBF78E" w14:textId="3BD53DBE" w:rsidR="004B0799" w:rsidRDefault="004B0799" w:rsidP="00B9240E">
                  <w:pPr>
                    <w:pStyle w:val="TableBodyText"/>
                    <w:ind w:right="23"/>
                  </w:pPr>
                  <w:r>
                    <w:t xml:space="preserve"> 1 450</w:t>
                  </w:r>
                </w:p>
              </w:tc>
              <w:tc>
                <w:tcPr>
                  <w:tcW w:w="661" w:type="dxa"/>
                  <w:tcBorders>
                    <w:bottom w:val="single" w:sz="4" w:space="0" w:color="BFBFBF"/>
                  </w:tcBorders>
                  <w:vAlign w:val="center"/>
                </w:tcPr>
                <w:p w14:paraId="23B4DC80" w14:textId="7EAE6CB9" w:rsidR="004B0799" w:rsidRDefault="004B0799" w:rsidP="00B9240E">
                  <w:pPr>
                    <w:pStyle w:val="TableBodyText"/>
                    <w:ind w:right="23"/>
                  </w:pPr>
                  <w:r>
                    <w:t xml:space="preserve">  383</w:t>
                  </w:r>
                </w:p>
              </w:tc>
              <w:tc>
                <w:tcPr>
                  <w:tcW w:w="661" w:type="dxa"/>
                  <w:tcBorders>
                    <w:bottom w:val="single" w:sz="4" w:space="0" w:color="BFBFBF"/>
                  </w:tcBorders>
                  <w:shd w:val="clear" w:color="auto" w:fill="auto"/>
                  <w:vAlign w:val="center"/>
                </w:tcPr>
                <w:p w14:paraId="6C7BF323" w14:textId="048DF916" w:rsidR="004B0799" w:rsidRDefault="004B0799" w:rsidP="00B9240E">
                  <w:pPr>
                    <w:pStyle w:val="TableBodyText"/>
                    <w:ind w:right="23"/>
                  </w:pPr>
                  <w:r>
                    <w:t xml:space="preserve">  660</w:t>
                  </w:r>
                </w:p>
              </w:tc>
              <w:tc>
                <w:tcPr>
                  <w:tcW w:w="660" w:type="dxa"/>
                  <w:tcBorders>
                    <w:bottom w:val="single" w:sz="4" w:space="0" w:color="BFBFBF"/>
                  </w:tcBorders>
                  <w:shd w:val="clear" w:color="auto" w:fill="auto"/>
                  <w:vAlign w:val="center"/>
                </w:tcPr>
                <w:p w14:paraId="6A2B8158" w14:textId="5599687A" w:rsidR="004B0799" w:rsidRDefault="004B0799" w:rsidP="00B9240E">
                  <w:pPr>
                    <w:pStyle w:val="TableBodyText"/>
                    <w:ind w:right="23"/>
                  </w:pPr>
                  <w:r>
                    <w:t xml:space="preserve">  347</w:t>
                  </w:r>
                </w:p>
              </w:tc>
              <w:tc>
                <w:tcPr>
                  <w:tcW w:w="661" w:type="dxa"/>
                  <w:tcBorders>
                    <w:bottom w:val="single" w:sz="4" w:space="0" w:color="BFBFBF"/>
                  </w:tcBorders>
                  <w:vAlign w:val="center"/>
                </w:tcPr>
                <w:p w14:paraId="220E0215" w14:textId="794A05F4" w:rsidR="004B0799" w:rsidRDefault="004B0799" w:rsidP="00B9240E">
                  <w:pPr>
                    <w:pStyle w:val="TableBodyText"/>
                    <w:ind w:right="23"/>
                  </w:pPr>
                  <w:r>
                    <w:t xml:space="preserve"> 1 611</w:t>
                  </w:r>
                </w:p>
              </w:tc>
              <w:tc>
                <w:tcPr>
                  <w:tcW w:w="661" w:type="dxa"/>
                  <w:tcBorders>
                    <w:bottom w:val="single" w:sz="4" w:space="0" w:color="BFBFBF"/>
                  </w:tcBorders>
                  <w:vAlign w:val="center"/>
                </w:tcPr>
                <w:p w14:paraId="0E72B5CD" w14:textId="27D36897" w:rsidR="004B0799" w:rsidRDefault="004B0799" w:rsidP="00B9240E">
                  <w:pPr>
                    <w:pStyle w:val="TableBodyText"/>
                    <w:ind w:right="23"/>
                  </w:pPr>
                  <w:r>
                    <w:t xml:space="preserve">  687</w:t>
                  </w:r>
                </w:p>
              </w:tc>
              <w:tc>
                <w:tcPr>
                  <w:tcW w:w="660" w:type="dxa"/>
                  <w:tcBorders>
                    <w:bottom w:val="single" w:sz="4" w:space="0" w:color="BFBFBF"/>
                  </w:tcBorders>
                  <w:vAlign w:val="center"/>
                </w:tcPr>
                <w:p w14:paraId="61B5289A" w14:textId="74602193" w:rsidR="004B0799" w:rsidRDefault="004B0799" w:rsidP="00B9240E">
                  <w:pPr>
                    <w:pStyle w:val="TableBodyText"/>
                    <w:ind w:right="23"/>
                  </w:pPr>
                  <w:r>
                    <w:t xml:space="preserve"> 1 322</w:t>
                  </w:r>
                </w:p>
              </w:tc>
              <w:tc>
                <w:tcPr>
                  <w:tcW w:w="661" w:type="dxa"/>
                  <w:tcBorders>
                    <w:bottom w:val="single" w:sz="4" w:space="0" w:color="BFBFBF"/>
                  </w:tcBorders>
                  <w:vAlign w:val="center"/>
                </w:tcPr>
                <w:p w14:paraId="7DE37F72" w14:textId="26F4F180" w:rsidR="004B0799" w:rsidRDefault="004B0799" w:rsidP="00B9240E">
                  <w:pPr>
                    <w:pStyle w:val="TableBodyText"/>
                    <w:ind w:right="23"/>
                  </w:pPr>
                  <w:r>
                    <w:t xml:space="preserve"> 1 215</w:t>
                  </w:r>
                </w:p>
              </w:tc>
              <w:tc>
                <w:tcPr>
                  <w:tcW w:w="661" w:type="dxa"/>
                  <w:tcBorders>
                    <w:bottom w:val="single" w:sz="4" w:space="0" w:color="BFBFBF"/>
                  </w:tcBorders>
                  <w:vAlign w:val="center"/>
                </w:tcPr>
                <w:p w14:paraId="1B9D4103" w14:textId="1DE180F6" w:rsidR="004B0799" w:rsidRDefault="004B0799" w:rsidP="00B9240E">
                  <w:pPr>
                    <w:pStyle w:val="TableBodyText"/>
                    <w:ind w:right="23"/>
                  </w:pPr>
                  <w:r>
                    <w:t>..</w:t>
                  </w:r>
                </w:p>
              </w:tc>
              <w:tc>
                <w:tcPr>
                  <w:tcW w:w="661" w:type="dxa"/>
                  <w:tcBorders>
                    <w:bottom w:val="single" w:sz="4" w:space="0" w:color="BFBFBF"/>
                  </w:tcBorders>
                  <w:vAlign w:val="center"/>
                </w:tcPr>
                <w:p w14:paraId="7AD3C8A8" w14:textId="6F1D1F74" w:rsidR="004B0799" w:rsidRDefault="004B0799" w:rsidP="00B9240E">
                  <w:pPr>
                    <w:pStyle w:val="TableBodyText"/>
                    <w:ind w:right="23"/>
                  </w:pPr>
                  <w:r>
                    <w:t xml:space="preserve">  922</w:t>
                  </w:r>
                </w:p>
              </w:tc>
            </w:tr>
          </w:tbl>
          <w:p w14:paraId="265E4770" w14:textId="77777777" w:rsidR="00EC63FC" w:rsidRDefault="00EC63FC" w:rsidP="009B6132">
            <w:pPr>
              <w:pStyle w:val="Box"/>
            </w:pPr>
          </w:p>
        </w:tc>
      </w:tr>
      <w:tr w:rsidR="00EC63FC" w14:paraId="1656E44A" w14:textId="77777777" w:rsidTr="00B9240E">
        <w:trPr>
          <w:cantSplit/>
        </w:trPr>
        <w:tc>
          <w:tcPr>
            <w:tcW w:w="8789" w:type="dxa"/>
            <w:tcBorders>
              <w:top w:val="nil"/>
              <w:left w:val="nil"/>
              <w:bottom w:val="nil"/>
              <w:right w:val="nil"/>
            </w:tcBorders>
            <w:shd w:val="clear" w:color="auto" w:fill="auto"/>
          </w:tcPr>
          <w:p w14:paraId="0CCC57F4" w14:textId="1CCECDD5" w:rsidR="00EC63FC" w:rsidRDefault="00EC63FC" w:rsidP="009B6132">
            <w:pPr>
              <w:pStyle w:val="Note"/>
              <w:rPr>
                <w:i/>
                <w:szCs w:val="26"/>
                <w:lang w:eastAsia="en-US"/>
              </w:rPr>
            </w:pPr>
            <w:r>
              <w:rPr>
                <w:rStyle w:val="NoteLabel"/>
              </w:rPr>
              <w:t>a </w:t>
            </w:r>
            <w:r w:rsidRPr="00F86070">
              <w:t>See box 7.</w:t>
            </w:r>
            <w:r w:rsidR="00A722C4">
              <w:t>8</w:t>
            </w:r>
            <w:r w:rsidR="00C0681A">
              <w:t xml:space="preserve"> and table 7A.15</w:t>
            </w:r>
            <w:r w:rsidRPr="00F86070">
              <w:t xml:space="preserve"> for detailed definitions, footnotes and caveats.</w:t>
            </w:r>
            <w:r>
              <w:t xml:space="preserve"> </w:t>
            </w:r>
            <w:r>
              <w:rPr>
                <w:rStyle w:val="NoteLabel"/>
              </w:rPr>
              <w:t>b</w:t>
            </w:r>
            <w:r w:rsidRPr="00B717AE">
              <w:t> </w:t>
            </w:r>
            <w:r>
              <w:t>Enforcement, transcript and mediation fees are excluded.</w:t>
            </w:r>
            <w:r w:rsidRPr="00B717AE">
              <w:t xml:space="preserve"> </w:t>
            </w:r>
            <w:r w:rsidRPr="004B239F">
              <w:t>..</w:t>
            </w:r>
            <w:r w:rsidRPr="00B717AE">
              <w:rPr>
                <w:b/>
              </w:rPr>
              <w:t> </w:t>
            </w:r>
            <w:r w:rsidRPr="00B717AE">
              <w:t xml:space="preserve">Not applicable. </w:t>
            </w:r>
            <w:r w:rsidRPr="00B717AE">
              <w:rPr>
                <w:b/>
              </w:rPr>
              <w:t>–</w:t>
            </w:r>
            <w:r w:rsidRPr="00B717AE">
              <w:t xml:space="preserve"> Nil or rounded to zero.</w:t>
            </w:r>
          </w:p>
        </w:tc>
      </w:tr>
      <w:tr w:rsidR="00EC63FC" w14:paraId="491F6BE2" w14:textId="77777777" w:rsidTr="00B9240E">
        <w:trPr>
          <w:cantSplit/>
        </w:trPr>
        <w:tc>
          <w:tcPr>
            <w:tcW w:w="8789" w:type="dxa"/>
            <w:tcBorders>
              <w:top w:val="nil"/>
              <w:left w:val="nil"/>
              <w:bottom w:val="nil"/>
              <w:right w:val="nil"/>
            </w:tcBorders>
            <w:shd w:val="clear" w:color="auto" w:fill="auto"/>
          </w:tcPr>
          <w:p w14:paraId="1E80AAA6" w14:textId="1DEC6916" w:rsidR="00EC63FC" w:rsidRDefault="00EC63FC" w:rsidP="009B6132">
            <w:pPr>
              <w:pStyle w:val="Source"/>
            </w:pPr>
            <w:r>
              <w:rPr>
                <w:i/>
              </w:rPr>
              <w:t>Source</w:t>
            </w:r>
            <w:r w:rsidRPr="00AF5D20">
              <w:t>:</w:t>
            </w:r>
            <w:r>
              <w:rPr>
                <w:i/>
              </w:rPr>
              <w:t xml:space="preserve"> </w:t>
            </w:r>
            <w:r>
              <w:t xml:space="preserve">Australian, </w:t>
            </w:r>
            <w:r w:rsidRPr="00B56A78">
              <w:t>State and Territory court authorities and de</w:t>
            </w:r>
            <w:r>
              <w:t>partments (unpublished); table 7</w:t>
            </w:r>
            <w:r w:rsidRPr="00B56A78">
              <w:t>A.1</w:t>
            </w:r>
            <w:r w:rsidR="00C0681A">
              <w:t>5</w:t>
            </w:r>
            <w:r w:rsidRPr="00B56A78">
              <w:t>.</w:t>
            </w:r>
          </w:p>
        </w:tc>
      </w:tr>
      <w:tr w:rsidR="004B0BD8" w14:paraId="4C553613" w14:textId="77777777" w:rsidTr="00B9240E">
        <w:trPr>
          <w:cantSplit/>
        </w:trPr>
        <w:tc>
          <w:tcPr>
            <w:tcW w:w="8789" w:type="dxa"/>
            <w:tcBorders>
              <w:top w:val="nil"/>
              <w:left w:val="nil"/>
              <w:bottom w:val="nil"/>
              <w:right w:val="nil"/>
            </w:tcBorders>
            <w:shd w:val="clear" w:color="auto" w:fill="auto"/>
          </w:tcPr>
          <w:p w14:paraId="425B86F5" w14:textId="77777777" w:rsidR="004B0BD8" w:rsidRDefault="004B0BD8" w:rsidP="006278A9">
            <w:pPr>
              <w:pStyle w:val="Figurespace"/>
              <w:rPr>
                <w:i/>
              </w:rPr>
            </w:pPr>
          </w:p>
        </w:tc>
      </w:tr>
      <w:tr w:rsidR="00EC63FC" w:rsidRPr="000863A5" w14:paraId="5D1F94A6" w14:textId="77777777" w:rsidTr="00B9240E">
        <w:tc>
          <w:tcPr>
            <w:tcW w:w="8789" w:type="dxa"/>
            <w:tcBorders>
              <w:top w:val="single" w:sz="6" w:space="0" w:color="78A22F" w:themeColor="accent1"/>
              <w:left w:val="nil"/>
              <w:bottom w:val="nil"/>
              <w:right w:val="nil"/>
            </w:tcBorders>
          </w:tcPr>
          <w:p w14:paraId="557AA52D" w14:textId="77777777" w:rsidR="00EC63FC" w:rsidRPr="00626D32" w:rsidRDefault="00EC63FC" w:rsidP="009B6132">
            <w:pPr>
              <w:pStyle w:val="BoxSpaceBelow"/>
            </w:pPr>
          </w:p>
        </w:tc>
      </w:tr>
    </w:tbl>
    <w:p w14:paraId="70933978" w14:textId="77777777" w:rsidR="00A22203" w:rsidRDefault="00A22203" w:rsidP="00A22203">
      <w:pPr>
        <w:pStyle w:val="Heading4"/>
      </w:pPr>
      <w:r>
        <w:t>Quality — Court file integrity</w:t>
      </w:r>
    </w:p>
    <w:p w14:paraId="5B10B24B" w14:textId="317795AF" w:rsidR="00A22203" w:rsidRPr="004334A7" w:rsidRDefault="00A22203" w:rsidP="00A22203">
      <w:pPr>
        <w:pStyle w:val="BodyText"/>
      </w:pPr>
      <w:r w:rsidRPr="004334A7">
        <w:t xml:space="preserve">‘Court file integrity’ is </w:t>
      </w:r>
      <w:r>
        <w:t xml:space="preserve">an indicator of governments’ objective to provide court services in a high quality manner </w:t>
      </w:r>
      <w:r w:rsidRPr="004334A7">
        <w:t>(box 7.</w:t>
      </w:r>
      <w:r w:rsidR="00376F6C">
        <w:t>9</w:t>
      </w:r>
      <w:r w:rsidRPr="004334A7">
        <w:t>).</w:t>
      </w:r>
      <w:r>
        <w:t xml:space="preserve"> Accurate, complete and readily available court files and records are critical for effective case management and daily court operations.</w:t>
      </w:r>
    </w:p>
    <w:p w14:paraId="2A94D145" w14:textId="77777777" w:rsidR="00A22203" w:rsidRDefault="00A22203" w:rsidP="00A2220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22203" w14:paraId="2000BD88" w14:textId="77777777" w:rsidTr="00B9240E">
        <w:tc>
          <w:tcPr>
            <w:tcW w:w="8789" w:type="dxa"/>
            <w:tcBorders>
              <w:top w:val="single" w:sz="6" w:space="0" w:color="78A22F"/>
              <w:left w:val="nil"/>
              <w:bottom w:val="nil"/>
              <w:right w:val="nil"/>
            </w:tcBorders>
            <w:shd w:val="clear" w:color="auto" w:fill="F2F2F2" w:themeFill="background1" w:themeFillShade="F2"/>
          </w:tcPr>
          <w:p w14:paraId="2A2D1EBB" w14:textId="452EBA04" w:rsidR="00A22203" w:rsidRDefault="00A22203" w:rsidP="00376F6C">
            <w:pPr>
              <w:pStyle w:val="BoxTitle"/>
              <w:rPr>
                <w:lang w:eastAsia="en-US"/>
              </w:rPr>
            </w:pPr>
            <w:r>
              <w:rPr>
                <w:b w:val="0"/>
              </w:rPr>
              <w:t>Box 7.</w:t>
            </w:r>
            <w:r w:rsidR="00376F6C">
              <w:rPr>
                <w:b w:val="0"/>
              </w:rPr>
              <w:t>9</w:t>
            </w:r>
            <w:r>
              <w:tab/>
              <w:t>Court file integrity</w:t>
            </w:r>
          </w:p>
        </w:tc>
      </w:tr>
      <w:tr w:rsidR="00A22203" w14:paraId="632BE4C1" w14:textId="77777777" w:rsidTr="00B9240E">
        <w:trPr>
          <w:cantSplit/>
        </w:trPr>
        <w:tc>
          <w:tcPr>
            <w:tcW w:w="8789" w:type="dxa"/>
            <w:tcBorders>
              <w:top w:val="nil"/>
              <w:left w:val="nil"/>
              <w:bottom w:val="nil"/>
              <w:right w:val="nil"/>
            </w:tcBorders>
            <w:shd w:val="clear" w:color="auto" w:fill="F2F2F2" w:themeFill="background1" w:themeFillShade="F2"/>
          </w:tcPr>
          <w:p w14:paraId="5773DCD4" w14:textId="77777777" w:rsidR="00A22203" w:rsidRDefault="00A22203" w:rsidP="003C4BB2">
            <w:pPr>
              <w:pStyle w:val="Box"/>
              <w:tabs>
                <w:tab w:val="left" w:pos="1020"/>
              </w:tabs>
              <w:spacing w:after="120"/>
            </w:pPr>
            <w:r>
              <w:t>‘Court file integrity’ is defined as the proportion of court files that are accessible, accurate and complete.</w:t>
            </w:r>
          </w:p>
          <w:p w14:paraId="12EB835D" w14:textId="77777777" w:rsidR="00A22203" w:rsidRDefault="00A22203" w:rsidP="003C4BB2">
            <w:pPr>
              <w:pStyle w:val="Box"/>
              <w:tabs>
                <w:tab w:val="left" w:pos="1020"/>
              </w:tabs>
              <w:spacing w:after="120"/>
            </w:pPr>
            <w:r>
              <w:t>High or increasing levels of court file integrity are desirable.</w:t>
            </w:r>
          </w:p>
          <w:p w14:paraId="701B5229" w14:textId="77777777" w:rsidR="00A22203" w:rsidRPr="00B65A65" w:rsidRDefault="00A22203" w:rsidP="003C4BB2">
            <w:pPr>
              <w:pStyle w:val="Box"/>
              <w:tabs>
                <w:tab w:val="left" w:pos="1020"/>
              </w:tabs>
              <w:spacing w:after="120"/>
            </w:pPr>
            <w:r>
              <w:t>Data are not yet available for reporting against this indicator.</w:t>
            </w:r>
          </w:p>
        </w:tc>
      </w:tr>
      <w:tr w:rsidR="00A22203" w:rsidRPr="000863A5" w14:paraId="118D8777" w14:textId="77777777" w:rsidTr="00B9240E">
        <w:tc>
          <w:tcPr>
            <w:tcW w:w="8789" w:type="dxa"/>
            <w:tcBorders>
              <w:top w:val="single" w:sz="6" w:space="0" w:color="78A22F"/>
              <w:left w:val="nil"/>
              <w:bottom w:val="nil"/>
              <w:right w:val="nil"/>
            </w:tcBorders>
          </w:tcPr>
          <w:p w14:paraId="25F3B5AD" w14:textId="77777777" w:rsidR="00A22203" w:rsidRPr="00626D32" w:rsidRDefault="00A22203" w:rsidP="003C4BB2">
            <w:pPr>
              <w:pStyle w:val="BoxSpaceBelow"/>
            </w:pPr>
          </w:p>
        </w:tc>
      </w:tr>
    </w:tbl>
    <w:p w14:paraId="1F969453" w14:textId="77777777" w:rsidR="00EC63FC" w:rsidRDefault="00EC63FC" w:rsidP="00167BB6">
      <w:pPr>
        <w:pStyle w:val="Heading4"/>
      </w:pPr>
      <w:r>
        <w:t xml:space="preserve">Homicide and related offences </w:t>
      </w:r>
      <w:r w:rsidRPr="00D93C46">
        <w:t>— selected indicators</w:t>
      </w:r>
    </w:p>
    <w:p w14:paraId="6EC4FCD5" w14:textId="6372E623" w:rsidR="00EC63FC" w:rsidRPr="00C4205E" w:rsidRDefault="000E0EB3" w:rsidP="00EC63FC">
      <w:pPr>
        <w:pStyle w:val="BodyText"/>
      </w:pPr>
      <w:r>
        <w:t>C</w:t>
      </w:r>
      <w:r w:rsidR="00EC63FC" w:rsidRPr="00C4205E">
        <w:t>ase-type ca</w:t>
      </w:r>
      <w:r w:rsidR="00360EDF">
        <w:t xml:space="preserve">n have a significant impact on </w:t>
      </w:r>
      <w:r w:rsidR="00EC63FC" w:rsidRPr="00C4205E">
        <w:t>performance against certain indicators – some case types will inherently require more court time and judicial resources than other case types, which may impact o</w:t>
      </w:r>
      <w:r w:rsidR="00360EDF">
        <w:t xml:space="preserve">n backlog and clearance rates. </w:t>
      </w:r>
      <w:r w:rsidR="00EC63FC" w:rsidRPr="00C4205E">
        <w:t xml:space="preserve">Aggregating performance across all case-types can mask differences in case composition between jurisdictions and court levels. </w:t>
      </w:r>
    </w:p>
    <w:p w14:paraId="51376248" w14:textId="49DADA90" w:rsidR="00F46FA6" w:rsidRPr="008520CE" w:rsidRDefault="00EC63FC" w:rsidP="00EC63FC">
      <w:pPr>
        <w:pStyle w:val="BodyText"/>
      </w:pPr>
      <w:r w:rsidRPr="008520CE">
        <w:t>Homicide data have been selected to be presented by indicator in the chapter because of the seriousness of the offence.</w:t>
      </w:r>
      <w:r w:rsidR="00C123C7" w:rsidRPr="008520CE">
        <w:t xml:space="preserve"> </w:t>
      </w:r>
      <w:r w:rsidRPr="008520CE">
        <w:t>Table 7.</w:t>
      </w:r>
      <w:r w:rsidR="00814909" w:rsidRPr="008520CE">
        <w:t>1</w:t>
      </w:r>
      <w:r w:rsidR="002F7750" w:rsidRPr="008520CE">
        <w:t>0</w:t>
      </w:r>
      <w:r w:rsidRPr="008520CE">
        <w:t xml:space="preserve"> presents indicator data for backlog, attendance and clearance results for homicide and related matters processed by the Supreme, District, Magistrates</w:t>
      </w:r>
      <w:r w:rsidR="00705C3F">
        <w:t>’</w:t>
      </w:r>
      <w:r w:rsidRPr="008520CE">
        <w:t xml:space="preserve"> and Children’s courts during 201</w:t>
      </w:r>
      <w:r w:rsidR="008F6E44" w:rsidRPr="008520CE">
        <w:t>6</w:t>
      </w:r>
      <w:r w:rsidR="00362378">
        <w:rPr>
          <w:color w:val="000000" w:themeColor="text1"/>
        </w:rPr>
        <w:t>–</w:t>
      </w:r>
      <w:r w:rsidRPr="008520CE">
        <w:t>1</w:t>
      </w:r>
      <w:r w:rsidR="008F6E44" w:rsidRPr="008520CE">
        <w:t>7</w:t>
      </w:r>
      <w:r w:rsidRPr="008520CE">
        <w:t xml:space="preserve">. </w:t>
      </w:r>
      <w:r w:rsidR="00F46FA6" w:rsidRPr="008520CE">
        <w:t xml:space="preserve">Given that homicide-related lodgments are generally small in number, percentages in the table should be interpreted with caution. </w:t>
      </w:r>
    </w:p>
    <w:p w14:paraId="29219520" w14:textId="41367791" w:rsidR="00500AF4" w:rsidRDefault="00EC63FC" w:rsidP="008D0127">
      <w:pPr>
        <w:pStyle w:val="BodyText"/>
      </w:pPr>
      <w:r w:rsidRPr="008520CE">
        <w:t xml:space="preserve">A lodgment for homicide is counted where any criminal matter initiated, commenced, lodged or filed in a particular court level includes a charge of murder, attempted murder, manslaughter or driving causing death. </w:t>
      </w:r>
      <w:r w:rsidR="000E0EB3" w:rsidRPr="008520CE">
        <w:t>L</w:t>
      </w:r>
      <w:r w:rsidR="00D32B76" w:rsidRPr="008520CE">
        <w:t xml:space="preserve">odgments are based on </w:t>
      </w:r>
      <w:r w:rsidR="00E7400A" w:rsidRPr="008520CE">
        <w:t xml:space="preserve">a </w:t>
      </w:r>
      <w:r w:rsidR="00D32B76" w:rsidRPr="008520CE">
        <w:t>count</w:t>
      </w:r>
      <w:r w:rsidR="00E7400A" w:rsidRPr="008520CE">
        <w:t xml:space="preserve"> of defendants</w:t>
      </w:r>
      <w:r w:rsidR="00D32B76" w:rsidRPr="008520CE">
        <w:t>, not</w:t>
      </w:r>
      <w:r w:rsidR="00E7400A" w:rsidRPr="008520CE">
        <w:t xml:space="preserve"> a count of charges</w:t>
      </w:r>
      <w:r w:rsidR="000E0EB3" w:rsidRPr="008520CE">
        <w:t xml:space="preserve"> </w:t>
      </w:r>
      <w:r w:rsidR="002B3D6E" w:rsidRPr="008520CE">
        <w:t xml:space="preserve">(a defendant may have multiple charges) </w:t>
      </w:r>
      <w:r w:rsidR="000E0EB3" w:rsidRPr="008520CE">
        <w:t xml:space="preserve">and are </w:t>
      </w:r>
      <w:r w:rsidR="00500AF4" w:rsidRPr="008520CE">
        <w:t>counted independently at each court level</w:t>
      </w:r>
      <w:r w:rsidR="000E0EB3" w:rsidRPr="008520CE">
        <w:t xml:space="preserve">. The </w:t>
      </w:r>
      <w:r w:rsidR="00083390" w:rsidRPr="008520CE">
        <w:t>charge</w:t>
      </w:r>
      <w:r w:rsidR="00E54063" w:rsidRPr="008520CE">
        <w:t>(s)</w:t>
      </w:r>
      <w:r w:rsidR="00083390" w:rsidRPr="008520CE">
        <w:t xml:space="preserve"> against a defendant may change once a matter has been lodged in the courts and proceeds through the court process</w:t>
      </w:r>
      <w:r w:rsidR="000E0EB3" w:rsidRPr="008520CE">
        <w:t xml:space="preserve"> </w:t>
      </w:r>
      <w:r w:rsidR="00F46FA6" w:rsidRPr="008520CE">
        <w:t xml:space="preserve">and </w:t>
      </w:r>
      <w:r w:rsidR="00083390" w:rsidRPr="008520CE">
        <w:t xml:space="preserve">the </w:t>
      </w:r>
      <w:r w:rsidR="00E7400A" w:rsidRPr="008520CE">
        <w:t xml:space="preserve">data </w:t>
      </w:r>
      <w:r w:rsidR="00083390" w:rsidRPr="008520CE">
        <w:t xml:space="preserve">do not reflect </w:t>
      </w:r>
      <w:r w:rsidR="00CA6318" w:rsidRPr="008520CE">
        <w:t>whether</w:t>
      </w:r>
      <w:r w:rsidR="0008037F" w:rsidRPr="008520CE">
        <w:t xml:space="preserve"> or not</w:t>
      </w:r>
      <w:r w:rsidR="00CA6318" w:rsidRPr="008520CE">
        <w:t xml:space="preserve"> a defendant has been found </w:t>
      </w:r>
      <w:r w:rsidR="0008037F" w:rsidRPr="008520CE">
        <w:t>guilty</w:t>
      </w:r>
      <w:r w:rsidR="00E7400A" w:rsidRPr="008520CE">
        <w:t>.</w:t>
      </w:r>
      <w:r w:rsidR="00E54063" w:rsidRPr="008520CE">
        <w:t xml:space="preserve"> </w:t>
      </w:r>
    </w:p>
    <w:p w14:paraId="663116DB" w14:textId="77777777" w:rsidR="00B9240E" w:rsidRPr="008520CE" w:rsidRDefault="00B9240E" w:rsidP="008D0127">
      <w:pPr>
        <w:pStyle w:val="BodyText"/>
      </w:pPr>
    </w:p>
    <w:p w14:paraId="4C796209" w14:textId="77777777" w:rsidR="0023198B" w:rsidRDefault="0023198B" w:rsidP="003551D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23198B" w14:paraId="5433BD28" w14:textId="77777777" w:rsidTr="00B9240E">
        <w:tc>
          <w:tcPr>
            <w:tcW w:w="8789" w:type="dxa"/>
            <w:tcBorders>
              <w:top w:val="single" w:sz="6" w:space="0" w:color="78A22F" w:themeColor="accent1"/>
              <w:left w:val="nil"/>
              <w:bottom w:val="nil"/>
              <w:right w:val="nil"/>
            </w:tcBorders>
            <w:shd w:val="clear" w:color="auto" w:fill="auto"/>
          </w:tcPr>
          <w:p w14:paraId="67B2DF77" w14:textId="60D664B2" w:rsidR="0023198B" w:rsidRPr="00784A05" w:rsidRDefault="0023198B" w:rsidP="002F7750">
            <w:pPr>
              <w:pStyle w:val="TableTitle"/>
              <w:rPr>
                <w:lang w:eastAsia="en-US"/>
              </w:rPr>
            </w:pPr>
            <w:r>
              <w:rPr>
                <w:b w:val="0"/>
              </w:rPr>
              <w:t>Table 7</w:t>
            </w:r>
            <w:r w:rsidR="00253D16">
              <w:rPr>
                <w:b w:val="0"/>
              </w:rPr>
              <w:t>.</w:t>
            </w:r>
            <w:r w:rsidR="00814909">
              <w:rPr>
                <w:b w:val="0"/>
              </w:rPr>
              <w:t>1</w:t>
            </w:r>
            <w:r w:rsidR="002F7750">
              <w:rPr>
                <w:b w:val="0"/>
              </w:rPr>
              <w:t>0</w:t>
            </w:r>
            <w:r>
              <w:tab/>
              <w:t>Homicide and related offences</w:t>
            </w:r>
            <w:r w:rsidRPr="009B1B80">
              <w:t xml:space="preserve">, </w:t>
            </w:r>
            <w:r w:rsidRPr="00137F63">
              <w:t>201</w:t>
            </w:r>
            <w:r w:rsidR="008F6E44" w:rsidRPr="00137F63">
              <w:t>6</w:t>
            </w:r>
            <w:r w:rsidRPr="00137F63">
              <w:t>-1</w:t>
            </w:r>
            <w:r w:rsidR="008F6E44" w:rsidRPr="00137F63">
              <w:t>7</w:t>
            </w:r>
            <w:r w:rsidRPr="00137F63">
              <w:rPr>
                <w:rStyle w:val="NoteLabel"/>
                <w:b/>
              </w:rPr>
              <w:t>a</w:t>
            </w:r>
          </w:p>
        </w:tc>
      </w:tr>
      <w:tr w:rsidR="0023198B" w14:paraId="5613E639" w14:textId="77777777" w:rsidTr="00B9240E">
        <w:trPr>
          <w:cantSplit/>
        </w:trPr>
        <w:tc>
          <w:tcPr>
            <w:tcW w:w="8789" w:type="dxa"/>
            <w:tcBorders>
              <w:top w:val="nil"/>
              <w:left w:val="nil"/>
              <w:bottom w:val="nil"/>
              <w:right w:val="nil"/>
            </w:tcBorders>
            <w:shd w:val="clear" w:color="auto" w:fill="auto"/>
          </w:tcPr>
          <w:tbl>
            <w:tblPr>
              <w:tblW w:w="8489" w:type="dxa"/>
              <w:tblCellMar>
                <w:left w:w="0" w:type="dxa"/>
                <w:right w:w="0" w:type="dxa"/>
              </w:tblCellMar>
              <w:tblLook w:val="0000" w:firstRow="0" w:lastRow="0" w:firstColumn="0" w:lastColumn="0" w:noHBand="0" w:noVBand="0"/>
            </w:tblPr>
            <w:tblGrid>
              <w:gridCol w:w="1681"/>
              <w:gridCol w:w="530"/>
              <w:gridCol w:w="985"/>
              <w:gridCol w:w="912"/>
              <w:gridCol w:w="789"/>
              <w:gridCol w:w="718"/>
              <w:gridCol w:w="718"/>
              <w:gridCol w:w="718"/>
              <w:gridCol w:w="718"/>
              <w:gridCol w:w="720"/>
            </w:tblGrid>
            <w:tr w:rsidR="006450F3" w:rsidRPr="00013DF9" w14:paraId="03724ECD" w14:textId="77777777" w:rsidTr="000441BF">
              <w:tc>
                <w:tcPr>
                  <w:tcW w:w="990" w:type="pct"/>
                  <w:tcBorders>
                    <w:top w:val="single" w:sz="6" w:space="0" w:color="BFBFBF"/>
                    <w:bottom w:val="single" w:sz="6" w:space="0" w:color="BFBFBF"/>
                  </w:tcBorders>
                  <w:shd w:val="clear" w:color="auto" w:fill="auto"/>
                </w:tcPr>
                <w:p w14:paraId="5FEC9B12" w14:textId="77777777" w:rsidR="006450F3" w:rsidRPr="00013DF9" w:rsidRDefault="006450F3" w:rsidP="00FA59A6">
                  <w:pPr>
                    <w:pStyle w:val="TableColumnHeading"/>
                    <w:ind w:left="0" w:right="28"/>
                    <w:jc w:val="left"/>
                  </w:pPr>
                </w:p>
              </w:tc>
              <w:tc>
                <w:tcPr>
                  <w:tcW w:w="312" w:type="pct"/>
                  <w:tcBorders>
                    <w:top w:val="single" w:sz="6" w:space="0" w:color="BFBFBF"/>
                    <w:bottom w:val="single" w:sz="6" w:space="0" w:color="BFBFBF"/>
                  </w:tcBorders>
                </w:tcPr>
                <w:p w14:paraId="1305DED4" w14:textId="77777777" w:rsidR="006450F3" w:rsidRPr="00013DF9" w:rsidRDefault="00FA59A6" w:rsidP="00FA59A6">
                  <w:pPr>
                    <w:pStyle w:val="TableColumnHeading"/>
                    <w:ind w:left="0" w:right="28"/>
                  </w:pPr>
                  <w:r>
                    <w:t>U</w:t>
                  </w:r>
                  <w:r w:rsidR="006450F3" w:rsidRPr="00013DF9">
                    <w:t>nit</w:t>
                  </w:r>
                </w:p>
              </w:tc>
              <w:tc>
                <w:tcPr>
                  <w:tcW w:w="580" w:type="pct"/>
                  <w:tcBorders>
                    <w:top w:val="single" w:sz="6" w:space="0" w:color="BFBFBF"/>
                    <w:bottom w:val="single" w:sz="6" w:space="0" w:color="BFBFBF"/>
                  </w:tcBorders>
                  <w:shd w:val="clear" w:color="auto" w:fill="auto"/>
                </w:tcPr>
                <w:p w14:paraId="634223F6" w14:textId="77777777" w:rsidR="006450F3" w:rsidRPr="00013DF9" w:rsidRDefault="006450F3" w:rsidP="00FA59A6">
                  <w:pPr>
                    <w:pStyle w:val="TableColumnHeading"/>
                    <w:ind w:left="0" w:right="28"/>
                  </w:pPr>
                  <w:r w:rsidRPr="00013DF9">
                    <w:t>NSW</w:t>
                  </w:r>
                </w:p>
              </w:tc>
              <w:tc>
                <w:tcPr>
                  <w:tcW w:w="537" w:type="pct"/>
                  <w:tcBorders>
                    <w:top w:val="single" w:sz="6" w:space="0" w:color="BFBFBF"/>
                    <w:bottom w:val="single" w:sz="6" w:space="0" w:color="BFBFBF"/>
                  </w:tcBorders>
                  <w:shd w:val="clear" w:color="auto" w:fill="auto"/>
                </w:tcPr>
                <w:p w14:paraId="7B6A7000" w14:textId="77777777" w:rsidR="006450F3" w:rsidRPr="00013DF9" w:rsidRDefault="006450F3" w:rsidP="00FA59A6">
                  <w:pPr>
                    <w:pStyle w:val="TableColumnHeading"/>
                    <w:ind w:left="0" w:right="28"/>
                  </w:pPr>
                  <w:r w:rsidRPr="00013DF9">
                    <w:t>Vic</w:t>
                  </w:r>
                </w:p>
              </w:tc>
              <w:tc>
                <w:tcPr>
                  <w:tcW w:w="465" w:type="pct"/>
                  <w:tcBorders>
                    <w:top w:val="single" w:sz="6" w:space="0" w:color="BFBFBF"/>
                    <w:bottom w:val="single" w:sz="6" w:space="0" w:color="BFBFBF"/>
                  </w:tcBorders>
                  <w:shd w:val="clear" w:color="auto" w:fill="auto"/>
                </w:tcPr>
                <w:p w14:paraId="3D57B5D3" w14:textId="77777777" w:rsidR="006450F3" w:rsidRPr="00013DF9" w:rsidRDefault="006450F3" w:rsidP="00FA59A6">
                  <w:pPr>
                    <w:pStyle w:val="TableColumnHeading"/>
                    <w:ind w:left="0" w:right="28"/>
                  </w:pPr>
                  <w:r w:rsidRPr="00013DF9">
                    <w:t>Qld</w:t>
                  </w:r>
                </w:p>
              </w:tc>
              <w:tc>
                <w:tcPr>
                  <w:tcW w:w="423" w:type="pct"/>
                  <w:tcBorders>
                    <w:top w:val="single" w:sz="6" w:space="0" w:color="BFBFBF"/>
                    <w:bottom w:val="single" w:sz="6" w:space="0" w:color="BFBFBF"/>
                  </w:tcBorders>
                  <w:shd w:val="clear" w:color="auto" w:fill="auto"/>
                </w:tcPr>
                <w:p w14:paraId="68E72303" w14:textId="77777777" w:rsidR="006450F3" w:rsidRPr="00013DF9" w:rsidRDefault="006450F3" w:rsidP="00FA59A6">
                  <w:pPr>
                    <w:pStyle w:val="TableColumnHeading"/>
                    <w:ind w:left="0" w:right="28"/>
                  </w:pPr>
                  <w:r w:rsidRPr="00013DF9">
                    <w:t>WA</w:t>
                  </w:r>
                </w:p>
              </w:tc>
              <w:tc>
                <w:tcPr>
                  <w:tcW w:w="423" w:type="pct"/>
                  <w:tcBorders>
                    <w:top w:val="single" w:sz="6" w:space="0" w:color="BFBFBF"/>
                    <w:bottom w:val="single" w:sz="6" w:space="0" w:color="BFBFBF"/>
                  </w:tcBorders>
                  <w:shd w:val="clear" w:color="auto" w:fill="auto"/>
                </w:tcPr>
                <w:p w14:paraId="06370F3F" w14:textId="77777777" w:rsidR="006450F3" w:rsidRPr="00013DF9" w:rsidRDefault="006450F3" w:rsidP="00FA59A6">
                  <w:pPr>
                    <w:pStyle w:val="TableColumnHeading"/>
                    <w:ind w:left="0" w:right="28"/>
                  </w:pPr>
                  <w:r w:rsidRPr="00013DF9">
                    <w:t>SA</w:t>
                  </w:r>
                </w:p>
              </w:tc>
              <w:tc>
                <w:tcPr>
                  <w:tcW w:w="423" w:type="pct"/>
                  <w:tcBorders>
                    <w:top w:val="single" w:sz="6" w:space="0" w:color="BFBFBF"/>
                    <w:bottom w:val="single" w:sz="6" w:space="0" w:color="BFBFBF"/>
                  </w:tcBorders>
                  <w:shd w:val="clear" w:color="auto" w:fill="auto"/>
                </w:tcPr>
                <w:p w14:paraId="09509F9C" w14:textId="77777777" w:rsidR="006450F3" w:rsidRPr="00013DF9" w:rsidRDefault="006450F3" w:rsidP="00FA59A6">
                  <w:pPr>
                    <w:pStyle w:val="TableColumnHeading"/>
                    <w:ind w:left="0" w:right="28"/>
                  </w:pPr>
                  <w:r w:rsidRPr="00013DF9">
                    <w:t>Tas</w:t>
                  </w:r>
                </w:p>
              </w:tc>
              <w:tc>
                <w:tcPr>
                  <w:tcW w:w="423" w:type="pct"/>
                  <w:tcBorders>
                    <w:top w:val="single" w:sz="6" w:space="0" w:color="BFBFBF"/>
                    <w:bottom w:val="single" w:sz="6" w:space="0" w:color="BFBFBF"/>
                  </w:tcBorders>
                  <w:shd w:val="clear" w:color="auto" w:fill="auto"/>
                </w:tcPr>
                <w:p w14:paraId="7507CE3A" w14:textId="77777777" w:rsidR="006450F3" w:rsidRPr="00013DF9" w:rsidRDefault="006450F3" w:rsidP="00FA59A6">
                  <w:pPr>
                    <w:pStyle w:val="TableColumnHeading"/>
                    <w:ind w:left="0" w:right="28"/>
                  </w:pPr>
                  <w:r w:rsidRPr="00013DF9">
                    <w:t>ACT</w:t>
                  </w:r>
                </w:p>
              </w:tc>
              <w:tc>
                <w:tcPr>
                  <w:tcW w:w="424" w:type="pct"/>
                  <w:tcBorders>
                    <w:top w:val="single" w:sz="6" w:space="0" w:color="BFBFBF"/>
                    <w:bottom w:val="single" w:sz="6" w:space="0" w:color="BFBFBF"/>
                  </w:tcBorders>
                  <w:shd w:val="clear" w:color="auto" w:fill="auto"/>
                </w:tcPr>
                <w:p w14:paraId="477F8DDE" w14:textId="77777777" w:rsidR="006450F3" w:rsidRPr="00013DF9" w:rsidRDefault="006450F3" w:rsidP="00FA59A6">
                  <w:pPr>
                    <w:pStyle w:val="TableColumnHeading"/>
                    <w:ind w:left="0" w:right="28"/>
                  </w:pPr>
                  <w:r w:rsidRPr="00013DF9">
                    <w:t>NT</w:t>
                  </w:r>
                </w:p>
              </w:tc>
            </w:tr>
            <w:tr w:rsidR="006450F3" w:rsidRPr="00013DF9" w14:paraId="348D8BB4" w14:textId="77777777" w:rsidTr="000441BF">
              <w:tc>
                <w:tcPr>
                  <w:tcW w:w="5000" w:type="pct"/>
                  <w:gridSpan w:val="10"/>
                  <w:tcBorders>
                    <w:top w:val="single" w:sz="6" w:space="0" w:color="BFBFBF"/>
                  </w:tcBorders>
                </w:tcPr>
                <w:p w14:paraId="5345B715" w14:textId="77777777" w:rsidR="006450F3" w:rsidRPr="00013DF9" w:rsidRDefault="006450F3" w:rsidP="00FA59A6">
                  <w:pPr>
                    <w:pStyle w:val="TableBodyText"/>
                    <w:spacing w:before="40"/>
                    <w:ind w:left="0" w:right="0"/>
                    <w:jc w:val="left"/>
                    <w:rPr>
                      <w:b/>
                    </w:rPr>
                  </w:pPr>
                  <w:r w:rsidRPr="00013DF9">
                    <w:rPr>
                      <w:b/>
                    </w:rPr>
                    <w:t>Supreme</w:t>
                  </w:r>
                </w:p>
              </w:tc>
            </w:tr>
            <w:tr w:rsidR="00FF68DB" w:rsidRPr="005651BA" w14:paraId="21F23DD3" w14:textId="77777777" w:rsidTr="000441BF">
              <w:tc>
                <w:tcPr>
                  <w:tcW w:w="990" w:type="pct"/>
                </w:tcPr>
                <w:p w14:paraId="35354186" w14:textId="77777777" w:rsidR="00FF68DB" w:rsidRPr="00013DF9" w:rsidRDefault="00FF68DB" w:rsidP="00FF68DB">
                  <w:pPr>
                    <w:pStyle w:val="TableBodyText"/>
                    <w:jc w:val="left"/>
                    <w:rPr>
                      <w:szCs w:val="18"/>
                    </w:rPr>
                  </w:pPr>
                  <w:r w:rsidRPr="00013DF9">
                    <w:rPr>
                      <w:szCs w:val="18"/>
                    </w:rPr>
                    <w:t xml:space="preserve"> Lodgments</w:t>
                  </w:r>
                </w:p>
              </w:tc>
              <w:tc>
                <w:tcPr>
                  <w:tcW w:w="312" w:type="pct"/>
                </w:tcPr>
                <w:p w14:paraId="571F6FF2" w14:textId="77777777" w:rsidR="00FF68DB" w:rsidRPr="00013DF9" w:rsidRDefault="00FF68DB" w:rsidP="00FF68DB">
                  <w:pPr>
                    <w:pStyle w:val="TableBodyText"/>
                    <w:ind w:left="0" w:right="28"/>
                    <w:rPr>
                      <w:szCs w:val="18"/>
                    </w:rPr>
                  </w:pPr>
                  <w:r>
                    <w:rPr>
                      <w:szCs w:val="18"/>
                    </w:rPr>
                    <w:t>no.</w:t>
                  </w:r>
                </w:p>
              </w:tc>
              <w:tc>
                <w:tcPr>
                  <w:tcW w:w="580" w:type="pct"/>
                  <w:vAlign w:val="bottom"/>
                </w:tcPr>
                <w:p w14:paraId="6C166E94" w14:textId="0A63474C" w:rsidR="00FF68DB" w:rsidRDefault="00FF68DB" w:rsidP="00B9240E">
                  <w:pPr>
                    <w:pStyle w:val="TableBodyText"/>
                    <w:ind w:right="23"/>
                  </w:pPr>
                  <w:r>
                    <w:t>81</w:t>
                  </w:r>
                </w:p>
              </w:tc>
              <w:tc>
                <w:tcPr>
                  <w:tcW w:w="537" w:type="pct"/>
                  <w:vAlign w:val="bottom"/>
                </w:tcPr>
                <w:p w14:paraId="339D1189" w14:textId="1DB2EC94" w:rsidR="00FF68DB" w:rsidRDefault="00FF68DB" w:rsidP="00B9240E">
                  <w:pPr>
                    <w:pStyle w:val="TableBodyText"/>
                    <w:ind w:right="23"/>
                  </w:pPr>
                  <w:r>
                    <w:t>69</w:t>
                  </w:r>
                </w:p>
              </w:tc>
              <w:tc>
                <w:tcPr>
                  <w:tcW w:w="465" w:type="pct"/>
                  <w:vAlign w:val="bottom"/>
                </w:tcPr>
                <w:p w14:paraId="2BB692A8" w14:textId="742AA58E" w:rsidR="00FF68DB" w:rsidRDefault="00FF68DB" w:rsidP="00B9240E">
                  <w:pPr>
                    <w:pStyle w:val="TableBodyText"/>
                    <w:ind w:right="23"/>
                  </w:pPr>
                  <w:r>
                    <w:t>124</w:t>
                  </w:r>
                </w:p>
              </w:tc>
              <w:tc>
                <w:tcPr>
                  <w:tcW w:w="423" w:type="pct"/>
                  <w:vAlign w:val="bottom"/>
                </w:tcPr>
                <w:p w14:paraId="1625015D" w14:textId="231E36D8" w:rsidR="00FF68DB" w:rsidRDefault="00FF68DB" w:rsidP="00B9240E">
                  <w:pPr>
                    <w:pStyle w:val="TableBodyText"/>
                    <w:ind w:right="23"/>
                  </w:pPr>
                  <w:r>
                    <w:t>47</w:t>
                  </w:r>
                </w:p>
              </w:tc>
              <w:tc>
                <w:tcPr>
                  <w:tcW w:w="423" w:type="pct"/>
                  <w:vAlign w:val="bottom"/>
                </w:tcPr>
                <w:p w14:paraId="24B20775" w14:textId="592AB27E" w:rsidR="00FF68DB" w:rsidRDefault="00FF68DB" w:rsidP="00B9240E">
                  <w:pPr>
                    <w:pStyle w:val="TableBodyText"/>
                    <w:ind w:right="23"/>
                  </w:pPr>
                  <w:r>
                    <w:t>25</w:t>
                  </w:r>
                </w:p>
              </w:tc>
              <w:tc>
                <w:tcPr>
                  <w:tcW w:w="423" w:type="pct"/>
                  <w:vAlign w:val="bottom"/>
                </w:tcPr>
                <w:p w14:paraId="5CD4CF98" w14:textId="560E6430" w:rsidR="00FF68DB" w:rsidRDefault="00FF68DB" w:rsidP="00B9240E">
                  <w:pPr>
                    <w:pStyle w:val="TableBodyText"/>
                    <w:ind w:right="23"/>
                  </w:pPr>
                  <w:r>
                    <w:t>15</w:t>
                  </w:r>
                </w:p>
              </w:tc>
              <w:tc>
                <w:tcPr>
                  <w:tcW w:w="423" w:type="pct"/>
                  <w:vAlign w:val="bottom"/>
                </w:tcPr>
                <w:p w14:paraId="6B2CEDFB" w14:textId="01266C2B" w:rsidR="00FF68DB" w:rsidRDefault="00FF68DB" w:rsidP="00B9240E">
                  <w:pPr>
                    <w:pStyle w:val="TableBodyText"/>
                    <w:ind w:right="23"/>
                  </w:pPr>
                  <w:r>
                    <w:t>3</w:t>
                  </w:r>
                </w:p>
              </w:tc>
              <w:tc>
                <w:tcPr>
                  <w:tcW w:w="424" w:type="pct"/>
                  <w:vAlign w:val="bottom"/>
                </w:tcPr>
                <w:p w14:paraId="35B2A860" w14:textId="3A106239" w:rsidR="00FF68DB" w:rsidRDefault="00FF68DB" w:rsidP="00B9240E">
                  <w:pPr>
                    <w:pStyle w:val="TableBodyText"/>
                    <w:ind w:right="23"/>
                  </w:pPr>
                  <w:r>
                    <w:t>7</w:t>
                  </w:r>
                </w:p>
              </w:tc>
            </w:tr>
            <w:tr w:rsidR="00FF68DB" w:rsidRPr="005651BA" w14:paraId="0FF06D6E" w14:textId="77777777" w:rsidTr="000441BF">
              <w:tc>
                <w:tcPr>
                  <w:tcW w:w="990" w:type="pct"/>
                </w:tcPr>
                <w:p w14:paraId="653A7E0C" w14:textId="77777777" w:rsidR="00FF68DB" w:rsidRPr="00013DF9" w:rsidRDefault="00FF68DB" w:rsidP="00FF68DB">
                  <w:pPr>
                    <w:pStyle w:val="TableBodyText"/>
                    <w:jc w:val="left"/>
                    <w:rPr>
                      <w:szCs w:val="18"/>
                    </w:rPr>
                  </w:pPr>
                  <w:r w:rsidRPr="00013DF9">
                    <w:rPr>
                      <w:szCs w:val="18"/>
                    </w:rPr>
                    <w:t xml:space="preserve"> Finalisations</w:t>
                  </w:r>
                </w:p>
              </w:tc>
              <w:tc>
                <w:tcPr>
                  <w:tcW w:w="312" w:type="pct"/>
                </w:tcPr>
                <w:p w14:paraId="10028D9F" w14:textId="77777777" w:rsidR="00FF68DB" w:rsidRPr="00013DF9" w:rsidRDefault="00FF68DB" w:rsidP="00FF68DB">
                  <w:pPr>
                    <w:pStyle w:val="TableBodyText"/>
                    <w:ind w:left="0" w:right="28"/>
                    <w:rPr>
                      <w:szCs w:val="18"/>
                    </w:rPr>
                  </w:pPr>
                  <w:r>
                    <w:rPr>
                      <w:szCs w:val="18"/>
                    </w:rPr>
                    <w:t>no.</w:t>
                  </w:r>
                </w:p>
              </w:tc>
              <w:tc>
                <w:tcPr>
                  <w:tcW w:w="580" w:type="pct"/>
                  <w:vAlign w:val="bottom"/>
                </w:tcPr>
                <w:p w14:paraId="4CFFB885" w14:textId="2194EBD1" w:rsidR="00FF68DB" w:rsidRDefault="00FF68DB" w:rsidP="00B9240E">
                  <w:pPr>
                    <w:pStyle w:val="TableBodyText"/>
                    <w:ind w:right="23"/>
                  </w:pPr>
                  <w:r>
                    <w:t>86</w:t>
                  </w:r>
                </w:p>
              </w:tc>
              <w:tc>
                <w:tcPr>
                  <w:tcW w:w="537" w:type="pct"/>
                  <w:vAlign w:val="bottom"/>
                </w:tcPr>
                <w:p w14:paraId="0956A328" w14:textId="69277E53" w:rsidR="00FF68DB" w:rsidRDefault="00FF68DB" w:rsidP="00B9240E">
                  <w:pPr>
                    <w:pStyle w:val="TableBodyText"/>
                    <w:ind w:right="23"/>
                  </w:pPr>
                  <w:r>
                    <w:t>73</w:t>
                  </w:r>
                </w:p>
              </w:tc>
              <w:tc>
                <w:tcPr>
                  <w:tcW w:w="465" w:type="pct"/>
                  <w:vAlign w:val="bottom"/>
                </w:tcPr>
                <w:p w14:paraId="5BBDEB07" w14:textId="2B262858" w:rsidR="00FF68DB" w:rsidRDefault="00FF68DB" w:rsidP="00B9240E">
                  <w:pPr>
                    <w:pStyle w:val="TableBodyText"/>
                    <w:ind w:right="23"/>
                  </w:pPr>
                  <w:r>
                    <w:t>109</w:t>
                  </w:r>
                </w:p>
              </w:tc>
              <w:tc>
                <w:tcPr>
                  <w:tcW w:w="423" w:type="pct"/>
                  <w:vAlign w:val="bottom"/>
                </w:tcPr>
                <w:p w14:paraId="1FEE5FE9" w14:textId="71E68AE9" w:rsidR="00FF68DB" w:rsidRDefault="00FF68DB" w:rsidP="00B9240E">
                  <w:pPr>
                    <w:pStyle w:val="TableBodyText"/>
                    <w:ind w:right="23"/>
                  </w:pPr>
                  <w:r>
                    <w:t>40</w:t>
                  </w:r>
                </w:p>
              </w:tc>
              <w:tc>
                <w:tcPr>
                  <w:tcW w:w="423" w:type="pct"/>
                  <w:vAlign w:val="bottom"/>
                </w:tcPr>
                <w:p w14:paraId="16E2247F" w14:textId="346C0FC5" w:rsidR="00FF68DB" w:rsidRDefault="00FF68DB" w:rsidP="00B9240E">
                  <w:pPr>
                    <w:pStyle w:val="TableBodyText"/>
                    <w:ind w:right="23"/>
                  </w:pPr>
                  <w:r>
                    <w:t>23</w:t>
                  </w:r>
                </w:p>
              </w:tc>
              <w:tc>
                <w:tcPr>
                  <w:tcW w:w="423" w:type="pct"/>
                  <w:vAlign w:val="bottom"/>
                </w:tcPr>
                <w:p w14:paraId="7C9ECE1C" w14:textId="30A5CD9C" w:rsidR="00FF68DB" w:rsidRDefault="00FF68DB" w:rsidP="00B9240E">
                  <w:pPr>
                    <w:pStyle w:val="TableBodyText"/>
                    <w:ind w:right="23"/>
                  </w:pPr>
                  <w:r>
                    <w:t>8</w:t>
                  </w:r>
                </w:p>
              </w:tc>
              <w:tc>
                <w:tcPr>
                  <w:tcW w:w="423" w:type="pct"/>
                  <w:vAlign w:val="bottom"/>
                </w:tcPr>
                <w:p w14:paraId="73560E4A" w14:textId="63CDB9BA" w:rsidR="00FF68DB" w:rsidRDefault="00FF68DB" w:rsidP="00B9240E">
                  <w:pPr>
                    <w:pStyle w:val="TableBodyText"/>
                    <w:ind w:right="23"/>
                  </w:pPr>
                  <w:r>
                    <w:t>3</w:t>
                  </w:r>
                </w:p>
              </w:tc>
              <w:tc>
                <w:tcPr>
                  <w:tcW w:w="424" w:type="pct"/>
                  <w:vAlign w:val="bottom"/>
                </w:tcPr>
                <w:p w14:paraId="476F327B" w14:textId="665B0F87" w:rsidR="00FF68DB" w:rsidRDefault="00FF68DB" w:rsidP="00B9240E">
                  <w:pPr>
                    <w:pStyle w:val="TableBodyText"/>
                    <w:ind w:right="23"/>
                  </w:pPr>
                  <w:r>
                    <w:t>20</w:t>
                  </w:r>
                </w:p>
              </w:tc>
            </w:tr>
            <w:tr w:rsidR="00FF68DB" w:rsidRPr="005651BA" w14:paraId="78E45924" w14:textId="77777777" w:rsidTr="00574345">
              <w:tc>
                <w:tcPr>
                  <w:tcW w:w="990" w:type="pct"/>
                </w:tcPr>
                <w:p w14:paraId="15A2D926" w14:textId="77777777" w:rsidR="00FF68DB" w:rsidRPr="00046ACB" w:rsidRDefault="00FF68DB" w:rsidP="00FF68DB">
                  <w:pPr>
                    <w:pStyle w:val="TableBodyText"/>
                    <w:jc w:val="left"/>
                  </w:pPr>
                  <w:r>
                    <w:t xml:space="preserve"> Pending</w:t>
                  </w:r>
                </w:p>
              </w:tc>
              <w:tc>
                <w:tcPr>
                  <w:tcW w:w="312" w:type="pct"/>
                </w:tcPr>
                <w:p w14:paraId="23714586" w14:textId="77777777" w:rsidR="00FF68DB" w:rsidRPr="004B239F" w:rsidRDefault="00FF68DB" w:rsidP="00FF68DB">
                  <w:pPr>
                    <w:pStyle w:val="TableBodyText"/>
                    <w:ind w:left="0" w:right="28"/>
                    <w:rPr>
                      <w:szCs w:val="16"/>
                    </w:rPr>
                  </w:pPr>
                  <w:r w:rsidRPr="004B239F">
                    <w:rPr>
                      <w:szCs w:val="16"/>
                    </w:rPr>
                    <w:t>no.</w:t>
                  </w:r>
                </w:p>
              </w:tc>
              <w:tc>
                <w:tcPr>
                  <w:tcW w:w="580" w:type="pct"/>
                  <w:vAlign w:val="center"/>
                </w:tcPr>
                <w:p w14:paraId="4B84DA6E" w14:textId="4E6F8AA7" w:rsidR="00FF68DB" w:rsidRDefault="00FF68DB" w:rsidP="00B9240E">
                  <w:pPr>
                    <w:pStyle w:val="TableBodyText"/>
                    <w:ind w:right="23"/>
                  </w:pPr>
                  <w:r>
                    <w:t xml:space="preserve">  94</w:t>
                  </w:r>
                </w:p>
              </w:tc>
              <w:tc>
                <w:tcPr>
                  <w:tcW w:w="537" w:type="pct"/>
                  <w:vAlign w:val="center"/>
                </w:tcPr>
                <w:p w14:paraId="42BC8301" w14:textId="282715FD" w:rsidR="00FF68DB" w:rsidRDefault="00FF68DB" w:rsidP="00B9240E">
                  <w:pPr>
                    <w:pStyle w:val="TableBodyText"/>
                    <w:ind w:right="23"/>
                  </w:pPr>
                  <w:r>
                    <w:t xml:space="preserve">  54</w:t>
                  </w:r>
                </w:p>
              </w:tc>
              <w:tc>
                <w:tcPr>
                  <w:tcW w:w="465" w:type="pct"/>
                  <w:vAlign w:val="center"/>
                </w:tcPr>
                <w:p w14:paraId="54FA9D6C" w14:textId="7E836545" w:rsidR="00FF68DB" w:rsidRDefault="00FF68DB" w:rsidP="00B9240E">
                  <w:pPr>
                    <w:pStyle w:val="TableBodyText"/>
                    <w:ind w:right="23"/>
                  </w:pPr>
                  <w:r>
                    <w:t xml:space="preserve">  99</w:t>
                  </w:r>
                </w:p>
              </w:tc>
              <w:tc>
                <w:tcPr>
                  <w:tcW w:w="423" w:type="pct"/>
                  <w:vAlign w:val="center"/>
                </w:tcPr>
                <w:p w14:paraId="2D760CD4" w14:textId="11D10A85" w:rsidR="00FF68DB" w:rsidRDefault="00FF68DB" w:rsidP="00B9240E">
                  <w:pPr>
                    <w:pStyle w:val="TableBodyText"/>
                    <w:ind w:right="23"/>
                  </w:pPr>
                  <w:r>
                    <w:t xml:space="preserve">  41</w:t>
                  </w:r>
                </w:p>
              </w:tc>
              <w:tc>
                <w:tcPr>
                  <w:tcW w:w="423" w:type="pct"/>
                  <w:vAlign w:val="center"/>
                </w:tcPr>
                <w:p w14:paraId="24D6FDA1" w14:textId="1B8D4CF0" w:rsidR="00FF68DB" w:rsidRDefault="00FF68DB" w:rsidP="00B9240E">
                  <w:pPr>
                    <w:pStyle w:val="TableBodyText"/>
                    <w:ind w:right="23"/>
                  </w:pPr>
                  <w:r>
                    <w:t xml:space="preserve">  19</w:t>
                  </w:r>
                </w:p>
              </w:tc>
              <w:tc>
                <w:tcPr>
                  <w:tcW w:w="423" w:type="pct"/>
                  <w:vAlign w:val="center"/>
                </w:tcPr>
                <w:p w14:paraId="66CCD071" w14:textId="16CD44A5" w:rsidR="00FF68DB" w:rsidRDefault="00FF68DB" w:rsidP="00B9240E">
                  <w:pPr>
                    <w:pStyle w:val="TableBodyText"/>
                    <w:ind w:right="23"/>
                  </w:pPr>
                  <w:r>
                    <w:t xml:space="preserve">  17</w:t>
                  </w:r>
                </w:p>
              </w:tc>
              <w:tc>
                <w:tcPr>
                  <w:tcW w:w="423" w:type="pct"/>
                  <w:vAlign w:val="center"/>
                </w:tcPr>
                <w:p w14:paraId="5A657FC7" w14:textId="5BCF1CEC" w:rsidR="00FF68DB" w:rsidRDefault="00FF68DB" w:rsidP="00B9240E">
                  <w:pPr>
                    <w:pStyle w:val="TableBodyText"/>
                    <w:ind w:right="23"/>
                  </w:pPr>
                  <w:r>
                    <w:t xml:space="preserve">  5</w:t>
                  </w:r>
                </w:p>
              </w:tc>
              <w:tc>
                <w:tcPr>
                  <w:tcW w:w="424" w:type="pct"/>
                  <w:shd w:val="clear" w:color="auto" w:fill="auto"/>
                  <w:vAlign w:val="center"/>
                </w:tcPr>
                <w:p w14:paraId="02E3D162" w14:textId="33955F4E" w:rsidR="00FF68DB" w:rsidRDefault="00FF68DB" w:rsidP="00B9240E">
                  <w:pPr>
                    <w:pStyle w:val="TableBodyText"/>
                    <w:ind w:right="23"/>
                  </w:pPr>
                  <w:r>
                    <w:t xml:space="preserve">  4</w:t>
                  </w:r>
                </w:p>
              </w:tc>
            </w:tr>
            <w:tr w:rsidR="00FF68DB" w:rsidRPr="005651BA" w14:paraId="1165B04A" w14:textId="77777777" w:rsidTr="00D406CC">
              <w:tc>
                <w:tcPr>
                  <w:tcW w:w="990" w:type="pct"/>
                </w:tcPr>
                <w:p w14:paraId="6B3CB14A" w14:textId="77777777" w:rsidR="00FF68DB" w:rsidRPr="00013DF9" w:rsidRDefault="00FF68DB" w:rsidP="00FF68DB">
                  <w:pPr>
                    <w:pStyle w:val="TableBodyText"/>
                    <w:jc w:val="left"/>
                    <w:rPr>
                      <w:szCs w:val="18"/>
                    </w:rPr>
                  </w:pPr>
                  <w:r>
                    <w:rPr>
                      <w:szCs w:val="18"/>
                    </w:rPr>
                    <w:t xml:space="preserve"> Backlog &gt;12 mths</w:t>
                  </w:r>
                </w:p>
              </w:tc>
              <w:tc>
                <w:tcPr>
                  <w:tcW w:w="312" w:type="pct"/>
                </w:tcPr>
                <w:p w14:paraId="126A545A" w14:textId="77777777" w:rsidR="00FF68DB" w:rsidRPr="00013DF9" w:rsidRDefault="00FF68DB" w:rsidP="00FF68DB">
                  <w:pPr>
                    <w:pStyle w:val="TableBodyText"/>
                    <w:ind w:left="0" w:right="28"/>
                    <w:rPr>
                      <w:szCs w:val="18"/>
                    </w:rPr>
                  </w:pPr>
                  <w:r>
                    <w:rPr>
                      <w:szCs w:val="18"/>
                    </w:rPr>
                    <w:t>%</w:t>
                  </w:r>
                </w:p>
              </w:tc>
              <w:tc>
                <w:tcPr>
                  <w:tcW w:w="580" w:type="pct"/>
                  <w:vAlign w:val="bottom"/>
                </w:tcPr>
                <w:p w14:paraId="1432CCE6" w14:textId="0475F773" w:rsidR="00FF68DB" w:rsidRDefault="00FF68DB" w:rsidP="00B9240E">
                  <w:pPr>
                    <w:pStyle w:val="TableBodyText"/>
                    <w:ind w:right="23"/>
                  </w:pPr>
                  <w:r>
                    <w:t xml:space="preserve"> 28.7</w:t>
                  </w:r>
                </w:p>
              </w:tc>
              <w:tc>
                <w:tcPr>
                  <w:tcW w:w="537" w:type="pct"/>
                  <w:vAlign w:val="bottom"/>
                </w:tcPr>
                <w:p w14:paraId="7BEB62FA" w14:textId="3CA2AE86" w:rsidR="00FF68DB" w:rsidRDefault="00FF68DB" w:rsidP="00B9240E">
                  <w:pPr>
                    <w:pStyle w:val="TableBodyText"/>
                    <w:ind w:right="23"/>
                  </w:pPr>
                  <w:r>
                    <w:t xml:space="preserve"> 18.5</w:t>
                  </w:r>
                </w:p>
              </w:tc>
              <w:tc>
                <w:tcPr>
                  <w:tcW w:w="465" w:type="pct"/>
                  <w:vAlign w:val="bottom"/>
                </w:tcPr>
                <w:p w14:paraId="1040FF58" w14:textId="480E29EA" w:rsidR="00FF68DB" w:rsidRDefault="00FF68DB" w:rsidP="00B9240E">
                  <w:pPr>
                    <w:pStyle w:val="TableBodyText"/>
                    <w:ind w:right="23"/>
                  </w:pPr>
                  <w:r>
                    <w:t xml:space="preserve"> 22.2</w:t>
                  </w:r>
                </w:p>
              </w:tc>
              <w:tc>
                <w:tcPr>
                  <w:tcW w:w="423" w:type="pct"/>
                  <w:vAlign w:val="bottom"/>
                </w:tcPr>
                <w:p w14:paraId="28908373" w14:textId="626ACAAD" w:rsidR="00FF68DB" w:rsidRDefault="00FF68DB" w:rsidP="00B9240E">
                  <w:pPr>
                    <w:pStyle w:val="TableBodyText"/>
                    <w:ind w:right="23"/>
                  </w:pPr>
                  <w:r>
                    <w:t xml:space="preserve"> 12.2</w:t>
                  </w:r>
                </w:p>
              </w:tc>
              <w:tc>
                <w:tcPr>
                  <w:tcW w:w="423" w:type="pct"/>
                  <w:vAlign w:val="bottom"/>
                </w:tcPr>
                <w:p w14:paraId="4B0F9A42" w14:textId="35EE326E" w:rsidR="00FF68DB" w:rsidRDefault="00FF68DB" w:rsidP="00B9240E">
                  <w:pPr>
                    <w:pStyle w:val="TableBodyText"/>
                    <w:ind w:right="23"/>
                  </w:pPr>
                  <w:r>
                    <w:t xml:space="preserve"> 21.1</w:t>
                  </w:r>
                </w:p>
              </w:tc>
              <w:tc>
                <w:tcPr>
                  <w:tcW w:w="423" w:type="pct"/>
                  <w:vAlign w:val="bottom"/>
                </w:tcPr>
                <w:p w14:paraId="309DBAC2" w14:textId="0E1168CD" w:rsidR="00FF68DB" w:rsidRDefault="00FF68DB" w:rsidP="00B9240E">
                  <w:pPr>
                    <w:pStyle w:val="TableBodyText"/>
                    <w:ind w:right="23"/>
                  </w:pPr>
                  <w:r>
                    <w:t xml:space="preserve"> 11.8</w:t>
                  </w:r>
                </w:p>
              </w:tc>
              <w:tc>
                <w:tcPr>
                  <w:tcW w:w="423" w:type="pct"/>
                  <w:vAlign w:val="bottom"/>
                </w:tcPr>
                <w:p w14:paraId="2E1263B8" w14:textId="4CEE34D9" w:rsidR="00FF68DB" w:rsidRDefault="00FF68DB" w:rsidP="00B9240E">
                  <w:pPr>
                    <w:pStyle w:val="TableBodyText"/>
                    <w:ind w:right="23"/>
                  </w:pPr>
                  <w:r>
                    <w:t xml:space="preserve"> 80.0</w:t>
                  </w:r>
                </w:p>
              </w:tc>
              <w:tc>
                <w:tcPr>
                  <w:tcW w:w="424" w:type="pct"/>
                  <w:shd w:val="clear" w:color="auto" w:fill="auto"/>
                  <w:vAlign w:val="bottom"/>
                </w:tcPr>
                <w:p w14:paraId="12884903" w14:textId="696E4165" w:rsidR="00FF68DB" w:rsidRDefault="00FF68DB" w:rsidP="00B9240E">
                  <w:pPr>
                    <w:pStyle w:val="TableBodyText"/>
                    <w:ind w:right="23"/>
                  </w:pPr>
                  <w:r>
                    <w:t>–</w:t>
                  </w:r>
                </w:p>
              </w:tc>
            </w:tr>
            <w:tr w:rsidR="00FF68DB" w:rsidRPr="005651BA" w14:paraId="22D46580" w14:textId="77777777" w:rsidTr="000441BF">
              <w:tc>
                <w:tcPr>
                  <w:tcW w:w="990" w:type="pct"/>
                </w:tcPr>
                <w:p w14:paraId="0528C334" w14:textId="77777777" w:rsidR="00FF68DB" w:rsidRPr="00013DF9" w:rsidRDefault="00FF68DB" w:rsidP="00FF68DB">
                  <w:pPr>
                    <w:pStyle w:val="TableBodyText"/>
                    <w:jc w:val="left"/>
                    <w:rPr>
                      <w:szCs w:val="18"/>
                    </w:rPr>
                  </w:pPr>
                  <w:r>
                    <w:rPr>
                      <w:szCs w:val="18"/>
                    </w:rPr>
                    <w:t xml:space="preserve"> Backlog &gt;24 mths</w:t>
                  </w:r>
                </w:p>
              </w:tc>
              <w:tc>
                <w:tcPr>
                  <w:tcW w:w="312" w:type="pct"/>
                </w:tcPr>
                <w:p w14:paraId="07D55DD6" w14:textId="77777777" w:rsidR="00FF68DB" w:rsidRPr="00013DF9" w:rsidRDefault="00FF68DB" w:rsidP="00FF68DB">
                  <w:pPr>
                    <w:pStyle w:val="TableBodyText"/>
                    <w:ind w:left="0" w:right="28"/>
                    <w:rPr>
                      <w:szCs w:val="18"/>
                    </w:rPr>
                  </w:pPr>
                  <w:r>
                    <w:rPr>
                      <w:szCs w:val="18"/>
                    </w:rPr>
                    <w:t>%</w:t>
                  </w:r>
                </w:p>
              </w:tc>
              <w:tc>
                <w:tcPr>
                  <w:tcW w:w="580" w:type="pct"/>
                  <w:vAlign w:val="bottom"/>
                </w:tcPr>
                <w:p w14:paraId="1F7D9A35" w14:textId="45CFB45B" w:rsidR="00FF68DB" w:rsidRDefault="00FF68DB" w:rsidP="00B9240E">
                  <w:pPr>
                    <w:pStyle w:val="TableBodyText"/>
                    <w:ind w:right="23"/>
                  </w:pPr>
                  <w:r>
                    <w:t xml:space="preserve"> 8.5</w:t>
                  </w:r>
                </w:p>
              </w:tc>
              <w:tc>
                <w:tcPr>
                  <w:tcW w:w="537" w:type="pct"/>
                  <w:vAlign w:val="bottom"/>
                </w:tcPr>
                <w:p w14:paraId="3091B753" w14:textId="4C46D9C7" w:rsidR="00FF68DB" w:rsidRDefault="00FF68DB" w:rsidP="00B9240E">
                  <w:pPr>
                    <w:pStyle w:val="TableBodyText"/>
                    <w:ind w:right="23"/>
                  </w:pPr>
                  <w:r>
                    <w:t xml:space="preserve"> 3.7</w:t>
                  </w:r>
                </w:p>
              </w:tc>
              <w:tc>
                <w:tcPr>
                  <w:tcW w:w="465" w:type="pct"/>
                  <w:vAlign w:val="bottom"/>
                </w:tcPr>
                <w:p w14:paraId="6132BD59" w14:textId="551D9583" w:rsidR="00FF68DB" w:rsidRDefault="00FF68DB" w:rsidP="00B9240E">
                  <w:pPr>
                    <w:pStyle w:val="TableBodyText"/>
                    <w:ind w:right="23"/>
                  </w:pPr>
                  <w:r>
                    <w:t xml:space="preserve"> 10.1</w:t>
                  </w:r>
                </w:p>
              </w:tc>
              <w:tc>
                <w:tcPr>
                  <w:tcW w:w="423" w:type="pct"/>
                  <w:vAlign w:val="bottom"/>
                </w:tcPr>
                <w:p w14:paraId="7296E322" w14:textId="6AFDA3D8" w:rsidR="00FF68DB" w:rsidRDefault="00FF68DB" w:rsidP="00B9240E">
                  <w:pPr>
                    <w:pStyle w:val="TableBodyText"/>
                    <w:ind w:right="23"/>
                  </w:pPr>
                  <w:r>
                    <w:t xml:space="preserve"> 2.4</w:t>
                  </w:r>
                </w:p>
              </w:tc>
              <w:tc>
                <w:tcPr>
                  <w:tcW w:w="423" w:type="pct"/>
                  <w:vAlign w:val="bottom"/>
                </w:tcPr>
                <w:p w14:paraId="21948D75" w14:textId="1F838CD5" w:rsidR="00FF68DB" w:rsidRDefault="00FF68DB" w:rsidP="00B9240E">
                  <w:pPr>
                    <w:pStyle w:val="TableBodyText"/>
                    <w:ind w:right="23"/>
                  </w:pPr>
                  <w:r>
                    <w:t>–</w:t>
                  </w:r>
                </w:p>
              </w:tc>
              <w:tc>
                <w:tcPr>
                  <w:tcW w:w="423" w:type="pct"/>
                  <w:vAlign w:val="bottom"/>
                </w:tcPr>
                <w:p w14:paraId="5B038FF4" w14:textId="14BE887F" w:rsidR="00FF68DB" w:rsidRDefault="00FF68DB" w:rsidP="00B9240E">
                  <w:pPr>
                    <w:pStyle w:val="TableBodyText"/>
                    <w:ind w:right="23"/>
                  </w:pPr>
                  <w:r>
                    <w:t>..</w:t>
                  </w:r>
                </w:p>
              </w:tc>
              <w:tc>
                <w:tcPr>
                  <w:tcW w:w="423" w:type="pct"/>
                  <w:vAlign w:val="bottom"/>
                </w:tcPr>
                <w:p w14:paraId="32B6644D" w14:textId="6C871DB1" w:rsidR="00FF68DB" w:rsidRDefault="00FF68DB" w:rsidP="00B9240E">
                  <w:pPr>
                    <w:pStyle w:val="TableBodyText"/>
                    <w:ind w:right="23"/>
                  </w:pPr>
                  <w:r>
                    <w:t>..</w:t>
                  </w:r>
                </w:p>
              </w:tc>
              <w:tc>
                <w:tcPr>
                  <w:tcW w:w="424" w:type="pct"/>
                  <w:vAlign w:val="bottom"/>
                </w:tcPr>
                <w:p w14:paraId="1A329D97" w14:textId="168AF9ED" w:rsidR="00FF68DB" w:rsidRDefault="00FF68DB" w:rsidP="00B9240E">
                  <w:pPr>
                    <w:pStyle w:val="TableBodyText"/>
                    <w:ind w:right="23"/>
                  </w:pPr>
                  <w:r>
                    <w:t>..</w:t>
                  </w:r>
                </w:p>
              </w:tc>
            </w:tr>
            <w:tr w:rsidR="00FF68DB" w:rsidRPr="005651BA" w14:paraId="52B52F5E" w14:textId="77777777" w:rsidTr="000441BF">
              <w:tc>
                <w:tcPr>
                  <w:tcW w:w="990" w:type="pct"/>
                </w:tcPr>
                <w:p w14:paraId="4946A974" w14:textId="77777777" w:rsidR="00FF68DB" w:rsidRPr="00046ACB" w:rsidRDefault="00FF68DB" w:rsidP="00FF68DB">
                  <w:pPr>
                    <w:pStyle w:val="TableBodyText"/>
                    <w:jc w:val="left"/>
                  </w:pPr>
                  <w:r>
                    <w:t xml:space="preserve"> </w:t>
                  </w:r>
                  <w:r w:rsidRPr="00046ACB">
                    <w:t>Attendance</w:t>
                  </w:r>
                </w:p>
              </w:tc>
              <w:tc>
                <w:tcPr>
                  <w:tcW w:w="312" w:type="pct"/>
                </w:tcPr>
                <w:p w14:paraId="36DFABB2" w14:textId="77777777" w:rsidR="00FF68DB" w:rsidRPr="00013DF9" w:rsidRDefault="00FF68DB" w:rsidP="00FF68DB">
                  <w:pPr>
                    <w:pStyle w:val="TableBodyText"/>
                    <w:ind w:left="0" w:right="28"/>
                    <w:rPr>
                      <w:i/>
                      <w:szCs w:val="16"/>
                    </w:rPr>
                  </w:pPr>
                  <w:r>
                    <w:rPr>
                      <w:szCs w:val="16"/>
                    </w:rPr>
                    <w:t>n</w:t>
                  </w:r>
                  <w:r w:rsidRPr="008A7DD0">
                    <w:rPr>
                      <w:szCs w:val="16"/>
                    </w:rPr>
                    <w:t>o</w:t>
                  </w:r>
                  <w:r>
                    <w:rPr>
                      <w:i/>
                      <w:szCs w:val="16"/>
                    </w:rPr>
                    <w:t>.</w:t>
                  </w:r>
                </w:p>
              </w:tc>
              <w:tc>
                <w:tcPr>
                  <w:tcW w:w="580" w:type="pct"/>
                  <w:vAlign w:val="bottom"/>
                </w:tcPr>
                <w:p w14:paraId="3DCA9C5D" w14:textId="6CA2BEDA" w:rsidR="00FF68DB" w:rsidRDefault="00FF68DB" w:rsidP="00B9240E">
                  <w:pPr>
                    <w:pStyle w:val="TableBodyText"/>
                    <w:ind w:right="23"/>
                  </w:pPr>
                  <w:r>
                    <w:t>na</w:t>
                  </w:r>
                </w:p>
              </w:tc>
              <w:tc>
                <w:tcPr>
                  <w:tcW w:w="537" w:type="pct"/>
                  <w:vAlign w:val="bottom"/>
                </w:tcPr>
                <w:p w14:paraId="20DD6751" w14:textId="3A80B585" w:rsidR="00FF68DB" w:rsidRDefault="00FF68DB" w:rsidP="00B9240E">
                  <w:pPr>
                    <w:pStyle w:val="TableBodyText"/>
                    <w:ind w:right="23"/>
                  </w:pPr>
                  <w:r>
                    <w:t>na</w:t>
                  </w:r>
                </w:p>
              </w:tc>
              <w:tc>
                <w:tcPr>
                  <w:tcW w:w="465" w:type="pct"/>
                  <w:vAlign w:val="bottom"/>
                </w:tcPr>
                <w:p w14:paraId="68D1457F" w14:textId="76C080C3" w:rsidR="00FF68DB" w:rsidRDefault="00FF68DB" w:rsidP="00B9240E">
                  <w:pPr>
                    <w:pStyle w:val="TableBodyText"/>
                    <w:ind w:right="23"/>
                  </w:pPr>
                  <w:r>
                    <w:t xml:space="preserve"> 9.1</w:t>
                  </w:r>
                </w:p>
              </w:tc>
              <w:tc>
                <w:tcPr>
                  <w:tcW w:w="423" w:type="pct"/>
                  <w:vAlign w:val="bottom"/>
                </w:tcPr>
                <w:p w14:paraId="3F640662" w14:textId="5218A3B0" w:rsidR="00FF68DB" w:rsidRDefault="00FF68DB" w:rsidP="00B9240E">
                  <w:pPr>
                    <w:pStyle w:val="TableBodyText"/>
                    <w:ind w:right="23"/>
                  </w:pPr>
                  <w:r>
                    <w:t xml:space="preserve"> 6.3</w:t>
                  </w:r>
                </w:p>
              </w:tc>
              <w:tc>
                <w:tcPr>
                  <w:tcW w:w="423" w:type="pct"/>
                  <w:vAlign w:val="bottom"/>
                </w:tcPr>
                <w:p w14:paraId="7B55B0FE" w14:textId="164C71AE" w:rsidR="00FF68DB" w:rsidRDefault="00FF68DB" w:rsidP="00B9240E">
                  <w:pPr>
                    <w:pStyle w:val="TableBodyText"/>
                    <w:ind w:right="23"/>
                  </w:pPr>
                  <w:r>
                    <w:t xml:space="preserve"> 10.4</w:t>
                  </w:r>
                </w:p>
              </w:tc>
              <w:tc>
                <w:tcPr>
                  <w:tcW w:w="423" w:type="pct"/>
                  <w:vAlign w:val="bottom"/>
                </w:tcPr>
                <w:p w14:paraId="217406D9" w14:textId="0DB1D26B" w:rsidR="00FF68DB" w:rsidRDefault="00FF68DB" w:rsidP="00B9240E">
                  <w:pPr>
                    <w:pStyle w:val="TableBodyText"/>
                    <w:ind w:right="23"/>
                  </w:pPr>
                  <w:r>
                    <w:t xml:space="preserve"> 16.5</w:t>
                  </w:r>
                </w:p>
              </w:tc>
              <w:tc>
                <w:tcPr>
                  <w:tcW w:w="423" w:type="pct"/>
                  <w:vAlign w:val="bottom"/>
                </w:tcPr>
                <w:p w14:paraId="7B376EFF" w14:textId="79E1FACE" w:rsidR="00FF68DB" w:rsidRDefault="00FF68DB" w:rsidP="00B9240E">
                  <w:pPr>
                    <w:pStyle w:val="TableBodyText"/>
                    <w:ind w:right="23"/>
                  </w:pPr>
                  <w:r>
                    <w:t xml:space="preserve"> 13.7</w:t>
                  </w:r>
                </w:p>
              </w:tc>
              <w:tc>
                <w:tcPr>
                  <w:tcW w:w="424" w:type="pct"/>
                  <w:vAlign w:val="bottom"/>
                </w:tcPr>
                <w:p w14:paraId="18AA275F" w14:textId="6D5FA9EB" w:rsidR="00FF68DB" w:rsidRDefault="00FF68DB" w:rsidP="00B9240E">
                  <w:pPr>
                    <w:pStyle w:val="TableBodyText"/>
                    <w:ind w:right="23"/>
                  </w:pPr>
                  <w:r>
                    <w:t xml:space="preserve"> 14.9</w:t>
                  </w:r>
                </w:p>
              </w:tc>
            </w:tr>
            <w:tr w:rsidR="00FF68DB" w:rsidRPr="005651BA" w14:paraId="56EDEE95" w14:textId="77777777" w:rsidTr="000441BF">
              <w:tc>
                <w:tcPr>
                  <w:tcW w:w="990" w:type="pct"/>
                </w:tcPr>
                <w:p w14:paraId="0BE70A69" w14:textId="77777777" w:rsidR="00FF68DB" w:rsidRPr="00046ACB" w:rsidRDefault="00FF68DB" w:rsidP="00FF68DB">
                  <w:pPr>
                    <w:pStyle w:val="TableBodyText"/>
                    <w:jc w:val="left"/>
                  </w:pPr>
                  <w:r>
                    <w:t xml:space="preserve"> Clearance rate</w:t>
                  </w:r>
                </w:p>
              </w:tc>
              <w:tc>
                <w:tcPr>
                  <w:tcW w:w="312" w:type="pct"/>
                </w:tcPr>
                <w:p w14:paraId="398708C8" w14:textId="77777777" w:rsidR="00FF68DB" w:rsidRPr="00013DF9" w:rsidRDefault="00FF68DB" w:rsidP="00FF68DB">
                  <w:pPr>
                    <w:pStyle w:val="TableBodyText"/>
                    <w:ind w:left="0" w:right="28"/>
                    <w:rPr>
                      <w:i/>
                      <w:szCs w:val="16"/>
                    </w:rPr>
                  </w:pPr>
                  <w:r w:rsidRPr="00013DF9">
                    <w:rPr>
                      <w:i/>
                      <w:szCs w:val="16"/>
                    </w:rPr>
                    <w:t>%</w:t>
                  </w:r>
                </w:p>
              </w:tc>
              <w:tc>
                <w:tcPr>
                  <w:tcW w:w="580" w:type="pct"/>
                  <w:vAlign w:val="bottom"/>
                </w:tcPr>
                <w:p w14:paraId="0C68A1B3" w14:textId="0A068A98" w:rsidR="00FF68DB" w:rsidRDefault="00FF68DB" w:rsidP="00B9240E">
                  <w:pPr>
                    <w:pStyle w:val="TableBodyText"/>
                    <w:ind w:right="23"/>
                  </w:pPr>
                  <w:r>
                    <w:t xml:space="preserve"> 106.2</w:t>
                  </w:r>
                </w:p>
              </w:tc>
              <w:tc>
                <w:tcPr>
                  <w:tcW w:w="537" w:type="pct"/>
                  <w:vAlign w:val="bottom"/>
                </w:tcPr>
                <w:p w14:paraId="250FF69E" w14:textId="37FFA430" w:rsidR="00FF68DB" w:rsidRDefault="00FF68DB" w:rsidP="00B9240E">
                  <w:pPr>
                    <w:pStyle w:val="TableBodyText"/>
                    <w:ind w:right="23"/>
                  </w:pPr>
                  <w:r>
                    <w:t xml:space="preserve"> 105.8</w:t>
                  </w:r>
                </w:p>
              </w:tc>
              <w:tc>
                <w:tcPr>
                  <w:tcW w:w="465" w:type="pct"/>
                  <w:vAlign w:val="bottom"/>
                </w:tcPr>
                <w:p w14:paraId="7074D3C7" w14:textId="654A9D67" w:rsidR="00FF68DB" w:rsidRDefault="00FF68DB" w:rsidP="00B9240E">
                  <w:pPr>
                    <w:pStyle w:val="TableBodyText"/>
                    <w:ind w:right="23"/>
                  </w:pPr>
                  <w:r>
                    <w:t xml:space="preserve"> 87.9</w:t>
                  </w:r>
                </w:p>
              </w:tc>
              <w:tc>
                <w:tcPr>
                  <w:tcW w:w="423" w:type="pct"/>
                  <w:vAlign w:val="bottom"/>
                </w:tcPr>
                <w:p w14:paraId="4CED64F7" w14:textId="7A855BB2" w:rsidR="00FF68DB" w:rsidRDefault="00FF68DB" w:rsidP="00B9240E">
                  <w:pPr>
                    <w:pStyle w:val="TableBodyText"/>
                    <w:ind w:right="23"/>
                  </w:pPr>
                  <w:r>
                    <w:t xml:space="preserve"> 85.1</w:t>
                  </w:r>
                </w:p>
              </w:tc>
              <w:tc>
                <w:tcPr>
                  <w:tcW w:w="423" w:type="pct"/>
                  <w:vAlign w:val="bottom"/>
                </w:tcPr>
                <w:p w14:paraId="4A473252" w14:textId="691BAF5A" w:rsidR="00FF68DB" w:rsidRDefault="00FF68DB" w:rsidP="00B9240E">
                  <w:pPr>
                    <w:pStyle w:val="TableBodyText"/>
                    <w:ind w:right="23"/>
                  </w:pPr>
                  <w:r>
                    <w:t xml:space="preserve"> 92.0</w:t>
                  </w:r>
                </w:p>
              </w:tc>
              <w:tc>
                <w:tcPr>
                  <w:tcW w:w="423" w:type="pct"/>
                  <w:vAlign w:val="bottom"/>
                </w:tcPr>
                <w:p w14:paraId="28623E6B" w14:textId="6622FAEA" w:rsidR="00FF68DB" w:rsidRDefault="00FF68DB" w:rsidP="00B9240E">
                  <w:pPr>
                    <w:pStyle w:val="TableBodyText"/>
                    <w:ind w:right="23"/>
                  </w:pPr>
                  <w:r>
                    <w:t xml:space="preserve"> 53.3</w:t>
                  </w:r>
                </w:p>
              </w:tc>
              <w:tc>
                <w:tcPr>
                  <w:tcW w:w="423" w:type="pct"/>
                  <w:vAlign w:val="bottom"/>
                </w:tcPr>
                <w:p w14:paraId="5C016569" w14:textId="6700E070" w:rsidR="00FF68DB" w:rsidRDefault="00FF68DB" w:rsidP="00B9240E">
                  <w:pPr>
                    <w:pStyle w:val="TableBodyText"/>
                    <w:ind w:right="23"/>
                  </w:pPr>
                  <w:r>
                    <w:t xml:space="preserve"> 100.0</w:t>
                  </w:r>
                </w:p>
              </w:tc>
              <w:tc>
                <w:tcPr>
                  <w:tcW w:w="424" w:type="pct"/>
                  <w:vAlign w:val="bottom"/>
                </w:tcPr>
                <w:p w14:paraId="3C9C657B" w14:textId="27AF0513" w:rsidR="00FF68DB" w:rsidRDefault="00FF68DB" w:rsidP="00B9240E">
                  <w:pPr>
                    <w:pStyle w:val="TableBodyText"/>
                    <w:ind w:right="23"/>
                  </w:pPr>
                  <w:r>
                    <w:t xml:space="preserve"> 285.7</w:t>
                  </w:r>
                </w:p>
              </w:tc>
            </w:tr>
            <w:tr w:rsidR="006450F3" w:rsidRPr="00013DF9" w14:paraId="2CB7010D" w14:textId="77777777" w:rsidTr="000441BF">
              <w:tc>
                <w:tcPr>
                  <w:tcW w:w="5000" w:type="pct"/>
                  <w:gridSpan w:val="10"/>
                </w:tcPr>
                <w:p w14:paraId="00E6AE3D" w14:textId="7FAB1A0B" w:rsidR="006450F3" w:rsidRPr="00013DF9" w:rsidRDefault="006450F3" w:rsidP="00FA59A6">
                  <w:pPr>
                    <w:pStyle w:val="TableBodyText"/>
                    <w:spacing w:before="40"/>
                    <w:ind w:left="0" w:right="0"/>
                    <w:jc w:val="left"/>
                    <w:rPr>
                      <w:b/>
                    </w:rPr>
                  </w:pPr>
                  <w:r w:rsidRPr="00013DF9">
                    <w:rPr>
                      <w:b/>
                    </w:rPr>
                    <w:t>District/County</w:t>
                  </w:r>
                  <w:r w:rsidR="00137F63">
                    <w:rPr>
                      <w:rStyle w:val="NoteLabel"/>
                    </w:rPr>
                    <w:t>b</w:t>
                  </w:r>
                </w:p>
              </w:tc>
            </w:tr>
            <w:tr w:rsidR="00FF68DB" w:rsidRPr="0006049C" w14:paraId="133DE305" w14:textId="77777777" w:rsidTr="000441BF">
              <w:tc>
                <w:tcPr>
                  <w:tcW w:w="990" w:type="pct"/>
                </w:tcPr>
                <w:p w14:paraId="03B00D9E" w14:textId="77777777" w:rsidR="00FF68DB" w:rsidRPr="00013DF9" w:rsidRDefault="00FF68DB" w:rsidP="00FF68DB">
                  <w:pPr>
                    <w:pStyle w:val="TableBodyText"/>
                    <w:jc w:val="left"/>
                    <w:rPr>
                      <w:szCs w:val="18"/>
                    </w:rPr>
                  </w:pPr>
                  <w:r w:rsidRPr="00013DF9">
                    <w:rPr>
                      <w:szCs w:val="18"/>
                    </w:rPr>
                    <w:t xml:space="preserve"> Lodgments</w:t>
                  </w:r>
                </w:p>
              </w:tc>
              <w:tc>
                <w:tcPr>
                  <w:tcW w:w="312" w:type="pct"/>
                </w:tcPr>
                <w:p w14:paraId="140726BA" w14:textId="77777777" w:rsidR="00FF68DB" w:rsidRPr="00013DF9" w:rsidRDefault="00FF68DB" w:rsidP="00FF68DB">
                  <w:pPr>
                    <w:pStyle w:val="TableBodyText"/>
                    <w:ind w:left="0" w:right="28"/>
                    <w:rPr>
                      <w:szCs w:val="18"/>
                    </w:rPr>
                  </w:pPr>
                  <w:r>
                    <w:rPr>
                      <w:szCs w:val="18"/>
                    </w:rPr>
                    <w:t>no.</w:t>
                  </w:r>
                </w:p>
              </w:tc>
              <w:tc>
                <w:tcPr>
                  <w:tcW w:w="580" w:type="pct"/>
                  <w:vAlign w:val="bottom"/>
                </w:tcPr>
                <w:p w14:paraId="716571DD" w14:textId="2500088D" w:rsidR="00FF68DB" w:rsidRPr="00FF68DB" w:rsidRDefault="00FF68DB" w:rsidP="00B9240E">
                  <w:pPr>
                    <w:pStyle w:val="TableBodyText"/>
                    <w:ind w:right="23"/>
                  </w:pPr>
                  <w:r w:rsidRPr="00FF68DB">
                    <w:t>51</w:t>
                  </w:r>
                </w:p>
              </w:tc>
              <w:tc>
                <w:tcPr>
                  <w:tcW w:w="537" w:type="pct"/>
                  <w:vAlign w:val="bottom"/>
                </w:tcPr>
                <w:p w14:paraId="5BCE2DFF" w14:textId="0D54D7E7" w:rsidR="00FF68DB" w:rsidRPr="00FF68DB" w:rsidRDefault="00FF68DB" w:rsidP="00B9240E">
                  <w:pPr>
                    <w:pStyle w:val="TableBodyText"/>
                    <w:ind w:right="23"/>
                  </w:pPr>
                  <w:r w:rsidRPr="00FF68DB">
                    <w:t>35</w:t>
                  </w:r>
                </w:p>
              </w:tc>
              <w:tc>
                <w:tcPr>
                  <w:tcW w:w="465" w:type="pct"/>
                  <w:vAlign w:val="bottom"/>
                </w:tcPr>
                <w:p w14:paraId="0FC777DE" w14:textId="0AEB61C2" w:rsidR="00FF68DB" w:rsidRPr="00FF68DB" w:rsidRDefault="00FF68DB" w:rsidP="00B9240E">
                  <w:pPr>
                    <w:pStyle w:val="TableBodyText"/>
                    <w:ind w:right="23"/>
                  </w:pPr>
                  <w:r w:rsidRPr="00FF68DB">
                    <w:t>na</w:t>
                  </w:r>
                </w:p>
              </w:tc>
              <w:tc>
                <w:tcPr>
                  <w:tcW w:w="423" w:type="pct"/>
                  <w:vAlign w:val="bottom"/>
                </w:tcPr>
                <w:p w14:paraId="724E2629" w14:textId="031202BB" w:rsidR="00FF68DB" w:rsidRPr="00FF68DB" w:rsidRDefault="00FF68DB" w:rsidP="00B9240E">
                  <w:pPr>
                    <w:pStyle w:val="TableBodyText"/>
                    <w:ind w:right="23"/>
                  </w:pPr>
                  <w:r w:rsidRPr="00FF68DB">
                    <w:t>27</w:t>
                  </w:r>
                </w:p>
              </w:tc>
              <w:tc>
                <w:tcPr>
                  <w:tcW w:w="423" w:type="pct"/>
                  <w:vAlign w:val="bottom"/>
                </w:tcPr>
                <w:p w14:paraId="3B1ADAAC" w14:textId="64FF7CB3" w:rsidR="00FF68DB" w:rsidRPr="00FF68DB" w:rsidRDefault="00FF68DB" w:rsidP="00B9240E">
                  <w:pPr>
                    <w:pStyle w:val="TableBodyText"/>
                    <w:ind w:right="23"/>
                  </w:pPr>
                  <w:r w:rsidRPr="00FF68DB">
                    <w:t>9</w:t>
                  </w:r>
                </w:p>
              </w:tc>
              <w:tc>
                <w:tcPr>
                  <w:tcW w:w="423" w:type="pct"/>
                  <w:vAlign w:val="bottom"/>
                </w:tcPr>
                <w:p w14:paraId="1043C1FE" w14:textId="77777777" w:rsidR="00FF68DB" w:rsidRDefault="00FF68DB" w:rsidP="00B9240E">
                  <w:pPr>
                    <w:pStyle w:val="TableBodyText"/>
                    <w:ind w:right="23"/>
                  </w:pPr>
                  <w:r>
                    <w:t>..</w:t>
                  </w:r>
                </w:p>
              </w:tc>
              <w:tc>
                <w:tcPr>
                  <w:tcW w:w="423" w:type="pct"/>
                  <w:vAlign w:val="bottom"/>
                </w:tcPr>
                <w:p w14:paraId="1275E805" w14:textId="77777777" w:rsidR="00FF68DB" w:rsidRDefault="00FF68DB" w:rsidP="00B9240E">
                  <w:pPr>
                    <w:pStyle w:val="TableBodyText"/>
                    <w:ind w:right="23"/>
                  </w:pPr>
                  <w:r>
                    <w:t>..</w:t>
                  </w:r>
                </w:p>
              </w:tc>
              <w:tc>
                <w:tcPr>
                  <w:tcW w:w="424" w:type="pct"/>
                  <w:vAlign w:val="bottom"/>
                </w:tcPr>
                <w:p w14:paraId="5052CAE0" w14:textId="77777777" w:rsidR="00FF68DB" w:rsidRDefault="00FF68DB" w:rsidP="00B9240E">
                  <w:pPr>
                    <w:pStyle w:val="TableBodyText"/>
                    <w:ind w:right="23"/>
                  </w:pPr>
                  <w:r>
                    <w:t>..</w:t>
                  </w:r>
                </w:p>
              </w:tc>
            </w:tr>
            <w:tr w:rsidR="00FF68DB" w:rsidRPr="0006049C" w14:paraId="2114D0F0" w14:textId="77777777" w:rsidTr="000441BF">
              <w:tc>
                <w:tcPr>
                  <w:tcW w:w="990" w:type="pct"/>
                </w:tcPr>
                <w:p w14:paraId="483B0305" w14:textId="77777777" w:rsidR="00FF68DB" w:rsidRPr="00013DF9" w:rsidRDefault="00FF68DB" w:rsidP="00FF68DB">
                  <w:pPr>
                    <w:pStyle w:val="TableBodyText"/>
                    <w:jc w:val="left"/>
                    <w:rPr>
                      <w:szCs w:val="18"/>
                    </w:rPr>
                  </w:pPr>
                  <w:r w:rsidRPr="00013DF9">
                    <w:rPr>
                      <w:szCs w:val="18"/>
                    </w:rPr>
                    <w:t xml:space="preserve"> Finalisations</w:t>
                  </w:r>
                </w:p>
              </w:tc>
              <w:tc>
                <w:tcPr>
                  <w:tcW w:w="312" w:type="pct"/>
                </w:tcPr>
                <w:p w14:paraId="1AEFA63E" w14:textId="77777777" w:rsidR="00FF68DB" w:rsidRPr="00013DF9" w:rsidRDefault="00FF68DB" w:rsidP="00FF68DB">
                  <w:pPr>
                    <w:pStyle w:val="TableBodyText"/>
                    <w:ind w:left="0" w:right="28"/>
                    <w:rPr>
                      <w:szCs w:val="18"/>
                    </w:rPr>
                  </w:pPr>
                  <w:r>
                    <w:rPr>
                      <w:szCs w:val="18"/>
                    </w:rPr>
                    <w:t>no.</w:t>
                  </w:r>
                </w:p>
              </w:tc>
              <w:tc>
                <w:tcPr>
                  <w:tcW w:w="580" w:type="pct"/>
                  <w:vAlign w:val="bottom"/>
                </w:tcPr>
                <w:p w14:paraId="76C960AD" w14:textId="385FC4C8" w:rsidR="00FF68DB" w:rsidRPr="00FF68DB" w:rsidRDefault="00FF68DB" w:rsidP="00B9240E">
                  <w:pPr>
                    <w:pStyle w:val="TableBodyText"/>
                    <w:ind w:right="23"/>
                  </w:pPr>
                  <w:r w:rsidRPr="00FF68DB">
                    <w:t>84</w:t>
                  </w:r>
                </w:p>
              </w:tc>
              <w:tc>
                <w:tcPr>
                  <w:tcW w:w="537" w:type="pct"/>
                  <w:vAlign w:val="bottom"/>
                </w:tcPr>
                <w:p w14:paraId="268EC9FB" w14:textId="4D0D10C3" w:rsidR="00FF68DB" w:rsidRPr="00FF68DB" w:rsidRDefault="00FF68DB" w:rsidP="00B9240E">
                  <w:pPr>
                    <w:pStyle w:val="TableBodyText"/>
                    <w:ind w:right="23"/>
                  </w:pPr>
                  <w:r w:rsidRPr="00FF68DB">
                    <w:t>49</w:t>
                  </w:r>
                </w:p>
              </w:tc>
              <w:tc>
                <w:tcPr>
                  <w:tcW w:w="465" w:type="pct"/>
                  <w:vAlign w:val="bottom"/>
                </w:tcPr>
                <w:p w14:paraId="4EE762D9" w14:textId="0948D618" w:rsidR="00FF68DB" w:rsidRPr="00FF68DB" w:rsidRDefault="00FF68DB" w:rsidP="00B9240E">
                  <w:pPr>
                    <w:pStyle w:val="TableBodyText"/>
                    <w:ind w:right="23"/>
                  </w:pPr>
                  <w:r w:rsidRPr="00FF68DB">
                    <w:t>na</w:t>
                  </w:r>
                </w:p>
              </w:tc>
              <w:tc>
                <w:tcPr>
                  <w:tcW w:w="423" w:type="pct"/>
                  <w:vAlign w:val="bottom"/>
                </w:tcPr>
                <w:p w14:paraId="1DC7EF4F" w14:textId="4A4A149C" w:rsidR="00FF68DB" w:rsidRPr="00FF68DB" w:rsidRDefault="00FF68DB" w:rsidP="00B9240E">
                  <w:pPr>
                    <w:pStyle w:val="TableBodyText"/>
                    <w:ind w:right="23"/>
                  </w:pPr>
                  <w:r w:rsidRPr="00FF68DB">
                    <w:t>16</w:t>
                  </w:r>
                </w:p>
              </w:tc>
              <w:tc>
                <w:tcPr>
                  <w:tcW w:w="423" w:type="pct"/>
                  <w:vAlign w:val="bottom"/>
                </w:tcPr>
                <w:p w14:paraId="1A346053" w14:textId="17057FDD" w:rsidR="00FF68DB" w:rsidRPr="00FF68DB" w:rsidRDefault="00FF68DB" w:rsidP="00B9240E">
                  <w:pPr>
                    <w:pStyle w:val="TableBodyText"/>
                    <w:ind w:right="23"/>
                  </w:pPr>
                  <w:r w:rsidRPr="00FF68DB">
                    <w:t>14</w:t>
                  </w:r>
                </w:p>
              </w:tc>
              <w:tc>
                <w:tcPr>
                  <w:tcW w:w="423" w:type="pct"/>
                  <w:vAlign w:val="bottom"/>
                </w:tcPr>
                <w:p w14:paraId="66601396" w14:textId="77777777" w:rsidR="00FF68DB" w:rsidRDefault="00FF68DB" w:rsidP="00B9240E">
                  <w:pPr>
                    <w:pStyle w:val="TableBodyText"/>
                    <w:ind w:right="23"/>
                  </w:pPr>
                  <w:r>
                    <w:t>..</w:t>
                  </w:r>
                </w:p>
              </w:tc>
              <w:tc>
                <w:tcPr>
                  <w:tcW w:w="423" w:type="pct"/>
                  <w:vAlign w:val="bottom"/>
                </w:tcPr>
                <w:p w14:paraId="0EDC4D9E" w14:textId="77777777" w:rsidR="00FF68DB" w:rsidRDefault="00FF68DB" w:rsidP="00B9240E">
                  <w:pPr>
                    <w:pStyle w:val="TableBodyText"/>
                    <w:ind w:right="23"/>
                  </w:pPr>
                  <w:r>
                    <w:t>..</w:t>
                  </w:r>
                </w:p>
              </w:tc>
              <w:tc>
                <w:tcPr>
                  <w:tcW w:w="424" w:type="pct"/>
                  <w:vAlign w:val="bottom"/>
                </w:tcPr>
                <w:p w14:paraId="349A5DFF" w14:textId="77777777" w:rsidR="00FF68DB" w:rsidRDefault="00FF68DB" w:rsidP="00B9240E">
                  <w:pPr>
                    <w:pStyle w:val="TableBodyText"/>
                    <w:ind w:right="23"/>
                  </w:pPr>
                  <w:r>
                    <w:t>..</w:t>
                  </w:r>
                </w:p>
              </w:tc>
            </w:tr>
            <w:tr w:rsidR="00FF68DB" w:rsidRPr="0006049C" w14:paraId="7E33F9D0" w14:textId="77777777" w:rsidTr="00574345">
              <w:tc>
                <w:tcPr>
                  <w:tcW w:w="990" w:type="pct"/>
                </w:tcPr>
                <w:p w14:paraId="36A03DBC" w14:textId="77777777" w:rsidR="00FF68DB" w:rsidRPr="00046ACB" w:rsidRDefault="00FF68DB" w:rsidP="00FF68DB">
                  <w:pPr>
                    <w:pStyle w:val="TableBodyText"/>
                    <w:jc w:val="left"/>
                  </w:pPr>
                  <w:r>
                    <w:t xml:space="preserve"> Pending</w:t>
                  </w:r>
                </w:p>
              </w:tc>
              <w:tc>
                <w:tcPr>
                  <w:tcW w:w="312" w:type="pct"/>
                </w:tcPr>
                <w:p w14:paraId="3C6D3821" w14:textId="77777777" w:rsidR="00FF68DB" w:rsidRPr="004B239F" w:rsidRDefault="00FF68DB" w:rsidP="00FF68DB">
                  <w:pPr>
                    <w:pStyle w:val="TableBodyText"/>
                    <w:ind w:left="0" w:right="28"/>
                    <w:rPr>
                      <w:szCs w:val="16"/>
                    </w:rPr>
                  </w:pPr>
                  <w:r w:rsidRPr="004B239F">
                    <w:rPr>
                      <w:szCs w:val="16"/>
                    </w:rPr>
                    <w:t>no.</w:t>
                  </w:r>
                </w:p>
              </w:tc>
              <w:tc>
                <w:tcPr>
                  <w:tcW w:w="580" w:type="pct"/>
                  <w:vAlign w:val="center"/>
                </w:tcPr>
                <w:p w14:paraId="450F13DE" w14:textId="4906F6EF" w:rsidR="00FF68DB" w:rsidRPr="00FF68DB" w:rsidRDefault="00FF68DB" w:rsidP="00B9240E">
                  <w:pPr>
                    <w:pStyle w:val="TableBodyText"/>
                    <w:ind w:right="23"/>
                  </w:pPr>
                  <w:r w:rsidRPr="00FF68DB">
                    <w:t xml:space="preserve">  58</w:t>
                  </w:r>
                </w:p>
              </w:tc>
              <w:tc>
                <w:tcPr>
                  <w:tcW w:w="537" w:type="pct"/>
                  <w:vAlign w:val="center"/>
                </w:tcPr>
                <w:p w14:paraId="6E7A093B" w14:textId="2B3C0AC3" w:rsidR="00FF68DB" w:rsidRPr="00FF68DB" w:rsidRDefault="00FF68DB" w:rsidP="00B9240E">
                  <w:pPr>
                    <w:pStyle w:val="TableBodyText"/>
                    <w:ind w:right="23"/>
                  </w:pPr>
                  <w:r w:rsidRPr="00FF68DB">
                    <w:t xml:space="preserve">  13</w:t>
                  </w:r>
                </w:p>
              </w:tc>
              <w:tc>
                <w:tcPr>
                  <w:tcW w:w="465" w:type="pct"/>
                  <w:vAlign w:val="bottom"/>
                </w:tcPr>
                <w:p w14:paraId="5AC1179D" w14:textId="3975AFCF" w:rsidR="00FF68DB" w:rsidRPr="00FF68DB" w:rsidRDefault="00FF68DB" w:rsidP="00B9240E">
                  <w:pPr>
                    <w:pStyle w:val="TableBodyText"/>
                    <w:ind w:right="23"/>
                  </w:pPr>
                  <w:r w:rsidRPr="00FF68DB">
                    <w:t>na</w:t>
                  </w:r>
                </w:p>
              </w:tc>
              <w:tc>
                <w:tcPr>
                  <w:tcW w:w="423" w:type="pct"/>
                  <w:vAlign w:val="center"/>
                </w:tcPr>
                <w:p w14:paraId="3CB3D38D" w14:textId="72E67149" w:rsidR="00FF68DB" w:rsidRPr="00FF68DB" w:rsidRDefault="00FF68DB" w:rsidP="00B9240E">
                  <w:pPr>
                    <w:pStyle w:val="TableBodyText"/>
                    <w:ind w:right="23"/>
                  </w:pPr>
                  <w:r w:rsidRPr="00FF68DB">
                    <w:t xml:space="preserve">  25</w:t>
                  </w:r>
                </w:p>
              </w:tc>
              <w:tc>
                <w:tcPr>
                  <w:tcW w:w="423" w:type="pct"/>
                  <w:vAlign w:val="center"/>
                </w:tcPr>
                <w:p w14:paraId="59C7A92E" w14:textId="0D94FC9A" w:rsidR="00FF68DB" w:rsidRPr="00FF68DB" w:rsidRDefault="00FF68DB" w:rsidP="00B9240E">
                  <w:pPr>
                    <w:pStyle w:val="TableBodyText"/>
                    <w:ind w:right="23"/>
                  </w:pPr>
                  <w:r w:rsidRPr="00FF68DB">
                    <w:t xml:space="preserve">  9</w:t>
                  </w:r>
                </w:p>
              </w:tc>
              <w:tc>
                <w:tcPr>
                  <w:tcW w:w="423" w:type="pct"/>
                  <w:vAlign w:val="bottom"/>
                </w:tcPr>
                <w:p w14:paraId="5BB22532" w14:textId="77777777" w:rsidR="00FF68DB" w:rsidRDefault="00FF68DB" w:rsidP="00B9240E">
                  <w:pPr>
                    <w:pStyle w:val="TableBodyText"/>
                    <w:ind w:right="23"/>
                  </w:pPr>
                  <w:r>
                    <w:t>..</w:t>
                  </w:r>
                </w:p>
              </w:tc>
              <w:tc>
                <w:tcPr>
                  <w:tcW w:w="423" w:type="pct"/>
                  <w:vAlign w:val="bottom"/>
                </w:tcPr>
                <w:p w14:paraId="5C49E70C" w14:textId="77777777" w:rsidR="00FF68DB" w:rsidRDefault="00FF68DB" w:rsidP="00B9240E">
                  <w:pPr>
                    <w:pStyle w:val="TableBodyText"/>
                    <w:ind w:right="23"/>
                  </w:pPr>
                  <w:r>
                    <w:t>..</w:t>
                  </w:r>
                </w:p>
              </w:tc>
              <w:tc>
                <w:tcPr>
                  <w:tcW w:w="424" w:type="pct"/>
                  <w:vAlign w:val="bottom"/>
                </w:tcPr>
                <w:p w14:paraId="1A31A92E" w14:textId="77777777" w:rsidR="00FF68DB" w:rsidRDefault="00FF68DB" w:rsidP="00B9240E">
                  <w:pPr>
                    <w:pStyle w:val="TableBodyText"/>
                    <w:ind w:right="23"/>
                  </w:pPr>
                  <w:r>
                    <w:t>..</w:t>
                  </w:r>
                </w:p>
              </w:tc>
            </w:tr>
            <w:tr w:rsidR="00FF68DB" w:rsidRPr="0006049C" w14:paraId="5BE013DB" w14:textId="77777777" w:rsidTr="004235D0">
              <w:tc>
                <w:tcPr>
                  <w:tcW w:w="990" w:type="pct"/>
                </w:tcPr>
                <w:p w14:paraId="2B0391EE" w14:textId="77777777" w:rsidR="00FF68DB" w:rsidRPr="00013DF9" w:rsidRDefault="00FF68DB" w:rsidP="00FF68DB">
                  <w:pPr>
                    <w:pStyle w:val="TableBodyText"/>
                    <w:jc w:val="left"/>
                    <w:rPr>
                      <w:szCs w:val="18"/>
                    </w:rPr>
                  </w:pPr>
                  <w:r>
                    <w:rPr>
                      <w:szCs w:val="18"/>
                    </w:rPr>
                    <w:t xml:space="preserve"> Backlog &gt;12 mths</w:t>
                  </w:r>
                </w:p>
              </w:tc>
              <w:tc>
                <w:tcPr>
                  <w:tcW w:w="312" w:type="pct"/>
                </w:tcPr>
                <w:p w14:paraId="43022A8E" w14:textId="77777777" w:rsidR="00FF68DB" w:rsidRPr="00013DF9" w:rsidRDefault="00FF68DB" w:rsidP="00FF68DB">
                  <w:pPr>
                    <w:pStyle w:val="TableBodyText"/>
                    <w:ind w:left="0" w:right="28"/>
                    <w:rPr>
                      <w:szCs w:val="18"/>
                    </w:rPr>
                  </w:pPr>
                  <w:r>
                    <w:rPr>
                      <w:szCs w:val="18"/>
                    </w:rPr>
                    <w:t>%</w:t>
                  </w:r>
                </w:p>
              </w:tc>
              <w:tc>
                <w:tcPr>
                  <w:tcW w:w="580" w:type="pct"/>
                  <w:vAlign w:val="bottom"/>
                </w:tcPr>
                <w:p w14:paraId="45277449" w14:textId="27AB55D2" w:rsidR="00FF68DB" w:rsidRPr="00FF68DB" w:rsidRDefault="00FF68DB" w:rsidP="00B9240E">
                  <w:pPr>
                    <w:pStyle w:val="TableBodyText"/>
                    <w:ind w:right="23"/>
                  </w:pPr>
                  <w:r w:rsidRPr="00FF68DB">
                    <w:t xml:space="preserve"> 34.5</w:t>
                  </w:r>
                </w:p>
              </w:tc>
              <w:tc>
                <w:tcPr>
                  <w:tcW w:w="537" w:type="pct"/>
                  <w:vAlign w:val="bottom"/>
                </w:tcPr>
                <w:p w14:paraId="15A4E12D" w14:textId="730823C4" w:rsidR="00FF68DB" w:rsidRPr="00FF68DB" w:rsidRDefault="00FF68DB" w:rsidP="00B9240E">
                  <w:pPr>
                    <w:pStyle w:val="TableBodyText"/>
                    <w:ind w:right="23"/>
                  </w:pPr>
                  <w:r w:rsidRPr="00FF68DB">
                    <w:t xml:space="preserve"> 84.6</w:t>
                  </w:r>
                </w:p>
              </w:tc>
              <w:tc>
                <w:tcPr>
                  <w:tcW w:w="465" w:type="pct"/>
                  <w:vAlign w:val="bottom"/>
                </w:tcPr>
                <w:p w14:paraId="715F27DA" w14:textId="1A51052D" w:rsidR="00FF68DB" w:rsidRPr="00FF68DB" w:rsidRDefault="00FF68DB" w:rsidP="00B9240E">
                  <w:pPr>
                    <w:pStyle w:val="TableBodyText"/>
                    <w:ind w:right="23"/>
                  </w:pPr>
                  <w:r w:rsidRPr="00FF68DB">
                    <w:t>na</w:t>
                  </w:r>
                </w:p>
              </w:tc>
              <w:tc>
                <w:tcPr>
                  <w:tcW w:w="423" w:type="pct"/>
                  <w:vAlign w:val="bottom"/>
                </w:tcPr>
                <w:p w14:paraId="6A88D259" w14:textId="31404346" w:rsidR="00FF68DB" w:rsidRPr="00FF68DB" w:rsidRDefault="00FF68DB" w:rsidP="00B9240E">
                  <w:pPr>
                    <w:pStyle w:val="TableBodyText"/>
                    <w:ind w:right="23"/>
                  </w:pPr>
                  <w:r w:rsidRPr="00FF68DB">
                    <w:t xml:space="preserve"> 8.0</w:t>
                  </w:r>
                </w:p>
              </w:tc>
              <w:tc>
                <w:tcPr>
                  <w:tcW w:w="423" w:type="pct"/>
                  <w:vAlign w:val="bottom"/>
                </w:tcPr>
                <w:p w14:paraId="1DFA9FCA" w14:textId="0961A98D" w:rsidR="00FF68DB" w:rsidRPr="00FF68DB" w:rsidRDefault="00FF68DB" w:rsidP="00B9240E">
                  <w:pPr>
                    <w:pStyle w:val="TableBodyText"/>
                    <w:ind w:right="23"/>
                  </w:pPr>
                  <w:r w:rsidRPr="00FF68DB">
                    <w:t xml:space="preserve"> 22.2</w:t>
                  </w:r>
                </w:p>
              </w:tc>
              <w:tc>
                <w:tcPr>
                  <w:tcW w:w="423" w:type="pct"/>
                  <w:vAlign w:val="bottom"/>
                </w:tcPr>
                <w:p w14:paraId="32D0BABC" w14:textId="77777777" w:rsidR="00FF68DB" w:rsidRDefault="00FF68DB" w:rsidP="00B9240E">
                  <w:pPr>
                    <w:pStyle w:val="TableBodyText"/>
                    <w:ind w:right="23"/>
                  </w:pPr>
                  <w:r>
                    <w:t>..</w:t>
                  </w:r>
                </w:p>
              </w:tc>
              <w:tc>
                <w:tcPr>
                  <w:tcW w:w="423" w:type="pct"/>
                  <w:vAlign w:val="bottom"/>
                </w:tcPr>
                <w:p w14:paraId="0C989A89" w14:textId="77777777" w:rsidR="00FF68DB" w:rsidRDefault="00FF68DB" w:rsidP="00B9240E">
                  <w:pPr>
                    <w:pStyle w:val="TableBodyText"/>
                    <w:ind w:right="23"/>
                  </w:pPr>
                  <w:r>
                    <w:t>..</w:t>
                  </w:r>
                </w:p>
              </w:tc>
              <w:tc>
                <w:tcPr>
                  <w:tcW w:w="424" w:type="pct"/>
                  <w:vAlign w:val="bottom"/>
                </w:tcPr>
                <w:p w14:paraId="556D443F" w14:textId="77777777" w:rsidR="00FF68DB" w:rsidRDefault="00FF68DB" w:rsidP="00B9240E">
                  <w:pPr>
                    <w:pStyle w:val="TableBodyText"/>
                    <w:ind w:right="23"/>
                  </w:pPr>
                  <w:r>
                    <w:t>..</w:t>
                  </w:r>
                </w:p>
              </w:tc>
            </w:tr>
            <w:tr w:rsidR="00FF68DB" w:rsidRPr="0006049C" w14:paraId="681521D6" w14:textId="77777777" w:rsidTr="00D406CC">
              <w:tc>
                <w:tcPr>
                  <w:tcW w:w="990" w:type="pct"/>
                </w:tcPr>
                <w:p w14:paraId="3E6692C6" w14:textId="77777777" w:rsidR="00FF68DB" w:rsidRPr="00013DF9" w:rsidRDefault="00FF68DB" w:rsidP="00FF68DB">
                  <w:pPr>
                    <w:pStyle w:val="TableBodyText"/>
                    <w:jc w:val="left"/>
                    <w:rPr>
                      <w:szCs w:val="18"/>
                    </w:rPr>
                  </w:pPr>
                  <w:r>
                    <w:rPr>
                      <w:szCs w:val="18"/>
                    </w:rPr>
                    <w:t xml:space="preserve"> Backlog &gt;24 mths</w:t>
                  </w:r>
                </w:p>
              </w:tc>
              <w:tc>
                <w:tcPr>
                  <w:tcW w:w="312" w:type="pct"/>
                </w:tcPr>
                <w:p w14:paraId="00198416" w14:textId="77777777" w:rsidR="00FF68DB" w:rsidRPr="00013DF9" w:rsidRDefault="00FF68DB" w:rsidP="00FF68DB">
                  <w:pPr>
                    <w:pStyle w:val="TableBodyText"/>
                    <w:ind w:left="0" w:right="28"/>
                    <w:rPr>
                      <w:szCs w:val="18"/>
                    </w:rPr>
                  </w:pPr>
                  <w:r>
                    <w:rPr>
                      <w:szCs w:val="18"/>
                    </w:rPr>
                    <w:t>%</w:t>
                  </w:r>
                </w:p>
              </w:tc>
              <w:tc>
                <w:tcPr>
                  <w:tcW w:w="580" w:type="pct"/>
                  <w:shd w:val="clear" w:color="auto" w:fill="auto"/>
                  <w:vAlign w:val="bottom"/>
                </w:tcPr>
                <w:p w14:paraId="6DECDE69" w14:textId="02B246E4" w:rsidR="00FF68DB" w:rsidRPr="00FF68DB" w:rsidRDefault="00FF68DB" w:rsidP="00B9240E">
                  <w:pPr>
                    <w:pStyle w:val="TableBodyText"/>
                    <w:ind w:right="23"/>
                  </w:pPr>
                  <w:r w:rsidRPr="00FF68DB">
                    <w:t xml:space="preserve"> 6.9</w:t>
                  </w:r>
                </w:p>
              </w:tc>
              <w:tc>
                <w:tcPr>
                  <w:tcW w:w="537" w:type="pct"/>
                  <w:vAlign w:val="bottom"/>
                </w:tcPr>
                <w:p w14:paraId="331D589C" w14:textId="0C5642F1" w:rsidR="00FF68DB" w:rsidRPr="00FF68DB" w:rsidRDefault="00FF68DB" w:rsidP="00B9240E">
                  <w:pPr>
                    <w:pStyle w:val="TableBodyText"/>
                    <w:ind w:right="23"/>
                  </w:pPr>
                  <w:r w:rsidRPr="00FF68DB">
                    <w:t xml:space="preserve"> 38.5</w:t>
                  </w:r>
                </w:p>
              </w:tc>
              <w:tc>
                <w:tcPr>
                  <w:tcW w:w="465" w:type="pct"/>
                  <w:vAlign w:val="bottom"/>
                </w:tcPr>
                <w:p w14:paraId="07DD2088" w14:textId="6452CE2D" w:rsidR="00FF68DB" w:rsidRPr="00FF68DB" w:rsidRDefault="00FF68DB" w:rsidP="00B9240E">
                  <w:pPr>
                    <w:pStyle w:val="TableBodyText"/>
                    <w:ind w:right="23"/>
                  </w:pPr>
                  <w:r w:rsidRPr="00FF68DB">
                    <w:t>na</w:t>
                  </w:r>
                </w:p>
              </w:tc>
              <w:tc>
                <w:tcPr>
                  <w:tcW w:w="423" w:type="pct"/>
                  <w:vAlign w:val="bottom"/>
                </w:tcPr>
                <w:p w14:paraId="4935BC4D" w14:textId="57BC6EC7" w:rsidR="00FF68DB" w:rsidRPr="00FF68DB" w:rsidRDefault="00FF68DB" w:rsidP="00B9240E">
                  <w:pPr>
                    <w:pStyle w:val="TableBodyText"/>
                    <w:ind w:right="23"/>
                  </w:pPr>
                  <w:r w:rsidRPr="00FF68DB">
                    <w:t xml:space="preserve"> 4.0</w:t>
                  </w:r>
                </w:p>
              </w:tc>
              <w:tc>
                <w:tcPr>
                  <w:tcW w:w="423" w:type="pct"/>
                  <w:vAlign w:val="bottom"/>
                </w:tcPr>
                <w:p w14:paraId="2D85A6F9" w14:textId="72F29C0F" w:rsidR="00FF68DB" w:rsidRPr="00FF68DB" w:rsidRDefault="00FF68DB" w:rsidP="00B9240E">
                  <w:pPr>
                    <w:pStyle w:val="TableBodyText"/>
                    <w:ind w:right="23"/>
                  </w:pPr>
                  <w:r w:rsidRPr="00FF68DB">
                    <w:t xml:space="preserve"> 11.1</w:t>
                  </w:r>
                </w:p>
              </w:tc>
              <w:tc>
                <w:tcPr>
                  <w:tcW w:w="423" w:type="pct"/>
                  <w:vAlign w:val="bottom"/>
                </w:tcPr>
                <w:p w14:paraId="7B635F7E" w14:textId="77777777" w:rsidR="00FF68DB" w:rsidRDefault="00FF68DB" w:rsidP="00B9240E">
                  <w:pPr>
                    <w:pStyle w:val="TableBodyText"/>
                    <w:ind w:right="23"/>
                  </w:pPr>
                  <w:r>
                    <w:t>..</w:t>
                  </w:r>
                </w:p>
              </w:tc>
              <w:tc>
                <w:tcPr>
                  <w:tcW w:w="423" w:type="pct"/>
                  <w:vAlign w:val="bottom"/>
                </w:tcPr>
                <w:p w14:paraId="2E535817" w14:textId="77777777" w:rsidR="00FF68DB" w:rsidRDefault="00FF68DB" w:rsidP="00B9240E">
                  <w:pPr>
                    <w:pStyle w:val="TableBodyText"/>
                    <w:ind w:right="23"/>
                  </w:pPr>
                  <w:r>
                    <w:t>..</w:t>
                  </w:r>
                </w:p>
              </w:tc>
              <w:tc>
                <w:tcPr>
                  <w:tcW w:w="424" w:type="pct"/>
                  <w:vAlign w:val="bottom"/>
                </w:tcPr>
                <w:p w14:paraId="4E6732D0" w14:textId="77777777" w:rsidR="00FF68DB" w:rsidRDefault="00FF68DB" w:rsidP="00B9240E">
                  <w:pPr>
                    <w:pStyle w:val="TableBodyText"/>
                    <w:ind w:right="23"/>
                  </w:pPr>
                  <w:r>
                    <w:t>..</w:t>
                  </w:r>
                </w:p>
              </w:tc>
            </w:tr>
            <w:tr w:rsidR="00FF68DB" w:rsidRPr="0006049C" w14:paraId="247A52DC" w14:textId="77777777" w:rsidTr="005D62AB">
              <w:tc>
                <w:tcPr>
                  <w:tcW w:w="990" w:type="pct"/>
                </w:tcPr>
                <w:p w14:paraId="0DC00B80" w14:textId="77777777" w:rsidR="00FF68DB" w:rsidRPr="00046ACB" w:rsidRDefault="00FF68DB" w:rsidP="00FF68DB">
                  <w:pPr>
                    <w:pStyle w:val="TableBodyText"/>
                    <w:jc w:val="left"/>
                  </w:pPr>
                  <w:r>
                    <w:t xml:space="preserve"> </w:t>
                  </w:r>
                  <w:r w:rsidRPr="00046ACB">
                    <w:t>Attendance</w:t>
                  </w:r>
                </w:p>
              </w:tc>
              <w:tc>
                <w:tcPr>
                  <w:tcW w:w="312" w:type="pct"/>
                </w:tcPr>
                <w:p w14:paraId="1B85F18A" w14:textId="77777777" w:rsidR="00FF68DB" w:rsidRPr="008A7DD0" w:rsidRDefault="00FF68DB" w:rsidP="00FF68DB">
                  <w:pPr>
                    <w:pStyle w:val="TableBodyText"/>
                    <w:ind w:left="0" w:right="28"/>
                    <w:rPr>
                      <w:szCs w:val="16"/>
                    </w:rPr>
                  </w:pPr>
                  <w:r>
                    <w:rPr>
                      <w:szCs w:val="16"/>
                    </w:rPr>
                    <w:t>n</w:t>
                  </w:r>
                  <w:r w:rsidRPr="008A7DD0">
                    <w:rPr>
                      <w:szCs w:val="16"/>
                    </w:rPr>
                    <w:t>o.</w:t>
                  </w:r>
                </w:p>
              </w:tc>
              <w:tc>
                <w:tcPr>
                  <w:tcW w:w="580" w:type="pct"/>
                  <w:shd w:val="clear" w:color="auto" w:fill="auto"/>
                  <w:vAlign w:val="bottom"/>
                </w:tcPr>
                <w:p w14:paraId="7C8FEBE8" w14:textId="6059EE7F" w:rsidR="00FF68DB" w:rsidRPr="00FF68DB" w:rsidRDefault="00FF68DB" w:rsidP="00B9240E">
                  <w:pPr>
                    <w:pStyle w:val="TableBodyText"/>
                    <w:ind w:right="23"/>
                  </w:pPr>
                  <w:r w:rsidRPr="00FF68DB">
                    <w:t xml:space="preserve"> 5.5</w:t>
                  </w:r>
                </w:p>
              </w:tc>
              <w:tc>
                <w:tcPr>
                  <w:tcW w:w="537" w:type="pct"/>
                  <w:shd w:val="clear" w:color="auto" w:fill="auto"/>
                  <w:vAlign w:val="bottom"/>
                </w:tcPr>
                <w:p w14:paraId="385A2D00" w14:textId="751F727F" w:rsidR="00FF68DB" w:rsidRPr="00FF68DB" w:rsidRDefault="00FF68DB" w:rsidP="00B9240E">
                  <w:pPr>
                    <w:pStyle w:val="TableBodyText"/>
                    <w:ind w:right="23"/>
                  </w:pPr>
                  <w:r w:rsidRPr="00FF68DB">
                    <w:t xml:space="preserve"> 6.1</w:t>
                  </w:r>
                </w:p>
              </w:tc>
              <w:tc>
                <w:tcPr>
                  <w:tcW w:w="465" w:type="pct"/>
                  <w:shd w:val="clear" w:color="auto" w:fill="auto"/>
                  <w:vAlign w:val="bottom"/>
                </w:tcPr>
                <w:p w14:paraId="767D2D71" w14:textId="527875B6" w:rsidR="00FF68DB" w:rsidRPr="00FF68DB" w:rsidRDefault="00FF68DB" w:rsidP="00B9240E">
                  <w:pPr>
                    <w:pStyle w:val="TableBodyText"/>
                    <w:ind w:right="23"/>
                  </w:pPr>
                  <w:r w:rsidRPr="00FF68DB">
                    <w:t>na</w:t>
                  </w:r>
                </w:p>
              </w:tc>
              <w:tc>
                <w:tcPr>
                  <w:tcW w:w="423" w:type="pct"/>
                  <w:shd w:val="clear" w:color="auto" w:fill="auto"/>
                  <w:vAlign w:val="bottom"/>
                </w:tcPr>
                <w:p w14:paraId="3B453D17" w14:textId="72489F74" w:rsidR="00FF68DB" w:rsidRPr="00FF68DB" w:rsidRDefault="00FF68DB" w:rsidP="00B9240E">
                  <w:pPr>
                    <w:pStyle w:val="TableBodyText"/>
                    <w:ind w:right="23"/>
                  </w:pPr>
                  <w:r w:rsidRPr="00FF68DB">
                    <w:t xml:space="preserve"> 3.4</w:t>
                  </w:r>
                </w:p>
              </w:tc>
              <w:tc>
                <w:tcPr>
                  <w:tcW w:w="423" w:type="pct"/>
                  <w:shd w:val="clear" w:color="auto" w:fill="auto"/>
                  <w:vAlign w:val="bottom"/>
                </w:tcPr>
                <w:p w14:paraId="6A456AB4" w14:textId="671A2B43" w:rsidR="00FF68DB" w:rsidRPr="00FF68DB" w:rsidRDefault="00FF68DB" w:rsidP="00B9240E">
                  <w:pPr>
                    <w:pStyle w:val="TableBodyText"/>
                    <w:ind w:right="23"/>
                  </w:pPr>
                  <w:r w:rsidRPr="00FF68DB">
                    <w:t xml:space="preserve"> 12.8</w:t>
                  </w:r>
                </w:p>
              </w:tc>
              <w:tc>
                <w:tcPr>
                  <w:tcW w:w="423" w:type="pct"/>
                  <w:vAlign w:val="bottom"/>
                </w:tcPr>
                <w:p w14:paraId="041B62F2" w14:textId="77777777" w:rsidR="00FF68DB" w:rsidRDefault="00FF68DB" w:rsidP="00B9240E">
                  <w:pPr>
                    <w:pStyle w:val="TableBodyText"/>
                    <w:ind w:right="23"/>
                  </w:pPr>
                  <w:r>
                    <w:t>..</w:t>
                  </w:r>
                </w:p>
              </w:tc>
              <w:tc>
                <w:tcPr>
                  <w:tcW w:w="423" w:type="pct"/>
                  <w:vAlign w:val="bottom"/>
                </w:tcPr>
                <w:p w14:paraId="29AF9271" w14:textId="77777777" w:rsidR="00FF68DB" w:rsidRDefault="00FF68DB" w:rsidP="00B9240E">
                  <w:pPr>
                    <w:pStyle w:val="TableBodyText"/>
                    <w:ind w:right="23"/>
                  </w:pPr>
                  <w:r>
                    <w:t>..</w:t>
                  </w:r>
                </w:p>
              </w:tc>
              <w:tc>
                <w:tcPr>
                  <w:tcW w:w="424" w:type="pct"/>
                  <w:vAlign w:val="bottom"/>
                </w:tcPr>
                <w:p w14:paraId="4F91B930" w14:textId="77777777" w:rsidR="00FF68DB" w:rsidRDefault="00FF68DB" w:rsidP="00B9240E">
                  <w:pPr>
                    <w:pStyle w:val="TableBodyText"/>
                    <w:ind w:right="23"/>
                  </w:pPr>
                  <w:r>
                    <w:t>..</w:t>
                  </w:r>
                </w:p>
              </w:tc>
            </w:tr>
            <w:tr w:rsidR="00FF68DB" w:rsidRPr="0006049C" w14:paraId="25E9B94C" w14:textId="77777777" w:rsidTr="000441BF">
              <w:trPr>
                <w:trHeight w:val="258"/>
              </w:trPr>
              <w:tc>
                <w:tcPr>
                  <w:tcW w:w="990" w:type="pct"/>
                </w:tcPr>
                <w:p w14:paraId="03C99565" w14:textId="77777777" w:rsidR="00FF68DB" w:rsidRPr="00046ACB" w:rsidRDefault="00FF68DB" w:rsidP="00FF68DB">
                  <w:pPr>
                    <w:pStyle w:val="TableBodyText"/>
                    <w:jc w:val="left"/>
                  </w:pPr>
                  <w:r>
                    <w:t xml:space="preserve"> Clearance rate</w:t>
                  </w:r>
                </w:p>
              </w:tc>
              <w:tc>
                <w:tcPr>
                  <w:tcW w:w="312" w:type="pct"/>
                </w:tcPr>
                <w:p w14:paraId="67750481" w14:textId="77777777" w:rsidR="00FF68DB" w:rsidRPr="00013DF9" w:rsidRDefault="00FF68DB" w:rsidP="00FF68DB">
                  <w:pPr>
                    <w:pStyle w:val="TableBodyText"/>
                    <w:ind w:left="0" w:right="28"/>
                    <w:rPr>
                      <w:i/>
                      <w:szCs w:val="16"/>
                    </w:rPr>
                  </w:pPr>
                  <w:r w:rsidRPr="00013DF9">
                    <w:rPr>
                      <w:i/>
                      <w:szCs w:val="16"/>
                    </w:rPr>
                    <w:t>%</w:t>
                  </w:r>
                </w:p>
              </w:tc>
              <w:tc>
                <w:tcPr>
                  <w:tcW w:w="580" w:type="pct"/>
                  <w:vAlign w:val="bottom"/>
                </w:tcPr>
                <w:p w14:paraId="0F3AA747" w14:textId="71FA8892" w:rsidR="00FF68DB" w:rsidRPr="00FF68DB" w:rsidRDefault="00FF68DB" w:rsidP="00B9240E">
                  <w:pPr>
                    <w:pStyle w:val="TableBodyText"/>
                    <w:ind w:right="23"/>
                  </w:pPr>
                  <w:r w:rsidRPr="00FF68DB">
                    <w:t xml:space="preserve"> 164.7</w:t>
                  </w:r>
                </w:p>
              </w:tc>
              <w:tc>
                <w:tcPr>
                  <w:tcW w:w="537" w:type="pct"/>
                  <w:vAlign w:val="bottom"/>
                </w:tcPr>
                <w:p w14:paraId="582FFD2C" w14:textId="33564413" w:rsidR="00FF68DB" w:rsidRPr="00FF68DB" w:rsidRDefault="00FF68DB" w:rsidP="00B9240E">
                  <w:pPr>
                    <w:pStyle w:val="TableBodyText"/>
                    <w:ind w:right="23"/>
                  </w:pPr>
                  <w:r w:rsidRPr="00FF68DB">
                    <w:t xml:space="preserve"> 140.0</w:t>
                  </w:r>
                </w:p>
              </w:tc>
              <w:tc>
                <w:tcPr>
                  <w:tcW w:w="465" w:type="pct"/>
                  <w:vAlign w:val="bottom"/>
                </w:tcPr>
                <w:p w14:paraId="44106B88" w14:textId="0F7E4A46" w:rsidR="00FF68DB" w:rsidRPr="00FF68DB" w:rsidRDefault="00FF68DB" w:rsidP="00B9240E">
                  <w:pPr>
                    <w:pStyle w:val="TableBodyText"/>
                    <w:ind w:right="23"/>
                  </w:pPr>
                  <w:r w:rsidRPr="00FF68DB">
                    <w:t>na</w:t>
                  </w:r>
                </w:p>
              </w:tc>
              <w:tc>
                <w:tcPr>
                  <w:tcW w:w="423" w:type="pct"/>
                  <w:vAlign w:val="bottom"/>
                </w:tcPr>
                <w:p w14:paraId="44FA257C" w14:textId="7AF409D6" w:rsidR="00FF68DB" w:rsidRPr="00FF68DB" w:rsidRDefault="00FF68DB" w:rsidP="00B9240E">
                  <w:pPr>
                    <w:pStyle w:val="TableBodyText"/>
                    <w:ind w:right="23"/>
                  </w:pPr>
                  <w:r w:rsidRPr="00FF68DB">
                    <w:t xml:space="preserve"> 59.3</w:t>
                  </w:r>
                </w:p>
              </w:tc>
              <w:tc>
                <w:tcPr>
                  <w:tcW w:w="423" w:type="pct"/>
                  <w:vAlign w:val="bottom"/>
                </w:tcPr>
                <w:p w14:paraId="4B7CE129" w14:textId="7F2A4F99" w:rsidR="00FF68DB" w:rsidRPr="00FF68DB" w:rsidRDefault="00FF68DB" w:rsidP="00B9240E">
                  <w:pPr>
                    <w:pStyle w:val="TableBodyText"/>
                    <w:ind w:right="23"/>
                  </w:pPr>
                  <w:r w:rsidRPr="00FF68DB">
                    <w:t xml:space="preserve"> 155.6</w:t>
                  </w:r>
                </w:p>
              </w:tc>
              <w:tc>
                <w:tcPr>
                  <w:tcW w:w="423" w:type="pct"/>
                  <w:vAlign w:val="bottom"/>
                </w:tcPr>
                <w:p w14:paraId="10D6B6F1" w14:textId="77777777" w:rsidR="00FF68DB" w:rsidRDefault="00FF68DB" w:rsidP="00B9240E">
                  <w:pPr>
                    <w:pStyle w:val="TableBodyText"/>
                    <w:ind w:right="23"/>
                  </w:pPr>
                  <w:r>
                    <w:t>..</w:t>
                  </w:r>
                </w:p>
              </w:tc>
              <w:tc>
                <w:tcPr>
                  <w:tcW w:w="423" w:type="pct"/>
                  <w:vAlign w:val="bottom"/>
                </w:tcPr>
                <w:p w14:paraId="1834F540" w14:textId="77777777" w:rsidR="00FF68DB" w:rsidRDefault="00FF68DB" w:rsidP="00B9240E">
                  <w:pPr>
                    <w:pStyle w:val="TableBodyText"/>
                    <w:ind w:right="23"/>
                  </w:pPr>
                  <w:r>
                    <w:t>..</w:t>
                  </w:r>
                </w:p>
              </w:tc>
              <w:tc>
                <w:tcPr>
                  <w:tcW w:w="424" w:type="pct"/>
                  <w:vAlign w:val="bottom"/>
                </w:tcPr>
                <w:p w14:paraId="42B1467B" w14:textId="77777777" w:rsidR="00FF68DB" w:rsidRDefault="00FF68DB" w:rsidP="00B9240E">
                  <w:pPr>
                    <w:pStyle w:val="TableBodyText"/>
                    <w:ind w:right="23"/>
                  </w:pPr>
                  <w:r>
                    <w:t>..</w:t>
                  </w:r>
                </w:p>
              </w:tc>
            </w:tr>
            <w:tr w:rsidR="006450F3" w:rsidRPr="00013DF9" w14:paraId="623D180A" w14:textId="77777777" w:rsidTr="000441BF">
              <w:tc>
                <w:tcPr>
                  <w:tcW w:w="5000" w:type="pct"/>
                  <w:gridSpan w:val="10"/>
                </w:tcPr>
                <w:p w14:paraId="12765F92" w14:textId="77777777" w:rsidR="006450F3" w:rsidRPr="00013DF9" w:rsidRDefault="006450F3" w:rsidP="00FA59A6">
                  <w:pPr>
                    <w:pStyle w:val="TableBodyText"/>
                    <w:spacing w:before="40"/>
                    <w:ind w:left="0" w:right="0"/>
                    <w:jc w:val="left"/>
                    <w:rPr>
                      <w:rStyle w:val="NoteLabel"/>
                    </w:rPr>
                  </w:pPr>
                  <w:r w:rsidRPr="00013DF9">
                    <w:rPr>
                      <w:b/>
                    </w:rPr>
                    <w:t>Magistrates’</w:t>
                  </w:r>
                </w:p>
              </w:tc>
            </w:tr>
            <w:tr w:rsidR="00FF68DB" w:rsidRPr="00E11FC5" w14:paraId="656CBEA6" w14:textId="77777777" w:rsidTr="000441BF">
              <w:tc>
                <w:tcPr>
                  <w:tcW w:w="990" w:type="pct"/>
                </w:tcPr>
                <w:p w14:paraId="5CD013B8" w14:textId="77777777" w:rsidR="00FF68DB" w:rsidRPr="00013DF9" w:rsidRDefault="00FF68DB" w:rsidP="00FF68DB">
                  <w:pPr>
                    <w:pStyle w:val="TableBodyText"/>
                    <w:jc w:val="left"/>
                    <w:rPr>
                      <w:szCs w:val="18"/>
                    </w:rPr>
                  </w:pPr>
                  <w:r w:rsidRPr="00013DF9">
                    <w:rPr>
                      <w:szCs w:val="18"/>
                    </w:rPr>
                    <w:t xml:space="preserve"> Lodgments</w:t>
                  </w:r>
                </w:p>
              </w:tc>
              <w:tc>
                <w:tcPr>
                  <w:tcW w:w="312" w:type="pct"/>
                </w:tcPr>
                <w:p w14:paraId="35915CC0" w14:textId="77777777" w:rsidR="00FF68DB" w:rsidRPr="00013DF9" w:rsidRDefault="00FF68DB" w:rsidP="00FF68DB">
                  <w:pPr>
                    <w:pStyle w:val="TableBodyText"/>
                    <w:ind w:left="0" w:right="28"/>
                    <w:rPr>
                      <w:szCs w:val="18"/>
                    </w:rPr>
                  </w:pPr>
                  <w:r>
                    <w:rPr>
                      <w:szCs w:val="18"/>
                    </w:rPr>
                    <w:t>no.</w:t>
                  </w:r>
                </w:p>
              </w:tc>
              <w:tc>
                <w:tcPr>
                  <w:tcW w:w="580" w:type="pct"/>
                  <w:vAlign w:val="bottom"/>
                </w:tcPr>
                <w:p w14:paraId="24A0029A" w14:textId="4E61F911" w:rsidR="00FF68DB" w:rsidRDefault="00FF68DB" w:rsidP="00B9240E">
                  <w:pPr>
                    <w:pStyle w:val="TableBodyText"/>
                    <w:ind w:right="23"/>
                  </w:pPr>
                  <w:r>
                    <w:t>230</w:t>
                  </w:r>
                </w:p>
              </w:tc>
              <w:tc>
                <w:tcPr>
                  <w:tcW w:w="537" w:type="pct"/>
                  <w:vAlign w:val="bottom"/>
                </w:tcPr>
                <w:p w14:paraId="2990810C" w14:textId="1F9CDC24" w:rsidR="00FF68DB" w:rsidRDefault="00FF68DB" w:rsidP="00B9240E">
                  <w:pPr>
                    <w:pStyle w:val="TableBodyText"/>
                    <w:ind w:right="23"/>
                  </w:pPr>
                  <w:r>
                    <w:t>132</w:t>
                  </w:r>
                </w:p>
              </w:tc>
              <w:tc>
                <w:tcPr>
                  <w:tcW w:w="465" w:type="pct"/>
                  <w:vAlign w:val="bottom"/>
                </w:tcPr>
                <w:p w14:paraId="27B37E8E" w14:textId="5FB6182F" w:rsidR="00FF68DB" w:rsidRDefault="00FF68DB" w:rsidP="00B9240E">
                  <w:pPr>
                    <w:pStyle w:val="TableBodyText"/>
                    <w:ind w:right="23"/>
                  </w:pPr>
                  <w:r>
                    <w:t>131</w:t>
                  </w:r>
                </w:p>
              </w:tc>
              <w:tc>
                <w:tcPr>
                  <w:tcW w:w="423" w:type="pct"/>
                  <w:vAlign w:val="bottom"/>
                </w:tcPr>
                <w:p w14:paraId="2C0AD538" w14:textId="67CAAB5F" w:rsidR="00FF68DB" w:rsidRDefault="00FF68DB" w:rsidP="00B9240E">
                  <w:pPr>
                    <w:pStyle w:val="TableBodyText"/>
                    <w:ind w:right="23"/>
                  </w:pPr>
                  <w:r>
                    <w:t>131</w:t>
                  </w:r>
                </w:p>
              </w:tc>
              <w:tc>
                <w:tcPr>
                  <w:tcW w:w="423" w:type="pct"/>
                  <w:vAlign w:val="bottom"/>
                </w:tcPr>
                <w:p w14:paraId="36A291B2" w14:textId="651D55B8" w:rsidR="00FF68DB" w:rsidRDefault="00FF68DB" w:rsidP="00B9240E">
                  <w:pPr>
                    <w:pStyle w:val="TableBodyText"/>
                    <w:ind w:right="23"/>
                  </w:pPr>
                  <w:r>
                    <w:t>63</w:t>
                  </w:r>
                </w:p>
              </w:tc>
              <w:tc>
                <w:tcPr>
                  <w:tcW w:w="423" w:type="pct"/>
                  <w:vAlign w:val="bottom"/>
                </w:tcPr>
                <w:p w14:paraId="15BC3707" w14:textId="316E5780" w:rsidR="00FF68DB" w:rsidRDefault="00FF68DB" w:rsidP="00B9240E">
                  <w:pPr>
                    <w:pStyle w:val="TableBodyText"/>
                    <w:ind w:right="23"/>
                  </w:pPr>
                  <w:r>
                    <w:t>18</w:t>
                  </w:r>
                </w:p>
              </w:tc>
              <w:tc>
                <w:tcPr>
                  <w:tcW w:w="423" w:type="pct"/>
                  <w:vAlign w:val="bottom"/>
                </w:tcPr>
                <w:p w14:paraId="7097C774" w14:textId="711F934D" w:rsidR="00FF68DB" w:rsidRDefault="00FF68DB" w:rsidP="00B9240E">
                  <w:pPr>
                    <w:pStyle w:val="TableBodyText"/>
                    <w:ind w:right="23"/>
                  </w:pPr>
                  <w:r>
                    <w:t>5</w:t>
                  </w:r>
                </w:p>
              </w:tc>
              <w:tc>
                <w:tcPr>
                  <w:tcW w:w="424" w:type="pct"/>
                  <w:vAlign w:val="bottom"/>
                </w:tcPr>
                <w:p w14:paraId="09CBAB06" w14:textId="6362EDF4" w:rsidR="00FF68DB" w:rsidRDefault="00FF68DB" w:rsidP="00B9240E">
                  <w:pPr>
                    <w:pStyle w:val="TableBodyText"/>
                    <w:ind w:right="23"/>
                  </w:pPr>
                  <w:r>
                    <w:t>15</w:t>
                  </w:r>
                </w:p>
              </w:tc>
            </w:tr>
            <w:tr w:rsidR="00FF68DB" w:rsidRPr="00E11FC5" w14:paraId="4868E503" w14:textId="77777777" w:rsidTr="000441BF">
              <w:tc>
                <w:tcPr>
                  <w:tcW w:w="990" w:type="pct"/>
                </w:tcPr>
                <w:p w14:paraId="17DACC5C" w14:textId="77777777" w:rsidR="00FF68DB" w:rsidRPr="00013DF9" w:rsidRDefault="00FF68DB" w:rsidP="00FF68DB">
                  <w:pPr>
                    <w:pStyle w:val="TableBodyText"/>
                    <w:jc w:val="left"/>
                    <w:rPr>
                      <w:szCs w:val="18"/>
                    </w:rPr>
                  </w:pPr>
                  <w:r w:rsidRPr="00013DF9">
                    <w:rPr>
                      <w:szCs w:val="18"/>
                    </w:rPr>
                    <w:t xml:space="preserve"> Finalisations</w:t>
                  </w:r>
                </w:p>
              </w:tc>
              <w:tc>
                <w:tcPr>
                  <w:tcW w:w="312" w:type="pct"/>
                </w:tcPr>
                <w:p w14:paraId="3FDEA809" w14:textId="77777777" w:rsidR="00FF68DB" w:rsidRPr="00013DF9" w:rsidRDefault="00FF68DB" w:rsidP="00FF68DB">
                  <w:pPr>
                    <w:pStyle w:val="TableBodyText"/>
                    <w:ind w:left="0" w:right="28"/>
                    <w:rPr>
                      <w:szCs w:val="18"/>
                    </w:rPr>
                  </w:pPr>
                  <w:r>
                    <w:rPr>
                      <w:szCs w:val="18"/>
                    </w:rPr>
                    <w:t>no.</w:t>
                  </w:r>
                </w:p>
              </w:tc>
              <w:tc>
                <w:tcPr>
                  <w:tcW w:w="580" w:type="pct"/>
                  <w:vAlign w:val="bottom"/>
                </w:tcPr>
                <w:p w14:paraId="5BE1271A" w14:textId="654F8294" w:rsidR="00FF68DB" w:rsidRDefault="00FF68DB" w:rsidP="00B9240E">
                  <w:pPr>
                    <w:pStyle w:val="TableBodyText"/>
                    <w:ind w:right="23"/>
                  </w:pPr>
                  <w:r>
                    <w:t>221</w:t>
                  </w:r>
                </w:p>
              </w:tc>
              <w:tc>
                <w:tcPr>
                  <w:tcW w:w="537" w:type="pct"/>
                  <w:vAlign w:val="bottom"/>
                </w:tcPr>
                <w:p w14:paraId="67A5F55F" w14:textId="365158E9" w:rsidR="00FF68DB" w:rsidRDefault="00FF68DB" w:rsidP="00B9240E">
                  <w:pPr>
                    <w:pStyle w:val="TableBodyText"/>
                    <w:ind w:right="23"/>
                  </w:pPr>
                  <w:r>
                    <w:t>140</w:t>
                  </w:r>
                </w:p>
              </w:tc>
              <w:tc>
                <w:tcPr>
                  <w:tcW w:w="465" w:type="pct"/>
                  <w:vAlign w:val="bottom"/>
                </w:tcPr>
                <w:p w14:paraId="64C3310D" w14:textId="69CCA0C2" w:rsidR="00FF68DB" w:rsidRDefault="00FF68DB" w:rsidP="00B9240E">
                  <w:pPr>
                    <w:pStyle w:val="TableBodyText"/>
                    <w:ind w:right="23"/>
                  </w:pPr>
                  <w:r>
                    <w:t>106</w:t>
                  </w:r>
                </w:p>
              </w:tc>
              <w:tc>
                <w:tcPr>
                  <w:tcW w:w="423" w:type="pct"/>
                  <w:vAlign w:val="bottom"/>
                </w:tcPr>
                <w:p w14:paraId="2F3D9D02" w14:textId="6A402291" w:rsidR="00FF68DB" w:rsidRDefault="00FF68DB" w:rsidP="00B9240E">
                  <w:pPr>
                    <w:pStyle w:val="TableBodyText"/>
                    <w:ind w:right="23"/>
                  </w:pPr>
                  <w:r>
                    <w:t>95</w:t>
                  </w:r>
                </w:p>
              </w:tc>
              <w:tc>
                <w:tcPr>
                  <w:tcW w:w="423" w:type="pct"/>
                  <w:vAlign w:val="bottom"/>
                </w:tcPr>
                <w:p w14:paraId="69BD3508" w14:textId="397B0AB0" w:rsidR="00FF68DB" w:rsidRDefault="00FF68DB" w:rsidP="00B9240E">
                  <w:pPr>
                    <w:pStyle w:val="TableBodyText"/>
                    <w:ind w:right="23"/>
                  </w:pPr>
                  <w:r>
                    <w:t>60</w:t>
                  </w:r>
                </w:p>
              </w:tc>
              <w:tc>
                <w:tcPr>
                  <w:tcW w:w="423" w:type="pct"/>
                  <w:vAlign w:val="bottom"/>
                </w:tcPr>
                <w:p w14:paraId="1AA875E9" w14:textId="4055DF00" w:rsidR="00FF68DB" w:rsidRDefault="00FF68DB" w:rsidP="00B9240E">
                  <w:pPr>
                    <w:pStyle w:val="TableBodyText"/>
                    <w:ind w:right="23"/>
                  </w:pPr>
                  <w:r>
                    <w:t>21</w:t>
                  </w:r>
                </w:p>
              </w:tc>
              <w:tc>
                <w:tcPr>
                  <w:tcW w:w="423" w:type="pct"/>
                  <w:vAlign w:val="bottom"/>
                </w:tcPr>
                <w:p w14:paraId="4BC024BD" w14:textId="3958CD68" w:rsidR="00FF68DB" w:rsidRDefault="00FF68DB" w:rsidP="00B9240E">
                  <w:pPr>
                    <w:pStyle w:val="TableBodyText"/>
                    <w:ind w:right="23"/>
                  </w:pPr>
                  <w:r>
                    <w:t>4</w:t>
                  </w:r>
                </w:p>
              </w:tc>
              <w:tc>
                <w:tcPr>
                  <w:tcW w:w="424" w:type="pct"/>
                  <w:vAlign w:val="bottom"/>
                </w:tcPr>
                <w:p w14:paraId="254E503C" w14:textId="1ECCD06C" w:rsidR="00FF68DB" w:rsidRDefault="00FF68DB" w:rsidP="00B9240E">
                  <w:pPr>
                    <w:pStyle w:val="TableBodyText"/>
                    <w:ind w:right="23"/>
                  </w:pPr>
                  <w:r>
                    <w:t>5</w:t>
                  </w:r>
                </w:p>
              </w:tc>
            </w:tr>
            <w:tr w:rsidR="00FF68DB" w:rsidRPr="00E11FC5" w14:paraId="31230446" w14:textId="77777777" w:rsidTr="00574345">
              <w:tc>
                <w:tcPr>
                  <w:tcW w:w="990" w:type="pct"/>
                </w:tcPr>
                <w:p w14:paraId="7B268E69" w14:textId="77777777" w:rsidR="00FF68DB" w:rsidRPr="00046ACB" w:rsidRDefault="00FF68DB" w:rsidP="00FF68DB">
                  <w:pPr>
                    <w:pStyle w:val="TableBodyText"/>
                    <w:jc w:val="left"/>
                  </w:pPr>
                  <w:r>
                    <w:t xml:space="preserve"> Pending</w:t>
                  </w:r>
                </w:p>
              </w:tc>
              <w:tc>
                <w:tcPr>
                  <w:tcW w:w="312" w:type="pct"/>
                </w:tcPr>
                <w:p w14:paraId="113248AF" w14:textId="77777777" w:rsidR="00FF68DB" w:rsidRPr="004B239F" w:rsidRDefault="00FF68DB" w:rsidP="00FF68DB">
                  <w:pPr>
                    <w:pStyle w:val="TableBodyText"/>
                    <w:ind w:left="0" w:right="28"/>
                    <w:rPr>
                      <w:szCs w:val="16"/>
                    </w:rPr>
                  </w:pPr>
                  <w:r w:rsidRPr="004B239F">
                    <w:rPr>
                      <w:szCs w:val="16"/>
                    </w:rPr>
                    <w:t>no.</w:t>
                  </w:r>
                </w:p>
              </w:tc>
              <w:tc>
                <w:tcPr>
                  <w:tcW w:w="580" w:type="pct"/>
                  <w:vAlign w:val="center"/>
                </w:tcPr>
                <w:p w14:paraId="511B22D6" w14:textId="32647735" w:rsidR="00FF68DB" w:rsidRDefault="00FF68DB" w:rsidP="00B9240E">
                  <w:pPr>
                    <w:pStyle w:val="TableBodyText"/>
                    <w:ind w:right="23"/>
                  </w:pPr>
                  <w:r>
                    <w:t xml:space="preserve">  198</w:t>
                  </w:r>
                </w:p>
              </w:tc>
              <w:tc>
                <w:tcPr>
                  <w:tcW w:w="537" w:type="pct"/>
                  <w:vAlign w:val="center"/>
                </w:tcPr>
                <w:p w14:paraId="19144D9A" w14:textId="533DFA07" w:rsidR="00FF68DB" w:rsidRDefault="00FF68DB" w:rsidP="00B9240E">
                  <w:pPr>
                    <w:pStyle w:val="TableBodyText"/>
                    <w:ind w:right="23"/>
                  </w:pPr>
                  <w:r>
                    <w:t xml:space="preserve">  116</w:t>
                  </w:r>
                </w:p>
              </w:tc>
              <w:tc>
                <w:tcPr>
                  <w:tcW w:w="465" w:type="pct"/>
                  <w:vAlign w:val="center"/>
                </w:tcPr>
                <w:p w14:paraId="3AF1C8F7" w14:textId="0BADCD37" w:rsidR="00FF68DB" w:rsidRDefault="00FF68DB" w:rsidP="00B9240E">
                  <w:pPr>
                    <w:pStyle w:val="TableBodyText"/>
                    <w:ind w:right="23"/>
                  </w:pPr>
                  <w:r>
                    <w:t xml:space="preserve">  163</w:t>
                  </w:r>
                </w:p>
              </w:tc>
              <w:tc>
                <w:tcPr>
                  <w:tcW w:w="423" w:type="pct"/>
                  <w:vAlign w:val="center"/>
                </w:tcPr>
                <w:p w14:paraId="68B77229" w14:textId="25A67553" w:rsidR="00FF68DB" w:rsidRDefault="00FF68DB" w:rsidP="00B9240E">
                  <w:pPr>
                    <w:pStyle w:val="TableBodyText"/>
                    <w:ind w:right="23"/>
                  </w:pPr>
                  <w:r>
                    <w:t xml:space="preserve">  58</w:t>
                  </w:r>
                </w:p>
              </w:tc>
              <w:tc>
                <w:tcPr>
                  <w:tcW w:w="423" w:type="pct"/>
                  <w:vAlign w:val="center"/>
                </w:tcPr>
                <w:p w14:paraId="60A38534" w14:textId="7DEFA96C" w:rsidR="00FF68DB" w:rsidRDefault="00FF68DB" w:rsidP="00B9240E">
                  <w:pPr>
                    <w:pStyle w:val="TableBodyText"/>
                    <w:ind w:right="23"/>
                  </w:pPr>
                  <w:r>
                    <w:t xml:space="preserve">  30</w:t>
                  </w:r>
                </w:p>
              </w:tc>
              <w:tc>
                <w:tcPr>
                  <w:tcW w:w="423" w:type="pct"/>
                  <w:vAlign w:val="center"/>
                </w:tcPr>
                <w:p w14:paraId="7C3A14D2" w14:textId="6E437DE1" w:rsidR="00FF68DB" w:rsidRDefault="00FF68DB" w:rsidP="00B9240E">
                  <w:pPr>
                    <w:pStyle w:val="TableBodyText"/>
                    <w:ind w:right="23"/>
                  </w:pPr>
                  <w:r>
                    <w:t xml:space="preserve">  2</w:t>
                  </w:r>
                </w:p>
              </w:tc>
              <w:tc>
                <w:tcPr>
                  <w:tcW w:w="423" w:type="pct"/>
                  <w:vAlign w:val="center"/>
                </w:tcPr>
                <w:p w14:paraId="5B3DC2EF" w14:textId="2E412570" w:rsidR="00FF68DB" w:rsidRDefault="00FF68DB" w:rsidP="00B9240E">
                  <w:pPr>
                    <w:pStyle w:val="TableBodyText"/>
                    <w:ind w:right="23"/>
                  </w:pPr>
                  <w:r>
                    <w:t xml:space="preserve">  3</w:t>
                  </w:r>
                </w:p>
              </w:tc>
              <w:tc>
                <w:tcPr>
                  <w:tcW w:w="424" w:type="pct"/>
                  <w:vAlign w:val="center"/>
                </w:tcPr>
                <w:p w14:paraId="6B6C3465" w14:textId="1446078A" w:rsidR="00FF68DB" w:rsidRDefault="00FF68DB" w:rsidP="00B9240E">
                  <w:pPr>
                    <w:pStyle w:val="TableBodyText"/>
                    <w:ind w:right="23"/>
                  </w:pPr>
                  <w:r>
                    <w:t xml:space="preserve">  10</w:t>
                  </w:r>
                </w:p>
              </w:tc>
            </w:tr>
            <w:tr w:rsidR="00FF68DB" w:rsidRPr="00E11FC5" w14:paraId="4E12D198" w14:textId="77777777" w:rsidTr="000441BF">
              <w:tc>
                <w:tcPr>
                  <w:tcW w:w="990" w:type="pct"/>
                </w:tcPr>
                <w:p w14:paraId="2767B564" w14:textId="77777777" w:rsidR="00FF68DB" w:rsidRPr="00013DF9" w:rsidRDefault="00FF68DB" w:rsidP="00FF68DB">
                  <w:pPr>
                    <w:pStyle w:val="TableBodyText"/>
                    <w:jc w:val="left"/>
                    <w:rPr>
                      <w:szCs w:val="18"/>
                    </w:rPr>
                  </w:pPr>
                  <w:r>
                    <w:rPr>
                      <w:szCs w:val="18"/>
                    </w:rPr>
                    <w:t xml:space="preserve"> Backlog &gt;6 mths</w:t>
                  </w:r>
                </w:p>
              </w:tc>
              <w:tc>
                <w:tcPr>
                  <w:tcW w:w="312" w:type="pct"/>
                </w:tcPr>
                <w:p w14:paraId="50A68D80" w14:textId="77777777" w:rsidR="00FF68DB" w:rsidRPr="00013DF9" w:rsidRDefault="00FF68DB" w:rsidP="00FF68DB">
                  <w:pPr>
                    <w:pStyle w:val="TableBodyText"/>
                    <w:ind w:left="0" w:right="28"/>
                    <w:rPr>
                      <w:szCs w:val="18"/>
                    </w:rPr>
                  </w:pPr>
                  <w:r>
                    <w:rPr>
                      <w:szCs w:val="18"/>
                    </w:rPr>
                    <w:t>%</w:t>
                  </w:r>
                </w:p>
              </w:tc>
              <w:tc>
                <w:tcPr>
                  <w:tcW w:w="580" w:type="pct"/>
                  <w:vAlign w:val="bottom"/>
                </w:tcPr>
                <w:p w14:paraId="208F4EFA" w14:textId="5D9C0868" w:rsidR="00FF68DB" w:rsidRDefault="00FF68DB" w:rsidP="00B9240E">
                  <w:pPr>
                    <w:pStyle w:val="TableBodyText"/>
                    <w:ind w:right="23"/>
                  </w:pPr>
                  <w:r>
                    <w:t xml:space="preserve"> 50.0</w:t>
                  </w:r>
                </w:p>
              </w:tc>
              <w:tc>
                <w:tcPr>
                  <w:tcW w:w="537" w:type="pct"/>
                  <w:vAlign w:val="bottom"/>
                </w:tcPr>
                <w:p w14:paraId="34D5A0BE" w14:textId="45FB5E5D" w:rsidR="00FF68DB" w:rsidRDefault="00FF68DB" w:rsidP="00B9240E">
                  <w:pPr>
                    <w:pStyle w:val="TableBodyText"/>
                    <w:ind w:right="23"/>
                  </w:pPr>
                  <w:r>
                    <w:t xml:space="preserve"> 44.0</w:t>
                  </w:r>
                </w:p>
              </w:tc>
              <w:tc>
                <w:tcPr>
                  <w:tcW w:w="465" w:type="pct"/>
                  <w:vAlign w:val="bottom"/>
                </w:tcPr>
                <w:p w14:paraId="02845D4A" w14:textId="575FF4CB" w:rsidR="00FF68DB" w:rsidRDefault="00FF68DB" w:rsidP="00B9240E">
                  <w:pPr>
                    <w:pStyle w:val="TableBodyText"/>
                    <w:ind w:right="23"/>
                  </w:pPr>
                  <w:r>
                    <w:t xml:space="preserve"> 69.3</w:t>
                  </w:r>
                </w:p>
              </w:tc>
              <w:tc>
                <w:tcPr>
                  <w:tcW w:w="423" w:type="pct"/>
                  <w:vAlign w:val="bottom"/>
                </w:tcPr>
                <w:p w14:paraId="2AFB7F34" w14:textId="173EF5E0" w:rsidR="00FF68DB" w:rsidRDefault="00FF68DB" w:rsidP="00B9240E">
                  <w:pPr>
                    <w:pStyle w:val="TableBodyText"/>
                    <w:ind w:right="23"/>
                  </w:pPr>
                  <w:r>
                    <w:t xml:space="preserve"> 31.0</w:t>
                  </w:r>
                </w:p>
              </w:tc>
              <w:tc>
                <w:tcPr>
                  <w:tcW w:w="423" w:type="pct"/>
                  <w:vAlign w:val="bottom"/>
                </w:tcPr>
                <w:p w14:paraId="0D4BC4E3" w14:textId="656B5BF4" w:rsidR="00FF68DB" w:rsidRDefault="00FF68DB" w:rsidP="00B9240E">
                  <w:pPr>
                    <w:pStyle w:val="TableBodyText"/>
                    <w:ind w:right="23"/>
                  </w:pPr>
                  <w:r>
                    <w:t xml:space="preserve"> 23.3</w:t>
                  </w:r>
                </w:p>
              </w:tc>
              <w:tc>
                <w:tcPr>
                  <w:tcW w:w="423" w:type="pct"/>
                  <w:vAlign w:val="bottom"/>
                </w:tcPr>
                <w:p w14:paraId="2ECCFE86" w14:textId="62B387B7" w:rsidR="00FF68DB" w:rsidRDefault="00FF68DB" w:rsidP="00B9240E">
                  <w:pPr>
                    <w:pStyle w:val="TableBodyText"/>
                    <w:ind w:right="23"/>
                  </w:pPr>
                  <w:r>
                    <w:t>–</w:t>
                  </w:r>
                </w:p>
              </w:tc>
              <w:tc>
                <w:tcPr>
                  <w:tcW w:w="423" w:type="pct"/>
                  <w:vAlign w:val="bottom"/>
                </w:tcPr>
                <w:p w14:paraId="094D2E27" w14:textId="1C6A5CC9" w:rsidR="00FF68DB" w:rsidRDefault="00FF68DB" w:rsidP="00B9240E">
                  <w:pPr>
                    <w:pStyle w:val="TableBodyText"/>
                    <w:ind w:right="23"/>
                  </w:pPr>
                  <w:r>
                    <w:t>–</w:t>
                  </w:r>
                </w:p>
              </w:tc>
              <w:tc>
                <w:tcPr>
                  <w:tcW w:w="424" w:type="pct"/>
                  <w:vAlign w:val="bottom"/>
                </w:tcPr>
                <w:p w14:paraId="70F04EFA" w14:textId="377654AD" w:rsidR="00FF68DB" w:rsidRDefault="00FF68DB" w:rsidP="00B9240E">
                  <w:pPr>
                    <w:pStyle w:val="TableBodyText"/>
                    <w:ind w:right="23"/>
                  </w:pPr>
                  <w:r>
                    <w:t xml:space="preserve"> 40.0</w:t>
                  </w:r>
                </w:p>
              </w:tc>
            </w:tr>
            <w:tr w:rsidR="00FF68DB" w:rsidRPr="00E11FC5" w14:paraId="139127B9" w14:textId="77777777" w:rsidTr="00D406CC">
              <w:tc>
                <w:tcPr>
                  <w:tcW w:w="990" w:type="pct"/>
                </w:tcPr>
                <w:p w14:paraId="42FF88F6" w14:textId="77777777" w:rsidR="00FF68DB" w:rsidRPr="00013DF9" w:rsidRDefault="00FF68DB" w:rsidP="00FF68DB">
                  <w:pPr>
                    <w:pStyle w:val="TableBodyText"/>
                    <w:jc w:val="left"/>
                    <w:rPr>
                      <w:szCs w:val="18"/>
                    </w:rPr>
                  </w:pPr>
                  <w:r>
                    <w:rPr>
                      <w:szCs w:val="18"/>
                    </w:rPr>
                    <w:t xml:space="preserve"> Backlog &gt;12 mths</w:t>
                  </w:r>
                </w:p>
              </w:tc>
              <w:tc>
                <w:tcPr>
                  <w:tcW w:w="312" w:type="pct"/>
                </w:tcPr>
                <w:p w14:paraId="60362FEA" w14:textId="77777777" w:rsidR="00FF68DB" w:rsidRPr="00013DF9" w:rsidRDefault="00FF68DB" w:rsidP="00FF68DB">
                  <w:pPr>
                    <w:pStyle w:val="TableBodyText"/>
                    <w:ind w:left="0" w:right="28"/>
                    <w:rPr>
                      <w:szCs w:val="18"/>
                    </w:rPr>
                  </w:pPr>
                  <w:r>
                    <w:rPr>
                      <w:szCs w:val="18"/>
                    </w:rPr>
                    <w:t>%</w:t>
                  </w:r>
                </w:p>
              </w:tc>
              <w:tc>
                <w:tcPr>
                  <w:tcW w:w="580" w:type="pct"/>
                  <w:shd w:val="clear" w:color="auto" w:fill="auto"/>
                  <w:vAlign w:val="bottom"/>
                </w:tcPr>
                <w:p w14:paraId="19D90917" w14:textId="519B3987" w:rsidR="00FF68DB" w:rsidRDefault="00FF68DB" w:rsidP="00B9240E">
                  <w:pPr>
                    <w:pStyle w:val="TableBodyText"/>
                    <w:ind w:right="23"/>
                  </w:pPr>
                  <w:r>
                    <w:t xml:space="preserve"> 13.6</w:t>
                  </w:r>
                </w:p>
              </w:tc>
              <w:tc>
                <w:tcPr>
                  <w:tcW w:w="537" w:type="pct"/>
                  <w:vAlign w:val="bottom"/>
                </w:tcPr>
                <w:p w14:paraId="363E6C1B" w14:textId="4AFAD13A" w:rsidR="00FF68DB" w:rsidRDefault="00FF68DB" w:rsidP="00B9240E">
                  <w:pPr>
                    <w:pStyle w:val="TableBodyText"/>
                    <w:ind w:right="23"/>
                  </w:pPr>
                  <w:r>
                    <w:t xml:space="preserve"> 14.7</w:t>
                  </w:r>
                </w:p>
              </w:tc>
              <w:tc>
                <w:tcPr>
                  <w:tcW w:w="465" w:type="pct"/>
                  <w:vAlign w:val="bottom"/>
                </w:tcPr>
                <w:p w14:paraId="13C61CDB" w14:textId="1339681A" w:rsidR="00FF68DB" w:rsidRDefault="00FF68DB" w:rsidP="00B9240E">
                  <w:pPr>
                    <w:pStyle w:val="TableBodyText"/>
                    <w:ind w:right="23"/>
                  </w:pPr>
                  <w:r>
                    <w:t xml:space="preserve"> 35.0</w:t>
                  </w:r>
                </w:p>
              </w:tc>
              <w:tc>
                <w:tcPr>
                  <w:tcW w:w="423" w:type="pct"/>
                  <w:vAlign w:val="bottom"/>
                </w:tcPr>
                <w:p w14:paraId="324DB741" w14:textId="1C5B729B" w:rsidR="00FF68DB" w:rsidRDefault="00FF68DB" w:rsidP="00B9240E">
                  <w:pPr>
                    <w:pStyle w:val="TableBodyText"/>
                    <w:ind w:right="23"/>
                  </w:pPr>
                  <w:r>
                    <w:t xml:space="preserve"> 5.2</w:t>
                  </w:r>
                </w:p>
              </w:tc>
              <w:tc>
                <w:tcPr>
                  <w:tcW w:w="423" w:type="pct"/>
                  <w:vAlign w:val="bottom"/>
                </w:tcPr>
                <w:p w14:paraId="6A7C0D34" w14:textId="7B4870E2" w:rsidR="00FF68DB" w:rsidRDefault="00FF68DB" w:rsidP="00B9240E">
                  <w:pPr>
                    <w:pStyle w:val="TableBodyText"/>
                    <w:ind w:right="23"/>
                  </w:pPr>
                  <w:r>
                    <w:t xml:space="preserve"> 6.7</w:t>
                  </w:r>
                </w:p>
              </w:tc>
              <w:tc>
                <w:tcPr>
                  <w:tcW w:w="423" w:type="pct"/>
                  <w:vAlign w:val="bottom"/>
                </w:tcPr>
                <w:p w14:paraId="341386DE" w14:textId="251F805F" w:rsidR="00FF68DB" w:rsidRDefault="00FF68DB" w:rsidP="00B9240E">
                  <w:pPr>
                    <w:pStyle w:val="TableBodyText"/>
                    <w:ind w:right="23"/>
                  </w:pPr>
                  <w:r>
                    <w:t>–</w:t>
                  </w:r>
                </w:p>
              </w:tc>
              <w:tc>
                <w:tcPr>
                  <w:tcW w:w="423" w:type="pct"/>
                  <w:vAlign w:val="bottom"/>
                </w:tcPr>
                <w:p w14:paraId="6C29B99A" w14:textId="448C7023" w:rsidR="00FF68DB" w:rsidRDefault="00FF68DB" w:rsidP="00B9240E">
                  <w:pPr>
                    <w:pStyle w:val="TableBodyText"/>
                    <w:ind w:right="23"/>
                  </w:pPr>
                  <w:r>
                    <w:t>–</w:t>
                  </w:r>
                </w:p>
              </w:tc>
              <w:tc>
                <w:tcPr>
                  <w:tcW w:w="424" w:type="pct"/>
                  <w:vAlign w:val="bottom"/>
                </w:tcPr>
                <w:p w14:paraId="17C249AD" w14:textId="5AB6CE52" w:rsidR="00FF68DB" w:rsidRDefault="00FF68DB" w:rsidP="00B9240E">
                  <w:pPr>
                    <w:pStyle w:val="TableBodyText"/>
                    <w:ind w:right="23"/>
                  </w:pPr>
                  <w:r>
                    <w:t>–</w:t>
                  </w:r>
                </w:p>
              </w:tc>
            </w:tr>
            <w:tr w:rsidR="00FF68DB" w:rsidRPr="00E11FC5" w14:paraId="3FB281B8" w14:textId="77777777" w:rsidTr="00D406CC">
              <w:tc>
                <w:tcPr>
                  <w:tcW w:w="990" w:type="pct"/>
                </w:tcPr>
                <w:p w14:paraId="42ADAEB0" w14:textId="77777777" w:rsidR="00FF68DB" w:rsidRPr="00046ACB" w:rsidRDefault="00FF68DB" w:rsidP="00FF68DB">
                  <w:pPr>
                    <w:pStyle w:val="TableBodyText"/>
                    <w:jc w:val="left"/>
                  </w:pPr>
                  <w:r>
                    <w:t xml:space="preserve"> </w:t>
                  </w:r>
                  <w:r w:rsidRPr="00046ACB">
                    <w:t>Attendance</w:t>
                  </w:r>
                </w:p>
              </w:tc>
              <w:tc>
                <w:tcPr>
                  <w:tcW w:w="312" w:type="pct"/>
                </w:tcPr>
                <w:p w14:paraId="1C135E8C" w14:textId="77777777" w:rsidR="00FF68DB" w:rsidRPr="008A7DD0" w:rsidRDefault="00FF68DB" w:rsidP="00FF68DB">
                  <w:pPr>
                    <w:pStyle w:val="TableBodyText"/>
                    <w:ind w:left="0" w:right="28"/>
                    <w:rPr>
                      <w:szCs w:val="16"/>
                    </w:rPr>
                  </w:pPr>
                  <w:r>
                    <w:rPr>
                      <w:szCs w:val="16"/>
                    </w:rPr>
                    <w:t>n</w:t>
                  </w:r>
                  <w:r w:rsidRPr="008A7DD0">
                    <w:rPr>
                      <w:szCs w:val="16"/>
                    </w:rPr>
                    <w:t>o.</w:t>
                  </w:r>
                </w:p>
              </w:tc>
              <w:tc>
                <w:tcPr>
                  <w:tcW w:w="580" w:type="pct"/>
                  <w:shd w:val="clear" w:color="auto" w:fill="auto"/>
                  <w:vAlign w:val="bottom"/>
                </w:tcPr>
                <w:p w14:paraId="2E1ED4B6" w14:textId="3216174D" w:rsidR="00FF68DB" w:rsidRDefault="00FF68DB" w:rsidP="00B9240E">
                  <w:pPr>
                    <w:pStyle w:val="TableBodyText"/>
                    <w:ind w:right="23"/>
                  </w:pPr>
                  <w:r>
                    <w:t xml:space="preserve"> 10.0</w:t>
                  </w:r>
                </w:p>
              </w:tc>
              <w:tc>
                <w:tcPr>
                  <w:tcW w:w="537" w:type="pct"/>
                  <w:vAlign w:val="bottom"/>
                </w:tcPr>
                <w:p w14:paraId="6FD31844" w14:textId="1488B3F3" w:rsidR="00FF68DB" w:rsidRDefault="00FF68DB" w:rsidP="00B9240E">
                  <w:pPr>
                    <w:pStyle w:val="TableBodyText"/>
                    <w:ind w:right="23"/>
                  </w:pPr>
                  <w:r>
                    <w:t xml:space="preserve"> 7.7</w:t>
                  </w:r>
                </w:p>
              </w:tc>
              <w:tc>
                <w:tcPr>
                  <w:tcW w:w="465" w:type="pct"/>
                  <w:vAlign w:val="bottom"/>
                </w:tcPr>
                <w:p w14:paraId="1056D3DB" w14:textId="5B6C35FC" w:rsidR="00FF68DB" w:rsidRDefault="00FF68DB" w:rsidP="00B9240E">
                  <w:pPr>
                    <w:pStyle w:val="TableBodyText"/>
                    <w:ind w:right="23"/>
                  </w:pPr>
                  <w:r>
                    <w:t xml:space="preserve"> 10.6</w:t>
                  </w:r>
                </w:p>
              </w:tc>
              <w:tc>
                <w:tcPr>
                  <w:tcW w:w="423" w:type="pct"/>
                  <w:vAlign w:val="bottom"/>
                </w:tcPr>
                <w:p w14:paraId="6E0A2271" w14:textId="615FF40A" w:rsidR="00FF68DB" w:rsidRDefault="00FF68DB" w:rsidP="00B9240E">
                  <w:pPr>
                    <w:pStyle w:val="TableBodyText"/>
                    <w:ind w:right="23"/>
                  </w:pPr>
                  <w:r>
                    <w:t xml:space="preserve"> 4.6</w:t>
                  </w:r>
                </w:p>
              </w:tc>
              <w:tc>
                <w:tcPr>
                  <w:tcW w:w="423" w:type="pct"/>
                  <w:vAlign w:val="bottom"/>
                </w:tcPr>
                <w:p w14:paraId="15D8377F" w14:textId="39220843" w:rsidR="00FF68DB" w:rsidRDefault="00FF68DB" w:rsidP="00B9240E">
                  <w:pPr>
                    <w:pStyle w:val="TableBodyText"/>
                    <w:ind w:right="23"/>
                  </w:pPr>
                  <w:r>
                    <w:t xml:space="preserve"> 6.1</w:t>
                  </w:r>
                </w:p>
              </w:tc>
              <w:tc>
                <w:tcPr>
                  <w:tcW w:w="423" w:type="pct"/>
                  <w:vAlign w:val="bottom"/>
                </w:tcPr>
                <w:p w14:paraId="22D5D316" w14:textId="69A3CA01" w:rsidR="00FF68DB" w:rsidRDefault="00FF68DB" w:rsidP="00B9240E">
                  <w:pPr>
                    <w:pStyle w:val="TableBodyText"/>
                    <w:ind w:right="23"/>
                  </w:pPr>
                  <w:r>
                    <w:t xml:space="preserve"> 3.1</w:t>
                  </w:r>
                </w:p>
              </w:tc>
              <w:tc>
                <w:tcPr>
                  <w:tcW w:w="423" w:type="pct"/>
                  <w:vAlign w:val="bottom"/>
                </w:tcPr>
                <w:p w14:paraId="000FC591" w14:textId="4B897622" w:rsidR="00FF68DB" w:rsidRDefault="00FF68DB" w:rsidP="00B9240E">
                  <w:pPr>
                    <w:pStyle w:val="TableBodyText"/>
                    <w:ind w:right="23"/>
                  </w:pPr>
                  <w:r>
                    <w:t xml:space="preserve"> 4.3</w:t>
                  </w:r>
                </w:p>
              </w:tc>
              <w:tc>
                <w:tcPr>
                  <w:tcW w:w="424" w:type="pct"/>
                  <w:vAlign w:val="bottom"/>
                </w:tcPr>
                <w:p w14:paraId="781B0598" w14:textId="7385D429" w:rsidR="00FF68DB" w:rsidRDefault="00FF68DB" w:rsidP="00B9240E">
                  <w:pPr>
                    <w:pStyle w:val="TableBodyText"/>
                    <w:ind w:right="23"/>
                  </w:pPr>
                  <w:r>
                    <w:t xml:space="preserve"> 10.8</w:t>
                  </w:r>
                </w:p>
              </w:tc>
            </w:tr>
            <w:tr w:rsidR="00FF68DB" w:rsidRPr="00E11FC5" w14:paraId="11D518F6" w14:textId="77777777" w:rsidTr="000441BF">
              <w:tc>
                <w:tcPr>
                  <w:tcW w:w="990" w:type="pct"/>
                </w:tcPr>
                <w:p w14:paraId="3E274DE1" w14:textId="77777777" w:rsidR="00FF68DB" w:rsidRPr="00046ACB" w:rsidRDefault="00FF68DB" w:rsidP="00FF68DB">
                  <w:pPr>
                    <w:pStyle w:val="TableBodyText"/>
                    <w:jc w:val="left"/>
                  </w:pPr>
                  <w:r>
                    <w:t xml:space="preserve"> Clearance rate</w:t>
                  </w:r>
                </w:p>
              </w:tc>
              <w:tc>
                <w:tcPr>
                  <w:tcW w:w="312" w:type="pct"/>
                </w:tcPr>
                <w:p w14:paraId="04E38902" w14:textId="77777777" w:rsidR="00FF68DB" w:rsidRPr="00013DF9" w:rsidRDefault="00FF68DB" w:rsidP="00FF68DB">
                  <w:pPr>
                    <w:pStyle w:val="TableBodyText"/>
                    <w:ind w:left="0" w:right="28"/>
                    <w:rPr>
                      <w:i/>
                      <w:szCs w:val="16"/>
                    </w:rPr>
                  </w:pPr>
                  <w:r w:rsidRPr="00013DF9">
                    <w:rPr>
                      <w:i/>
                      <w:szCs w:val="16"/>
                    </w:rPr>
                    <w:t>%</w:t>
                  </w:r>
                </w:p>
              </w:tc>
              <w:tc>
                <w:tcPr>
                  <w:tcW w:w="580" w:type="pct"/>
                  <w:vAlign w:val="bottom"/>
                </w:tcPr>
                <w:p w14:paraId="280BC428" w14:textId="7029129E" w:rsidR="00FF68DB" w:rsidRDefault="00FF68DB" w:rsidP="00B9240E">
                  <w:pPr>
                    <w:pStyle w:val="TableBodyText"/>
                    <w:ind w:right="23"/>
                  </w:pPr>
                  <w:r>
                    <w:t xml:space="preserve"> 96.1</w:t>
                  </w:r>
                </w:p>
              </w:tc>
              <w:tc>
                <w:tcPr>
                  <w:tcW w:w="537" w:type="pct"/>
                  <w:vAlign w:val="bottom"/>
                </w:tcPr>
                <w:p w14:paraId="6670EF5F" w14:textId="72BC1CA0" w:rsidR="00FF68DB" w:rsidRDefault="00FF68DB" w:rsidP="00B9240E">
                  <w:pPr>
                    <w:pStyle w:val="TableBodyText"/>
                    <w:ind w:right="23"/>
                  </w:pPr>
                  <w:r>
                    <w:t xml:space="preserve"> 106.1</w:t>
                  </w:r>
                </w:p>
              </w:tc>
              <w:tc>
                <w:tcPr>
                  <w:tcW w:w="465" w:type="pct"/>
                  <w:vAlign w:val="bottom"/>
                </w:tcPr>
                <w:p w14:paraId="159BFC3C" w14:textId="35A30F40" w:rsidR="00FF68DB" w:rsidRDefault="00FF68DB" w:rsidP="00B9240E">
                  <w:pPr>
                    <w:pStyle w:val="TableBodyText"/>
                    <w:ind w:right="23"/>
                  </w:pPr>
                  <w:r>
                    <w:t xml:space="preserve"> 80.9</w:t>
                  </w:r>
                </w:p>
              </w:tc>
              <w:tc>
                <w:tcPr>
                  <w:tcW w:w="423" w:type="pct"/>
                  <w:vAlign w:val="bottom"/>
                </w:tcPr>
                <w:p w14:paraId="1C2852C8" w14:textId="4B8CDE18" w:rsidR="00FF68DB" w:rsidRDefault="00FF68DB" w:rsidP="00B9240E">
                  <w:pPr>
                    <w:pStyle w:val="TableBodyText"/>
                    <w:ind w:right="23"/>
                  </w:pPr>
                  <w:r>
                    <w:t xml:space="preserve"> 72.5</w:t>
                  </w:r>
                </w:p>
              </w:tc>
              <w:tc>
                <w:tcPr>
                  <w:tcW w:w="423" w:type="pct"/>
                  <w:vAlign w:val="bottom"/>
                </w:tcPr>
                <w:p w14:paraId="51FC72FC" w14:textId="7631225F" w:rsidR="00FF68DB" w:rsidRDefault="00FF68DB" w:rsidP="00B9240E">
                  <w:pPr>
                    <w:pStyle w:val="TableBodyText"/>
                    <w:ind w:right="23"/>
                  </w:pPr>
                  <w:r>
                    <w:t xml:space="preserve"> 95.2</w:t>
                  </w:r>
                </w:p>
              </w:tc>
              <w:tc>
                <w:tcPr>
                  <w:tcW w:w="423" w:type="pct"/>
                  <w:vAlign w:val="bottom"/>
                </w:tcPr>
                <w:p w14:paraId="5CD40D74" w14:textId="560086AE" w:rsidR="00FF68DB" w:rsidRDefault="00FF68DB" w:rsidP="00B9240E">
                  <w:pPr>
                    <w:pStyle w:val="TableBodyText"/>
                    <w:ind w:right="23"/>
                  </w:pPr>
                  <w:r>
                    <w:t xml:space="preserve"> 116.7</w:t>
                  </w:r>
                </w:p>
              </w:tc>
              <w:tc>
                <w:tcPr>
                  <w:tcW w:w="423" w:type="pct"/>
                  <w:vAlign w:val="bottom"/>
                </w:tcPr>
                <w:p w14:paraId="4E150829" w14:textId="6D3B97E7" w:rsidR="00FF68DB" w:rsidRDefault="00FF68DB" w:rsidP="00B9240E">
                  <w:pPr>
                    <w:pStyle w:val="TableBodyText"/>
                    <w:ind w:right="23"/>
                  </w:pPr>
                  <w:r>
                    <w:t xml:space="preserve"> 80.0</w:t>
                  </w:r>
                </w:p>
              </w:tc>
              <w:tc>
                <w:tcPr>
                  <w:tcW w:w="424" w:type="pct"/>
                  <w:vAlign w:val="bottom"/>
                </w:tcPr>
                <w:p w14:paraId="17E6F1C0" w14:textId="223F58D4" w:rsidR="00FF68DB" w:rsidRDefault="00FF68DB" w:rsidP="00B9240E">
                  <w:pPr>
                    <w:pStyle w:val="TableBodyText"/>
                    <w:ind w:right="23"/>
                  </w:pPr>
                  <w:r>
                    <w:t xml:space="preserve"> 33.3</w:t>
                  </w:r>
                </w:p>
              </w:tc>
            </w:tr>
            <w:tr w:rsidR="006450F3" w:rsidRPr="00013DF9" w14:paraId="13B8AB15" w14:textId="77777777" w:rsidTr="000441BF">
              <w:tc>
                <w:tcPr>
                  <w:tcW w:w="5000" w:type="pct"/>
                  <w:gridSpan w:val="10"/>
                </w:tcPr>
                <w:p w14:paraId="372B5069" w14:textId="77777777" w:rsidR="006450F3" w:rsidRPr="00013DF9" w:rsidRDefault="006450F3" w:rsidP="00FA59A6">
                  <w:pPr>
                    <w:pStyle w:val="TableBodyText"/>
                    <w:spacing w:before="40"/>
                    <w:ind w:left="0" w:right="0"/>
                    <w:jc w:val="left"/>
                    <w:rPr>
                      <w:rStyle w:val="NoteLabel"/>
                    </w:rPr>
                  </w:pPr>
                  <w:r w:rsidRPr="00013DF9">
                    <w:rPr>
                      <w:b/>
                    </w:rPr>
                    <w:t>Children’s</w:t>
                  </w:r>
                </w:p>
              </w:tc>
            </w:tr>
            <w:tr w:rsidR="00FF68DB" w:rsidRPr="006165C4" w14:paraId="7A441E7F" w14:textId="77777777" w:rsidTr="00574345">
              <w:tc>
                <w:tcPr>
                  <w:tcW w:w="990" w:type="pct"/>
                </w:tcPr>
                <w:p w14:paraId="2E87FD6D" w14:textId="77777777" w:rsidR="00FF68DB" w:rsidRPr="00013DF9" w:rsidRDefault="00FF68DB" w:rsidP="00FF68DB">
                  <w:pPr>
                    <w:pStyle w:val="TableBodyText"/>
                    <w:jc w:val="left"/>
                    <w:rPr>
                      <w:szCs w:val="18"/>
                    </w:rPr>
                  </w:pPr>
                  <w:r w:rsidRPr="00013DF9">
                    <w:rPr>
                      <w:szCs w:val="18"/>
                    </w:rPr>
                    <w:t xml:space="preserve"> Lodgments</w:t>
                  </w:r>
                </w:p>
              </w:tc>
              <w:tc>
                <w:tcPr>
                  <w:tcW w:w="312" w:type="pct"/>
                </w:tcPr>
                <w:p w14:paraId="32120C4D" w14:textId="77777777" w:rsidR="00FF68DB" w:rsidRPr="00013DF9" w:rsidRDefault="00FF68DB" w:rsidP="00FF68DB">
                  <w:pPr>
                    <w:pStyle w:val="TableBodyText"/>
                    <w:ind w:left="0" w:right="28"/>
                    <w:rPr>
                      <w:szCs w:val="18"/>
                    </w:rPr>
                  </w:pPr>
                  <w:r>
                    <w:rPr>
                      <w:szCs w:val="18"/>
                    </w:rPr>
                    <w:t>no.</w:t>
                  </w:r>
                </w:p>
              </w:tc>
              <w:tc>
                <w:tcPr>
                  <w:tcW w:w="580" w:type="pct"/>
                  <w:vAlign w:val="bottom"/>
                </w:tcPr>
                <w:p w14:paraId="796EA74F" w14:textId="26D33F15" w:rsidR="00FF68DB" w:rsidRDefault="00FF68DB" w:rsidP="00B9240E">
                  <w:pPr>
                    <w:pStyle w:val="TableBodyText"/>
                    <w:ind w:right="23"/>
                  </w:pPr>
                  <w:r>
                    <w:t>12</w:t>
                  </w:r>
                </w:p>
              </w:tc>
              <w:tc>
                <w:tcPr>
                  <w:tcW w:w="537" w:type="pct"/>
                  <w:vAlign w:val="bottom"/>
                </w:tcPr>
                <w:p w14:paraId="25156A87" w14:textId="1127D030" w:rsidR="00FF68DB" w:rsidRDefault="00FF68DB" w:rsidP="00B9240E">
                  <w:pPr>
                    <w:pStyle w:val="TableBodyText"/>
                    <w:ind w:right="23"/>
                  </w:pPr>
                  <w:r>
                    <w:t>3</w:t>
                  </w:r>
                </w:p>
              </w:tc>
              <w:tc>
                <w:tcPr>
                  <w:tcW w:w="465" w:type="pct"/>
                  <w:vAlign w:val="bottom"/>
                </w:tcPr>
                <w:p w14:paraId="41A47504" w14:textId="3F6A86D2" w:rsidR="00FF68DB" w:rsidRDefault="00FF68DB" w:rsidP="00B9240E">
                  <w:pPr>
                    <w:pStyle w:val="TableBodyText"/>
                    <w:ind w:right="23"/>
                  </w:pPr>
                  <w:r>
                    <w:t>4</w:t>
                  </w:r>
                </w:p>
              </w:tc>
              <w:tc>
                <w:tcPr>
                  <w:tcW w:w="423" w:type="pct"/>
                  <w:vAlign w:val="bottom"/>
                </w:tcPr>
                <w:p w14:paraId="5D29E83A" w14:textId="74C307C5" w:rsidR="00FF68DB" w:rsidRDefault="00FF68DB" w:rsidP="00B9240E">
                  <w:pPr>
                    <w:pStyle w:val="TableBodyText"/>
                    <w:ind w:right="23"/>
                  </w:pPr>
                  <w:r>
                    <w:t>5</w:t>
                  </w:r>
                </w:p>
              </w:tc>
              <w:tc>
                <w:tcPr>
                  <w:tcW w:w="423" w:type="pct"/>
                  <w:vAlign w:val="bottom"/>
                </w:tcPr>
                <w:p w14:paraId="2BBEE7BE" w14:textId="790DF677" w:rsidR="00FF68DB" w:rsidRDefault="00FF68DB" w:rsidP="00B9240E">
                  <w:pPr>
                    <w:pStyle w:val="TableBodyText"/>
                    <w:ind w:right="23"/>
                  </w:pPr>
                  <w:r>
                    <w:t>2</w:t>
                  </w:r>
                </w:p>
              </w:tc>
              <w:tc>
                <w:tcPr>
                  <w:tcW w:w="423" w:type="pct"/>
                  <w:vAlign w:val="bottom"/>
                </w:tcPr>
                <w:p w14:paraId="55CD225D" w14:textId="27B534A2" w:rsidR="00FF68DB" w:rsidRDefault="00FF68DB" w:rsidP="00B9240E">
                  <w:pPr>
                    <w:pStyle w:val="TableBodyText"/>
                    <w:ind w:right="23"/>
                  </w:pPr>
                  <w:r>
                    <w:t>na</w:t>
                  </w:r>
                </w:p>
              </w:tc>
              <w:tc>
                <w:tcPr>
                  <w:tcW w:w="423" w:type="pct"/>
                  <w:vAlign w:val="bottom"/>
                </w:tcPr>
                <w:p w14:paraId="39AC286C" w14:textId="6DB0F900" w:rsidR="00FF68DB" w:rsidRDefault="00FF68DB" w:rsidP="00B9240E">
                  <w:pPr>
                    <w:pStyle w:val="TableBodyText"/>
                    <w:ind w:right="23"/>
                  </w:pPr>
                  <w:r>
                    <w:t>–</w:t>
                  </w:r>
                </w:p>
              </w:tc>
              <w:tc>
                <w:tcPr>
                  <w:tcW w:w="424" w:type="pct"/>
                  <w:vAlign w:val="center"/>
                </w:tcPr>
                <w:p w14:paraId="1C977A86" w14:textId="394D6026" w:rsidR="00FF68DB" w:rsidRDefault="00FF68DB" w:rsidP="00B9240E">
                  <w:pPr>
                    <w:pStyle w:val="TableBodyText"/>
                    <w:ind w:right="23"/>
                  </w:pPr>
                  <w:r>
                    <w:t xml:space="preserve">  1</w:t>
                  </w:r>
                </w:p>
              </w:tc>
            </w:tr>
            <w:tr w:rsidR="00FF68DB" w:rsidRPr="006165C4" w14:paraId="21A3FF89" w14:textId="77777777" w:rsidTr="004235D0">
              <w:tc>
                <w:tcPr>
                  <w:tcW w:w="990" w:type="pct"/>
                </w:tcPr>
                <w:p w14:paraId="2252FAB4" w14:textId="77777777" w:rsidR="00FF68DB" w:rsidRPr="00013DF9" w:rsidRDefault="00FF68DB" w:rsidP="00FF68DB">
                  <w:pPr>
                    <w:pStyle w:val="TableBodyText"/>
                    <w:jc w:val="left"/>
                    <w:rPr>
                      <w:szCs w:val="18"/>
                    </w:rPr>
                  </w:pPr>
                  <w:r w:rsidRPr="00013DF9">
                    <w:rPr>
                      <w:szCs w:val="18"/>
                    </w:rPr>
                    <w:t xml:space="preserve"> Finalisations</w:t>
                  </w:r>
                </w:p>
              </w:tc>
              <w:tc>
                <w:tcPr>
                  <w:tcW w:w="312" w:type="pct"/>
                </w:tcPr>
                <w:p w14:paraId="64689BF0" w14:textId="77777777" w:rsidR="00FF68DB" w:rsidRPr="00013DF9" w:rsidRDefault="00FF68DB" w:rsidP="00FF68DB">
                  <w:pPr>
                    <w:pStyle w:val="TableBodyText"/>
                    <w:ind w:left="0" w:right="28"/>
                    <w:rPr>
                      <w:szCs w:val="18"/>
                    </w:rPr>
                  </w:pPr>
                  <w:r>
                    <w:rPr>
                      <w:szCs w:val="18"/>
                    </w:rPr>
                    <w:t>no.</w:t>
                  </w:r>
                </w:p>
              </w:tc>
              <w:tc>
                <w:tcPr>
                  <w:tcW w:w="580" w:type="pct"/>
                  <w:vAlign w:val="bottom"/>
                </w:tcPr>
                <w:p w14:paraId="1C332A25" w14:textId="686E620D" w:rsidR="00FF68DB" w:rsidRDefault="00FF68DB" w:rsidP="00B9240E">
                  <w:pPr>
                    <w:pStyle w:val="TableBodyText"/>
                    <w:ind w:right="23"/>
                  </w:pPr>
                  <w:r>
                    <w:t>7</w:t>
                  </w:r>
                </w:p>
              </w:tc>
              <w:tc>
                <w:tcPr>
                  <w:tcW w:w="537" w:type="pct"/>
                  <w:vAlign w:val="bottom"/>
                </w:tcPr>
                <w:p w14:paraId="71E48CC1" w14:textId="6DB47B2A" w:rsidR="00FF68DB" w:rsidRDefault="00FF68DB" w:rsidP="00B9240E">
                  <w:pPr>
                    <w:pStyle w:val="TableBodyText"/>
                    <w:ind w:right="23"/>
                  </w:pPr>
                  <w:r>
                    <w:t>6</w:t>
                  </w:r>
                </w:p>
              </w:tc>
              <w:tc>
                <w:tcPr>
                  <w:tcW w:w="465" w:type="pct"/>
                  <w:vAlign w:val="bottom"/>
                </w:tcPr>
                <w:p w14:paraId="67F8B49B" w14:textId="3FE5F06C" w:rsidR="00FF68DB" w:rsidRDefault="00FF68DB" w:rsidP="00B9240E">
                  <w:pPr>
                    <w:pStyle w:val="TableBodyText"/>
                    <w:ind w:right="23"/>
                  </w:pPr>
                  <w:r>
                    <w:t>5</w:t>
                  </w:r>
                </w:p>
              </w:tc>
              <w:tc>
                <w:tcPr>
                  <w:tcW w:w="423" w:type="pct"/>
                  <w:vAlign w:val="bottom"/>
                </w:tcPr>
                <w:p w14:paraId="4B359F1C" w14:textId="734523F1" w:rsidR="00FF68DB" w:rsidRDefault="00FF68DB" w:rsidP="00B9240E">
                  <w:pPr>
                    <w:pStyle w:val="TableBodyText"/>
                    <w:ind w:right="23"/>
                  </w:pPr>
                  <w:r>
                    <w:t>8</w:t>
                  </w:r>
                </w:p>
              </w:tc>
              <w:tc>
                <w:tcPr>
                  <w:tcW w:w="423" w:type="pct"/>
                  <w:vAlign w:val="bottom"/>
                </w:tcPr>
                <w:p w14:paraId="6325D83A" w14:textId="3E80C40B" w:rsidR="00FF68DB" w:rsidRDefault="00FF68DB" w:rsidP="00B9240E">
                  <w:pPr>
                    <w:pStyle w:val="TableBodyText"/>
                    <w:ind w:right="23"/>
                  </w:pPr>
                  <w:r>
                    <w:t>1</w:t>
                  </w:r>
                </w:p>
              </w:tc>
              <w:tc>
                <w:tcPr>
                  <w:tcW w:w="423" w:type="pct"/>
                  <w:vAlign w:val="bottom"/>
                </w:tcPr>
                <w:p w14:paraId="3DE507DB" w14:textId="6CEDBE9F" w:rsidR="00FF68DB" w:rsidRDefault="00FF68DB" w:rsidP="00B9240E">
                  <w:pPr>
                    <w:pStyle w:val="TableBodyText"/>
                    <w:ind w:right="23"/>
                  </w:pPr>
                  <w:r>
                    <w:t>na</w:t>
                  </w:r>
                </w:p>
              </w:tc>
              <w:tc>
                <w:tcPr>
                  <w:tcW w:w="423" w:type="pct"/>
                  <w:vAlign w:val="bottom"/>
                </w:tcPr>
                <w:p w14:paraId="166B2DC9" w14:textId="77B6D7CA" w:rsidR="00FF68DB" w:rsidRDefault="00FF68DB" w:rsidP="00B9240E">
                  <w:pPr>
                    <w:pStyle w:val="TableBodyText"/>
                    <w:ind w:right="23"/>
                  </w:pPr>
                  <w:r>
                    <w:t>–</w:t>
                  </w:r>
                </w:p>
              </w:tc>
              <w:tc>
                <w:tcPr>
                  <w:tcW w:w="424" w:type="pct"/>
                  <w:vAlign w:val="bottom"/>
                </w:tcPr>
                <w:p w14:paraId="28C8279A" w14:textId="3C814E4E" w:rsidR="00FF68DB" w:rsidRDefault="00FF68DB" w:rsidP="00B9240E">
                  <w:pPr>
                    <w:pStyle w:val="TableBodyText"/>
                    <w:ind w:right="23"/>
                  </w:pPr>
                  <w:r>
                    <w:t>–</w:t>
                  </w:r>
                </w:p>
              </w:tc>
            </w:tr>
            <w:tr w:rsidR="00FF68DB" w14:paraId="5A95575A" w14:textId="77777777" w:rsidTr="00574345">
              <w:tc>
                <w:tcPr>
                  <w:tcW w:w="990" w:type="pct"/>
                </w:tcPr>
                <w:p w14:paraId="2B8EF447" w14:textId="77777777" w:rsidR="00FF68DB" w:rsidRPr="00046ACB" w:rsidRDefault="00FF68DB" w:rsidP="00FF68DB">
                  <w:pPr>
                    <w:pStyle w:val="TableBodyText"/>
                    <w:jc w:val="left"/>
                  </w:pPr>
                  <w:r>
                    <w:t xml:space="preserve"> Pending</w:t>
                  </w:r>
                </w:p>
              </w:tc>
              <w:tc>
                <w:tcPr>
                  <w:tcW w:w="312" w:type="pct"/>
                </w:tcPr>
                <w:p w14:paraId="263E028A" w14:textId="77777777" w:rsidR="00FF68DB" w:rsidRPr="004B239F" w:rsidRDefault="00FF68DB" w:rsidP="00FF68DB">
                  <w:pPr>
                    <w:pStyle w:val="TableBodyText"/>
                    <w:ind w:left="0" w:right="28"/>
                    <w:rPr>
                      <w:szCs w:val="16"/>
                    </w:rPr>
                  </w:pPr>
                  <w:r w:rsidRPr="004B239F">
                    <w:rPr>
                      <w:szCs w:val="16"/>
                    </w:rPr>
                    <w:t>no.</w:t>
                  </w:r>
                </w:p>
              </w:tc>
              <w:tc>
                <w:tcPr>
                  <w:tcW w:w="580" w:type="pct"/>
                  <w:vAlign w:val="center"/>
                </w:tcPr>
                <w:p w14:paraId="33F42B32" w14:textId="47A5CBCB" w:rsidR="00FF68DB" w:rsidRDefault="00FF68DB" w:rsidP="00B9240E">
                  <w:pPr>
                    <w:pStyle w:val="TableBodyText"/>
                    <w:ind w:right="23"/>
                  </w:pPr>
                  <w:r>
                    <w:t xml:space="preserve">  10</w:t>
                  </w:r>
                </w:p>
              </w:tc>
              <w:tc>
                <w:tcPr>
                  <w:tcW w:w="537" w:type="pct"/>
                  <w:vAlign w:val="center"/>
                </w:tcPr>
                <w:p w14:paraId="3929E672" w14:textId="3E881332" w:rsidR="00FF68DB" w:rsidRDefault="00FF68DB" w:rsidP="00B9240E">
                  <w:pPr>
                    <w:pStyle w:val="TableBodyText"/>
                    <w:ind w:right="23"/>
                  </w:pPr>
                  <w:r>
                    <w:t>–</w:t>
                  </w:r>
                </w:p>
              </w:tc>
              <w:tc>
                <w:tcPr>
                  <w:tcW w:w="465" w:type="pct"/>
                  <w:vAlign w:val="center"/>
                </w:tcPr>
                <w:p w14:paraId="177A6F9E" w14:textId="055546F3" w:rsidR="00FF68DB" w:rsidRDefault="00FF68DB" w:rsidP="00B9240E">
                  <w:pPr>
                    <w:pStyle w:val="TableBodyText"/>
                    <w:ind w:right="23"/>
                  </w:pPr>
                  <w:r>
                    <w:t xml:space="preserve">  3</w:t>
                  </w:r>
                </w:p>
              </w:tc>
              <w:tc>
                <w:tcPr>
                  <w:tcW w:w="423" w:type="pct"/>
                  <w:vAlign w:val="center"/>
                </w:tcPr>
                <w:p w14:paraId="4F18CFD2" w14:textId="338F8D54" w:rsidR="00FF68DB" w:rsidRDefault="00FF68DB" w:rsidP="00B9240E">
                  <w:pPr>
                    <w:pStyle w:val="TableBodyText"/>
                    <w:ind w:right="23"/>
                  </w:pPr>
                  <w:r>
                    <w:t xml:space="preserve">  4</w:t>
                  </w:r>
                </w:p>
              </w:tc>
              <w:tc>
                <w:tcPr>
                  <w:tcW w:w="423" w:type="pct"/>
                  <w:vAlign w:val="center"/>
                </w:tcPr>
                <w:p w14:paraId="05E999D0" w14:textId="252D9A12" w:rsidR="00FF68DB" w:rsidRDefault="00FF68DB" w:rsidP="00B9240E">
                  <w:pPr>
                    <w:pStyle w:val="TableBodyText"/>
                    <w:ind w:right="23"/>
                  </w:pPr>
                  <w:r>
                    <w:t xml:space="preserve">  1</w:t>
                  </w:r>
                </w:p>
              </w:tc>
              <w:tc>
                <w:tcPr>
                  <w:tcW w:w="423" w:type="pct"/>
                  <w:vAlign w:val="bottom"/>
                </w:tcPr>
                <w:p w14:paraId="6DBE70F7" w14:textId="617C741C" w:rsidR="00FF68DB" w:rsidRDefault="00FF68DB" w:rsidP="00B9240E">
                  <w:pPr>
                    <w:pStyle w:val="TableBodyText"/>
                    <w:ind w:right="23"/>
                  </w:pPr>
                  <w:r>
                    <w:t>na</w:t>
                  </w:r>
                </w:p>
              </w:tc>
              <w:tc>
                <w:tcPr>
                  <w:tcW w:w="423" w:type="pct"/>
                  <w:vAlign w:val="center"/>
                </w:tcPr>
                <w:p w14:paraId="3E009A9C" w14:textId="7E7F52A0" w:rsidR="00FF68DB" w:rsidRDefault="00FF68DB" w:rsidP="00B9240E">
                  <w:pPr>
                    <w:pStyle w:val="TableBodyText"/>
                    <w:ind w:right="23"/>
                  </w:pPr>
                  <w:r>
                    <w:t>–</w:t>
                  </w:r>
                </w:p>
              </w:tc>
              <w:tc>
                <w:tcPr>
                  <w:tcW w:w="424" w:type="pct"/>
                  <w:vAlign w:val="center"/>
                </w:tcPr>
                <w:p w14:paraId="38381549" w14:textId="7591B903" w:rsidR="00FF68DB" w:rsidRDefault="00FF68DB" w:rsidP="00B9240E">
                  <w:pPr>
                    <w:pStyle w:val="TableBodyText"/>
                    <w:ind w:right="23"/>
                  </w:pPr>
                  <w:r>
                    <w:t xml:space="preserve">  1</w:t>
                  </w:r>
                </w:p>
              </w:tc>
            </w:tr>
            <w:tr w:rsidR="00FF68DB" w14:paraId="3D192238" w14:textId="77777777" w:rsidTr="004235D0">
              <w:tc>
                <w:tcPr>
                  <w:tcW w:w="990" w:type="pct"/>
                </w:tcPr>
                <w:p w14:paraId="2E44FCA0" w14:textId="77777777" w:rsidR="00FF68DB" w:rsidRPr="00013DF9" w:rsidRDefault="00FF68DB" w:rsidP="00FF68DB">
                  <w:pPr>
                    <w:pStyle w:val="TableBodyText"/>
                    <w:jc w:val="left"/>
                    <w:rPr>
                      <w:szCs w:val="18"/>
                    </w:rPr>
                  </w:pPr>
                  <w:r>
                    <w:rPr>
                      <w:szCs w:val="18"/>
                    </w:rPr>
                    <w:t xml:space="preserve"> Backlog &gt;6 mths</w:t>
                  </w:r>
                </w:p>
              </w:tc>
              <w:tc>
                <w:tcPr>
                  <w:tcW w:w="312" w:type="pct"/>
                </w:tcPr>
                <w:p w14:paraId="279C534E" w14:textId="77777777" w:rsidR="00FF68DB" w:rsidRPr="00013DF9" w:rsidRDefault="00FF68DB" w:rsidP="00FF68DB">
                  <w:pPr>
                    <w:pStyle w:val="TableBodyText"/>
                    <w:ind w:left="0" w:right="28"/>
                    <w:rPr>
                      <w:szCs w:val="18"/>
                    </w:rPr>
                  </w:pPr>
                  <w:r>
                    <w:rPr>
                      <w:szCs w:val="18"/>
                    </w:rPr>
                    <w:t>%</w:t>
                  </w:r>
                </w:p>
              </w:tc>
              <w:tc>
                <w:tcPr>
                  <w:tcW w:w="580" w:type="pct"/>
                  <w:vAlign w:val="bottom"/>
                </w:tcPr>
                <w:p w14:paraId="33348E42" w14:textId="72738FB7" w:rsidR="00FF68DB" w:rsidRDefault="00FF68DB" w:rsidP="00B9240E">
                  <w:pPr>
                    <w:pStyle w:val="TableBodyText"/>
                    <w:ind w:right="23"/>
                  </w:pPr>
                  <w:r>
                    <w:t xml:space="preserve"> 70.0</w:t>
                  </w:r>
                </w:p>
              </w:tc>
              <w:tc>
                <w:tcPr>
                  <w:tcW w:w="537" w:type="pct"/>
                  <w:vAlign w:val="bottom"/>
                </w:tcPr>
                <w:p w14:paraId="0242594A" w14:textId="565D4169" w:rsidR="00FF68DB" w:rsidRDefault="00FF68DB" w:rsidP="00B9240E">
                  <w:pPr>
                    <w:pStyle w:val="TableBodyText"/>
                    <w:ind w:right="23"/>
                  </w:pPr>
                  <w:r>
                    <w:t>–</w:t>
                  </w:r>
                </w:p>
              </w:tc>
              <w:tc>
                <w:tcPr>
                  <w:tcW w:w="465" w:type="pct"/>
                  <w:vAlign w:val="bottom"/>
                </w:tcPr>
                <w:p w14:paraId="46682128" w14:textId="52A34291" w:rsidR="00FF68DB" w:rsidRDefault="00FF68DB" w:rsidP="00B9240E">
                  <w:pPr>
                    <w:pStyle w:val="TableBodyText"/>
                    <w:ind w:right="23"/>
                  </w:pPr>
                  <w:r>
                    <w:t xml:space="preserve"> 66.7</w:t>
                  </w:r>
                </w:p>
              </w:tc>
              <w:tc>
                <w:tcPr>
                  <w:tcW w:w="423" w:type="pct"/>
                  <w:vAlign w:val="bottom"/>
                </w:tcPr>
                <w:p w14:paraId="23CCDAFF" w14:textId="5C3DA451" w:rsidR="00FF68DB" w:rsidRDefault="00FF68DB" w:rsidP="00B9240E">
                  <w:pPr>
                    <w:pStyle w:val="TableBodyText"/>
                    <w:ind w:right="23"/>
                  </w:pPr>
                  <w:r>
                    <w:t>–</w:t>
                  </w:r>
                </w:p>
              </w:tc>
              <w:tc>
                <w:tcPr>
                  <w:tcW w:w="423" w:type="pct"/>
                  <w:vAlign w:val="bottom"/>
                </w:tcPr>
                <w:p w14:paraId="04FA1C7E" w14:textId="43D5A9FE" w:rsidR="00FF68DB" w:rsidRDefault="00FF68DB" w:rsidP="00B9240E">
                  <w:pPr>
                    <w:pStyle w:val="TableBodyText"/>
                    <w:ind w:right="23"/>
                  </w:pPr>
                  <w:r>
                    <w:t>–</w:t>
                  </w:r>
                </w:p>
              </w:tc>
              <w:tc>
                <w:tcPr>
                  <w:tcW w:w="423" w:type="pct"/>
                  <w:vAlign w:val="bottom"/>
                </w:tcPr>
                <w:p w14:paraId="0A23B590" w14:textId="76E744B2" w:rsidR="00FF68DB" w:rsidRDefault="00FF68DB" w:rsidP="00B9240E">
                  <w:pPr>
                    <w:pStyle w:val="TableBodyText"/>
                    <w:ind w:right="23"/>
                  </w:pPr>
                  <w:r>
                    <w:t>na</w:t>
                  </w:r>
                </w:p>
              </w:tc>
              <w:tc>
                <w:tcPr>
                  <w:tcW w:w="423" w:type="pct"/>
                  <w:vAlign w:val="bottom"/>
                </w:tcPr>
                <w:p w14:paraId="16F91A19" w14:textId="21434F2F" w:rsidR="00FF68DB" w:rsidRDefault="00FF68DB" w:rsidP="00B9240E">
                  <w:pPr>
                    <w:pStyle w:val="TableBodyText"/>
                    <w:ind w:right="23"/>
                  </w:pPr>
                  <w:r>
                    <w:t>–</w:t>
                  </w:r>
                </w:p>
              </w:tc>
              <w:tc>
                <w:tcPr>
                  <w:tcW w:w="424" w:type="pct"/>
                  <w:vAlign w:val="bottom"/>
                </w:tcPr>
                <w:p w14:paraId="6D6B012E" w14:textId="2E4194EB" w:rsidR="00FF68DB" w:rsidRDefault="00FF68DB" w:rsidP="00B9240E">
                  <w:pPr>
                    <w:pStyle w:val="TableBodyText"/>
                    <w:ind w:right="23"/>
                  </w:pPr>
                  <w:r>
                    <w:t>–</w:t>
                  </w:r>
                </w:p>
              </w:tc>
            </w:tr>
            <w:tr w:rsidR="00FF68DB" w:rsidRPr="00F701E8" w14:paraId="1028484C" w14:textId="77777777" w:rsidTr="00D406CC">
              <w:tc>
                <w:tcPr>
                  <w:tcW w:w="990" w:type="pct"/>
                </w:tcPr>
                <w:p w14:paraId="08429663" w14:textId="77777777" w:rsidR="00FF68DB" w:rsidRPr="00013DF9" w:rsidRDefault="00FF68DB" w:rsidP="00FF68DB">
                  <w:pPr>
                    <w:pStyle w:val="TableBodyText"/>
                    <w:jc w:val="left"/>
                    <w:rPr>
                      <w:szCs w:val="18"/>
                    </w:rPr>
                  </w:pPr>
                  <w:r>
                    <w:rPr>
                      <w:szCs w:val="18"/>
                    </w:rPr>
                    <w:t xml:space="preserve"> Backlog &gt;12 mths</w:t>
                  </w:r>
                </w:p>
              </w:tc>
              <w:tc>
                <w:tcPr>
                  <w:tcW w:w="312" w:type="pct"/>
                </w:tcPr>
                <w:p w14:paraId="7D9017D9" w14:textId="77777777" w:rsidR="00FF68DB" w:rsidRPr="00013DF9" w:rsidRDefault="00FF68DB" w:rsidP="00FF68DB">
                  <w:pPr>
                    <w:pStyle w:val="TableBodyText"/>
                    <w:ind w:left="0" w:right="28"/>
                    <w:rPr>
                      <w:szCs w:val="18"/>
                    </w:rPr>
                  </w:pPr>
                  <w:r>
                    <w:rPr>
                      <w:szCs w:val="18"/>
                    </w:rPr>
                    <w:t>%</w:t>
                  </w:r>
                </w:p>
              </w:tc>
              <w:tc>
                <w:tcPr>
                  <w:tcW w:w="580" w:type="pct"/>
                  <w:shd w:val="clear" w:color="auto" w:fill="auto"/>
                  <w:vAlign w:val="bottom"/>
                </w:tcPr>
                <w:p w14:paraId="1BEFCF67" w14:textId="24FAC2DB" w:rsidR="00FF68DB" w:rsidRDefault="00FF68DB" w:rsidP="00B9240E">
                  <w:pPr>
                    <w:pStyle w:val="TableBodyText"/>
                    <w:ind w:right="23"/>
                  </w:pPr>
                  <w:r>
                    <w:t>–</w:t>
                  </w:r>
                </w:p>
              </w:tc>
              <w:tc>
                <w:tcPr>
                  <w:tcW w:w="537" w:type="pct"/>
                  <w:vAlign w:val="bottom"/>
                </w:tcPr>
                <w:p w14:paraId="59F467BA" w14:textId="431209F9" w:rsidR="00FF68DB" w:rsidRDefault="00FF68DB" w:rsidP="00B9240E">
                  <w:pPr>
                    <w:pStyle w:val="TableBodyText"/>
                    <w:ind w:right="23"/>
                  </w:pPr>
                  <w:r>
                    <w:t>–</w:t>
                  </w:r>
                </w:p>
              </w:tc>
              <w:tc>
                <w:tcPr>
                  <w:tcW w:w="465" w:type="pct"/>
                  <w:vAlign w:val="bottom"/>
                </w:tcPr>
                <w:p w14:paraId="103C2516" w14:textId="26157B10" w:rsidR="00FF68DB" w:rsidRDefault="00FF68DB" w:rsidP="00B9240E">
                  <w:pPr>
                    <w:pStyle w:val="TableBodyText"/>
                    <w:ind w:right="23"/>
                  </w:pPr>
                  <w:r>
                    <w:t xml:space="preserve"> 33.3</w:t>
                  </w:r>
                </w:p>
              </w:tc>
              <w:tc>
                <w:tcPr>
                  <w:tcW w:w="423" w:type="pct"/>
                  <w:vAlign w:val="bottom"/>
                </w:tcPr>
                <w:p w14:paraId="6E6780A6" w14:textId="211ED3FB" w:rsidR="00FF68DB" w:rsidRDefault="00FF68DB" w:rsidP="00B9240E">
                  <w:pPr>
                    <w:pStyle w:val="TableBodyText"/>
                    <w:ind w:right="23"/>
                  </w:pPr>
                  <w:r>
                    <w:t>–</w:t>
                  </w:r>
                </w:p>
              </w:tc>
              <w:tc>
                <w:tcPr>
                  <w:tcW w:w="423" w:type="pct"/>
                  <w:vAlign w:val="bottom"/>
                </w:tcPr>
                <w:p w14:paraId="13BF6156" w14:textId="36B6FC61" w:rsidR="00FF68DB" w:rsidRDefault="00FF68DB" w:rsidP="00B9240E">
                  <w:pPr>
                    <w:pStyle w:val="TableBodyText"/>
                    <w:ind w:right="23"/>
                  </w:pPr>
                  <w:r>
                    <w:t>–</w:t>
                  </w:r>
                </w:p>
              </w:tc>
              <w:tc>
                <w:tcPr>
                  <w:tcW w:w="423" w:type="pct"/>
                  <w:vAlign w:val="bottom"/>
                </w:tcPr>
                <w:p w14:paraId="3005CBA1" w14:textId="24FCF7EC" w:rsidR="00FF68DB" w:rsidRDefault="00FF68DB" w:rsidP="00B9240E">
                  <w:pPr>
                    <w:pStyle w:val="TableBodyText"/>
                    <w:ind w:right="23"/>
                  </w:pPr>
                  <w:r>
                    <w:t>na</w:t>
                  </w:r>
                </w:p>
              </w:tc>
              <w:tc>
                <w:tcPr>
                  <w:tcW w:w="423" w:type="pct"/>
                  <w:vAlign w:val="bottom"/>
                </w:tcPr>
                <w:p w14:paraId="6961997B" w14:textId="17BFD4AE" w:rsidR="00FF68DB" w:rsidRDefault="00FF68DB" w:rsidP="00B9240E">
                  <w:pPr>
                    <w:pStyle w:val="TableBodyText"/>
                    <w:ind w:right="23"/>
                  </w:pPr>
                  <w:r>
                    <w:t>–</w:t>
                  </w:r>
                </w:p>
              </w:tc>
              <w:tc>
                <w:tcPr>
                  <w:tcW w:w="424" w:type="pct"/>
                  <w:vAlign w:val="bottom"/>
                </w:tcPr>
                <w:p w14:paraId="6049F426" w14:textId="354ED6AD" w:rsidR="00FF68DB" w:rsidRDefault="00FF68DB" w:rsidP="00B9240E">
                  <w:pPr>
                    <w:pStyle w:val="TableBodyText"/>
                    <w:ind w:right="23"/>
                  </w:pPr>
                  <w:r>
                    <w:t>–</w:t>
                  </w:r>
                </w:p>
              </w:tc>
            </w:tr>
            <w:tr w:rsidR="00FF68DB" w:rsidRPr="006165C4" w14:paraId="360F121F" w14:textId="77777777" w:rsidTr="00D406CC">
              <w:tc>
                <w:tcPr>
                  <w:tcW w:w="990" w:type="pct"/>
                </w:tcPr>
                <w:p w14:paraId="746A5410" w14:textId="77777777" w:rsidR="00FF68DB" w:rsidRPr="00046ACB" w:rsidRDefault="00FF68DB" w:rsidP="00FF68DB">
                  <w:pPr>
                    <w:pStyle w:val="TableBodyText"/>
                    <w:jc w:val="left"/>
                  </w:pPr>
                  <w:r>
                    <w:t xml:space="preserve"> </w:t>
                  </w:r>
                  <w:r w:rsidRPr="00046ACB">
                    <w:t>Attendance</w:t>
                  </w:r>
                </w:p>
              </w:tc>
              <w:tc>
                <w:tcPr>
                  <w:tcW w:w="312" w:type="pct"/>
                </w:tcPr>
                <w:p w14:paraId="2E27DC74" w14:textId="77777777" w:rsidR="00FF68DB" w:rsidRPr="008A7DD0" w:rsidRDefault="00FF68DB" w:rsidP="00FF68DB">
                  <w:pPr>
                    <w:pStyle w:val="TableBodyText"/>
                    <w:ind w:left="0" w:right="28"/>
                    <w:rPr>
                      <w:szCs w:val="16"/>
                    </w:rPr>
                  </w:pPr>
                  <w:r>
                    <w:rPr>
                      <w:szCs w:val="16"/>
                    </w:rPr>
                    <w:t>n</w:t>
                  </w:r>
                  <w:r w:rsidRPr="008A7DD0">
                    <w:rPr>
                      <w:szCs w:val="16"/>
                    </w:rPr>
                    <w:t>o.</w:t>
                  </w:r>
                </w:p>
              </w:tc>
              <w:tc>
                <w:tcPr>
                  <w:tcW w:w="580" w:type="pct"/>
                  <w:shd w:val="clear" w:color="auto" w:fill="auto"/>
                  <w:vAlign w:val="bottom"/>
                </w:tcPr>
                <w:p w14:paraId="4A4124AF" w14:textId="2C8E7EEB" w:rsidR="00FF68DB" w:rsidRDefault="00FF68DB" w:rsidP="00B9240E">
                  <w:pPr>
                    <w:pStyle w:val="TableBodyText"/>
                    <w:ind w:right="23"/>
                  </w:pPr>
                  <w:r>
                    <w:t xml:space="preserve"> 10.0</w:t>
                  </w:r>
                </w:p>
              </w:tc>
              <w:tc>
                <w:tcPr>
                  <w:tcW w:w="537" w:type="pct"/>
                  <w:vAlign w:val="bottom"/>
                </w:tcPr>
                <w:p w14:paraId="40291F8C" w14:textId="71A7CF91" w:rsidR="00FF68DB" w:rsidRDefault="00FF68DB" w:rsidP="00B9240E">
                  <w:pPr>
                    <w:pStyle w:val="TableBodyText"/>
                    <w:ind w:right="23"/>
                  </w:pPr>
                  <w:r>
                    <w:t xml:space="preserve"> 11.3</w:t>
                  </w:r>
                </w:p>
              </w:tc>
              <w:tc>
                <w:tcPr>
                  <w:tcW w:w="465" w:type="pct"/>
                  <w:vAlign w:val="bottom"/>
                </w:tcPr>
                <w:p w14:paraId="04AC0CC3" w14:textId="4DD2D17B" w:rsidR="00FF68DB" w:rsidRDefault="00FF68DB" w:rsidP="00B9240E">
                  <w:pPr>
                    <w:pStyle w:val="TableBodyText"/>
                    <w:ind w:right="23"/>
                  </w:pPr>
                  <w:r>
                    <w:t xml:space="preserve"> 10.4</w:t>
                  </w:r>
                </w:p>
              </w:tc>
              <w:tc>
                <w:tcPr>
                  <w:tcW w:w="423" w:type="pct"/>
                  <w:vAlign w:val="bottom"/>
                </w:tcPr>
                <w:p w14:paraId="57725294" w14:textId="2BBB336D" w:rsidR="00FF68DB" w:rsidRDefault="00FF68DB" w:rsidP="00B9240E">
                  <w:pPr>
                    <w:pStyle w:val="TableBodyText"/>
                    <w:ind w:right="23"/>
                  </w:pPr>
                  <w:r>
                    <w:t xml:space="preserve"> 9.9</w:t>
                  </w:r>
                </w:p>
              </w:tc>
              <w:tc>
                <w:tcPr>
                  <w:tcW w:w="423" w:type="pct"/>
                  <w:vAlign w:val="bottom"/>
                </w:tcPr>
                <w:p w14:paraId="57D6EB61" w14:textId="47B0AAF9" w:rsidR="00FF68DB" w:rsidRDefault="00FF68DB" w:rsidP="00B9240E">
                  <w:pPr>
                    <w:pStyle w:val="TableBodyText"/>
                    <w:ind w:right="23"/>
                  </w:pPr>
                  <w:r>
                    <w:t xml:space="preserve"> 5.0</w:t>
                  </w:r>
                </w:p>
              </w:tc>
              <w:tc>
                <w:tcPr>
                  <w:tcW w:w="423" w:type="pct"/>
                  <w:vAlign w:val="bottom"/>
                </w:tcPr>
                <w:p w14:paraId="6B10CC7D" w14:textId="5F9BEC25" w:rsidR="00FF68DB" w:rsidRDefault="00FF68DB" w:rsidP="00B9240E">
                  <w:pPr>
                    <w:pStyle w:val="TableBodyText"/>
                    <w:ind w:right="23"/>
                  </w:pPr>
                  <w:r>
                    <w:t>na</w:t>
                  </w:r>
                </w:p>
              </w:tc>
              <w:tc>
                <w:tcPr>
                  <w:tcW w:w="423" w:type="pct"/>
                  <w:vAlign w:val="bottom"/>
                </w:tcPr>
                <w:p w14:paraId="7E81D8F5" w14:textId="7BBF3189" w:rsidR="00FF68DB" w:rsidRDefault="00FF68DB" w:rsidP="00B9240E">
                  <w:pPr>
                    <w:pStyle w:val="TableBodyText"/>
                    <w:ind w:right="23"/>
                  </w:pPr>
                  <w:r>
                    <w:t>–</w:t>
                  </w:r>
                </w:p>
              </w:tc>
              <w:tc>
                <w:tcPr>
                  <w:tcW w:w="424" w:type="pct"/>
                  <w:vAlign w:val="bottom"/>
                </w:tcPr>
                <w:p w14:paraId="566D3174" w14:textId="70DC5CC3" w:rsidR="00FF68DB" w:rsidRDefault="00FF68DB" w:rsidP="00B9240E">
                  <w:pPr>
                    <w:pStyle w:val="TableBodyText"/>
                    <w:ind w:right="23"/>
                  </w:pPr>
                  <w:r>
                    <w:t>–</w:t>
                  </w:r>
                </w:p>
              </w:tc>
            </w:tr>
            <w:tr w:rsidR="00FF68DB" w:rsidRPr="006165C4" w14:paraId="173C3723" w14:textId="77777777" w:rsidTr="004235D0">
              <w:tc>
                <w:tcPr>
                  <w:tcW w:w="990" w:type="pct"/>
                  <w:tcBorders>
                    <w:bottom w:val="single" w:sz="4" w:space="0" w:color="BFBFBF"/>
                  </w:tcBorders>
                </w:tcPr>
                <w:p w14:paraId="7B370713" w14:textId="77777777" w:rsidR="00FF68DB" w:rsidRPr="00046ACB" w:rsidRDefault="00FF68DB" w:rsidP="00FF68DB">
                  <w:pPr>
                    <w:pStyle w:val="TableBodyText"/>
                    <w:jc w:val="left"/>
                  </w:pPr>
                  <w:r>
                    <w:t xml:space="preserve"> Clearance rate</w:t>
                  </w:r>
                </w:p>
              </w:tc>
              <w:tc>
                <w:tcPr>
                  <w:tcW w:w="312" w:type="pct"/>
                  <w:tcBorders>
                    <w:bottom w:val="single" w:sz="4" w:space="0" w:color="BFBFBF"/>
                  </w:tcBorders>
                </w:tcPr>
                <w:p w14:paraId="09175F9D" w14:textId="77777777" w:rsidR="00FF68DB" w:rsidRPr="00013DF9" w:rsidRDefault="00FF68DB" w:rsidP="00FF68DB">
                  <w:pPr>
                    <w:pStyle w:val="TableBodyText"/>
                    <w:ind w:left="0" w:right="28"/>
                    <w:rPr>
                      <w:i/>
                      <w:szCs w:val="16"/>
                    </w:rPr>
                  </w:pPr>
                  <w:r w:rsidRPr="00013DF9">
                    <w:rPr>
                      <w:i/>
                      <w:szCs w:val="16"/>
                    </w:rPr>
                    <w:t>%</w:t>
                  </w:r>
                </w:p>
              </w:tc>
              <w:tc>
                <w:tcPr>
                  <w:tcW w:w="580" w:type="pct"/>
                  <w:tcBorders>
                    <w:bottom w:val="single" w:sz="4" w:space="0" w:color="BFBFBF"/>
                  </w:tcBorders>
                  <w:vAlign w:val="bottom"/>
                </w:tcPr>
                <w:p w14:paraId="60BBB950" w14:textId="50DF98C1" w:rsidR="00FF68DB" w:rsidRDefault="00FF68DB" w:rsidP="00B9240E">
                  <w:pPr>
                    <w:pStyle w:val="TableBodyText"/>
                    <w:ind w:right="23"/>
                  </w:pPr>
                  <w:r>
                    <w:t xml:space="preserve"> 58.3</w:t>
                  </w:r>
                </w:p>
              </w:tc>
              <w:tc>
                <w:tcPr>
                  <w:tcW w:w="537" w:type="pct"/>
                  <w:tcBorders>
                    <w:bottom w:val="single" w:sz="4" w:space="0" w:color="BFBFBF"/>
                  </w:tcBorders>
                  <w:vAlign w:val="bottom"/>
                </w:tcPr>
                <w:p w14:paraId="1CC12382" w14:textId="2CF3FDF4" w:rsidR="00FF68DB" w:rsidRDefault="00FF68DB" w:rsidP="00B9240E">
                  <w:pPr>
                    <w:pStyle w:val="TableBodyText"/>
                    <w:ind w:right="23"/>
                  </w:pPr>
                  <w:r>
                    <w:t xml:space="preserve"> 200.0</w:t>
                  </w:r>
                </w:p>
              </w:tc>
              <w:tc>
                <w:tcPr>
                  <w:tcW w:w="465" w:type="pct"/>
                  <w:tcBorders>
                    <w:bottom w:val="single" w:sz="4" w:space="0" w:color="BFBFBF"/>
                  </w:tcBorders>
                  <w:vAlign w:val="bottom"/>
                </w:tcPr>
                <w:p w14:paraId="387BE5DA" w14:textId="27624B50" w:rsidR="00FF68DB" w:rsidRDefault="00FF68DB" w:rsidP="00B9240E">
                  <w:pPr>
                    <w:pStyle w:val="TableBodyText"/>
                    <w:ind w:right="23"/>
                  </w:pPr>
                  <w:r>
                    <w:t xml:space="preserve"> 125.0</w:t>
                  </w:r>
                </w:p>
              </w:tc>
              <w:tc>
                <w:tcPr>
                  <w:tcW w:w="423" w:type="pct"/>
                  <w:tcBorders>
                    <w:bottom w:val="single" w:sz="4" w:space="0" w:color="BFBFBF"/>
                  </w:tcBorders>
                  <w:vAlign w:val="bottom"/>
                </w:tcPr>
                <w:p w14:paraId="042DBBCF" w14:textId="00F01575" w:rsidR="00FF68DB" w:rsidRDefault="00FF68DB" w:rsidP="00B9240E">
                  <w:pPr>
                    <w:pStyle w:val="TableBodyText"/>
                    <w:ind w:right="23"/>
                  </w:pPr>
                  <w:r>
                    <w:t xml:space="preserve"> 160.0</w:t>
                  </w:r>
                </w:p>
              </w:tc>
              <w:tc>
                <w:tcPr>
                  <w:tcW w:w="423" w:type="pct"/>
                  <w:tcBorders>
                    <w:bottom w:val="single" w:sz="4" w:space="0" w:color="BFBFBF"/>
                  </w:tcBorders>
                  <w:vAlign w:val="bottom"/>
                </w:tcPr>
                <w:p w14:paraId="698A9EFB" w14:textId="1573D15E" w:rsidR="00FF68DB" w:rsidRDefault="00FF68DB" w:rsidP="00B9240E">
                  <w:pPr>
                    <w:pStyle w:val="TableBodyText"/>
                    <w:ind w:right="23"/>
                  </w:pPr>
                  <w:r>
                    <w:t xml:space="preserve"> 50.0</w:t>
                  </w:r>
                </w:p>
              </w:tc>
              <w:tc>
                <w:tcPr>
                  <w:tcW w:w="423" w:type="pct"/>
                  <w:tcBorders>
                    <w:bottom w:val="single" w:sz="4" w:space="0" w:color="BFBFBF"/>
                  </w:tcBorders>
                  <w:vAlign w:val="bottom"/>
                </w:tcPr>
                <w:p w14:paraId="0601F886" w14:textId="1733CEE8" w:rsidR="00FF68DB" w:rsidRDefault="00FF68DB" w:rsidP="00B9240E">
                  <w:pPr>
                    <w:pStyle w:val="TableBodyText"/>
                    <w:ind w:right="23"/>
                  </w:pPr>
                  <w:r>
                    <w:t>na</w:t>
                  </w:r>
                </w:p>
              </w:tc>
              <w:tc>
                <w:tcPr>
                  <w:tcW w:w="423" w:type="pct"/>
                  <w:tcBorders>
                    <w:bottom w:val="single" w:sz="4" w:space="0" w:color="BFBFBF"/>
                  </w:tcBorders>
                  <w:vAlign w:val="bottom"/>
                </w:tcPr>
                <w:p w14:paraId="14A7F164" w14:textId="39954B66" w:rsidR="00FF68DB" w:rsidRDefault="00FF68DB" w:rsidP="00B9240E">
                  <w:pPr>
                    <w:pStyle w:val="TableBodyText"/>
                    <w:ind w:right="23"/>
                  </w:pPr>
                  <w:r>
                    <w:t>–</w:t>
                  </w:r>
                </w:p>
              </w:tc>
              <w:tc>
                <w:tcPr>
                  <w:tcW w:w="424" w:type="pct"/>
                  <w:tcBorders>
                    <w:bottom w:val="single" w:sz="4" w:space="0" w:color="BFBFBF"/>
                  </w:tcBorders>
                  <w:vAlign w:val="bottom"/>
                </w:tcPr>
                <w:p w14:paraId="09E45276" w14:textId="2F7A5139" w:rsidR="00FF68DB" w:rsidRDefault="00FF68DB" w:rsidP="00B9240E">
                  <w:pPr>
                    <w:pStyle w:val="TableBodyText"/>
                    <w:ind w:right="23"/>
                  </w:pPr>
                  <w:r>
                    <w:t>–</w:t>
                  </w:r>
                </w:p>
              </w:tc>
            </w:tr>
          </w:tbl>
          <w:p w14:paraId="7C1BEB04" w14:textId="77777777" w:rsidR="0023198B" w:rsidRDefault="0023198B" w:rsidP="003551D9">
            <w:pPr>
              <w:pStyle w:val="Box"/>
            </w:pPr>
          </w:p>
        </w:tc>
      </w:tr>
      <w:tr w:rsidR="0023198B" w14:paraId="7FC7EF8B" w14:textId="77777777" w:rsidTr="00B9240E">
        <w:trPr>
          <w:cantSplit/>
        </w:trPr>
        <w:tc>
          <w:tcPr>
            <w:tcW w:w="8789" w:type="dxa"/>
            <w:tcBorders>
              <w:top w:val="nil"/>
              <w:left w:val="nil"/>
              <w:bottom w:val="nil"/>
              <w:right w:val="nil"/>
            </w:tcBorders>
            <w:shd w:val="clear" w:color="auto" w:fill="auto"/>
          </w:tcPr>
          <w:p w14:paraId="5473F697" w14:textId="72AC7F28" w:rsidR="0023198B" w:rsidRDefault="006450F3" w:rsidP="001D37C2">
            <w:pPr>
              <w:pStyle w:val="Source"/>
              <w:rPr>
                <w:i/>
              </w:rPr>
            </w:pPr>
            <w:r w:rsidRPr="007C1F92">
              <w:rPr>
                <w:rStyle w:val="NoteLabel"/>
              </w:rPr>
              <w:t>a</w:t>
            </w:r>
            <w:r>
              <w:rPr>
                <w:rStyle w:val="NoteLabel"/>
              </w:rPr>
              <w:t> </w:t>
            </w:r>
            <w:r>
              <w:t>Homicide and related offences’ is defined according to the Australian and New Zealand Standard Offence Classification (ANZSOC) coding and includes murder, attempted murder, manslaughter and driving causing death.</w:t>
            </w:r>
            <w:r w:rsidR="00137F63">
              <w:t xml:space="preserve"> </w:t>
            </w:r>
            <w:r w:rsidR="00137F63">
              <w:rPr>
                <w:rStyle w:val="NoteLabel"/>
              </w:rPr>
              <w:t>b </w:t>
            </w:r>
            <w:r w:rsidR="001D37C2" w:rsidRPr="00A74C13">
              <w:t>Data for Q</w:t>
            </w:r>
            <w:r w:rsidR="00137F63" w:rsidRPr="00A74C13">
              <w:t xml:space="preserve">ueensland </w:t>
            </w:r>
            <w:r w:rsidR="001D37C2" w:rsidRPr="00A74C13">
              <w:t>do not include</w:t>
            </w:r>
            <w:r w:rsidR="00137F63" w:rsidRPr="00A74C13">
              <w:t xml:space="preserve"> offences </w:t>
            </w:r>
            <w:r w:rsidR="001D37C2" w:rsidRPr="00A74C13">
              <w:t>for</w:t>
            </w:r>
            <w:r w:rsidR="00137F63" w:rsidRPr="00A74C13">
              <w:t xml:space="preserve"> dangerous driving causing death</w:t>
            </w:r>
            <w:r w:rsidR="00137F63">
              <w:t xml:space="preserve">. </w:t>
            </w:r>
            <w:r>
              <w:rPr>
                <w:b/>
              </w:rPr>
              <w:t>na </w:t>
            </w:r>
            <w:r w:rsidRPr="00E92ADD">
              <w:t>Not available</w:t>
            </w:r>
            <w:r>
              <w:t xml:space="preserve">. </w:t>
            </w:r>
            <w:r w:rsidRPr="004B239F">
              <w:t>..</w:t>
            </w:r>
            <w:r>
              <w:rPr>
                <w:b/>
              </w:rPr>
              <w:t> </w:t>
            </w:r>
            <w:r w:rsidRPr="00E92ADD">
              <w:t>Not</w:t>
            </w:r>
            <w:r>
              <w:t> applicable</w:t>
            </w:r>
            <w:r w:rsidRPr="0074069E">
              <w:t>.</w:t>
            </w:r>
            <w:r>
              <w:t xml:space="preserve"> – Nil or rounded to zero.</w:t>
            </w:r>
          </w:p>
        </w:tc>
      </w:tr>
      <w:tr w:rsidR="0023198B" w14:paraId="3D6B435C" w14:textId="77777777" w:rsidTr="00B9240E">
        <w:trPr>
          <w:cantSplit/>
        </w:trPr>
        <w:tc>
          <w:tcPr>
            <w:tcW w:w="8789" w:type="dxa"/>
            <w:tcBorders>
              <w:top w:val="nil"/>
              <w:left w:val="nil"/>
              <w:bottom w:val="nil"/>
              <w:right w:val="nil"/>
            </w:tcBorders>
            <w:shd w:val="clear" w:color="auto" w:fill="auto"/>
          </w:tcPr>
          <w:p w14:paraId="343DAEE4" w14:textId="12FE842D" w:rsidR="0023198B" w:rsidRDefault="006450F3" w:rsidP="000334E8">
            <w:pPr>
              <w:pStyle w:val="Source"/>
            </w:pPr>
            <w:r>
              <w:rPr>
                <w:i/>
              </w:rPr>
              <w:t>Source</w:t>
            </w:r>
            <w:r w:rsidRPr="00AF5D20">
              <w:t>:</w:t>
            </w:r>
            <w:r>
              <w:rPr>
                <w:i/>
              </w:rPr>
              <w:t xml:space="preserve"> </w:t>
            </w:r>
            <w:r>
              <w:t>Australian, State and Territory court authorities and depart</w:t>
            </w:r>
            <w:r w:rsidR="00CB1FA4">
              <w:t>ments (unpublished)</w:t>
            </w:r>
            <w:r w:rsidR="000334E8">
              <w:t>.</w:t>
            </w:r>
          </w:p>
        </w:tc>
      </w:tr>
      <w:tr w:rsidR="004B0BD8" w14:paraId="52833E0E" w14:textId="77777777" w:rsidTr="00B9240E">
        <w:trPr>
          <w:cantSplit/>
        </w:trPr>
        <w:tc>
          <w:tcPr>
            <w:tcW w:w="8789" w:type="dxa"/>
            <w:tcBorders>
              <w:top w:val="nil"/>
              <w:left w:val="nil"/>
              <w:bottom w:val="nil"/>
              <w:right w:val="nil"/>
            </w:tcBorders>
            <w:shd w:val="clear" w:color="auto" w:fill="auto"/>
          </w:tcPr>
          <w:p w14:paraId="728424C3" w14:textId="77777777" w:rsidR="004B0BD8" w:rsidRDefault="004B0BD8" w:rsidP="006278A9">
            <w:pPr>
              <w:pStyle w:val="Figurespace"/>
              <w:rPr>
                <w:i/>
              </w:rPr>
            </w:pPr>
          </w:p>
        </w:tc>
      </w:tr>
      <w:tr w:rsidR="0023198B" w:rsidRPr="000863A5" w14:paraId="4DD2D774" w14:textId="77777777" w:rsidTr="00B9240E">
        <w:tc>
          <w:tcPr>
            <w:tcW w:w="8789" w:type="dxa"/>
            <w:tcBorders>
              <w:top w:val="single" w:sz="6" w:space="0" w:color="78A22F" w:themeColor="accent1"/>
              <w:left w:val="nil"/>
              <w:bottom w:val="nil"/>
              <w:right w:val="nil"/>
            </w:tcBorders>
          </w:tcPr>
          <w:p w14:paraId="5703F4CA" w14:textId="77777777" w:rsidR="0023198B" w:rsidRPr="00626D32" w:rsidRDefault="0023198B" w:rsidP="003551D9">
            <w:pPr>
              <w:pStyle w:val="BoxSpaceBelow"/>
            </w:pPr>
          </w:p>
        </w:tc>
      </w:tr>
    </w:tbl>
    <w:p w14:paraId="2CA05076" w14:textId="77777777" w:rsidR="00D45A15" w:rsidRDefault="00D45A15" w:rsidP="00D45A15">
      <w:pPr>
        <w:pStyle w:val="Heading3"/>
      </w:pPr>
      <w:r>
        <w:t>Efficiency</w:t>
      </w:r>
    </w:p>
    <w:p w14:paraId="1D3B981C" w14:textId="390889C6" w:rsidR="00D45A15" w:rsidRPr="00E7400A" w:rsidRDefault="00D45A15" w:rsidP="00D45A15">
      <w:pPr>
        <w:pStyle w:val="BodyText"/>
      </w:pPr>
      <w:r>
        <w:t>E</w:t>
      </w:r>
      <w:r w:rsidRPr="00E7400A">
        <w:t xml:space="preserve">fficiency results need to be viewed in light of the performance indicator framework as a whole, </w:t>
      </w:r>
      <w:r>
        <w:t>as</w:t>
      </w:r>
      <w:r w:rsidRPr="00E7400A">
        <w:t xml:space="preserve"> there can be trade-offs between efficiency on the one hand and equity</w:t>
      </w:r>
      <w:r w:rsidR="00E21200">
        <w:t xml:space="preserve"> and</w:t>
      </w:r>
      <w:r w:rsidRPr="00E7400A">
        <w:t xml:space="preserve"> effectiv</w:t>
      </w:r>
      <w:r>
        <w:t>eness on the other.</w:t>
      </w:r>
    </w:p>
    <w:p w14:paraId="12472A77" w14:textId="77777777" w:rsidR="009B583E" w:rsidRPr="00001C9F" w:rsidRDefault="00FE1D68" w:rsidP="00FE3767">
      <w:pPr>
        <w:pStyle w:val="Heading4"/>
        <w:spacing w:before="240"/>
      </w:pPr>
      <w:r>
        <w:lastRenderedPageBreak/>
        <w:t>J</w:t>
      </w:r>
      <w:r w:rsidR="009B583E" w:rsidRPr="00584FFF">
        <w:t>udicial officers per finalisation</w:t>
      </w:r>
    </w:p>
    <w:p w14:paraId="4F34C4DC" w14:textId="50E52432" w:rsidR="009B583E" w:rsidRDefault="009B583E" w:rsidP="009B583E">
      <w:pPr>
        <w:pStyle w:val="BodyText"/>
      </w:pPr>
      <w:r w:rsidRPr="00584FFF">
        <w:t>‘Judicial offic</w:t>
      </w:r>
      <w:r w:rsidR="00572B9F" w:rsidRPr="00584FFF">
        <w:t>ers per finalisation’ is a</w:t>
      </w:r>
      <w:r w:rsidR="00E7400A">
        <w:t>n</w:t>
      </w:r>
      <w:r w:rsidR="0032403A" w:rsidRPr="00584FFF">
        <w:t xml:space="preserve"> </w:t>
      </w:r>
      <w:r w:rsidRPr="00584FFF">
        <w:t>indicator of governments’ achievement against the objective of providing court services in an efficient manner (box 7.1</w:t>
      </w:r>
      <w:r w:rsidR="00824B15">
        <w:t>0</w:t>
      </w:r>
      <w:r w:rsidRPr="00584FFF">
        <w:t xml:space="preserve">). </w:t>
      </w:r>
    </w:p>
    <w:p w14:paraId="36711D84" w14:textId="77777777" w:rsidR="000F45E1" w:rsidRDefault="000F45E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F45E1" w14:paraId="2E812952" w14:textId="77777777" w:rsidTr="00B9240E">
        <w:tc>
          <w:tcPr>
            <w:tcW w:w="8789" w:type="dxa"/>
            <w:tcBorders>
              <w:top w:val="single" w:sz="6" w:space="0" w:color="78A22F"/>
              <w:left w:val="nil"/>
              <w:bottom w:val="nil"/>
              <w:right w:val="nil"/>
            </w:tcBorders>
            <w:shd w:val="clear" w:color="auto" w:fill="F2F2F2" w:themeFill="background1" w:themeFillShade="F2"/>
          </w:tcPr>
          <w:p w14:paraId="2C861284" w14:textId="1F6E8EEC" w:rsidR="000F45E1" w:rsidRDefault="000F45E1" w:rsidP="00824B15">
            <w:pPr>
              <w:pStyle w:val="BoxTitle"/>
              <w:rPr>
                <w:lang w:eastAsia="en-US"/>
              </w:rPr>
            </w:pPr>
            <w:r>
              <w:rPr>
                <w:b w:val="0"/>
              </w:rPr>
              <w:t>Box 7</w:t>
            </w:r>
            <w:r w:rsidR="00C545A1">
              <w:rPr>
                <w:b w:val="0"/>
              </w:rPr>
              <w:t>.1</w:t>
            </w:r>
            <w:r w:rsidR="00824B15">
              <w:rPr>
                <w:b w:val="0"/>
              </w:rPr>
              <w:t>0</w:t>
            </w:r>
            <w:r>
              <w:tab/>
            </w:r>
            <w:r w:rsidRPr="00584FFF">
              <w:t>Judicial officers per finalisation</w:t>
            </w:r>
          </w:p>
        </w:tc>
      </w:tr>
      <w:tr w:rsidR="000F45E1" w14:paraId="54D3F7C3" w14:textId="77777777" w:rsidTr="00B9240E">
        <w:trPr>
          <w:cantSplit/>
        </w:trPr>
        <w:tc>
          <w:tcPr>
            <w:tcW w:w="8789" w:type="dxa"/>
            <w:tcBorders>
              <w:top w:val="nil"/>
              <w:left w:val="nil"/>
              <w:bottom w:val="nil"/>
              <w:right w:val="nil"/>
            </w:tcBorders>
            <w:shd w:val="clear" w:color="auto" w:fill="F2F2F2" w:themeFill="background1" w:themeFillShade="F2"/>
          </w:tcPr>
          <w:p w14:paraId="2C1B00B0" w14:textId="6726B4B4" w:rsidR="000F45E1" w:rsidRPr="00584FFF" w:rsidRDefault="000F45E1" w:rsidP="003551D9">
            <w:pPr>
              <w:pStyle w:val="Box"/>
            </w:pPr>
            <w:r w:rsidRPr="00584FFF">
              <w:t xml:space="preserve">‘Judicial officers per </w:t>
            </w:r>
            <w:r w:rsidRPr="001D1A82">
              <w:t xml:space="preserve">finalisation’ </w:t>
            </w:r>
            <w:r w:rsidRPr="00BD72D8">
              <w:t xml:space="preserve">is </w:t>
            </w:r>
            <w:r w:rsidRPr="00A848DB">
              <w:t xml:space="preserve">measured by dividing the number of full time equivalent judicial officers within each court </w:t>
            </w:r>
            <w:r w:rsidR="00E7400A" w:rsidRPr="00BD72D8">
              <w:t>lev</w:t>
            </w:r>
            <w:r w:rsidR="00A848DB">
              <w:t xml:space="preserve">el </w:t>
            </w:r>
            <w:r w:rsidRPr="00584FFF">
              <w:t>for the financial year by the total number of finalisations for the same period</w:t>
            </w:r>
            <w:r w:rsidR="00E7400A">
              <w:t>,</w:t>
            </w:r>
            <w:r w:rsidRPr="00584FFF">
              <w:t xml:space="preserve"> and multiplying by </w:t>
            </w:r>
            <w:r w:rsidRPr="001D1A82">
              <w:t>100</w:t>
            </w:r>
            <w:r w:rsidRPr="00CF03D9">
              <w:t>.</w:t>
            </w:r>
            <w:r w:rsidRPr="00584FFF">
              <w:t xml:space="preserve"> </w:t>
            </w:r>
          </w:p>
          <w:p w14:paraId="22F627DF" w14:textId="77777777" w:rsidR="000F45E1" w:rsidRPr="00584FFF" w:rsidRDefault="000F45E1" w:rsidP="003551D9">
            <w:pPr>
              <w:pStyle w:val="Box"/>
            </w:pPr>
            <w:r w:rsidRPr="00584FFF">
              <w:t xml:space="preserve">The following points need to be considered in interpreting </w:t>
            </w:r>
            <w:r w:rsidRPr="00CF03D9">
              <w:t>the results</w:t>
            </w:r>
            <w:r w:rsidR="00E7400A" w:rsidRPr="00CF03D9">
              <w:t xml:space="preserve"> for this indicator</w:t>
            </w:r>
            <w:r w:rsidRPr="00CF03D9">
              <w:t>:</w:t>
            </w:r>
          </w:p>
          <w:p w14:paraId="586457DF" w14:textId="77777777" w:rsidR="000F45E1" w:rsidRPr="00584FFF" w:rsidRDefault="000F45E1" w:rsidP="003551D9">
            <w:pPr>
              <w:pStyle w:val="BoxListBullet"/>
            </w:pPr>
            <w:r w:rsidRPr="00584FFF">
              <w:t>some finalisations take a short time and require few resources, whereas other finalisations may be resource intensive and involve complicated trials and interlocutory decisions</w:t>
            </w:r>
          </w:p>
          <w:p w14:paraId="1C8BF941" w14:textId="77777777" w:rsidR="000F45E1" w:rsidRPr="00584FFF" w:rsidRDefault="000F45E1" w:rsidP="003551D9">
            <w:pPr>
              <w:pStyle w:val="BoxListBullet"/>
            </w:pPr>
            <w:r w:rsidRPr="00584FFF">
              <w:t>factors such as geographical dispersion, judicial workload and population density are important considerations when comparing figures on judicial officers</w:t>
            </w:r>
            <w:r w:rsidR="00E7400A">
              <w:t>.</w:t>
            </w:r>
          </w:p>
          <w:p w14:paraId="40E5F407" w14:textId="77777777" w:rsidR="000F45E1" w:rsidRDefault="000F45E1" w:rsidP="003551D9">
            <w:pPr>
              <w:pStyle w:val="Box"/>
            </w:pPr>
            <w:r>
              <w:t>Data reported for this indicator are:</w:t>
            </w:r>
          </w:p>
          <w:p w14:paraId="50CF79F9" w14:textId="77777777" w:rsidR="000F45E1" w:rsidRPr="004332DE" w:rsidRDefault="000F45E1" w:rsidP="00573616">
            <w:pPr>
              <w:pStyle w:val="BoxListBullet"/>
              <w:rPr>
                <w:szCs w:val="24"/>
              </w:rPr>
            </w:pPr>
            <w:r w:rsidRPr="004332DE">
              <w:t>comparable (subject to caveats) across jurisdictions and over time</w:t>
            </w:r>
          </w:p>
          <w:p w14:paraId="42871F99" w14:textId="38923B1A" w:rsidR="000F45E1" w:rsidRPr="009D5777" w:rsidRDefault="000F45E1">
            <w:pPr>
              <w:pStyle w:val="BoxListBullet"/>
              <w:spacing w:after="120"/>
              <w:rPr>
                <w:szCs w:val="22"/>
              </w:rPr>
            </w:pPr>
            <w:r w:rsidRPr="004332DE">
              <w:t xml:space="preserve">complete for the current reporting period (subject to caveats). All </w:t>
            </w:r>
            <w:r w:rsidRPr="0025541B">
              <w:t>required 201</w:t>
            </w:r>
            <w:r w:rsidR="00AD04CC" w:rsidRPr="0025541B">
              <w:t>6</w:t>
            </w:r>
            <w:r w:rsidRPr="0025541B">
              <w:noBreakHyphen/>
              <w:t>1</w:t>
            </w:r>
            <w:r w:rsidR="00AD04CC" w:rsidRPr="0025541B">
              <w:t>7</w:t>
            </w:r>
            <w:r w:rsidRPr="0025541B">
              <w:t xml:space="preserve"> </w:t>
            </w:r>
            <w:r w:rsidRPr="004332DE">
              <w:t>data are available for all jurisdictions.</w:t>
            </w:r>
          </w:p>
        </w:tc>
      </w:tr>
      <w:tr w:rsidR="000F45E1" w:rsidRPr="000863A5" w14:paraId="1C1978E6" w14:textId="77777777" w:rsidTr="00B9240E">
        <w:tc>
          <w:tcPr>
            <w:tcW w:w="8789" w:type="dxa"/>
            <w:tcBorders>
              <w:top w:val="single" w:sz="6" w:space="0" w:color="78A22F"/>
              <w:left w:val="nil"/>
              <w:bottom w:val="nil"/>
              <w:right w:val="nil"/>
            </w:tcBorders>
          </w:tcPr>
          <w:p w14:paraId="62D4E31B" w14:textId="77777777" w:rsidR="000F45E1" w:rsidRPr="00626D32" w:rsidRDefault="000F45E1" w:rsidP="003551D9">
            <w:pPr>
              <w:pStyle w:val="BoxSpaceBelow"/>
            </w:pPr>
          </w:p>
        </w:tc>
      </w:tr>
    </w:tbl>
    <w:p w14:paraId="183FCD39" w14:textId="4C2C261B" w:rsidR="00E7400A" w:rsidRDefault="00E7400A" w:rsidP="00847805">
      <w:pPr>
        <w:pStyle w:val="BodyText"/>
      </w:pPr>
      <w:r>
        <w:t xml:space="preserve">The number of judicial officers per 100 finalisations is provided in </w:t>
      </w:r>
      <w:r w:rsidR="00AF5D20">
        <w:t>t</w:t>
      </w:r>
      <w:r>
        <w:t>able 7.</w:t>
      </w:r>
      <w:r w:rsidR="00814909">
        <w:t>1</w:t>
      </w:r>
      <w:r w:rsidR="00B54B34">
        <w:t>1</w:t>
      </w:r>
      <w:r>
        <w:t>.</w:t>
      </w:r>
    </w:p>
    <w:p w14:paraId="62B0C9FD" w14:textId="77777777" w:rsidR="0003310C" w:rsidRDefault="0003310C" w:rsidP="00847805">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03310C" w14:paraId="7FECE654" w14:textId="77777777" w:rsidTr="00B9240E">
        <w:tc>
          <w:tcPr>
            <w:tcW w:w="8789" w:type="dxa"/>
            <w:tcBorders>
              <w:top w:val="single" w:sz="6" w:space="0" w:color="78A22F" w:themeColor="accent1"/>
              <w:left w:val="nil"/>
              <w:bottom w:val="nil"/>
              <w:right w:val="nil"/>
            </w:tcBorders>
            <w:shd w:val="clear" w:color="auto" w:fill="auto"/>
          </w:tcPr>
          <w:p w14:paraId="3341D749" w14:textId="286600D4" w:rsidR="0003310C" w:rsidRPr="00784A05" w:rsidRDefault="0003310C" w:rsidP="00B54B34">
            <w:pPr>
              <w:pStyle w:val="TableTitle"/>
              <w:rPr>
                <w:lang w:eastAsia="en-US"/>
              </w:rPr>
            </w:pPr>
            <w:r>
              <w:rPr>
                <w:b w:val="0"/>
              </w:rPr>
              <w:t>Table 7</w:t>
            </w:r>
            <w:r w:rsidR="00253D16">
              <w:rPr>
                <w:b w:val="0"/>
              </w:rPr>
              <w:t>.</w:t>
            </w:r>
            <w:r w:rsidR="00814909">
              <w:rPr>
                <w:b w:val="0"/>
              </w:rPr>
              <w:t>1</w:t>
            </w:r>
            <w:r w:rsidR="00B54B34">
              <w:rPr>
                <w:b w:val="0"/>
              </w:rPr>
              <w:t>1</w:t>
            </w:r>
            <w:r>
              <w:tab/>
            </w:r>
            <w:r w:rsidRPr="00584FFF">
              <w:t>Judicial officers per 100 finalisations</w:t>
            </w:r>
            <w:r w:rsidRPr="007D4682">
              <w:t xml:space="preserve">, </w:t>
            </w:r>
            <w:r w:rsidRPr="0025541B">
              <w:t>201</w:t>
            </w:r>
            <w:r w:rsidR="00AD04CC" w:rsidRPr="0025541B">
              <w:t>6</w:t>
            </w:r>
            <w:r w:rsidR="00084115" w:rsidRPr="00313083">
              <w:t>-</w:t>
            </w:r>
            <w:r w:rsidRPr="0025541B">
              <w:t>1</w:t>
            </w:r>
            <w:r w:rsidR="00AD04CC" w:rsidRPr="0025541B">
              <w:t>7</w:t>
            </w:r>
            <w:r w:rsidR="00E7400A" w:rsidRPr="0025541B">
              <w:rPr>
                <w:rStyle w:val="NoteLabel"/>
                <w:b/>
              </w:rPr>
              <w:t>a</w:t>
            </w:r>
          </w:p>
        </w:tc>
      </w:tr>
      <w:tr w:rsidR="0003310C" w14:paraId="4DA5CF3F" w14:textId="77777777" w:rsidTr="00B9240E">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76"/>
              <w:gridCol w:w="626"/>
              <w:gridCol w:w="627"/>
              <w:gridCol w:w="626"/>
              <w:gridCol w:w="627"/>
              <w:gridCol w:w="626"/>
              <w:gridCol w:w="627"/>
              <w:gridCol w:w="626"/>
              <w:gridCol w:w="627"/>
              <w:gridCol w:w="626"/>
              <w:gridCol w:w="627"/>
            </w:tblGrid>
            <w:tr w:rsidR="007035C4" w:rsidRPr="00584FFF" w14:paraId="440973FC" w14:textId="77777777" w:rsidTr="00B9240E">
              <w:tc>
                <w:tcPr>
                  <w:tcW w:w="2076" w:type="dxa"/>
                  <w:tcBorders>
                    <w:top w:val="single" w:sz="6" w:space="0" w:color="BFBFBF"/>
                    <w:bottom w:val="single" w:sz="6" w:space="0" w:color="BFBFBF"/>
                  </w:tcBorders>
                </w:tcPr>
                <w:p w14:paraId="3E4D2A6A" w14:textId="77777777" w:rsidR="007035C4" w:rsidRPr="00584FFF" w:rsidRDefault="007035C4" w:rsidP="00847805">
                  <w:pPr>
                    <w:pStyle w:val="TableColumnHeading"/>
                    <w:jc w:val="left"/>
                  </w:pPr>
                </w:p>
              </w:tc>
              <w:tc>
                <w:tcPr>
                  <w:tcW w:w="626" w:type="dxa"/>
                  <w:tcBorders>
                    <w:top w:val="single" w:sz="6" w:space="0" w:color="BFBFBF"/>
                    <w:bottom w:val="single" w:sz="6" w:space="0" w:color="BFBFBF"/>
                  </w:tcBorders>
                </w:tcPr>
                <w:p w14:paraId="3160EEC3" w14:textId="77777777" w:rsidR="007035C4" w:rsidRPr="00584FFF" w:rsidRDefault="001850C4" w:rsidP="001850C4">
                  <w:pPr>
                    <w:pStyle w:val="TableColumnHeading"/>
                    <w:ind w:left="0" w:right="28"/>
                  </w:pPr>
                  <w:r>
                    <w:br/>
                  </w:r>
                  <w:r w:rsidR="007035C4" w:rsidRPr="00584FFF">
                    <w:t>NSW</w:t>
                  </w:r>
                </w:p>
              </w:tc>
              <w:tc>
                <w:tcPr>
                  <w:tcW w:w="627" w:type="dxa"/>
                  <w:tcBorders>
                    <w:top w:val="single" w:sz="6" w:space="0" w:color="BFBFBF"/>
                    <w:bottom w:val="single" w:sz="6" w:space="0" w:color="BFBFBF"/>
                  </w:tcBorders>
                </w:tcPr>
                <w:p w14:paraId="6EB488E7" w14:textId="77777777" w:rsidR="007035C4" w:rsidRPr="00584FFF" w:rsidRDefault="001850C4" w:rsidP="001850C4">
                  <w:pPr>
                    <w:pStyle w:val="TableColumnHeading"/>
                    <w:ind w:left="0" w:right="28"/>
                  </w:pPr>
                  <w:r>
                    <w:br/>
                  </w:r>
                  <w:r w:rsidR="007035C4" w:rsidRPr="00584FFF">
                    <w:t>Vic</w:t>
                  </w:r>
                </w:p>
              </w:tc>
              <w:tc>
                <w:tcPr>
                  <w:tcW w:w="626" w:type="dxa"/>
                  <w:tcBorders>
                    <w:top w:val="single" w:sz="6" w:space="0" w:color="BFBFBF"/>
                    <w:bottom w:val="single" w:sz="6" w:space="0" w:color="BFBFBF"/>
                  </w:tcBorders>
                </w:tcPr>
                <w:p w14:paraId="1EF4EC7F" w14:textId="77777777" w:rsidR="007035C4" w:rsidRPr="00584FFF" w:rsidRDefault="001850C4" w:rsidP="001850C4">
                  <w:pPr>
                    <w:pStyle w:val="TableColumnHeading"/>
                    <w:ind w:left="0" w:right="28"/>
                  </w:pPr>
                  <w:r>
                    <w:br/>
                  </w:r>
                  <w:r w:rsidR="007035C4" w:rsidRPr="00584FFF">
                    <w:t>Qld</w:t>
                  </w:r>
                </w:p>
              </w:tc>
              <w:tc>
                <w:tcPr>
                  <w:tcW w:w="627" w:type="dxa"/>
                  <w:tcBorders>
                    <w:top w:val="single" w:sz="6" w:space="0" w:color="BFBFBF"/>
                    <w:bottom w:val="single" w:sz="6" w:space="0" w:color="BFBFBF"/>
                  </w:tcBorders>
                </w:tcPr>
                <w:p w14:paraId="3521913D" w14:textId="77777777" w:rsidR="007035C4" w:rsidRPr="00584FFF" w:rsidRDefault="001850C4" w:rsidP="001850C4">
                  <w:pPr>
                    <w:pStyle w:val="TableColumnHeading"/>
                    <w:ind w:left="0" w:right="28"/>
                  </w:pPr>
                  <w:r>
                    <w:br/>
                  </w:r>
                  <w:r w:rsidR="007035C4" w:rsidRPr="00584FFF">
                    <w:t>WA</w:t>
                  </w:r>
                </w:p>
              </w:tc>
              <w:tc>
                <w:tcPr>
                  <w:tcW w:w="626" w:type="dxa"/>
                  <w:tcBorders>
                    <w:top w:val="single" w:sz="6" w:space="0" w:color="BFBFBF"/>
                    <w:bottom w:val="single" w:sz="6" w:space="0" w:color="BFBFBF"/>
                  </w:tcBorders>
                </w:tcPr>
                <w:p w14:paraId="63CDA77A" w14:textId="77777777" w:rsidR="007035C4" w:rsidRPr="00584FFF" w:rsidRDefault="001850C4" w:rsidP="001850C4">
                  <w:pPr>
                    <w:pStyle w:val="TableColumnHeading"/>
                    <w:ind w:left="0" w:right="28"/>
                  </w:pPr>
                  <w:r>
                    <w:br/>
                  </w:r>
                  <w:r w:rsidR="007035C4" w:rsidRPr="00584FFF">
                    <w:t>SA</w:t>
                  </w:r>
                </w:p>
              </w:tc>
              <w:tc>
                <w:tcPr>
                  <w:tcW w:w="627" w:type="dxa"/>
                  <w:tcBorders>
                    <w:top w:val="single" w:sz="6" w:space="0" w:color="BFBFBF"/>
                    <w:bottom w:val="single" w:sz="6" w:space="0" w:color="BFBFBF"/>
                  </w:tcBorders>
                </w:tcPr>
                <w:p w14:paraId="639ED6C0" w14:textId="77777777" w:rsidR="007035C4" w:rsidRPr="00584FFF" w:rsidRDefault="001850C4" w:rsidP="001850C4">
                  <w:pPr>
                    <w:pStyle w:val="TableColumnHeading"/>
                    <w:ind w:left="0" w:right="28"/>
                  </w:pPr>
                  <w:r>
                    <w:br/>
                  </w:r>
                  <w:r w:rsidR="007035C4" w:rsidRPr="00584FFF">
                    <w:t>Tas</w:t>
                  </w:r>
                </w:p>
              </w:tc>
              <w:tc>
                <w:tcPr>
                  <w:tcW w:w="626" w:type="dxa"/>
                  <w:tcBorders>
                    <w:top w:val="single" w:sz="6" w:space="0" w:color="BFBFBF"/>
                    <w:bottom w:val="single" w:sz="6" w:space="0" w:color="BFBFBF"/>
                  </w:tcBorders>
                </w:tcPr>
                <w:p w14:paraId="5FA15F03" w14:textId="77777777" w:rsidR="007035C4" w:rsidRPr="00584FFF" w:rsidRDefault="001850C4" w:rsidP="001850C4">
                  <w:pPr>
                    <w:pStyle w:val="TableColumnHeading"/>
                    <w:ind w:left="0" w:right="28"/>
                  </w:pPr>
                  <w:r>
                    <w:br/>
                  </w:r>
                  <w:r w:rsidR="007035C4" w:rsidRPr="00584FFF">
                    <w:t>ACT</w:t>
                  </w:r>
                </w:p>
              </w:tc>
              <w:tc>
                <w:tcPr>
                  <w:tcW w:w="627" w:type="dxa"/>
                  <w:tcBorders>
                    <w:top w:val="single" w:sz="6" w:space="0" w:color="BFBFBF"/>
                    <w:bottom w:val="single" w:sz="6" w:space="0" w:color="BFBFBF"/>
                  </w:tcBorders>
                </w:tcPr>
                <w:p w14:paraId="4CC6D912" w14:textId="77777777" w:rsidR="007035C4" w:rsidRPr="00584FFF" w:rsidRDefault="001850C4" w:rsidP="001850C4">
                  <w:pPr>
                    <w:pStyle w:val="TableColumnHeading"/>
                    <w:ind w:left="0" w:right="28"/>
                  </w:pPr>
                  <w:r>
                    <w:br/>
                  </w:r>
                  <w:r w:rsidR="007035C4" w:rsidRPr="00584FFF">
                    <w:t>NT</w:t>
                  </w:r>
                </w:p>
              </w:tc>
              <w:tc>
                <w:tcPr>
                  <w:tcW w:w="626" w:type="dxa"/>
                  <w:tcBorders>
                    <w:top w:val="single" w:sz="6" w:space="0" w:color="BFBFBF"/>
                    <w:bottom w:val="single" w:sz="6" w:space="0" w:color="BFBFBF"/>
                  </w:tcBorders>
                </w:tcPr>
                <w:p w14:paraId="03825F5C" w14:textId="77777777" w:rsidR="007035C4" w:rsidRPr="00584FFF" w:rsidRDefault="007035C4" w:rsidP="001850C4">
                  <w:pPr>
                    <w:pStyle w:val="TableColumnHeading"/>
                    <w:ind w:left="0" w:right="28"/>
                    <w:rPr>
                      <w:szCs w:val="18"/>
                    </w:rPr>
                  </w:pPr>
                  <w:r w:rsidRPr="00584FFF">
                    <w:rPr>
                      <w:szCs w:val="18"/>
                    </w:rPr>
                    <w:t>Aust courts</w:t>
                  </w:r>
                </w:p>
              </w:tc>
              <w:tc>
                <w:tcPr>
                  <w:tcW w:w="627" w:type="dxa"/>
                  <w:tcBorders>
                    <w:top w:val="single" w:sz="6" w:space="0" w:color="BFBFBF"/>
                    <w:bottom w:val="single" w:sz="6" w:space="0" w:color="BFBFBF"/>
                  </w:tcBorders>
                </w:tcPr>
                <w:p w14:paraId="3B90FB67" w14:textId="77777777" w:rsidR="007035C4" w:rsidRPr="00584FFF" w:rsidRDefault="001850C4" w:rsidP="001850C4">
                  <w:pPr>
                    <w:pStyle w:val="TableColumnHeading"/>
                    <w:ind w:left="0" w:right="28"/>
                  </w:pPr>
                  <w:r>
                    <w:br/>
                  </w:r>
                  <w:r w:rsidR="007035C4" w:rsidRPr="00584FFF">
                    <w:t xml:space="preserve">Total </w:t>
                  </w:r>
                </w:p>
              </w:tc>
            </w:tr>
            <w:tr w:rsidR="0025541B" w:rsidRPr="00873DDC" w14:paraId="378F8318" w14:textId="77777777" w:rsidTr="00B9240E">
              <w:tc>
                <w:tcPr>
                  <w:tcW w:w="2076" w:type="dxa"/>
                  <w:tcBorders>
                    <w:top w:val="single" w:sz="6" w:space="0" w:color="BFBFBF"/>
                  </w:tcBorders>
                </w:tcPr>
                <w:p w14:paraId="39B37505" w14:textId="77777777" w:rsidR="0025541B" w:rsidRPr="00584FFF" w:rsidRDefault="0025541B" w:rsidP="0025541B">
                  <w:pPr>
                    <w:pStyle w:val="TableBodyText"/>
                    <w:spacing w:before="40"/>
                    <w:jc w:val="left"/>
                  </w:pPr>
                  <w:r w:rsidRPr="00584FFF">
                    <w:t>Supreme/Federal</w:t>
                  </w:r>
                </w:p>
              </w:tc>
              <w:tc>
                <w:tcPr>
                  <w:tcW w:w="626" w:type="dxa"/>
                  <w:tcBorders>
                    <w:top w:val="single" w:sz="6" w:space="0" w:color="BFBFBF"/>
                  </w:tcBorders>
                  <w:vAlign w:val="bottom"/>
                </w:tcPr>
                <w:p w14:paraId="349D1EED" w14:textId="7E102A61" w:rsidR="0025541B" w:rsidRDefault="0025541B" w:rsidP="00B9240E">
                  <w:pPr>
                    <w:pStyle w:val="TableBodyText"/>
                    <w:ind w:right="23"/>
                  </w:pPr>
                  <w:r>
                    <w:t>0.70</w:t>
                  </w:r>
                </w:p>
              </w:tc>
              <w:tc>
                <w:tcPr>
                  <w:tcW w:w="627" w:type="dxa"/>
                  <w:tcBorders>
                    <w:top w:val="single" w:sz="6" w:space="0" w:color="BFBFBF"/>
                  </w:tcBorders>
                  <w:vAlign w:val="bottom"/>
                </w:tcPr>
                <w:p w14:paraId="0AB84956" w14:textId="4D36C00D" w:rsidR="0025541B" w:rsidRDefault="0025541B" w:rsidP="00B9240E">
                  <w:pPr>
                    <w:pStyle w:val="TableBodyText"/>
                    <w:ind w:right="23"/>
                  </w:pPr>
                  <w:r>
                    <w:t>0.89</w:t>
                  </w:r>
                </w:p>
              </w:tc>
              <w:tc>
                <w:tcPr>
                  <w:tcW w:w="626" w:type="dxa"/>
                  <w:tcBorders>
                    <w:top w:val="single" w:sz="6" w:space="0" w:color="BFBFBF"/>
                  </w:tcBorders>
                  <w:vAlign w:val="bottom"/>
                </w:tcPr>
                <w:p w14:paraId="5AE2168C" w14:textId="48729374" w:rsidR="0025541B" w:rsidRDefault="0025541B" w:rsidP="00B9240E">
                  <w:pPr>
                    <w:pStyle w:val="TableBodyText"/>
                    <w:ind w:right="23"/>
                  </w:pPr>
                  <w:r>
                    <w:t>0.44</w:t>
                  </w:r>
                </w:p>
              </w:tc>
              <w:tc>
                <w:tcPr>
                  <w:tcW w:w="627" w:type="dxa"/>
                  <w:tcBorders>
                    <w:top w:val="single" w:sz="6" w:space="0" w:color="BFBFBF"/>
                  </w:tcBorders>
                  <w:vAlign w:val="bottom"/>
                </w:tcPr>
                <w:p w14:paraId="2E87DC71" w14:textId="6E8FB615" w:rsidR="0025541B" w:rsidRDefault="0025541B" w:rsidP="00B9240E">
                  <w:pPr>
                    <w:pStyle w:val="TableBodyText"/>
                    <w:ind w:right="23"/>
                  </w:pPr>
                  <w:r>
                    <w:t>0.70</w:t>
                  </w:r>
                </w:p>
              </w:tc>
              <w:tc>
                <w:tcPr>
                  <w:tcW w:w="626" w:type="dxa"/>
                  <w:tcBorders>
                    <w:top w:val="single" w:sz="6" w:space="0" w:color="BFBFBF"/>
                  </w:tcBorders>
                  <w:vAlign w:val="bottom"/>
                </w:tcPr>
                <w:p w14:paraId="2D209DE3" w14:textId="1A4947E1" w:rsidR="0025541B" w:rsidRDefault="0025541B" w:rsidP="00B9240E">
                  <w:pPr>
                    <w:pStyle w:val="TableBodyText"/>
                    <w:ind w:right="23"/>
                  </w:pPr>
                  <w:r>
                    <w:t>0.95</w:t>
                  </w:r>
                </w:p>
              </w:tc>
              <w:tc>
                <w:tcPr>
                  <w:tcW w:w="627" w:type="dxa"/>
                  <w:tcBorders>
                    <w:top w:val="single" w:sz="6" w:space="0" w:color="BFBFBF"/>
                  </w:tcBorders>
                  <w:shd w:val="clear" w:color="auto" w:fill="auto"/>
                  <w:vAlign w:val="bottom"/>
                </w:tcPr>
                <w:p w14:paraId="5755E834" w14:textId="08574D25" w:rsidR="0025541B" w:rsidRDefault="0025541B" w:rsidP="00B9240E">
                  <w:pPr>
                    <w:pStyle w:val="TableBodyText"/>
                    <w:ind w:right="23"/>
                  </w:pPr>
                  <w:r>
                    <w:t>0.55</w:t>
                  </w:r>
                </w:p>
              </w:tc>
              <w:tc>
                <w:tcPr>
                  <w:tcW w:w="626" w:type="dxa"/>
                  <w:tcBorders>
                    <w:top w:val="single" w:sz="6" w:space="0" w:color="BFBFBF"/>
                  </w:tcBorders>
                  <w:shd w:val="clear" w:color="auto" w:fill="auto"/>
                  <w:vAlign w:val="bottom"/>
                </w:tcPr>
                <w:p w14:paraId="15B9EB75" w14:textId="18374615" w:rsidR="0025541B" w:rsidRDefault="0025541B" w:rsidP="00B9240E">
                  <w:pPr>
                    <w:pStyle w:val="TableBodyText"/>
                    <w:ind w:right="23"/>
                  </w:pPr>
                  <w:r>
                    <w:t>0.64</w:t>
                  </w:r>
                </w:p>
              </w:tc>
              <w:tc>
                <w:tcPr>
                  <w:tcW w:w="627" w:type="dxa"/>
                  <w:tcBorders>
                    <w:top w:val="single" w:sz="6" w:space="0" w:color="BFBFBF"/>
                  </w:tcBorders>
                  <w:shd w:val="clear" w:color="auto" w:fill="auto"/>
                  <w:vAlign w:val="bottom"/>
                </w:tcPr>
                <w:p w14:paraId="188AB5CF" w14:textId="1B884B9A" w:rsidR="0025541B" w:rsidRDefault="0025541B" w:rsidP="00B9240E">
                  <w:pPr>
                    <w:pStyle w:val="TableBodyText"/>
                    <w:ind w:right="23"/>
                  </w:pPr>
                  <w:r>
                    <w:t>1.06</w:t>
                  </w:r>
                </w:p>
              </w:tc>
              <w:tc>
                <w:tcPr>
                  <w:tcW w:w="626" w:type="dxa"/>
                  <w:tcBorders>
                    <w:top w:val="single" w:sz="6" w:space="0" w:color="BFBFBF"/>
                  </w:tcBorders>
                  <w:vAlign w:val="bottom"/>
                </w:tcPr>
                <w:p w14:paraId="1C6D728F" w14:textId="56C920B8" w:rsidR="0025541B" w:rsidRDefault="0025541B" w:rsidP="00B9240E">
                  <w:pPr>
                    <w:pStyle w:val="TableBodyText"/>
                    <w:ind w:right="23"/>
                  </w:pPr>
                  <w:r>
                    <w:t>0.79</w:t>
                  </w:r>
                </w:p>
              </w:tc>
              <w:tc>
                <w:tcPr>
                  <w:tcW w:w="627" w:type="dxa"/>
                  <w:tcBorders>
                    <w:top w:val="single" w:sz="6" w:space="0" w:color="BFBFBF"/>
                  </w:tcBorders>
                  <w:shd w:val="clear" w:color="auto" w:fill="auto"/>
                  <w:vAlign w:val="bottom"/>
                </w:tcPr>
                <w:p w14:paraId="2DD09FCF" w14:textId="7CF92182" w:rsidR="0025541B" w:rsidRDefault="0025541B" w:rsidP="00B9240E">
                  <w:pPr>
                    <w:pStyle w:val="TableBodyText"/>
                    <w:ind w:right="23"/>
                  </w:pPr>
                  <w:r>
                    <w:t>0.72</w:t>
                  </w:r>
                </w:p>
              </w:tc>
            </w:tr>
            <w:tr w:rsidR="0025541B" w:rsidRPr="00873DDC" w14:paraId="2ABEE695" w14:textId="77777777" w:rsidTr="00B9240E">
              <w:tc>
                <w:tcPr>
                  <w:tcW w:w="2076" w:type="dxa"/>
                </w:tcPr>
                <w:p w14:paraId="17A500B8" w14:textId="77777777" w:rsidR="0025541B" w:rsidRPr="00584FFF" w:rsidRDefault="0025541B" w:rsidP="0025541B">
                  <w:pPr>
                    <w:pStyle w:val="TableBodyText"/>
                    <w:tabs>
                      <w:tab w:val="right" w:pos="8789"/>
                    </w:tabs>
                    <w:spacing w:before="40"/>
                    <w:ind w:left="0" w:right="0"/>
                    <w:jc w:val="left"/>
                  </w:pPr>
                  <w:r w:rsidRPr="00584FFF">
                    <w:t>District/County</w:t>
                  </w:r>
                </w:p>
              </w:tc>
              <w:tc>
                <w:tcPr>
                  <w:tcW w:w="626" w:type="dxa"/>
                  <w:vAlign w:val="bottom"/>
                </w:tcPr>
                <w:p w14:paraId="301953E2" w14:textId="7C87834A" w:rsidR="0025541B" w:rsidRDefault="0025541B" w:rsidP="00B9240E">
                  <w:pPr>
                    <w:pStyle w:val="TableBodyText"/>
                    <w:ind w:right="23"/>
                  </w:pPr>
                  <w:r>
                    <w:t>0.36</w:t>
                  </w:r>
                </w:p>
              </w:tc>
              <w:tc>
                <w:tcPr>
                  <w:tcW w:w="627" w:type="dxa"/>
                  <w:vAlign w:val="bottom"/>
                </w:tcPr>
                <w:p w14:paraId="56B3D20D" w14:textId="75C4B2E1" w:rsidR="0025541B" w:rsidRDefault="0025541B" w:rsidP="00B9240E">
                  <w:pPr>
                    <w:pStyle w:val="TableBodyText"/>
                    <w:ind w:right="23"/>
                  </w:pPr>
                  <w:r>
                    <w:t>0.55</w:t>
                  </w:r>
                </w:p>
              </w:tc>
              <w:tc>
                <w:tcPr>
                  <w:tcW w:w="626" w:type="dxa"/>
                  <w:vAlign w:val="bottom"/>
                </w:tcPr>
                <w:p w14:paraId="4B8E2B77" w14:textId="160F4B77" w:rsidR="0025541B" w:rsidRDefault="0025541B" w:rsidP="00B9240E">
                  <w:pPr>
                    <w:pStyle w:val="TableBodyText"/>
                    <w:ind w:right="23"/>
                  </w:pPr>
                  <w:r>
                    <w:t>0.29</w:t>
                  </w:r>
                </w:p>
              </w:tc>
              <w:tc>
                <w:tcPr>
                  <w:tcW w:w="627" w:type="dxa"/>
                  <w:vAlign w:val="bottom"/>
                </w:tcPr>
                <w:p w14:paraId="28265FE7" w14:textId="63CED318" w:rsidR="0025541B" w:rsidRDefault="0025541B" w:rsidP="00B9240E">
                  <w:pPr>
                    <w:pStyle w:val="TableBodyText"/>
                    <w:ind w:right="23"/>
                  </w:pPr>
                  <w:r>
                    <w:t>0.37</w:t>
                  </w:r>
                </w:p>
              </w:tc>
              <w:tc>
                <w:tcPr>
                  <w:tcW w:w="626" w:type="dxa"/>
                  <w:vAlign w:val="bottom"/>
                </w:tcPr>
                <w:p w14:paraId="6339FB6E" w14:textId="108528C5" w:rsidR="0025541B" w:rsidRDefault="0025541B" w:rsidP="00B9240E">
                  <w:pPr>
                    <w:pStyle w:val="TableBodyText"/>
                    <w:ind w:right="23"/>
                  </w:pPr>
                  <w:r>
                    <w:t>0.48</w:t>
                  </w:r>
                </w:p>
              </w:tc>
              <w:tc>
                <w:tcPr>
                  <w:tcW w:w="627" w:type="dxa"/>
                  <w:vAlign w:val="bottom"/>
                </w:tcPr>
                <w:p w14:paraId="426F94FC" w14:textId="5F79DA5E" w:rsidR="0025541B" w:rsidRDefault="0025541B" w:rsidP="00B9240E">
                  <w:pPr>
                    <w:pStyle w:val="TableBodyText"/>
                    <w:ind w:right="23"/>
                  </w:pPr>
                  <w:r>
                    <w:t>..</w:t>
                  </w:r>
                </w:p>
              </w:tc>
              <w:tc>
                <w:tcPr>
                  <w:tcW w:w="626" w:type="dxa"/>
                  <w:vAlign w:val="bottom"/>
                </w:tcPr>
                <w:p w14:paraId="4DB36236" w14:textId="60BB28F4" w:rsidR="0025541B" w:rsidRDefault="0025541B" w:rsidP="00B9240E">
                  <w:pPr>
                    <w:pStyle w:val="TableBodyText"/>
                    <w:ind w:right="23"/>
                  </w:pPr>
                  <w:r>
                    <w:t>..</w:t>
                  </w:r>
                </w:p>
              </w:tc>
              <w:tc>
                <w:tcPr>
                  <w:tcW w:w="627" w:type="dxa"/>
                  <w:vAlign w:val="bottom"/>
                </w:tcPr>
                <w:p w14:paraId="75CB8336" w14:textId="071F0C8F" w:rsidR="0025541B" w:rsidRDefault="0025541B" w:rsidP="00B9240E">
                  <w:pPr>
                    <w:pStyle w:val="TableBodyText"/>
                    <w:ind w:right="23"/>
                  </w:pPr>
                  <w:r>
                    <w:t>..</w:t>
                  </w:r>
                </w:p>
              </w:tc>
              <w:tc>
                <w:tcPr>
                  <w:tcW w:w="626" w:type="dxa"/>
                  <w:vAlign w:val="bottom"/>
                </w:tcPr>
                <w:p w14:paraId="1B75A767" w14:textId="4D317D59" w:rsidR="0025541B" w:rsidRDefault="0025541B" w:rsidP="00B9240E">
                  <w:pPr>
                    <w:pStyle w:val="TableBodyText"/>
                    <w:ind w:right="23"/>
                  </w:pPr>
                  <w:r>
                    <w:t>..</w:t>
                  </w:r>
                </w:p>
              </w:tc>
              <w:tc>
                <w:tcPr>
                  <w:tcW w:w="627" w:type="dxa"/>
                  <w:vAlign w:val="bottom"/>
                </w:tcPr>
                <w:p w14:paraId="0BA3ECC5" w14:textId="7EA2B065" w:rsidR="0025541B" w:rsidRDefault="0025541B" w:rsidP="00B9240E">
                  <w:pPr>
                    <w:pStyle w:val="TableBodyText"/>
                    <w:ind w:right="23"/>
                  </w:pPr>
                  <w:r>
                    <w:t>0.40</w:t>
                  </w:r>
                </w:p>
              </w:tc>
            </w:tr>
            <w:tr w:rsidR="0025541B" w:rsidRPr="00873DDC" w14:paraId="4A8230E4" w14:textId="77777777" w:rsidTr="00B9240E">
              <w:tc>
                <w:tcPr>
                  <w:tcW w:w="2076" w:type="dxa"/>
                </w:tcPr>
                <w:p w14:paraId="78A0B1A0" w14:textId="6B28C638" w:rsidR="0025541B" w:rsidRPr="00584FFF" w:rsidRDefault="0025541B" w:rsidP="0025541B">
                  <w:pPr>
                    <w:pStyle w:val="TableBodyText"/>
                    <w:tabs>
                      <w:tab w:val="right" w:pos="8789"/>
                    </w:tabs>
                    <w:spacing w:before="40"/>
                    <w:ind w:left="0" w:right="0"/>
                    <w:jc w:val="left"/>
                  </w:pPr>
                  <w:r w:rsidRPr="00584FFF">
                    <w:t>Magistrates</w:t>
                  </w:r>
                  <w:r w:rsidR="00705C3F">
                    <w:t>’</w:t>
                  </w:r>
                </w:p>
              </w:tc>
              <w:tc>
                <w:tcPr>
                  <w:tcW w:w="626" w:type="dxa"/>
                  <w:vAlign w:val="bottom"/>
                </w:tcPr>
                <w:p w14:paraId="47CB3C9D" w14:textId="42561691" w:rsidR="0025541B" w:rsidRDefault="0025541B" w:rsidP="00B9240E">
                  <w:pPr>
                    <w:pStyle w:val="TableBodyText"/>
                    <w:ind w:right="23"/>
                  </w:pPr>
                  <w:r>
                    <w:t>0.03</w:t>
                  </w:r>
                </w:p>
              </w:tc>
              <w:tc>
                <w:tcPr>
                  <w:tcW w:w="627" w:type="dxa"/>
                  <w:vAlign w:val="bottom"/>
                </w:tcPr>
                <w:p w14:paraId="5AE125AE" w14:textId="7BAC8686" w:rsidR="0025541B" w:rsidRDefault="0025541B" w:rsidP="00B9240E">
                  <w:pPr>
                    <w:pStyle w:val="TableBodyText"/>
                    <w:ind w:right="23"/>
                  </w:pPr>
                  <w:r>
                    <w:t>0.04</w:t>
                  </w:r>
                </w:p>
              </w:tc>
              <w:tc>
                <w:tcPr>
                  <w:tcW w:w="626" w:type="dxa"/>
                  <w:vAlign w:val="bottom"/>
                </w:tcPr>
                <w:p w14:paraId="0A6F6B77" w14:textId="24B1B852" w:rsidR="0025541B" w:rsidRDefault="0025541B" w:rsidP="00B9240E">
                  <w:pPr>
                    <w:pStyle w:val="TableBodyText"/>
                    <w:ind w:right="23"/>
                  </w:pPr>
                  <w:r>
                    <w:t>0.03</w:t>
                  </w:r>
                </w:p>
              </w:tc>
              <w:tc>
                <w:tcPr>
                  <w:tcW w:w="627" w:type="dxa"/>
                  <w:vAlign w:val="bottom"/>
                </w:tcPr>
                <w:p w14:paraId="6F7A733E" w14:textId="50F8DC28" w:rsidR="0025541B" w:rsidRDefault="0025541B" w:rsidP="00B9240E">
                  <w:pPr>
                    <w:pStyle w:val="TableBodyText"/>
                    <w:ind w:right="23"/>
                  </w:pPr>
                  <w:r>
                    <w:t>0.03</w:t>
                  </w:r>
                </w:p>
              </w:tc>
              <w:tc>
                <w:tcPr>
                  <w:tcW w:w="626" w:type="dxa"/>
                  <w:vAlign w:val="bottom"/>
                </w:tcPr>
                <w:p w14:paraId="47A40882" w14:textId="7622D779" w:rsidR="0025541B" w:rsidRDefault="0025541B" w:rsidP="00B9240E">
                  <w:pPr>
                    <w:pStyle w:val="TableBodyText"/>
                    <w:ind w:right="23"/>
                  </w:pPr>
                  <w:r>
                    <w:t>0.05</w:t>
                  </w:r>
                </w:p>
              </w:tc>
              <w:tc>
                <w:tcPr>
                  <w:tcW w:w="627" w:type="dxa"/>
                  <w:vAlign w:val="bottom"/>
                </w:tcPr>
                <w:p w14:paraId="7AE74E25" w14:textId="31B14135" w:rsidR="0025541B" w:rsidRDefault="0025541B" w:rsidP="00B9240E">
                  <w:pPr>
                    <w:pStyle w:val="TableBodyText"/>
                    <w:ind w:right="23"/>
                  </w:pPr>
                  <w:r>
                    <w:t>0.05</w:t>
                  </w:r>
                </w:p>
              </w:tc>
              <w:tc>
                <w:tcPr>
                  <w:tcW w:w="626" w:type="dxa"/>
                  <w:vAlign w:val="bottom"/>
                </w:tcPr>
                <w:p w14:paraId="16ADE95D" w14:textId="6EC39531" w:rsidR="0025541B" w:rsidRDefault="00B02440" w:rsidP="00B9240E">
                  <w:pPr>
                    <w:pStyle w:val="TableBodyText"/>
                    <w:ind w:right="23"/>
                  </w:pPr>
                  <w:r>
                    <w:t>0.08</w:t>
                  </w:r>
                </w:p>
              </w:tc>
              <w:tc>
                <w:tcPr>
                  <w:tcW w:w="627" w:type="dxa"/>
                  <w:vAlign w:val="bottom"/>
                </w:tcPr>
                <w:p w14:paraId="28DE5B72" w14:textId="709E216A" w:rsidR="0025541B" w:rsidRPr="000B3124" w:rsidRDefault="000B3124" w:rsidP="00B9240E">
                  <w:pPr>
                    <w:pStyle w:val="TableBodyText"/>
                    <w:ind w:right="23"/>
                    <w:rPr>
                      <w:highlight w:val="yellow"/>
                    </w:rPr>
                  </w:pPr>
                  <w:r w:rsidRPr="00A74C13">
                    <w:t>0.07</w:t>
                  </w:r>
                </w:p>
              </w:tc>
              <w:tc>
                <w:tcPr>
                  <w:tcW w:w="626" w:type="dxa"/>
                  <w:vAlign w:val="bottom"/>
                </w:tcPr>
                <w:p w14:paraId="7566E2E7" w14:textId="3B95CA3E" w:rsidR="0025541B" w:rsidRDefault="0025541B" w:rsidP="00B9240E">
                  <w:pPr>
                    <w:pStyle w:val="TableBodyText"/>
                    <w:ind w:right="23"/>
                  </w:pPr>
                  <w:r>
                    <w:t>..</w:t>
                  </w:r>
                </w:p>
              </w:tc>
              <w:tc>
                <w:tcPr>
                  <w:tcW w:w="627" w:type="dxa"/>
                  <w:vAlign w:val="bottom"/>
                </w:tcPr>
                <w:p w14:paraId="071BA47E" w14:textId="7C7C7A4C" w:rsidR="0025541B" w:rsidRDefault="0025541B" w:rsidP="00B9240E">
                  <w:pPr>
                    <w:pStyle w:val="TableBodyText"/>
                    <w:ind w:right="23"/>
                  </w:pPr>
                  <w:r>
                    <w:t>0.04</w:t>
                  </w:r>
                </w:p>
              </w:tc>
            </w:tr>
            <w:tr w:rsidR="0025541B" w:rsidRPr="00873DDC" w14:paraId="12DE8208" w14:textId="77777777" w:rsidTr="00B9240E">
              <w:tc>
                <w:tcPr>
                  <w:tcW w:w="2076" w:type="dxa"/>
                </w:tcPr>
                <w:p w14:paraId="7F9A80BA" w14:textId="77777777" w:rsidR="0025541B" w:rsidRPr="00584FFF" w:rsidRDefault="0025541B" w:rsidP="0025541B">
                  <w:pPr>
                    <w:pStyle w:val="TableBodyText"/>
                    <w:tabs>
                      <w:tab w:val="right" w:pos="8789"/>
                    </w:tabs>
                    <w:spacing w:before="40"/>
                    <w:ind w:left="0" w:right="0"/>
                    <w:jc w:val="left"/>
                  </w:pPr>
                  <w:r w:rsidRPr="00584FFF">
                    <w:t>Children’s</w:t>
                  </w:r>
                </w:p>
              </w:tc>
              <w:tc>
                <w:tcPr>
                  <w:tcW w:w="626" w:type="dxa"/>
                  <w:vAlign w:val="bottom"/>
                </w:tcPr>
                <w:p w14:paraId="654960F8" w14:textId="4E6CA447" w:rsidR="0025541B" w:rsidRDefault="0025541B" w:rsidP="00B9240E">
                  <w:pPr>
                    <w:pStyle w:val="TableBodyText"/>
                    <w:ind w:right="23"/>
                  </w:pPr>
                  <w:r>
                    <w:t>0.14</w:t>
                  </w:r>
                </w:p>
              </w:tc>
              <w:tc>
                <w:tcPr>
                  <w:tcW w:w="627" w:type="dxa"/>
                  <w:vAlign w:val="bottom"/>
                </w:tcPr>
                <w:p w14:paraId="4B19FE9B" w14:textId="38E71C93" w:rsidR="0025541B" w:rsidRDefault="0025541B" w:rsidP="00B9240E">
                  <w:pPr>
                    <w:pStyle w:val="TableBodyText"/>
                    <w:ind w:right="23"/>
                  </w:pPr>
                  <w:r>
                    <w:t>0.05</w:t>
                  </w:r>
                </w:p>
              </w:tc>
              <w:tc>
                <w:tcPr>
                  <w:tcW w:w="626" w:type="dxa"/>
                  <w:vAlign w:val="bottom"/>
                </w:tcPr>
                <w:p w14:paraId="3F496B75" w14:textId="153FF2A5" w:rsidR="0025541B" w:rsidRDefault="0025541B" w:rsidP="00B9240E">
                  <w:pPr>
                    <w:pStyle w:val="TableBodyText"/>
                    <w:ind w:right="23"/>
                  </w:pPr>
                  <w:r>
                    <w:t>0.04</w:t>
                  </w:r>
                </w:p>
              </w:tc>
              <w:tc>
                <w:tcPr>
                  <w:tcW w:w="627" w:type="dxa"/>
                  <w:vAlign w:val="bottom"/>
                </w:tcPr>
                <w:p w14:paraId="7EAC3799" w14:textId="514C631B" w:rsidR="0025541B" w:rsidRDefault="0025541B" w:rsidP="00B9240E">
                  <w:pPr>
                    <w:pStyle w:val="TableBodyText"/>
                    <w:ind w:right="23"/>
                  </w:pPr>
                  <w:r>
                    <w:t>0.05</w:t>
                  </w:r>
                </w:p>
              </w:tc>
              <w:tc>
                <w:tcPr>
                  <w:tcW w:w="626" w:type="dxa"/>
                  <w:vAlign w:val="bottom"/>
                </w:tcPr>
                <w:p w14:paraId="2FDDEF74" w14:textId="7A82E15D" w:rsidR="0025541B" w:rsidRDefault="0025541B" w:rsidP="00B9240E">
                  <w:pPr>
                    <w:pStyle w:val="TableBodyText"/>
                    <w:ind w:right="23"/>
                  </w:pPr>
                  <w:r>
                    <w:t>0.07</w:t>
                  </w:r>
                </w:p>
              </w:tc>
              <w:tc>
                <w:tcPr>
                  <w:tcW w:w="627" w:type="dxa"/>
                  <w:vAlign w:val="bottom"/>
                </w:tcPr>
                <w:p w14:paraId="70380D2E" w14:textId="0A0CB5D5" w:rsidR="0025541B" w:rsidRDefault="0025541B" w:rsidP="00B9240E">
                  <w:pPr>
                    <w:pStyle w:val="TableBodyText"/>
                    <w:ind w:right="23"/>
                  </w:pPr>
                  <w:r>
                    <w:t>0.10</w:t>
                  </w:r>
                </w:p>
              </w:tc>
              <w:tc>
                <w:tcPr>
                  <w:tcW w:w="626" w:type="dxa"/>
                  <w:vAlign w:val="bottom"/>
                </w:tcPr>
                <w:p w14:paraId="315E87F6" w14:textId="24A86866" w:rsidR="0025541B" w:rsidRDefault="0025541B" w:rsidP="00B9240E">
                  <w:pPr>
                    <w:pStyle w:val="TableBodyText"/>
                    <w:ind w:right="23"/>
                  </w:pPr>
                  <w:r>
                    <w:t>0.20</w:t>
                  </w:r>
                </w:p>
              </w:tc>
              <w:tc>
                <w:tcPr>
                  <w:tcW w:w="627" w:type="dxa"/>
                  <w:vAlign w:val="bottom"/>
                </w:tcPr>
                <w:p w14:paraId="1292B1BA" w14:textId="59C33E43" w:rsidR="0025541B" w:rsidRPr="000B3124" w:rsidRDefault="000B3124" w:rsidP="00B9240E">
                  <w:pPr>
                    <w:pStyle w:val="TableBodyText"/>
                    <w:ind w:right="23"/>
                    <w:rPr>
                      <w:highlight w:val="yellow"/>
                    </w:rPr>
                  </w:pPr>
                  <w:r w:rsidRPr="00A74C13">
                    <w:t>0.07</w:t>
                  </w:r>
                </w:p>
              </w:tc>
              <w:tc>
                <w:tcPr>
                  <w:tcW w:w="626" w:type="dxa"/>
                  <w:vAlign w:val="bottom"/>
                </w:tcPr>
                <w:p w14:paraId="20B8D961" w14:textId="538CA65C" w:rsidR="0025541B" w:rsidRDefault="0025541B" w:rsidP="00B9240E">
                  <w:pPr>
                    <w:pStyle w:val="TableBodyText"/>
                    <w:ind w:right="23"/>
                  </w:pPr>
                  <w:r>
                    <w:t>..</w:t>
                  </w:r>
                </w:p>
              </w:tc>
              <w:tc>
                <w:tcPr>
                  <w:tcW w:w="627" w:type="dxa"/>
                  <w:vAlign w:val="bottom"/>
                </w:tcPr>
                <w:p w14:paraId="6E78298A" w14:textId="55D6EA11" w:rsidR="0025541B" w:rsidRDefault="0025541B" w:rsidP="00B9240E">
                  <w:pPr>
                    <w:pStyle w:val="TableBodyText"/>
                    <w:ind w:right="23"/>
                  </w:pPr>
                  <w:r>
                    <w:t>0.07</w:t>
                  </w:r>
                </w:p>
              </w:tc>
            </w:tr>
            <w:tr w:rsidR="0025541B" w:rsidRPr="00873DDC" w14:paraId="105D4C8D" w14:textId="77777777" w:rsidTr="00B9240E">
              <w:tc>
                <w:tcPr>
                  <w:tcW w:w="2076" w:type="dxa"/>
                </w:tcPr>
                <w:p w14:paraId="7D2F19C9" w14:textId="77777777" w:rsidR="0025541B" w:rsidRPr="00584FFF" w:rsidRDefault="0025541B" w:rsidP="0025541B">
                  <w:pPr>
                    <w:pStyle w:val="TableBodyText"/>
                    <w:tabs>
                      <w:tab w:val="right" w:pos="8789"/>
                    </w:tabs>
                    <w:ind w:right="0" w:hanging="6"/>
                    <w:jc w:val="left"/>
                  </w:pPr>
                  <w:r w:rsidRPr="00584FFF">
                    <w:t>Family</w:t>
                  </w:r>
                </w:p>
              </w:tc>
              <w:tc>
                <w:tcPr>
                  <w:tcW w:w="626" w:type="dxa"/>
                  <w:vAlign w:val="bottom"/>
                </w:tcPr>
                <w:p w14:paraId="12FD2CA8" w14:textId="30DE756E" w:rsidR="0025541B" w:rsidRDefault="0025541B" w:rsidP="00B9240E">
                  <w:pPr>
                    <w:pStyle w:val="TableBodyText"/>
                    <w:ind w:right="23"/>
                  </w:pPr>
                  <w:r>
                    <w:t>..</w:t>
                  </w:r>
                </w:p>
              </w:tc>
              <w:tc>
                <w:tcPr>
                  <w:tcW w:w="627" w:type="dxa"/>
                  <w:vAlign w:val="bottom"/>
                </w:tcPr>
                <w:p w14:paraId="15A6ED98" w14:textId="614BBBF9" w:rsidR="0025541B" w:rsidRDefault="0025541B" w:rsidP="00B9240E">
                  <w:pPr>
                    <w:pStyle w:val="TableBodyText"/>
                    <w:ind w:right="23"/>
                  </w:pPr>
                  <w:r>
                    <w:t>..</w:t>
                  </w:r>
                </w:p>
              </w:tc>
              <w:tc>
                <w:tcPr>
                  <w:tcW w:w="626" w:type="dxa"/>
                  <w:vAlign w:val="bottom"/>
                </w:tcPr>
                <w:p w14:paraId="3FF59B6A" w14:textId="31773672" w:rsidR="0025541B" w:rsidRDefault="0025541B" w:rsidP="00B9240E">
                  <w:pPr>
                    <w:pStyle w:val="TableBodyText"/>
                    <w:ind w:right="23"/>
                  </w:pPr>
                  <w:r>
                    <w:t>..</w:t>
                  </w:r>
                </w:p>
              </w:tc>
              <w:tc>
                <w:tcPr>
                  <w:tcW w:w="627" w:type="dxa"/>
                  <w:vAlign w:val="bottom"/>
                </w:tcPr>
                <w:p w14:paraId="4C57F804" w14:textId="457077F9" w:rsidR="0025541B" w:rsidRDefault="0025541B" w:rsidP="00B9240E">
                  <w:pPr>
                    <w:pStyle w:val="TableBodyText"/>
                    <w:ind w:right="23"/>
                  </w:pPr>
                  <w:r>
                    <w:t>0.10</w:t>
                  </w:r>
                </w:p>
              </w:tc>
              <w:tc>
                <w:tcPr>
                  <w:tcW w:w="626" w:type="dxa"/>
                  <w:vAlign w:val="bottom"/>
                </w:tcPr>
                <w:p w14:paraId="65D2885E" w14:textId="06B76D04" w:rsidR="0025541B" w:rsidRDefault="0025541B" w:rsidP="00B9240E">
                  <w:pPr>
                    <w:pStyle w:val="TableBodyText"/>
                    <w:ind w:right="23"/>
                  </w:pPr>
                  <w:r>
                    <w:t>..</w:t>
                  </w:r>
                </w:p>
              </w:tc>
              <w:tc>
                <w:tcPr>
                  <w:tcW w:w="627" w:type="dxa"/>
                  <w:vAlign w:val="bottom"/>
                </w:tcPr>
                <w:p w14:paraId="58C672F6" w14:textId="45DDF8F6" w:rsidR="0025541B" w:rsidRDefault="0025541B" w:rsidP="00B9240E">
                  <w:pPr>
                    <w:pStyle w:val="TableBodyText"/>
                    <w:ind w:right="23"/>
                  </w:pPr>
                  <w:r>
                    <w:t>..</w:t>
                  </w:r>
                </w:p>
              </w:tc>
              <w:tc>
                <w:tcPr>
                  <w:tcW w:w="626" w:type="dxa"/>
                  <w:vAlign w:val="bottom"/>
                </w:tcPr>
                <w:p w14:paraId="50352806" w14:textId="6FA4CC48" w:rsidR="0025541B" w:rsidRDefault="0025541B" w:rsidP="00B9240E">
                  <w:pPr>
                    <w:pStyle w:val="TableBodyText"/>
                    <w:ind w:right="23"/>
                  </w:pPr>
                  <w:r>
                    <w:t>..</w:t>
                  </w:r>
                </w:p>
              </w:tc>
              <w:tc>
                <w:tcPr>
                  <w:tcW w:w="627" w:type="dxa"/>
                  <w:vAlign w:val="bottom"/>
                </w:tcPr>
                <w:p w14:paraId="224D5429" w14:textId="203DDAF9" w:rsidR="0025541B" w:rsidRDefault="0025541B" w:rsidP="00B9240E">
                  <w:pPr>
                    <w:pStyle w:val="TableBodyText"/>
                    <w:ind w:right="23"/>
                  </w:pPr>
                  <w:r>
                    <w:t>..</w:t>
                  </w:r>
                </w:p>
              </w:tc>
              <w:tc>
                <w:tcPr>
                  <w:tcW w:w="626" w:type="dxa"/>
                  <w:vAlign w:val="bottom"/>
                </w:tcPr>
                <w:p w14:paraId="0BA2648A" w14:textId="00063CD5" w:rsidR="0025541B" w:rsidRDefault="0025541B" w:rsidP="00B9240E">
                  <w:pPr>
                    <w:pStyle w:val="TableBodyText"/>
                    <w:ind w:right="23"/>
                  </w:pPr>
                  <w:r>
                    <w:t>0.16</w:t>
                  </w:r>
                </w:p>
              </w:tc>
              <w:tc>
                <w:tcPr>
                  <w:tcW w:w="627" w:type="dxa"/>
                  <w:vAlign w:val="bottom"/>
                </w:tcPr>
                <w:p w14:paraId="6FF7CC16" w14:textId="0A58579A" w:rsidR="0025541B" w:rsidRDefault="0025541B" w:rsidP="00B9240E">
                  <w:pPr>
                    <w:pStyle w:val="TableBodyText"/>
                    <w:ind w:right="23"/>
                  </w:pPr>
                  <w:r>
                    <w:t>0.13</w:t>
                  </w:r>
                </w:p>
              </w:tc>
            </w:tr>
            <w:tr w:rsidR="0025541B" w:rsidRPr="00873DDC" w14:paraId="5ABD1826" w14:textId="77777777" w:rsidTr="00B9240E">
              <w:tc>
                <w:tcPr>
                  <w:tcW w:w="2076" w:type="dxa"/>
                </w:tcPr>
                <w:p w14:paraId="664E67B4" w14:textId="77777777" w:rsidR="0025541B" w:rsidRPr="00584FFF" w:rsidRDefault="0025541B" w:rsidP="0025541B">
                  <w:pPr>
                    <w:pStyle w:val="TableBodyText"/>
                    <w:tabs>
                      <w:tab w:val="right" w:pos="8789"/>
                    </w:tabs>
                    <w:ind w:left="0" w:right="0"/>
                    <w:jc w:val="left"/>
                  </w:pPr>
                  <w:r w:rsidRPr="00584FFF">
                    <w:t xml:space="preserve">Federal </w:t>
                  </w:r>
                  <w:r>
                    <w:t>Circuit</w:t>
                  </w:r>
                </w:p>
              </w:tc>
              <w:tc>
                <w:tcPr>
                  <w:tcW w:w="626" w:type="dxa"/>
                  <w:vAlign w:val="bottom"/>
                </w:tcPr>
                <w:p w14:paraId="68ED6437" w14:textId="7A256677" w:rsidR="0025541B" w:rsidRDefault="0025541B" w:rsidP="00B9240E">
                  <w:pPr>
                    <w:pStyle w:val="TableBodyText"/>
                    <w:ind w:right="23"/>
                  </w:pPr>
                  <w:r>
                    <w:t>..</w:t>
                  </w:r>
                </w:p>
              </w:tc>
              <w:tc>
                <w:tcPr>
                  <w:tcW w:w="627" w:type="dxa"/>
                  <w:vAlign w:val="bottom"/>
                </w:tcPr>
                <w:p w14:paraId="762A8D89" w14:textId="07D8E195" w:rsidR="0025541B" w:rsidRDefault="0025541B" w:rsidP="00B9240E">
                  <w:pPr>
                    <w:pStyle w:val="TableBodyText"/>
                    <w:ind w:right="23"/>
                  </w:pPr>
                  <w:r>
                    <w:t>..</w:t>
                  </w:r>
                </w:p>
              </w:tc>
              <w:tc>
                <w:tcPr>
                  <w:tcW w:w="626" w:type="dxa"/>
                  <w:vAlign w:val="bottom"/>
                </w:tcPr>
                <w:p w14:paraId="5984AEC3" w14:textId="2652C641" w:rsidR="0025541B" w:rsidRDefault="0025541B" w:rsidP="00B9240E">
                  <w:pPr>
                    <w:pStyle w:val="TableBodyText"/>
                    <w:ind w:right="23"/>
                  </w:pPr>
                  <w:r>
                    <w:t>..</w:t>
                  </w:r>
                </w:p>
              </w:tc>
              <w:tc>
                <w:tcPr>
                  <w:tcW w:w="627" w:type="dxa"/>
                  <w:vAlign w:val="bottom"/>
                </w:tcPr>
                <w:p w14:paraId="5231618E" w14:textId="508C7D22" w:rsidR="0025541B" w:rsidRDefault="0025541B" w:rsidP="00B9240E">
                  <w:pPr>
                    <w:pStyle w:val="TableBodyText"/>
                    <w:ind w:right="23"/>
                  </w:pPr>
                  <w:r>
                    <w:t>..</w:t>
                  </w:r>
                </w:p>
              </w:tc>
              <w:tc>
                <w:tcPr>
                  <w:tcW w:w="626" w:type="dxa"/>
                  <w:vAlign w:val="bottom"/>
                </w:tcPr>
                <w:p w14:paraId="4B7861F2" w14:textId="38A9732B" w:rsidR="0025541B" w:rsidRDefault="0025541B" w:rsidP="00B9240E">
                  <w:pPr>
                    <w:pStyle w:val="TableBodyText"/>
                    <w:ind w:right="23"/>
                  </w:pPr>
                  <w:r>
                    <w:t>..</w:t>
                  </w:r>
                </w:p>
              </w:tc>
              <w:tc>
                <w:tcPr>
                  <w:tcW w:w="627" w:type="dxa"/>
                  <w:vAlign w:val="bottom"/>
                </w:tcPr>
                <w:p w14:paraId="64526730" w14:textId="57B40F16" w:rsidR="0025541B" w:rsidRDefault="0025541B" w:rsidP="00B9240E">
                  <w:pPr>
                    <w:pStyle w:val="TableBodyText"/>
                    <w:ind w:right="23"/>
                  </w:pPr>
                  <w:r>
                    <w:t>..</w:t>
                  </w:r>
                </w:p>
              </w:tc>
              <w:tc>
                <w:tcPr>
                  <w:tcW w:w="626" w:type="dxa"/>
                  <w:vAlign w:val="bottom"/>
                </w:tcPr>
                <w:p w14:paraId="484D9A51" w14:textId="31B3B05C" w:rsidR="0025541B" w:rsidRDefault="0025541B" w:rsidP="00B9240E">
                  <w:pPr>
                    <w:pStyle w:val="TableBodyText"/>
                    <w:ind w:right="23"/>
                  </w:pPr>
                  <w:r>
                    <w:t>..</w:t>
                  </w:r>
                </w:p>
              </w:tc>
              <w:tc>
                <w:tcPr>
                  <w:tcW w:w="627" w:type="dxa"/>
                  <w:vAlign w:val="bottom"/>
                </w:tcPr>
                <w:p w14:paraId="6425F542" w14:textId="55818C71" w:rsidR="0025541B" w:rsidRDefault="0025541B" w:rsidP="00B9240E">
                  <w:pPr>
                    <w:pStyle w:val="TableBodyText"/>
                    <w:ind w:right="23"/>
                  </w:pPr>
                  <w:r>
                    <w:t>..</w:t>
                  </w:r>
                </w:p>
              </w:tc>
              <w:tc>
                <w:tcPr>
                  <w:tcW w:w="626" w:type="dxa"/>
                  <w:vAlign w:val="bottom"/>
                </w:tcPr>
                <w:p w14:paraId="1F3ECB08" w14:textId="65F5AEC7" w:rsidR="0025541B" w:rsidRDefault="0025541B" w:rsidP="00B9240E">
                  <w:pPr>
                    <w:pStyle w:val="TableBodyText"/>
                    <w:ind w:right="23"/>
                  </w:pPr>
                  <w:r>
                    <w:t>0.07</w:t>
                  </w:r>
                </w:p>
              </w:tc>
              <w:tc>
                <w:tcPr>
                  <w:tcW w:w="627" w:type="dxa"/>
                  <w:vAlign w:val="bottom"/>
                </w:tcPr>
                <w:p w14:paraId="46FFB484" w14:textId="1D3EFF6E" w:rsidR="0025541B" w:rsidRDefault="0025541B" w:rsidP="00B9240E">
                  <w:pPr>
                    <w:pStyle w:val="TableBodyText"/>
                    <w:ind w:right="23"/>
                  </w:pPr>
                  <w:r>
                    <w:t>0.07</w:t>
                  </w:r>
                </w:p>
              </w:tc>
            </w:tr>
            <w:tr w:rsidR="0025541B" w:rsidRPr="00873DDC" w14:paraId="5D4F1EBF" w14:textId="77777777" w:rsidTr="00B9240E">
              <w:tc>
                <w:tcPr>
                  <w:tcW w:w="2076" w:type="dxa"/>
                </w:tcPr>
                <w:p w14:paraId="23544EBC" w14:textId="77777777" w:rsidR="0025541B" w:rsidRPr="00584FFF" w:rsidRDefault="0025541B" w:rsidP="0025541B">
                  <w:pPr>
                    <w:pStyle w:val="TableBodyText"/>
                    <w:tabs>
                      <w:tab w:val="right" w:pos="8789"/>
                    </w:tabs>
                    <w:spacing w:before="40"/>
                    <w:ind w:right="0" w:hanging="6"/>
                    <w:jc w:val="left"/>
                  </w:pPr>
                  <w:r w:rsidRPr="00584FFF">
                    <w:t>Coroners</w:t>
                  </w:r>
                </w:p>
              </w:tc>
              <w:tc>
                <w:tcPr>
                  <w:tcW w:w="626" w:type="dxa"/>
                  <w:vAlign w:val="bottom"/>
                </w:tcPr>
                <w:p w14:paraId="745D4F78" w14:textId="14D9F176" w:rsidR="0025541B" w:rsidRDefault="0025541B" w:rsidP="00B9240E">
                  <w:pPr>
                    <w:pStyle w:val="TableBodyText"/>
                    <w:ind w:right="23"/>
                  </w:pPr>
                  <w:r>
                    <w:t>0.09</w:t>
                  </w:r>
                </w:p>
              </w:tc>
              <w:tc>
                <w:tcPr>
                  <w:tcW w:w="627" w:type="dxa"/>
                  <w:vAlign w:val="bottom"/>
                </w:tcPr>
                <w:p w14:paraId="3ABEB23E" w14:textId="0810EED2" w:rsidR="0025541B" w:rsidRDefault="0025541B" w:rsidP="00B9240E">
                  <w:pPr>
                    <w:pStyle w:val="TableBodyText"/>
                    <w:ind w:right="23"/>
                  </w:pPr>
                  <w:r>
                    <w:t>0.14</w:t>
                  </w:r>
                </w:p>
              </w:tc>
              <w:tc>
                <w:tcPr>
                  <w:tcW w:w="626" w:type="dxa"/>
                  <w:vAlign w:val="bottom"/>
                </w:tcPr>
                <w:p w14:paraId="40C8D3E8" w14:textId="0CA6B58D" w:rsidR="0025541B" w:rsidRDefault="0025541B" w:rsidP="00B9240E">
                  <w:pPr>
                    <w:pStyle w:val="TableBodyText"/>
                    <w:ind w:right="23"/>
                  </w:pPr>
                  <w:r>
                    <w:t>0.16</w:t>
                  </w:r>
                </w:p>
              </w:tc>
              <w:tc>
                <w:tcPr>
                  <w:tcW w:w="627" w:type="dxa"/>
                  <w:vAlign w:val="bottom"/>
                </w:tcPr>
                <w:p w14:paraId="73764DE2" w14:textId="728F8BBB" w:rsidR="0025541B" w:rsidRDefault="0025541B" w:rsidP="00B9240E">
                  <w:pPr>
                    <w:pStyle w:val="TableBodyText"/>
                    <w:ind w:right="23"/>
                  </w:pPr>
                  <w:r>
                    <w:t>0.16</w:t>
                  </w:r>
                </w:p>
              </w:tc>
              <w:tc>
                <w:tcPr>
                  <w:tcW w:w="626" w:type="dxa"/>
                  <w:vAlign w:val="bottom"/>
                </w:tcPr>
                <w:p w14:paraId="1C96D8CE" w14:textId="07F076E7" w:rsidR="0025541B" w:rsidRDefault="0025541B" w:rsidP="00B9240E">
                  <w:pPr>
                    <w:pStyle w:val="TableBodyText"/>
                    <w:ind w:right="23"/>
                  </w:pPr>
                  <w:r>
                    <w:t>0.11</w:t>
                  </w:r>
                </w:p>
              </w:tc>
              <w:tc>
                <w:tcPr>
                  <w:tcW w:w="627" w:type="dxa"/>
                  <w:vAlign w:val="bottom"/>
                </w:tcPr>
                <w:p w14:paraId="62081A7F" w14:textId="2F0E3A09" w:rsidR="0025541B" w:rsidRDefault="0025541B" w:rsidP="00B9240E">
                  <w:pPr>
                    <w:pStyle w:val="TableBodyText"/>
                    <w:ind w:right="23"/>
                  </w:pPr>
                  <w:r>
                    <w:t>0.48</w:t>
                  </w:r>
                </w:p>
              </w:tc>
              <w:tc>
                <w:tcPr>
                  <w:tcW w:w="626" w:type="dxa"/>
                  <w:vAlign w:val="bottom"/>
                </w:tcPr>
                <w:p w14:paraId="6BED54CC" w14:textId="4FD53500" w:rsidR="0025541B" w:rsidRDefault="0025541B" w:rsidP="00B9240E">
                  <w:pPr>
                    <w:pStyle w:val="TableBodyText"/>
                    <w:ind w:right="23"/>
                  </w:pPr>
                  <w:r>
                    <w:t>0.05</w:t>
                  </w:r>
                </w:p>
              </w:tc>
              <w:tc>
                <w:tcPr>
                  <w:tcW w:w="627" w:type="dxa"/>
                  <w:vAlign w:val="bottom"/>
                </w:tcPr>
                <w:p w14:paraId="0ADB0E13" w14:textId="415F10A6" w:rsidR="0025541B" w:rsidRDefault="0025541B" w:rsidP="00B9240E">
                  <w:pPr>
                    <w:pStyle w:val="TableBodyText"/>
                    <w:ind w:right="23"/>
                  </w:pPr>
                  <w:r>
                    <w:t>0.45</w:t>
                  </w:r>
                </w:p>
              </w:tc>
              <w:tc>
                <w:tcPr>
                  <w:tcW w:w="626" w:type="dxa"/>
                  <w:vAlign w:val="bottom"/>
                </w:tcPr>
                <w:p w14:paraId="10B79B0A" w14:textId="770E8D5D" w:rsidR="0025541B" w:rsidRDefault="0025541B" w:rsidP="00B9240E">
                  <w:pPr>
                    <w:pStyle w:val="TableBodyText"/>
                    <w:ind w:right="23"/>
                  </w:pPr>
                  <w:r>
                    <w:t>..</w:t>
                  </w:r>
                </w:p>
              </w:tc>
              <w:tc>
                <w:tcPr>
                  <w:tcW w:w="627" w:type="dxa"/>
                  <w:vAlign w:val="bottom"/>
                </w:tcPr>
                <w:p w14:paraId="6EC38195" w14:textId="0452198E" w:rsidR="0025541B" w:rsidRDefault="0025541B" w:rsidP="00B9240E">
                  <w:pPr>
                    <w:pStyle w:val="TableBodyText"/>
                    <w:ind w:right="23"/>
                  </w:pPr>
                  <w:r>
                    <w:t>0.14</w:t>
                  </w:r>
                </w:p>
              </w:tc>
            </w:tr>
            <w:tr w:rsidR="0025541B" w:rsidRPr="0025541B" w14:paraId="6504F94B" w14:textId="77777777" w:rsidTr="00B9240E">
              <w:tc>
                <w:tcPr>
                  <w:tcW w:w="2076" w:type="dxa"/>
                  <w:tcBorders>
                    <w:bottom w:val="single" w:sz="6" w:space="0" w:color="BFBFBF"/>
                  </w:tcBorders>
                </w:tcPr>
                <w:p w14:paraId="3F5B7BB3" w14:textId="77777777" w:rsidR="0025541B" w:rsidRPr="00584FFF" w:rsidRDefault="0025541B" w:rsidP="0025541B">
                  <w:pPr>
                    <w:pStyle w:val="TableBodyText"/>
                    <w:tabs>
                      <w:tab w:val="right" w:pos="2042"/>
                    </w:tabs>
                    <w:spacing w:before="40"/>
                    <w:ind w:right="0" w:hanging="6"/>
                    <w:jc w:val="left"/>
                    <w:rPr>
                      <w:rStyle w:val="NoteLabel"/>
                    </w:rPr>
                  </w:pPr>
                  <w:r w:rsidRPr="00584FFF">
                    <w:rPr>
                      <w:b/>
                    </w:rPr>
                    <w:t>Total</w:t>
                  </w:r>
                  <w:r>
                    <w:rPr>
                      <w:b/>
                    </w:rPr>
                    <w:tab/>
                  </w:r>
                </w:p>
              </w:tc>
              <w:tc>
                <w:tcPr>
                  <w:tcW w:w="626" w:type="dxa"/>
                  <w:tcBorders>
                    <w:bottom w:val="single" w:sz="6" w:space="0" w:color="BFBFBF"/>
                  </w:tcBorders>
                  <w:vAlign w:val="bottom"/>
                </w:tcPr>
                <w:p w14:paraId="33A55499" w14:textId="5CAB1E4C" w:rsidR="0025541B" w:rsidRPr="0025541B" w:rsidRDefault="0025541B" w:rsidP="00B9240E">
                  <w:pPr>
                    <w:pStyle w:val="TableBodyText"/>
                    <w:ind w:right="23"/>
                    <w:rPr>
                      <w:b/>
                      <w:bCs/>
                    </w:rPr>
                  </w:pPr>
                  <w:r w:rsidRPr="0025541B">
                    <w:rPr>
                      <w:b/>
                    </w:rPr>
                    <w:t>0.07</w:t>
                  </w:r>
                </w:p>
              </w:tc>
              <w:tc>
                <w:tcPr>
                  <w:tcW w:w="627" w:type="dxa"/>
                  <w:tcBorders>
                    <w:bottom w:val="single" w:sz="6" w:space="0" w:color="BFBFBF"/>
                  </w:tcBorders>
                  <w:vAlign w:val="bottom"/>
                </w:tcPr>
                <w:p w14:paraId="68AB51DD" w14:textId="2BB62EEA" w:rsidR="0025541B" w:rsidRPr="0025541B" w:rsidRDefault="0025541B" w:rsidP="00B9240E">
                  <w:pPr>
                    <w:pStyle w:val="TableBodyText"/>
                    <w:ind w:right="23"/>
                    <w:rPr>
                      <w:b/>
                      <w:bCs/>
                    </w:rPr>
                  </w:pPr>
                  <w:r w:rsidRPr="0025541B">
                    <w:rPr>
                      <w:b/>
                    </w:rPr>
                    <w:t>0.07</w:t>
                  </w:r>
                </w:p>
              </w:tc>
              <w:tc>
                <w:tcPr>
                  <w:tcW w:w="626" w:type="dxa"/>
                  <w:tcBorders>
                    <w:bottom w:val="single" w:sz="6" w:space="0" w:color="BFBFBF"/>
                  </w:tcBorders>
                  <w:vAlign w:val="bottom"/>
                </w:tcPr>
                <w:p w14:paraId="0F7074CA" w14:textId="073290AB" w:rsidR="0025541B" w:rsidRPr="0025541B" w:rsidRDefault="0025541B" w:rsidP="00B9240E">
                  <w:pPr>
                    <w:pStyle w:val="TableBodyText"/>
                    <w:ind w:right="23"/>
                    <w:rPr>
                      <w:b/>
                      <w:bCs/>
                    </w:rPr>
                  </w:pPr>
                  <w:r w:rsidRPr="0025541B">
                    <w:rPr>
                      <w:b/>
                    </w:rPr>
                    <w:t>0.05</w:t>
                  </w:r>
                </w:p>
              </w:tc>
              <w:tc>
                <w:tcPr>
                  <w:tcW w:w="627" w:type="dxa"/>
                  <w:tcBorders>
                    <w:bottom w:val="single" w:sz="6" w:space="0" w:color="BFBFBF"/>
                  </w:tcBorders>
                  <w:vAlign w:val="bottom"/>
                </w:tcPr>
                <w:p w14:paraId="683D1344" w14:textId="39E49270" w:rsidR="0025541B" w:rsidRPr="0025541B" w:rsidRDefault="0025541B" w:rsidP="00B9240E">
                  <w:pPr>
                    <w:pStyle w:val="TableBodyText"/>
                    <w:ind w:right="23"/>
                    <w:rPr>
                      <w:b/>
                      <w:bCs/>
                    </w:rPr>
                  </w:pPr>
                  <w:r w:rsidRPr="0025541B">
                    <w:rPr>
                      <w:b/>
                    </w:rPr>
                    <w:t>0.06</w:t>
                  </w:r>
                </w:p>
              </w:tc>
              <w:tc>
                <w:tcPr>
                  <w:tcW w:w="626" w:type="dxa"/>
                  <w:tcBorders>
                    <w:bottom w:val="single" w:sz="6" w:space="0" w:color="BFBFBF"/>
                  </w:tcBorders>
                  <w:vAlign w:val="bottom"/>
                </w:tcPr>
                <w:p w14:paraId="0A190627" w14:textId="10D2B3DF" w:rsidR="0025541B" w:rsidRPr="0025541B" w:rsidRDefault="0025541B" w:rsidP="00B9240E">
                  <w:pPr>
                    <w:pStyle w:val="TableBodyText"/>
                    <w:ind w:right="23"/>
                    <w:rPr>
                      <w:b/>
                      <w:bCs/>
                    </w:rPr>
                  </w:pPr>
                  <w:r w:rsidRPr="0025541B">
                    <w:rPr>
                      <w:b/>
                    </w:rPr>
                    <w:t>0.08</w:t>
                  </w:r>
                </w:p>
              </w:tc>
              <w:tc>
                <w:tcPr>
                  <w:tcW w:w="627" w:type="dxa"/>
                  <w:tcBorders>
                    <w:bottom w:val="single" w:sz="6" w:space="0" w:color="BFBFBF"/>
                  </w:tcBorders>
                  <w:vAlign w:val="bottom"/>
                </w:tcPr>
                <w:p w14:paraId="7D0DAF9A" w14:textId="7E4B3C0A" w:rsidR="0025541B" w:rsidRPr="0025541B" w:rsidRDefault="0025541B" w:rsidP="00B9240E">
                  <w:pPr>
                    <w:pStyle w:val="TableBodyText"/>
                    <w:ind w:right="23"/>
                    <w:rPr>
                      <w:b/>
                      <w:bCs/>
                    </w:rPr>
                  </w:pPr>
                  <w:r w:rsidRPr="0025541B">
                    <w:rPr>
                      <w:b/>
                    </w:rPr>
                    <w:t>0.08</w:t>
                  </w:r>
                </w:p>
              </w:tc>
              <w:tc>
                <w:tcPr>
                  <w:tcW w:w="626" w:type="dxa"/>
                  <w:tcBorders>
                    <w:bottom w:val="single" w:sz="6" w:space="0" w:color="BFBFBF"/>
                  </w:tcBorders>
                  <w:shd w:val="clear" w:color="auto" w:fill="auto"/>
                  <w:vAlign w:val="bottom"/>
                </w:tcPr>
                <w:p w14:paraId="111691F2" w14:textId="274B3728" w:rsidR="0025541B" w:rsidRPr="0025541B" w:rsidRDefault="0025541B" w:rsidP="00B9240E">
                  <w:pPr>
                    <w:pStyle w:val="TableBodyText"/>
                    <w:ind w:right="23"/>
                    <w:rPr>
                      <w:b/>
                      <w:bCs/>
                    </w:rPr>
                  </w:pPr>
                  <w:r w:rsidRPr="0025541B">
                    <w:rPr>
                      <w:b/>
                    </w:rPr>
                    <w:t>0.13</w:t>
                  </w:r>
                </w:p>
              </w:tc>
              <w:tc>
                <w:tcPr>
                  <w:tcW w:w="627" w:type="dxa"/>
                  <w:tcBorders>
                    <w:bottom w:val="single" w:sz="6" w:space="0" w:color="BFBFBF"/>
                  </w:tcBorders>
                  <w:shd w:val="clear" w:color="auto" w:fill="auto"/>
                  <w:vAlign w:val="bottom"/>
                </w:tcPr>
                <w:p w14:paraId="29E9B314" w14:textId="3D862EE4" w:rsidR="0025541B" w:rsidRPr="0025541B" w:rsidRDefault="000B3124" w:rsidP="00B9240E">
                  <w:pPr>
                    <w:pStyle w:val="TableBodyText"/>
                    <w:ind w:right="23"/>
                    <w:rPr>
                      <w:b/>
                      <w:bCs/>
                    </w:rPr>
                  </w:pPr>
                  <w:r w:rsidRPr="00A74C13">
                    <w:rPr>
                      <w:b/>
                    </w:rPr>
                    <w:t>0.11</w:t>
                  </w:r>
                </w:p>
              </w:tc>
              <w:tc>
                <w:tcPr>
                  <w:tcW w:w="626" w:type="dxa"/>
                  <w:tcBorders>
                    <w:bottom w:val="single" w:sz="6" w:space="0" w:color="BFBFBF"/>
                  </w:tcBorders>
                  <w:vAlign w:val="bottom"/>
                </w:tcPr>
                <w:p w14:paraId="0587C8A8" w14:textId="25B2CBF2" w:rsidR="0025541B" w:rsidRPr="0025541B" w:rsidRDefault="0025541B" w:rsidP="00B9240E">
                  <w:pPr>
                    <w:pStyle w:val="TableBodyText"/>
                    <w:ind w:right="23"/>
                    <w:rPr>
                      <w:b/>
                      <w:bCs/>
                    </w:rPr>
                  </w:pPr>
                  <w:r w:rsidRPr="0025541B">
                    <w:rPr>
                      <w:b/>
                    </w:rPr>
                    <w:t>0.12</w:t>
                  </w:r>
                </w:p>
              </w:tc>
              <w:tc>
                <w:tcPr>
                  <w:tcW w:w="627" w:type="dxa"/>
                  <w:tcBorders>
                    <w:bottom w:val="single" w:sz="6" w:space="0" w:color="BFBFBF"/>
                  </w:tcBorders>
                  <w:vAlign w:val="bottom"/>
                </w:tcPr>
                <w:p w14:paraId="452985F6" w14:textId="5746D8B5" w:rsidR="0025541B" w:rsidRPr="0025541B" w:rsidRDefault="0025541B" w:rsidP="00B9240E">
                  <w:pPr>
                    <w:pStyle w:val="TableBodyText"/>
                    <w:ind w:right="23"/>
                    <w:rPr>
                      <w:b/>
                      <w:bCs/>
                    </w:rPr>
                  </w:pPr>
                  <w:r w:rsidRPr="0025541B">
                    <w:rPr>
                      <w:b/>
                    </w:rPr>
                    <w:t>0.07</w:t>
                  </w:r>
                </w:p>
              </w:tc>
            </w:tr>
          </w:tbl>
          <w:p w14:paraId="0ADCA4AA" w14:textId="77777777" w:rsidR="0003310C" w:rsidRDefault="0003310C" w:rsidP="00847805">
            <w:pPr>
              <w:pStyle w:val="Box"/>
            </w:pPr>
          </w:p>
        </w:tc>
      </w:tr>
      <w:tr w:rsidR="0003310C" w14:paraId="11D5EA8A" w14:textId="77777777" w:rsidTr="00B9240E">
        <w:trPr>
          <w:cantSplit/>
        </w:trPr>
        <w:tc>
          <w:tcPr>
            <w:tcW w:w="8789" w:type="dxa"/>
            <w:tcBorders>
              <w:top w:val="nil"/>
              <w:left w:val="nil"/>
              <w:bottom w:val="nil"/>
              <w:right w:val="nil"/>
            </w:tcBorders>
            <w:shd w:val="clear" w:color="auto" w:fill="auto"/>
          </w:tcPr>
          <w:p w14:paraId="6D0C7448" w14:textId="036B6F22" w:rsidR="0003310C" w:rsidRPr="007035C4" w:rsidRDefault="007035C4" w:rsidP="001D1A82">
            <w:pPr>
              <w:pStyle w:val="Note"/>
              <w:keepNext/>
            </w:pPr>
            <w:r w:rsidRPr="006313AD">
              <w:rPr>
                <w:rStyle w:val="NoteLabel"/>
              </w:rPr>
              <w:t>a</w:t>
            </w:r>
            <w:r w:rsidRPr="006313AD">
              <w:t> </w:t>
            </w:r>
            <w:r w:rsidR="00E7400A" w:rsidRPr="00CF03D9">
              <w:t xml:space="preserve">See </w:t>
            </w:r>
            <w:r w:rsidR="004F2F25" w:rsidRPr="00CF03D9">
              <w:t>box 7.1</w:t>
            </w:r>
            <w:r w:rsidR="00403D2A">
              <w:t>0</w:t>
            </w:r>
            <w:r w:rsidR="004F2F25" w:rsidRPr="00CF03D9">
              <w:t xml:space="preserve"> and </w:t>
            </w:r>
            <w:r w:rsidR="00403D2A">
              <w:t>table 7A.25</w:t>
            </w:r>
            <w:r w:rsidR="00E7400A" w:rsidRPr="00CF03D9">
              <w:t xml:space="preserve"> for </w:t>
            </w:r>
            <w:r w:rsidR="004F2F25" w:rsidRPr="00CF03D9">
              <w:t>detailed</w:t>
            </w:r>
            <w:r w:rsidR="00E7400A" w:rsidRPr="00CF03D9">
              <w:t xml:space="preserve"> </w:t>
            </w:r>
            <w:r w:rsidR="00EB45CB" w:rsidRPr="00CF03D9">
              <w:t xml:space="preserve">definitions, footnotes and </w:t>
            </w:r>
            <w:r w:rsidR="00E7400A" w:rsidRPr="00CF03D9">
              <w:t>caveats</w:t>
            </w:r>
            <w:r w:rsidRPr="00584FFF">
              <w:t xml:space="preserve">. </w:t>
            </w:r>
            <w:r w:rsidRPr="007D7738">
              <w:t>..</w:t>
            </w:r>
            <w:r w:rsidRPr="00584FFF">
              <w:rPr>
                <w:b/>
              </w:rPr>
              <w:t> </w:t>
            </w:r>
            <w:r w:rsidRPr="00584FFF">
              <w:t>Not applicable.</w:t>
            </w:r>
          </w:p>
        </w:tc>
      </w:tr>
      <w:tr w:rsidR="0003310C" w14:paraId="726386AE" w14:textId="77777777" w:rsidTr="00B9240E">
        <w:trPr>
          <w:cantSplit/>
        </w:trPr>
        <w:tc>
          <w:tcPr>
            <w:tcW w:w="8789" w:type="dxa"/>
            <w:tcBorders>
              <w:top w:val="nil"/>
              <w:left w:val="nil"/>
              <w:bottom w:val="nil"/>
              <w:right w:val="nil"/>
            </w:tcBorders>
            <w:shd w:val="clear" w:color="auto" w:fill="auto"/>
          </w:tcPr>
          <w:p w14:paraId="569377B0" w14:textId="67AD8A31" w:rsidR="0003310C" w:rsidRDefault="00650035" w:rsidP="00847805">
            <w:pPr>
              <w:pStyle w:val="Source"/>
              <w:keepNext/>
            </w:pPr>
            <w:r>
              <w:rPr>
                <w:i/>
              </w:rPr>
              <w:t>Source</w:t>
            </w:r>
            <w:r w:rsidRPr="00AF5D20">
              <w:t>:</w:t>
            </w:r>
            <w:r>
              <w:rPr>
                <w:i/>
              </w:rPr>
              <w:t xml:space="preserve"> </w:t>
            </w:r>
            <w:r w:rsidRPr="00584FFF">
              <w:t>Australian, State and Territory court authorities and departments (unpublished); table 7A.2</w:t>
            </w:r>
            <w:r w:rsidR="00403D2A">
              <w:t>5</w:t>
            </w:r>
            <w:r w:rsidRPr="00584FFF">
              <w:t>.</w:t>
            </w:r>
          </w:p>
        </w:tc>
      </w:tr>
      <w:tr w:rsidR="004B0BD8" w14:paraId="0C4AB24D" w14:textId="77777777" w:rsidTr="00B9240E">
        <w:trPr>
          <w:cantSplit/>
        </w:trPr>
        <w:tc>
          <w:tcPr>
            <w:tcW w:w="8789" w:type="dxa"/>
            <w:tcBorders>
              <w:top w:val="nil"/>
              <w:left w:val="nil"/>
              <w:bottom w:val="nil"/>
              <w:right w:val="nil"/>
            </w:tcBorders>
            <w:shd w:val="clear" w:color="auto" w:fill="auto"/>
          </w:tcPr>
          <w:p w14:paraId="194BCED6" w14:textId="77777777" w:rsidR="004B0BD8" w:rsidRDefault="004B0BD8" w:rsidP="005923EB">
            <w:pPr>
              <w:pStyle w:val="Figurespace"/>
              <w:rPr>
                <w:i/>
              </w:rPr>
            </w:pPr>
          </w:p>
        </w:tc>
      </w:tr>
      <w:tr w:rsidR="0003310C" w:rsidRPr="000863A5" w14:paraId="0A580411" w14:textId="77777777" w:rsidTr="00B9240E">
        <w:tc>
          <w:tcPr>
            <w:tcW w:w="8789" w:type="dxa"/>
            <w:tcBorders>
              <w:top w:val="single" w:sz="6" w:space="0" w:color="78A22F" w:themeColor="accent1"/>
              <w:left w:val="nil"/>
              <w:bottom w:val="nil"/>
              <w:right w:val="nil"/>
            </w:tcBorders>
          </w:tcPr>
          <w:p w14:paraId="6F32C90E" w14:textId="77777777" w:rsidR="0003310C" w:rsidRPr="00626D32" w:rsidRDefault="0003310C" w:rsidP="003551D9">
            <w:pPr>
              <w:pStyle w:val="BoxSpaceBelow"/>
            </w:pPr>
          </w:p>
        </w:tc>
      </w:tr>
    </w:tbl>
    <w:p w14:paraId="6DA0BBE4" w14:textId="77777777" w:rsidR="00974087" w:rsidRPr="00E75996" w:rsidRDefault="00AB47AC" w:rsidP="00974087">
      <w:pPr>
        <w:pStyle w:val="Heading4"/>
      </w:pPr>
      <w:r>
        <w:t>F</w:t>
      </w:r>
      <w:r w:rsidR="00974087" w:rsidRPr="00584FFF">
        <w:t>ull time equivalent staff (FTE) per</w:t>
      </w:r>
      <w:r w:rsidR="0032403A" w:rsidRPr="00584FFF">
        <w:t xml:space="preserve"> </w:t>
      </w:r>
      <w:r w:rsidR="00974087" w:rsidRPr="00584FFF">
        <w:t>finalisation</w:t>
      </w:r>
    </w:p>
    <w:p w14:paraId="4A55111D" w14:textId="39EA7FD1" w:rsidR="00974087" w:rsidRDefault="00974087" w:rsidP="00974087">
      <w:pPr>
        <w:pStyle w:val="BodyText"/>
      </w:pPr>
      <w:r w:rsidRPr="00584FFF">
        <w:t>‘F</w:t>
      </w:r>
      <w:r w:rsidR="00AB47AC">
        <w:t>TE</w:t>
      </w:r>
      <w:r w:rsidRPr="00584FFF">
        <w:t xml:space="preserve"> staff per</w:t>
      </w:r>
      <w:r w:rsidR="0032403A" w:rsidRPr="00584FFF">
        <w:t xml:space="preserve"> </w:t>
      </w:r>
      <w:r w:rsidRPr="00584FFF">
        <w:t>finalisation’ is</w:t>
      </w:r>
      <w:r w:rsidR="00572B9F" w:rsidRPr="00584FFF">
        <w:t xml:space="preserve"> a</w:t>
      </w:r>
      <w:r w:rsidR="00AB47AC">
        <w:t>n</w:t>
      </w:r>
      <w:r w:rsidRPr="00584FFF">
        <w:t xml:space="preserve"> indicator of governments’ achievement against the objective of providing court services in an efficient manner (box 7.1</w:t>
      </w:r>
      <w:r w:rsidR="00824B15">
        <w:t>1</w:t>
      </w:r>
      <w:r w:rsidRPr="00584FFF">
        <w:t xml:space="preserve">). </w:t>
      </w:r>
    </w:p>
    <w:p w14:paraId="3C7E65F8" w14:textId="77777777" w:rsidR="004224C3" w:rsidRDefault="004224C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224C3" w14:paraId="124BB5A1" w14:textId="77777777" w:rsidTr="00B9240E">
        <w:tc>
          <w:tcPr>
            <w:tcW w:w="8789" w:type="dxa"/>
            <w:tcBorders>
              <w:top w:val="single" w:sz="6" w:space="0" w:color="78A22F"/>
              <w:left w:val="nil"/>
              <w:bottom w:val="nil"/>
              <w:right w:val="nil"/>
            </w:tcBorders>
            <w:shd w:val="clear" w:color="auto" w:fill="F2F2F2" w:themeFill="background1" w:themeFillShade="F2"/>
          </w:tcPr>
          <w:p w14:paraId="581AAC2A" w14:textId="23971499" w:rsidR="004224C3" w:rsidRDefault="004224C3" w:rsidP="00824B15">
            <w:pPr>
              <w:pStyle w:val="BoxTitle"/>
            </w:pPr>
            <w:r>
              <w:rPr>
                <w:b w:val="0"/>
              </w:rPr>
              <w:t>Box 7</w:t>
            </w:r>
            <w:r w:rsidR="00676A2D">
              <w:rPr>
                <w:b w:val="0"/>
              </w:rPr>
              <w:t>.1</w:t>
            </w:r>
            <w:r w:rsidR="00824B15">
              <w:rPr>
                <w:b w:val="0"/>
              </w:rPr>
              <w:t>1</w:t>
            </w:r>
            <w:r w:rsidR="0074095E">
              <w:tab/>
            </w:r>
            <w:r w:rsidR="0074095E" w:rsidRPr="00584FFF">
              <w:t xml:space="preserve">Full time equivalent </w:t>
            </w:r>
            <w:r w:rsidR="00AB47AC">
              <w:t xml:space="preserve">(FTE) </w:t>
            </w:r>
            <w:r w:rsidR="0074095E" w:rsidRPr="00584FFF">
              <w:t>staff per finalisation</w:t>
            </w:r>
          </w:p>
        </w:tc>
      </w:tr>
      <w:tr w:rsidR="00260B59" w14:paraId="5C01E720" w14:textId="77777777" w:rsidTr="00B9240E">
        <w:trPr>
          <w:cantSplit/>
        </w:trPr>
        <w:tc>
          <w:tcPr>
            <w:tcW w:w="8789" w:type="dxa"/>
            <w:tcBorders>
              <w:top w:val="nil"/>
              <w:left w:val="nil"/>
              <w:bottom w:val="nil"/>
              <w:right w:val="nil"/>
            </w:tcBorders>
            <w:shd w:val="clear" w:color="auto" w:fill="F2F2F2" w:themeFill="background1" w:themeFillShade="F2"/>
          </w:tcPr>
          <w:p w14:paraId="7D83AA51" w14:textId="52EF39ED" w:rsidR="00260B59" w:rsidRPr="00584FFF" w:rsidRDefault="00260B59" w:rsidP="003551D9">
            <w:pPr>
              <w:pStyle w:val="Box"/>
            </w:pPr>
            <w:r w:rsidRPr="00584FFF">
              <w:t>‘</w:t>
            </w:r>
            <w:r w:rsidRPr="00E37076">
              <w:t>F</w:t>
            </w:r>
            <w:r w:rsidR="00AB47AC" w:rsidRPr="00E37076">
              <w:t>TE</w:t>
            </w:r>
            <w:r w:rsidRPr="00E37076">
              <w:t xml:space="preserve"> staff per finalisation’ </w:t>
            </w:r>
            <w:r w:rsidR="008A2179" w:rsidRPr="00E37076">
              <w:t xml:space="preserve">is </w:t>
            </w:r>
            <w:r w:rsidRPr="00E37076">
              <w:t xml:space="preserve">measured by dividing the total number of </w:t>
            </w:r>
            <w:r w:rsidR="00AB47AC" w:rsidRPr="00E37076">
              <w:t>FTE</w:t>
            </w:r>
            <w:r w:rsidRPr="00E37076">
              <w:t xml:space="preserve"> staff employed by courts for the financial year by the total number of finalisations for the same period</w:t>
            </w:r>
            <w:r w:rsidR="00AB47AC" w:rsidRPr="00E37076">
              <w:t>,</w:t>
            </w:r>
            <w:r w:rsidRPr="00E37076">
              <w:t xml:space="preserve"> and multiplying by 100.</w:t>
            </w:r>
            <w:r w:rsidRPr="00584FFF">
              <w:t xml:space="preserve"> </w:t>
            </w:r>
          </w:p>
          <w:p w14:paraId="3F29D48B" w14:textId="289E000B" w:rsidR="00260B59" w:rsidRPr="00855DF6" w:rsidRDefault="00260B59" w:rsidP="003551D9">
            <w:pPr>
              <w:pStyle w:val="Box"/>
            </w:pPr>
            <w:r w:rsidRPr="00855DF6">
              <w:t xml:space="preserve">FTE staff </w:t>
            </w:r>
            <w:r w:rsidR="000B4A4D" w:rsidRPr="00855DF6">
              <w:t>include</w:t>
            </w:r>
            <w:r w:rsidR="002815B1" w:rsidRPr="00855DF6">
              <w:t xml:space="preserve"> </w:t>
            </w:r>
            <w:r w:rsidR="000B4A4D" w:rsidRPr="00855DF6">
              <w:t>those</w:t>
            </w:r>
            <w:r w:rsidRPr="00855DF6">
              <w:t xml:space="preserve"> employed directly by court authorities or by umbrella and other departments</w:t>
            </w:r>
            <w:r w:rsidR="002815B1" w:rsidRPr="00855DF6">
              <w:t xml:space="preserve"> (see section 7.4 for further details).</w:t>
            </w:r>
          </w:p>
          <w:p w14:paraId="7E30D5B1" w14:textId="77777777" w:rsidR="00260B59" w:rsidRPr="00AD4587" w:rsidRDefault="00260B59" w:rsidP="003551D9">
            <w:pPr>
              <w:pStyle w:val="Box"/>
            </w:pPr>
            <w:r w:rsidRPr="00855DF6">
              <w:t xml:space="preserve">The following points need to be considered in interpreting </w:t>
            </w:r>
            <w:r w:rsidRPr="00E37076">
              <w:t>the results</w:t>
            </w:r>
            <w:r w:rsidR="00AB47AC" w:rsidRPr="00E37076">
              <w:t xml:space="preserve"> for this indicator</w:t>
            </w:r>
            <w:r w:rsidRPr="00AD4587">
              <w:t>:</w:t>
            </w:r>
          </w:p>
          <w:p w14:paraId="3282D406" w14:textId="77777777" w:rsidR="00260B59" w:rsidRPr="00730BC8" w:rsidRDefault="00260B59" w:rsidP="003551D9">
            <w:pPr>
              <w:pStyle w:val="BoxListBullet"/>
            </w:pPr>
            <w:r w:rsidRPr="00AD4587">
              <w:t>some finalisations take a short time and require few resources, whereas other finalisations may be resource intensive and involve complicated trials and interlocutory decisions</w:t>
            </w:r>
          </w:p>
          <w:p w14:paraId="600CB33C" w14:textId="77777777" w:rsidR="00260B59" w:rsidRPr="00730BC8" w:rsidRDefault="00260B59" w:rsidP="003551D9">
            <w:pPr>
              <w:pStyle w:val="BoxListBullet"/>
            </w:pPr>
            <w:r w:rsidRPr="00AD4587">
              <w:t>factors such as geographical dispersion, court workload and population density are important considerations when comparing figures on FTE staff</w:t>
            </w:r>
            <w:r w:rsidR="00AB47AC">
              <w:t>.</w:t>
            </w:r>
          </w:p>
          <w:p w14:paraId="6244E275" w14:textId="77777777" w:rsidR="00260B59" w:rsidRDefault="00260B59" w:rsidP="003551D9">
            <w:pPr>
              <w:pStyle w:val="Box"/>
            </w:pPr>
            <w:r>
              <w:t>Data reported for this indicator are:</w:t>
            </w:r>
          </w:p>
          <w:p w14:paraId="07B07E4B" w14:textId="77777777" w:rsidR="00260B59" w:rsidRPr="004224C3" w:rsidRDefault="00260B59" w:rsidP="00573616">
            <w:pPr>
              <w:pStyle w:val="BoxListBullet"/>
            </w:pPr>
            <w:r w:rsidRPr="004224C3">
              <w:t>comparable (subject to caveats) across jurisdictions and over time</w:t>
            </w:r>
          </w:p>
          <w:p w14:paraId="18E9CA48" w14:textId="2C9A0EDC" w:rsidR="00260B59" w:rsidRPr="00584FFF" w:rsidRDefault="00260B59">
            <w:pPr>
              <w:pStyle w:val="BoxListBullet"/>
              <w:spacing w:after="120"/>
            </w:pPr>
            <w:r w:rsidRPr="004224C3">
              <w:t xml:space="preserve">complete for the current reporting period (subject to caveats). All </w:t>
            </w:r>
            <w:r w:rsidRPr="00101661">
              <w:t>required 201</w:t>
            </w:r>
            <w:r w:rsidR="00DD0736" w:rsidRPr="00101661">
              <w:t>6</w:t>
            </w:r>
            <w:r w:rsidRPr="00101661">
              <w:noBreakHyphen/>
              <w:t>1</w:t>
            </w:r>
            <w:r w:rsidR="00DD0736" w:rsidRPr="00101661">
              <w:t>7</w:t>
            </w:r>
            <w:r w:rsidRPr="00101661">
              <w:t xml:space="preserve"> data </w:t>
            </w:r>
            <w:r w:rsidRPr="004224C3">
              <w:t xml:space="preserve">are available for all </w:t>
            </w:r>
            <w:r w:rsidRPr="00101661">
              <w:t>jurisdictions</w:t>
            </w:r>
            <w:r w:rsidR="00C828BA" w:rsidRPr="00101661">
              <w:t xml:space="preserve"> except </w:t>
            </w:r>
            <w:r w:rsidR="008628E2" w:rsidRPr="00101661">
              <w:t xml:space="preserve">the </w:t>
            </w:r>
            <w:r w:rsidR="00C828BA" w:rsidRPr="00101661">
              <w:t>ACT</w:t>
            </w:r>
            <w:r w:rsidRPr="00101661">
              <w:t>.</w:t>
            </w:r>
          </w:p>
        </w:tc>
      </w:tr>
      <w:tr w:rsidR="00260B59" w:rsidRPr="000863A5" w14:paraId="0CC71A24" w14:textId="77777777" w:rsidTr="00B9240E">
        <w:tc>
          <w:tcPr>
            <w:tcW w:w="8789" w:type="dxa"/>
            <w:tcBorders>
              <w:top w:val="single" w:sz="6" w:space="0" w:color="78A22F"/>
              <w:left w:val="nil"/>
              <w:bottom w:val="nil"/>
              <w:right w:val="nil"/>
            </w:tcBorders>
          </w:tcPr>
          <w:p w14:paraId="500C8E97" w14:textId="77777777" w:rsidR="00260B59" w:rsidRPr="00626D32" w:rsidRDefault="00260B59" w:rsidP="003551D9">
            <w:pPr>
              <w:pStyle w:val="BoxSpaceBelow"/>
            </w:pPr>
          </w:p>
        </w:tc>
      </w:tr>
    </w:tbl>
    <w:p w14:paraId="4D427E0A" w14:textId="7142F5C2" w:rsidR="00AB47AC" w:rsidRDefault="00AB47AC" w:rsidP="00573616">
      <w:pPr>
        <w:pStyle w:val="BodyText"/>
      </w:pPr>
      <w:r>
        <w:t xml:space="preserve">Data on FTE staff per 100 finalisations for </w:t>
      </w:r>
      <w:r w:rsidRPr="00101661">
        <w:t>201</w:t>
      </w:r>
      <w:r w:rsidR="00DD0736" w:rsidRPr="00101661">
        <w:t>6</w:t>
      </w:r>
      <w:r w:rsidR="00AF5D20" w:rsidRPr="00101661">
        <w:noBreakHyphen/>
      </w:r>
      <w:r w:rsidRPr="00101661">
        <w:t>1</w:t>
      </w:r>
      <w:r w:rsidR="00DD0736" w:rsidRPr="00101661">
        <w:t>7</w:t>
      </w:r>
      <w:r w:rsidRPr="00101661">
        <w:t xml:space="preserve"> </w:t>
      </w:r>
      <w:r>
        <w:t>are provided in table 7.</w:t>
      </w:r>
      <w:r w:rsidR="00814909">
        <w:t>1</w:t>
      </w:r>
      <w:r w:rsidR="00B54B34">
        <w:t>2</w:t>
      </w:r>
      <w:r>
        <w:t>.</w:t>
      </w:r>
    </w:p>
    <w:p w14:paraId="0AEA30DC" w14:textId="77777777" w:rsidR="00F3288C" w:rsidRDefault="00F3288C" w:rsidP="003551D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3288C" w14:paraId="08FA8E84" w14:textId="77777777" w:rsidTr="00B9240E">
        <w:tc>
          <w:tcPr>
            <w:tcW w:w="8789" w:type="dxa"/>
            <w:tcBorders>
              <w:top w:val="single" w:sz="6" w:space="0" w:color="78A22F" w:themeColor="accent1"/>
              <w:left w:val="nil"/>
              <w:bottom w:val="nil"/>
              <w:right w:val="nil"/>
            </w:tcBorders>
            <w:shd w:val="clear" w:color="auto" w:fill="auto"/>
          </w:tcPr>
          <w:p w14:paraId="556118A0" w14:textId="1EE9F32D" w:rsidR="00F3288C" w:rsidRPr="00784A05" w:rsidRDefault="00F3288C" w:rsidP="00B54B34">
            <w:pPr>
              <w:pStyle w:val="TableTitle"/>
              <w:rPr>
                <w:lang w:eastAsia="en-US"/>
              </w:rPr>
            </w:pPr>
            <w:r>
              <w:rPr>
                <w:b w:val="0"/>
              </w:rPr>
              <w:t>Table 7</w:t>
            </w:r>
            <w:r w:rsidR="00253D16">
              <w:rPr>
                <w:b w:val="0"/>
              </w:rPr>
              <w:t>.</w:t>
            </w:r>
            <w:r w:rsidR="00814909">
              <w:rPr>
                <w:b w:val="0"/>
              </w:rPr>
              <w:t>1</w:t>
            </w:r>
            <w:r w:rsidR="00B54B34">
              <w:rPr>
                <w:b w:val="0"/>
              </w:rPr>
              <w:t>2</w:t>
            </w:r>
            <w:r>
              <w:tab/>
            </w:r>
            <w:r w:rsidRPr="00584FFF">
              <w:t>Full time equivalent s</w:t>
            </w:r>
            <w:r>
              <w:t xml:space="preserve">taff per 100 finalisations, </w:t>
            </w:r>
            <w:r w:rsidR="00A25D6E" w:rsidRPr="00101661">
              <w:t>201</w:t>
            </w:r>
            <w:r w:rsidR="00DD0736" w:rsidRPr="00101661">
              <w:t>6</w:t>
            </w:r>
            <w:r w:rsidR="00084115" w:rsidRPr="00313083">
              <w:t>-</w:t>
            </w:r>
            <w:r w:rsidRPr="00101661">
              <w:t>1</w:t>
            </w:r>
            <w:r w:rsidR="00DD0736" w:rsidRPr="00101661">
              <w:t>7</w:t>
            </w:r>
            <w:r w:rsidR="00362378">
              <w:rPr>
                <w:rStyle w:val="NoteLabel"/>
                <w:b/>
              </w:rPr>
              <w:t>a</w:t>
            </w:r>
          </w:p>
        </w:tc>
      </w:tr>
      <w:tr w:rsidR="00F3288C" w14:paraId="1C4C3A3E" w14:textId="77777777" w:rsidTr="00B9240E">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06"/>
              <w:gridCol w:w="633"/>
              <w:gridCol w:w="634"/>
              <w:gridCol w:w="633"/>
              <w:gridCol w:w="634"/>
              <w:gridCol w:w="633"/>
              <w:gridCol w:w="634"/>
              <w:gridCol w:w="633"/>
              <w:gridCol w:w="634"/>
              <w:gridCol w:w="633"/>
              <w:gridCol w:w="634"/>
            </w:tblGrid>
            <w:tr w:rsidR="00F45765" w:rsidRPr="00584FFF" w14:paraId="63A20778" w14:textId="77777777" w:rsidTr="00B9240E">
              <w:tc>
                <w:tcPr>
                  <w:tcW w:w="2006" w:type="dxa"/>
                  <w:tcBorders>
                    <w:top w:val="single" w:sz="6" w:space="0" w:color="BFBFBF"/>
                    <w:bottom w:val="single" w:sz="6" w:space="0" w:color="BFBFBF"/>
                  </w:tcBorders>
                </w:tcPr>
                <w:p w14:paraId="0F3A1002" w14:textId="77777777" w:rsidR="00F45765" w:rsidRPr="00584FFF" w:rsidRDefault="00F45765" w:rsidP="00790FE6">
                  <w:pPr>
                    <w:pStyle w:val="TableColumnHeading"/>
                    <w:spacing w:before="60" w:after="60"/>
                    <w:ind w:left="0" w:right="28"/>
                    <w:jc w:val="left"/>
                  </w:pPr>
                </w:p>
              </w:tc>
              <w:tc>
                <w:tcPr>
                  <w:tcW w:w="633" w:type="dxa"/>
                  <w:tcBorders>
                    <w:top w:val="single" w:sz="6" w:space="0" w:color="BFBFBF"/>
                    <w:bottom w:val="single" w:sz="6" w:space="0" w:color="BFBFBF"/>
                  </w:tcBorders>
                </w:tcPr>
                <w:p w14:paraId="4184DD17" w14:textId="77777777" w:rsidR="00F45765" w:rsidRPr="00584FFF" w:rsidRDefault="003D3908" w:rsidP="00790FE6">
                  <w:pPr>
                    <w:pStyle w:val="TableColumnHeading"/>
                    <w:spacing w:before="60" w:after="60"/>
                    <w:ind w:left="0" w:right="28"/>
                  </w:pPr>
                  <w:r>
                    <w:br/>
                  </w:r>
                  <w:r w:rsidR="00F45765" w:rsidRPr="00584FFF">
                    <w:t>NSW</w:t>
                  </w:r>
                </w:p>
              </w:tc>
              <w:tc>
                <w:tcPr>
                  <w:tcW w:w="634" w:type="dxa"/>
                  <w:tcBorders>
                    <w:top w:val="single" w:sz="6" w:space="0" w:color="BFBFBF"/>
                    <w:bottom w:val="single" w:sz="6" w:space="0" w:color="BFBFBF"/>
                  </w:tcBorders>
                </w:tcPr>
                <w:p w14:paraId="21229652" w14:textId="77777777" w:rsidR="00F45765" w:rsidRPr="00584FFF" w:rsidRDefault="003D3908" w:rsidP="00790FE6">
                  <w:pPr>
                    <w:pStyle w:val="TableColumnHeading"/>
                    <w:spacing w:before="60" w:after="60"/>
                    <w:ind w:left="0" w:right="28"/>
                  </w:pPr>
                  <w:r>
                    <w:br/>
                  </w:r>
                  <w:r w:rsidR="00F45765" w:rsidRPr="00584FFF">
                    <w:t>Vic</w:t>
                  </w:r>
                </w:p>
              </w:tc>
              <w:tc>
                <w:tcPr>
                  <w:tcW w:w="633" w:type="dxa"/>
                  <w:tcBorders>
                    <w:top w:val="single" w:sz="6" w:space="0" w:color="BFBFBF"/>
                    <w:bottom w:val="single" w:sz="6" w:space="0" w:color="BFBFBF"/>
                  </w:tcBorders>
                </w:tcPr>
                <w:p w14:paraId="46ED8EE5" w14:textId="77777777" w:rsidR="00F45765" w:rsidRPr="00584FFF" w:rsidRDefault="003D3908" w:rsidP="00790FE6">
                  <w:pPr>
                    <w:pStyle w:val="TableColumnHeading"/>
                    <w:spacing w:before="60" w:after="60"/>
                    <w:ind w:left="0" w:right="28"/>
                  </w:pPr>
                  <w:r>
                    <w:br/>
                  </w:r>
                  <w:r w:rsidR="00F45765" w:rsidRPr="00584FFF">
                    <w:t>Qld</w:t>
                  </w:r>
                </w:p>
              </w:tc>
              <w:tc>
                <w:tcPr>
                  <w:tcW w:w="634" w:type="dxa"/>
                  <w:tcBorders>
                    <w:top w:val="single" w:sz="6" w:space="0" w:color="BFBFBF"/>
                    <w:bottom w:val="single" w:sz="6" w:space="0" w:color="BFBFBF"/>
                  </w:tcBorders>
                </w:tcPr>
                <w:p w14:paraId="228FCF7E" w14:textId="77777777" w:rsidR="00F45765" w:rsidRPr="00584FFF" w:rsidRDefault="003D3908" w:rsidP="00790FE6">
                  <w:pPr>
                    <w:pStyle w:val="TableColumnHeading"/>
                    <w:spacing w:before="60" w:after="60"/>
                    <w:ind w:left="0" w:right="28"/>
                  </w:pPr>
                  <w:r>
                    <w:br/>
                  </w:r>
                  <w:r w:rsidR="00F45765" w:rsidRPr="00584FFF">
                    <w:t>WA</w:t>
                  </w:r>
                </w:p>
              </w:tc>
              <w:tc>
                <w:tcPr>
                  <w:tcW w:w="633" w:type="dxa"/>
                  <w:tcBorders>
                    <w:top w:val="single" w:sz="6" w:space="0" w:color="BFBFBF"/>
                    <w:bottom w:val="single" w:sz="6" w:space="0" w:color="BFBFBF"/>
                  </w:tcBorders>
                </w:tcPr>
                <w:p w14:paraId="0217E89F" w14:textId="77777777" w:rsidR="00F45765" w:rsidRPr="00584FFF" w:rsidRDefault="003D3908" w:rsidP="00790FE6">
                  <w:pPr>
                    <w:pStyle w:val="TableColumnHeading"/>
                    <w:spacing w:before="60" w:after="60"/>
                    <w:ind w:left="0" w:right="28"/>
                  </w:pPr>
                  <w:r>
                    <w:br/>
                  </w:r>
                  <w:r w:rsidR="00F45765" w:rsidRPr="00584FFF">
                    <w:t>SA</w:t>
                  </w:r>
                </w:p>
              </w:tc>
              <w:tc>
                <w:tcPr>
                  <w:tcW w:w="634" w:type="dxa"/>
                  <w:tcBorders>
                    <w:top w:val="single" w:sz="6" w:space="0" w:color="BFBFBF"/>
                    <w:bottom w:val="single" w:sz="6" w:space="0" w:color="BFBFBF"/>
                  </w:tcBorders>
                </w:tcPr>
                <w:p w14:paraId="6A43D90D" w14:textId="77777777" w:rsidR="00F45765" w:rsidRPr="00584FFF" w:rsidRDefault="003D3908" w:rsidP="00790FE6">
                  <w:pPr>
                    <w:pStyle w:val="TableColumnHeading"/>
                    <w:spacing w:before="60" w:after="60"/>
                    <w:ind w:left="0" w:right="28"/>
                  </w:pPr>
                  <w:r>
                    <w:br/>
                  </w:r>
                  <w:r w:rsidR="00F45765" w:rsidRPr="00584FFF">
                    <w:t>Tas</w:t>
                  </w:r>
                </w:p>
              </w:tc>
              <w:tc>
                <w:tcPr>
                  <w:tcW w:w="633" w:type="dxa"/>
                  <w:tcBorders>
                    <w:top w:val="single" w:sz="6" w:space="0" w:color="BFBFBF"/>
                    <w:bottom w:val="single" w:sz="6" w:space="0" w:color="BFBFBF"/>
                  </w:tcBorders>
                </w:tcPr>
                <w:p w14:paraId="47EAB7E4" w14:textId="77777777" w:rsidR="00F45765" w:rsidRPr="00584FFF" w:rsidRDefault="003D3908" w:rsidP="00790FE6">
                  <w:pPr>
                    <w:pStyle w:val="TableColumnHeading"/>
                    <w:spacing w:before="60" w:after="60"/>
                    <w:ind w:left="0" w:right="28"/>
                  </w:pPr>
                  <w:r>
                    <w:br/>
                  </w:r>
                  <w:r w:rsidR="00F45765" w:rsidRPr="00584FFF">
                    <w:t>ACT</w:t>
                  </w:r>
                </w:p>
              </w:tc>
              <w:tc>
                <w:tcPr>
                  <w:tcW w:w="634" w:type="dxa"/>
                  <w:tcBorders>
                    <w:top w:val="single" w:sz="6" w:space="0" w:color="BFBFBF"/>
                    <w:bottom w:val="single" w:sz="6" w:space="0" w:color="BFBFBF"/>
                  </w:tcBorders>
                </w:tcPr>
                <w:p w14:paraId="129D9374" w14:textId="77777777" w:rsidR="00F45765" w:rsidRPr="00584FFF" w:rsidRDefault="003D3908" w:rsidP="00790FE6">
                  <w:pPr>
                    <w:pStyle w:val="TableColumnHeading"/>
                    <w:spacing w:before="60" w:after="60"/>
                    <w:ind w:left="0" w:right="28"/>
                  </w:pPr>
                  <w:r>
                    <w:br/>
                  </w:r>
                  <w:r w:rsidR="00F45765" w:rsidRPr="00584FFF">
                    <w:t>NT</w:t>
                  </w:r>
                </w:p>
              </w:tc>
              <w:tc>
                <w:tcPr>
                  <w:tcW w:w="633" w:type="dxa"/>
                  <w:tcBorders>
                    <w:top w:val="single" w:sz="6" w:space="0" w:color="BFBFBF"/>
                    <w:bottom w:val="single" w:sz="6" w:space="0" w:color="BFBFBF"/>
                  </w:tcBorders>
                </w:tcPr>
                <w:p w14:paraId="422E72A7" w14:textId="77777777" w:rsidR="00F45765" w:rsidRPr="00584FFF" w:rsidRDefault="00F45765" w:rsidP="00790FE6">
                  <w:pPr>
                    <w:pStyle w:val="TableColumnHeading"/>
                    <w:spacing w:before="60" w:after="60"/>
                    <w:ind w:left="0" w:right="28"/>
                    <w:rPr>
                      <w:szCs w:val="18"/>
                    </w:rPr>
                  </w:pPr>
                  <w:r w:rsidRPr="00584FFF">
                    <w:rPr>
                      <w:szCs w:val="18"/>
                    </w:rPr>
                    <w:t>Aust courts</w:t>
                  </w:r>
                </w:p>
              </w:tc>
              <w:tc>
                <w:tcPr>
                  <w:tcW w:w="634" w:type="dxa"/>
                  <w:tcBorders>
                    <w:top w:val="single" w:sz="6" w:space="0" w:color="BFBFBF"/>
                    <w:bottom w:val="single" w:sz="6" w:space="0" w:color="BFBFBF"/>
                  </w:tcBorders>
                </w:tcPr>
                <w:p w14:paraId="0AF13C46" w14:textId="77777777" w:rsidR="00F45765" w:rsidRPr="00584FFF" w:rsidRDefault="003D3908" w:rsidP="00790FE6">
                  <w:pPr>
                    <w:pStyle w:val="TableColumnHeading"/>
                    <w:spacing w:before="60" w:after="60"/>
                    <w:ind w:left="0" w:right="28"/>
                  </w:pPr>
                  <w:r>
                    <w:br/>
                  </w:r>
                  <w:r w:rsidR="00F45765" w:rsidRPr="00584FFF">
                    <w:t xml:space="preserve">Total </w:t>
                  </w:r>
                </w:p>
              </w:tc>
            </w:tr>
            <w:tr w:rsidR="00101661" w:rsidRPr="00157F23" w14:paraId="5A269CDB" w14:textId="77777777" w:rsidTr="00B9240E">
              <w:tc>
                <w:tcPr>
                  <w:tcW w:w="2006" w:type="dxa"/>
                  <w:tcBorders>
                    <w:top w:val="single" w:sz="6" w:space="0" w:color="BFBFBF"/>
                  </w:tcBorders>
                </w:tcPr>
                <w:p w14:paraId="5A056FB8" w14:textId="77777777" w:rsidR="00101661" w:rsidRPr="00584FFF" w:rsidRDefault="00101661" w:rsidP="00101661">
                  <w:pPr>
                    <w:pStyle w:val="TableBodyText"/>
                    <w:spacing w:before="40"/>
                    <w:jc w:val="left"/>
                  </w:pPr>
                  <w:r w:rsidRPr="00584FFF">
                    <w:t>Criminal courts</w:t>
                  </w:r>
                </w:p>
              </w:tc>
              <w:tc>
                <w:tcPr>
                  <w:tcW w:w="633" w:type="dxa"/>
                  <w:tcBorders>
                    <w:top w:val="single" w:sz="6" w:space="0" w:color="BFBFBF"/>
                  </w:tcBorders>
                  <w:vAlign w:val="bottom"/>
                </w:tcPr>
                <w:p w14:paraId="1D9BB99E" w14:textId="2552DFF1" w:rsidR="00101661" w:rsidRDefault="00101661" w:rsidP="00B9240E">
                  <w:pPr>
                    <w:pStyle w:val="TableBodyText"/>
                    <w:ind w:right="23"/>
                  </w:pPr>
                  <w:r>
                    <w:t xml:space="preserve"> 0.6</w:t>
                  </w:r>
                </w:p>
              </w:tc>
              <w:tc>
                <w:tcPr>
                  <w:tcW w:w="634" w:type="dxa"/>
                  <w:tcBorders>
                    <w:top w:val="single" w:sz="6" w:space="0" w:color="BFBFBF"/>
                  </w:tcBorders>
                  <w:vAlign w:val="bottom"/>
                </w:tcPr>
                <w:p w14:paraId="7A2C98B8" w14:textId="7765E8C7" w:rsidR="00101661" w:rsidRDefault="00101661" w:rsidP="00B9240E">
                  <w:pPr>
                    <w:pStyle w:val="TableBodyText"/>
                    <w:ind w:right="23"/>
                  </w:pPr>
                  <w:r>
                    <w:t xml:space="preserve"> 0.4</w:t>
                  </w:r>
                </w:p>
              </w:tc>
              <w:tc>
                <w:tcPr>
                  <w:tcW w:w="633" w:type="dxa"/>
                  <w:tcBorders>
                    <w:top w:val="single" w:sz="6" w:space="0" w:color="BFBFBF"/>
                  </w:tcBorders>
                  <w:vAlign w:val="bottom"/>
                </w:tcPr>
                <w:p w14:paraId="1BEBBF23" w14:textId="1BA01E65" w:rsidR="00101661" w:rsidRDefault="00101661" w:rsidP="00B9240E">
                  <w:pPr>
                    <w:pStyle w:val="TableBodyText"/>
                    <w:ind w:right="23"/>
                  </w:pPr>
                  <w:r>
                    <w:t xml:space="preserve"> 0.3</w:t>
                  </w:r>
                </w:p>
              </w:tc>
              <w:tc>
                <w:tcPr>
                  <w:tcW w:w="634" w:type="dxa"/>
                  <w:tcBorders>
                    <w:top w:val="single" w:sz="6" w:space="0" w:color="BFBFBF"/>
                  </w:tcBorders>
                  <w:vAlign w:val="bottom"/>
                </w:tcPr>
                <w:p w14:paraId="3E105198" w14:textId="68BAC528" w:rsidR="00101661" w:rsidRDefault="00101661" w:rsidP="00B9240E">
                  <w:pPr>
                    <w:pStyle w:val="TableBodyText"/>
                    <w:ind w:right="23"/>
                  </w:pPr>
                  <w:r>
                    <w:t xml:space="preserve"> 0.4</w:t>
                  </w:r>
                </w:p>
              </w:tc>
              <w:tc>
                <w:tcPr>
                  <w:tcW w:w="633" w:type="dxa"/>
                  <w:tcBorders>
                    <w:top w:val="single" w:sz="6" w:space="0" w:color="BFBFBF"/>
                  </w:tcBorders>
                  <w:vAlign w:val="bottom"/>
                </w:tcPr>
                <w:p w14:paraId="131710AF" w14:textId="602A7FC6" w:rsidR="00101661" w:rsidRDefault="00101661" w:rsidP="00B9240E">
                  <w:pPr>
                    <w:pStyle w:val="TableBodyText"/>
                    <w:ind w:right="23"/>
                  </w:pPr>
                  <w:r>
                    <w:t xml:space="preserve"> 0.7</w:t>
                  </w:r>
                </w:p>
              </w:tc>
              <w:tc>
                <w:tcPr>
                  <w:tcW w:w="634" w:type="dxa"/>
                  <w:tcBorders>
                    <w:top w:val="single" w:sz="6" w:space="0" w:color="BFBFBF"/>
                  </w:tcBorders>
                  <w:vAlign w:val="bottom"/>
                </w:tcPr>
                <w:p w14:paraId="76E7C297" w14:textId="5974AC84" w:rsidR="00101661" w:rsidRDefault="00101661" w:rsidP="00B9240E">
                  <w:pPr>
                    <w:pStyle w:val="TableBodyText"/>
                    <w:ind w:right="23"/>
                  </w:pPr>
                  <w:r>
                    <w:t xml:space="preserve"> 0.5</w:t>
                  </w:r>
                </w:p>
              </w:tc>
              <w:tc>
                <w:tcPr>
                  <w:tcW w:w="633" w:type="dxa"/>
                  <w:tcBorders>
                    <w:top w:val="single" w:sz="6" w:space="0" w:color="BFBFBF"/>
                  </w:tcBorders>
                  <w:vAlign w:val="bottom"/>
                </w:tcPr>
                <w:p w14:paraId="342123D3" w14:textId="4E3604D7" w:rsidR="00101661" w:rsidRDefault="00283CBD" w:rsidP="00B9240E">
                  <w:pPr>
                    <w:pStyle w:val="TableBodyText"/>
                    <w:ind w:right="23"/>
                  </w:pPr>
                  <w:r>
                    <w:t xml:space="preserve"> 1.1</w:t>
                  </w:r>
                </w:p>
              </w:tc>
              <w:tc>
                <w:tcPr>
                  <w:tcW w:w="634" w:type="dxa"/>
                  <w:tcBorders>
                    <w:top w:val="single" w:sz="6" w:space="0" w:color="BFBFBF"/>
                  </w:tcBorders>
                  <w:vAlign w:val="bottom"/>
                </w:tcPr>
                <w:p w14:paraId="766830FD" w14:textId="22D7C352" w:rsidR="00101661" w:rsidRDefault="007C4B55" w:rsidP="00B9240E">
                  <w:pPr>
                    <w:pStyle w:val="TableBodyText"/>
                    <w:ind w:right="23"/>
                  </w:pPr>
                  <w:r>
                    <w:t xml:space="preserve"> </w:t>
                  </w:r>
                  <w:r w:rsidRPr="00A74C13">
                    <w:t>0.5</w:t>
                  </w:r>
                </w:p>
              </w:tc>
              <w:tc>
                <w:tcPr>
                  <w:tcW w:w="633" w:type="dxa"/>
                  <w:tcBorders>
                    <w:top w:val="single" w:sz="6" w:space="0" w:color="BFBFBF"/>
                  </w:tcBorders>
                  <w:vAlign w:val="bottom"/>
                </w:tcPr>
                <w:p w14:paraId="162C43DD" w14:textId="349519A9" w:rsidR="00101661" w:rsidRDefault="00101661" w:rsidP="00B9240E">
                  <w:pPr>
                    <w:pStyle w:val="TableBodyText"/>
                    <w:ind w:right="23"/>
                  </w:pPr>
                  <w:r>
                    <w:t>..</w:t>
                  </w:r>
                </w:p>
              </w:tc>
              <w:tc>
                <w:tcPr>
                  <w:tcW w:w="634" w:type="dxa"/>
                  <w:tcBorders>
                    <w:top w:val="single" w:sz="6" w:space="0" w:color="BFBFBF"/>
                  </w:tcBorders>
                  <w:vAlign w:val="bottom"/>
                </w:tcPr>
                <w:p w14:paraId="3B3422C4" w14:textId="57064ADA" w:rsidR="00101661" w:rsidRDefault="00101661" w:rsidP="00B9240E">
                  <w:pPr>
                    <w:pStyle w:val="TableBodyText"/>
                    <w:ind w:right="23"/>
                  </w:pPr>
                  <w:r>
                    <w:t xml:space="preserve"> 0.5</w:t>
                  </w:r>
                </w:p>
              </w:tc>
            </w:tr>
            <w:tr w:rsidR="00101661" w:rsidRPr="00157F23" w14:paraId="3373F858" w14:textId="77777777" w:rsidTr="00B9240E">
              <w:tc>
                <w:tcPr>
                  <w:tcW w:w="2006" w:type="dxa"/>
                </w:tcPr>
                <w:p w14:paraId="165C6DBB" w14:textId="77777777" w:rsidR="00101661" w:rsidRPr="00584FFF" w:rsidRDefault="00101661" w:rsidP="00101661">
                  <w:pPr>
                    <w:pStyle w:val="TableBodyText"/>
                    <w:tabs>
                      <w:tab w:val="right" w:pos="8789"/>
                    </w:tabs>
                    <w:spacing w:before="40"/>
                    <w:ind w:hanging="6"/>
                    <w:jc w:val="left"/>
                  </w:pPr>
                  <w:r w:rsidRPr="00584FFF">
                    <w:t>Civil courts</w:t>
                  </w:r>
                </w:p>
              </w:tc>
              <w:tc>
                <w:tcPr>
                  <w:tcW w:w="633" w:type="dxa"/>
                  <w:vAlign w:val="bottom"/>
                </w:tcPr>
                <w:p w14:paraId="72EA4F2F" w14:textId="27726619" w:rsidR="00101661" w:rsidRDefault="00101661" w:rsidP="00B9240E">
                  <w:pPr>
                    <w:pStyle w:val="TableBodyText"/>
                    <w:ind w:right="23"/>
                  </w:pPr>
                  <w:r>
                    <w:t xml:space="preserve"> 0.6</w:t>
                  </w:r>
                </w:p>
              </w:tc>
              <w:tc>
                <w:tcPr>
                  <w:tcW w:w="634" w:type="dxa"/>
                  <w:vAlign w:val="bottom"/>
                </w:tcPr>
                <w:p w14:paraId="21ECBD61" w14:textId="6AC3A798" w:rsidR="00101661" w:rsidRDefault="00101661" w:rsidP="00B9240E">
                  <w:pPr>
                    <w:pStyle w:val="TableBodyText"/>
                    <w:ind w:right="23"/>
                  </w:pPr>
                  <w:r>
                    <w:t xml:space="preserve"> 0.6</w:t>
                  </w:r>
                </w:p>
              </w:tc>
              <w:tc>
                <w:tcPr>
                  <w:tcW w:w="633" w:type="dxa"/>
                  <w:vAlign w:val="bottom"/>
                </w:tcPr>
                <w:p w14:paraId="1229FD18" w14:textId="6F015C3D" w:rsidR="00101661" w:rsidRDefault="00101661" w:rsidP="00B9240E">
                  <w:pPr>
                    <w:pStyle w:val="TableBodyText"/>
                    <w:ind w:right="23"/>
                  </w:pPr>
                  <w:r>
                    <w:t xml:space="preserve"> 0.4</w:t>
                  </w:r>
                </w:p>
              </w:tc>
              <w:tc>
                <w:tcPr>
                  <w:tcW w:w="634" w:type="dxa"/>
                  <w:vAlign w:val="bottom"/>
                </w:tcPr>
                <w:p w14:paraId="6FDF46CD" w14:textId="223C9130" w:rsidR="00101661" w:rsidRDefault="00101661" w:rsidP="00B9240E">
                  <w:pPr>
                    <w:pStyle w:val="TableBodyText"/>
                    <w:ind w:right="23"/>
                  </w:pPr>
                  <w:r>
                    <w:t xml:space="preserve"> 0.6</w:t>
                  </w:r>
                </w:p>
              </w:tc>
              <w:tc>
                <w:tcPr>
                  <w:tcW w:w="633" w:type="dxa"/>
                  <w:vAlign w:val="bottom"/>
                </w:tcPr>
                <w:p w14:paraId="63AC1271" w14:textId="089AB030" w:rsidR="00101661" w:rsidRDefault="00101661" w:rsidP="00B9240E">
                  <w:pPr>
                    <w:pStyle w:val="TableBodyText"/>
                    <w:ind w:right="23"/>
                  </w:pPr>
                  <w:r>
                    <w:t xml:space="preserve"> 0.6</w:t>
                  </w:r>
                </w:p>
              </w:tc>
              <w:tc>
                <w:tcPr>
                  <w:tcW w:w="634" w:type="dxa"/>
                  <w:vAlign w:val="bottom"/>
                </w:tcPr>
                <w:p w14:paraId="5B4C6F83" w14:textId="3165DB6F" w:rsidR="00101661" w:rsidRDefault="00101661" w:rsidP="00B9240E">
                  <w:pPr>
                    <w:pStyle w:val="TableBodyText"/>
                    <w:ind w:right="23"/>
                  </w:pPr>
                  <w:r>
                    <w:t xml:space="preserve"> 0.5</w:t>
                  </w:r>
                </w:p>
              </w:tc>
              <w:tc>
                <w:tcPr>
                  <w:tcW w:w="633" w:type="dxa"/>
                  <w:vAlign w:val="bottom"/>
                </w:tcPr>
                <w:p w14:paraId="1E5ED51A" w14:textId="2B9FFB6E" w:rsidR="00101661" w:rsidRDefault="00101661" w:rsidP="00B9240E">
                  <w:pPr>
                    <w:pStyle w:val="TableBodyText"/>
                    <w:ind w:right="23"/>
                  </w:pPr>
                  <w:r>
                    <w:t xml:space="preserve"> 1.3</w:t>
                  </w:r>
                </w:p>
              </w:tc>
              <w:tc>
                <w:tcPr>
                  <w:tcW w:w="634" w:type="dxa"/>
                  <w:vAlign w:val="bottom"/>
                </w:tcPr>
                <w:p w14:paraId="3721F820" w14:textId="337D7717" w:rsidR="00101661" w:rsidRDefault="00101661" w:rsidP="00B9240E">
                  <w:pPr>
                    <w:pStyle w:val="TableBodyText"/>
                    <w:ind w:right="23"/>
                  </w:pPr>
                  <w:r>
                    <w:t xml:space="preserve"> 0.6</w:t>
                  </w:r>
                </w:p>
              </w:tc>
              <w:tc>
                <w:tcPr>
                  <w:tcW w:w="633" w:type="dxa"/>
                  <w:vAlign w:val="bottom"/>
                </w:tcPr>
                <w:p w14:paraId="2D38A783" w14:textId="6F4E75CF" w:rsidR="00101661" w:rsidRDefault="00101661" w:rsidP="00B9240E">
                  <w:pPr>
                    <w:pStyle w:val="TableBodyText"/>
                    <w:ind w:right="23"/>
                  </w:pPr>
                  <w:r>
                    <w:t xml:space="preserve"> 5.4</w:t>
                  </w:r>
                </w:p>
              </w:tc>
              <w:tc>
                <w:tcPr>
                  <w:tcW w:w="634" w:type="dxa"/>
                  <w:vAlign w:val="bottom"/>
                </w:tcPr>
                <w:p w14:paraId="717F15CB" w14:textId="300A78D7" w:rsidR="00101661" w:rsidRDefault="00101661" w:rsidP="00B9240E">
                  <w:pPr>
                    <w:pStyle w:val="TableBodyText"/>
                    <w:ind w:right="23"/>
                  </w:pPr>
                  <w:r>
                    <w:t xml:space="preserve"> 0.6</w:t>
                  </w:r>
                </w:p>
              </w:tc>
            </w:tr>
            <w:tr w:rsidR="00101661" w:rsidRPr="00157F23" w14:paraId="14844B76" w14:textId="77777777" w:rsidTr="00B9240E">
              <w:tc>
                <w:tcPr>
                  <w:tcW w:w="2006" w:type="dxa"/>
                </w:tcPr>
                <w:p w14:paraId="030B1B85" w14:textId="77777777" w:rsidR="00101661" w:rsidRPr="00584FFF" w:rsidRDefault="00101661" w:rsidP="00101661">
                  <w:pPr>
                    <w:pStyle w:val="TableBodyText"/>
                    <w:tabs>
                      <w:tab w:val="right" w:pos="8789"/>
                    </w:tabs>
                    <w:spacing w:before="40"/>
                    <w:ind w:hanging="6"/>
                    <w:jc w:val="left"/>
                  </w:pPr>
                  <w:r w:rsidRPr="00584FFF">
                    <w:t>Family</w:t>
                  </w:r>
                </w:p>
              </w:tc>
              <w:tc>
                <w:tcPr>
                  <w:tcW w:w="633" w:type="dxa"/>
                  <w:vAlign w:val="bottom"/>
                </w:tcPr>
                <w:p w14:paraId="5C2B5EBC" w14:textId="1CCAA6A6" w:rsidR="00101661" w:rsidRDefault="00101661" w:rsidP="00B9240E">
                  <w:pPr>
                    <w:pStyle w:val="TableBodyText"/>
                    <w:ind w:right="23"/>
                  </w:pPr>
                  <w:r>
                    <w:t>..</w:t>
                  </w:r>
                </w:p>
              </w:tc>
              <w:tc>
                <w:tcPr>
                  <w:tcW w:w="634" w:type="dxa"/>
                  <w:vAlign w:val="bottom"/>
                </w:tcPr>
                <w:p w14:paraId="06DE2C97" w14:textId="25680047" w:rsidR="00101661" w:rsidRDefault="00101661" w:rsidP="00B9240E">
                  <w:pPr>
                    <w:pStyle w:val="TableBodyText"/>
                    <w:ind w:right="23"/>
                  </w:pPr>
                  <w:r>
                    <w:t>..</w:t>
                  </w:r>
                </w:p>
              </w:tc>
              <w:tc>
                <w:tcPr>
                  <w:tcW w:w="633" w:type="dxa"/>
                  <w:vAlign w:val="bottom"/>
                </w:tcPr>
                <w:p w14:paraId="1461629E" w14:textId="21DF72B2" w:rsidR="00101661" w:rsidRDefault="00101661" w:rsidP="00B9240E">
                  <w:pPr>
                    <w:pStyle w:val="TableBodyText"/>
                    <w:ind w:right="23"/>
                  </w:pPr>
                  <w:r>
                    <w:t>..</w:t>
                  </w:r>
                </w:p>
              </w:tc>
              <w:tc>
                <w:tcPr>
                  <w:tcW w:w="634" w:type="dxa"/>
                  <w:vAlign w:val="bottom"/>
                </w:tcPr>
                <w:p w14:paraId="7710FEFE" w14:textId="143FD468" w:rsidR="00101661" w:rsidRDefault="00101661" w:rsidP="00B9240E">
                  <w:pPr>
                    <w:pStyle w:val="TableBodyText"/>
                    <w:ind w:right="23"/>
                  </w:pPr>
                  <w:r>
                    <w:t xml:space="preserve"> 0.9</w:t>
                  </w:r>
                </w:p>
              </w:tc>
              <w:tc>
                <w:tcPr>
                  <w:tcW w:w="633" w:type="dxa"/>
                  <w:vAlign w:val="bottom"/>
                </w:tcPr>
                <w:p w14:paraId="62134DEF" w14:textId="6FC46708" w:rsidR="00101661" w:rsidRDefault="00101661" w:rsidP="00B9240E">
                  <w:pPr>
                    <w:pStyle w:val="TableBodyText"/>
                    <w:ind w:right="23"/>
                  </w:pPr>
                  <w:r>
                    <w:t>..</w:t>
                  </w:r>
                </w:p>
              </w:tc>
              <w:tc>
                <w:tcPr>
                  <w:tcW w:w="634" w:type="dxa"/>
                  <w:vAlign w:val="bottom"/>
                </w:tcPr>
                <w:p w14:paraId="19A1A6D0" w14:textId="5CB18229" w:rsidR="00101661" w:rsidRDefault="00101661" w:rsidP="00B9240E">
                  <w:pPr>
                    <w:pStyle w:val="TableBodyText"/>
                    <w:ind w:right="23"/>
                  </w:pPr>
                  <w:r>
                    <w:t>..</w:t>
                  </w:r>
                </w:p>
              </w:tc>
              <w:tc>
                <w:tcPr>
                  <w:tcW w:w="633" w:type="dxa"/>
                  <w:vAlign w:val="bottom"/>
                </w:tcPr>
                <w:p w14:paraId="69893CFF" w14:textId="20DB3A3C" w:rsidR="00101661" w:rsidRDefault="00101661" w:rsidP="00B9240E">
                  <w:pPr>
                    <w:pStyle w:val="TableBodyText"/>
                    <w:ind w:right="23"/>
                  </w:pPr>
                  <w:r>
                    <w:t>..</w:t>
                  </w:r>
                </w:p>
              </w:tc>
              <w:tc>
                <w:tcPr>
                  <w:tcW w:w="634" w:type="dxa"/>
                  <w:vAlign w:val="bottom"/>
                </w:tcPr>
                <w:p w14:paraId="50F5EEC2" w14:textId="1555D363" w:rsidR="00101661" w:rsidRDefault="00101661" w:rsidP="00B9240E">
                  <w:pPr>
                    <w:pStyle w:val="TableBodyText"/>
                    <w:ind w:right="23"/>
                  </w:pPr>
                  <w:r>
                    <w:t>..</w:t>
                  </w:r>
                </w:p>
              </w:tc>
              <w:tc>
                <w:tcPr>
                  <w:tcW w:w="633" w:type="dxa"/>
                  <w:vAlign w:val="bottom"/>
                </w:tcPr>
                <w:p w14:paraId="05D56671" w14:textId="189B2A4D" w:rsidR="00101661" w:rsidRDefault="00101661" w:rsidP="00B9240E">
                  <w:pPr>
                    <w:pStyle w:val="TableBodyText"/>
                    <w:ind w:right="23"/>
                  </w:pPr>
                  <w:r>
                    <w:t xml:space="preserve"> 1.0</w:t>
                  </w:r>
                </w:p>
              </w:tc>
              <w:tc>
                <w:tcPr>
                  <w:tcW w:w="634" w:type="dxa"/>
                  <w:vAlign w:val="bottom"/>
                </w:tcPr>
                <w:p w14:paraId="66C7A7FC" w14:textId="13B27B55" w:rsidR="00101661" w:rsidRDefault="00101661" w:rsidP="00B9240E">
                  <w:pPr>
                    <w:pStyle w:val="TableBodyText"/>
                    <w:ind w:right="23"/>
                  </w:pPr>
                  <w:r>
                    <w:t xml:space="preserve"> 1.0</w:t>
                  </w:r>
                </w:p>
              </w:tc>
            </w:tr>
            <w:tr w:rsidR="00101661" w:rsidRPr="00157F23" w14:paraId="140A3D94" w14:textId="77777777" w:rsidTr="00B9240E">
              <w:tc>
                <w:tcPr>
                  <w:tcW w:w="2006" w:type="dxa"/>
                </w:tcPr>
                <w:p w14:paraId="324FAA56" w14:textId="77777777" w:rsidR="00101661" w:rsidRPr="00584FFF" w:rsidRDefault="00101661" w:rsidP="00101661">
                  <w:pPr>
                    <w:pStyle w:val="TableBodyText"/>
                    <w:tabs>
                      <w:tab w:val="right" w:pos="8789"/>
                    </w:tabs>
                    <w:spacing w:before="40"/>
                    <w:ind w:hanging="6"/>
                    <w:jc w:val="left"/>
                  </w:pPr>
                  <w:r w:rsidRPr="00584FFF">
                    <w:t xml:space="preserve">Federal </w:t>
                  </w:r>
                  <w:r>
                    <w:t>Circuit</w:t>
                  </w:r>
                </w:p>
              </w:tc>
              <w:tc>
                <w:tcPr>
                  <w:tcW w:w="633" w:type="dxa"/>
                  <w:vAlign w:val="bottom"/>
                </w:tcPr>
                <w:p w14:paraId="35466F1F" w14:textId="41321790" w:rsidR="00101661" w:rsidRDefault="00101661" w:rsidP="00B9240E">
                  <w:pPr>
                    <w:pStyle w:val="TableBodyText"/>
                    <w:ind w:right="23"/>
                  </w:pPr>
                  <w:r>
                    <w:t>..</w:t>
                  </w:r>
                </w:p>
              </w:tc>
              <w:tc>
                <w:tcPr>
                  <w:tcW w:w="634" w:type="dxa"/>
                  <w:vAlign w:val="bottom"/>
                </w:tcPr>
                <w:p w14:paraId="6A21D5D8" w14:textId="39BEC52E" w:rsidR="00101661" w:rsidRDefault="00101661" w:rsidP="00B9240E">
                  <w:pPr>
                    <w:pStyle w:val="TableBodyText"/>
                    <w:ind w:right="23"/>
                  </w:pPr>
                  <w:r>
                    <w:t>..</w:t>
                  </w:r>
                </w:p>
              </w:tc>
              <w:tc>
                <w:tcPr>
                  <w:tcW w:w="633" w:type="dxa"/>
                  <w:vAlign w:val="bottom"/>
                </w:tcPr>
                <w:p w14:paraId="2F15BAA7" w14:textId="669F55B1" w:rsidR="00101661" w:rsidRDefault="00101661" w:rsidP="00B9240E">
                  <w:pPr>
                    <w:pStyle w:val="TableBodyText"/>
                    <w:ind w:right="23"/>
                  </w:pPr>
                  <w:r>
                    <w:t>..</w:t>
                  </w:r>
                </w:p>
              </w:tc>
              <w:tc>
                <w:tcPr>
                  <w:tcW w:w="634" w:type="dxa"/>
                  <w:vAlign w:val="bottom"/>
                </w:tcPr>
                <w:p w14:paraId="6FA663D2" w14:textId="09A75B4B" w:rsidR="00101661" w:rsidRDefault="00101661" w:rsidP="00B9240E">
                  <w:pPr>
                    <w:pStyle w:val="TableBodyText"/>
                    <w:ind w:right="23"/>
                  </w:pPr>
                  <w:r>
                    <w:t>..</w:t>
                  </w:r>
                </w:p>
              </w:tc>
              <w:tc>
                <w:tcPr>
                  <w:tcW w:w="633" w:type="dxa"/>
                  <w:vAlign w:val="bottom"/>
                </w:tcPr>
                <w:p w14:paraId="5D50503F" w14:textId="7466069D" w:rsidR="00101661" w:rsidRDefault="00101661" w:rsidP="00B9240E">
                  <w:pPr>
                    <w:pStyle w:val="TableBodyText"/>
                    <w:ind w:right="23"/>
                  </w:pPr>
                  <w:r>
                    <w:t>..</w:t>
                  </w:r>
                </w:p>
              </w:tc>
              <w:tc>
                <w:tcPr>
                  <w:tcW w:w="634" w:type="dxa"/>
                  <w:vAlign w:val="bottom"/>
                </w:tcPr>
                <w:p w14:paraId="6D235C86" w14:textId="0918A1FC" w:rsidR="00101661" w:rsidRDefault="00101661" w:rsidP="00B9240E">
                  <w:pPr>
                    <w:pStyle w:val="TableBodyText"/>
                    <w:ind w:right="23"/>
                  </w:pPr>
                  <w:r>
                    <w:t>..</w:t>
                  </w:r>
                </w:p>
              </w:tc>
              <w:tc>
                <w:tcPr>
                  <w:tcW w:w="633" w:type="dxa"/>
                  <w:vAlign w:val="bottom"/>
                </w:tcPr>
                <w:p w14:paraId="00A16024" w14:textId="110AF839" w:rsidR="00101661" w:rsidRDefault="00101661" w:rsidP="00B9240E">
                  <w:pPr>
                    <w:pStyle w:val="TableBodyText"/>
                    <w:ind w:right="23"/>
                  </w:pPr>
                  <w:r>
                    <w:t>..</w:t>
                  </w:r>
                </w:p>
              </w:tc>
              <w:tc>
                <w:tcPr>
                  <w:tcW w:w="634" w:type="dxa"/>
                  <w:vAlign w:val="bottom"/>
                </w:tcPr>
                <w:p w14:paraId="49F20870" w14:textId="6CE1549B" w:rsidR="00101661" w:rsidRDefault="00101661" w:rsidP="00B9240E">
                  <w:pPr>
                    <w:pStyle w:val="TableBodyText"/>
                    <w:ind w:right="23"/>
                  </w:pPr>
                  <w:r>
                    <w:t>..</w:t>
                  </w:r>
                </w:p>
              </w:tc>
              <w:tc>
                <w:tcPr>
                  <w:tcW w:w="633" w:type="dxa"/>
                  <w:vAlign w:val="bottom"/>
                </w:tcPr>
                <w:p w14:paraId="653A95D7" w14:textId="1B77BD77" w:rsidR="00101661" w:rsidRDefault="00101661" w:rsidP="00B9240E">
                  <w:pPr>
                    <w:pStyle w:val="TableBodyText"/>
                    <w:ind w:right="23"/>
                  </w:pPr>
                  <w:r>
                    <w:t xml:space="preserve"> 0.6</w:t>
                  </w:r>
                </w:p>
              </w:tc>
              <w:tc>
                <w:tcPr>
                  <w:tcW w:w="634" w:type="dxa"/>
                  <w:vAlign w:val="bottom"/>
                </w:tcPr>
                <w:p w14:paraId="139346A7" w14:textId="5BAC3B25" w:rsidR="00101661" w:rsidRDefault="00101661" w:rsidP="00B9240E">
                  <w:pPr>
                    <w:pStyle w:val="TableBodyText"/>
                    <w:ind w:right="23"/>
                  </w:pPr>
                  <w:r>
                    <w:t xml:space="preserve"> 0.6</w:t>
                  </w:r>
                </w:p>
              </w:tc>
            </w:tr>
            <w:tr w:rsidR="00101661" w:rsidRPr="00157F23" w14:paraId="511D716A" w14:textId="77777777" w:rsidTr="00B9240E">
              <w:tc>
                <w:tcPr>
                  <w:tcW w:w="2006" w:type="dxa"/>
                </w:tcPr>
                <w:p w14:paraId="67E90020" w14:textId="77777777" w:rsidR="00101661" w:rsidRPr="00584FFF" w:rsidRDefault="00101661" w:rsidP="00101661">
                  <w:pPr>
                    <w:pStyle w:val="TableBodyText"/>
                    <w:tabs>
                      <w:tab w:val="right" w:pos="8789"/>
                    </w:tabs>
                    <w:spacing w:before="40"/>
                    <w:ind w:hanging="6"/>
                    <w:jc w:val="left"/>
                  </w:pPr>
                  <w:r w:rsidRPr="00584FFF">
                    <w:t>Coroners’ courts</w:t>
                  </w:r>
                </w:p>
              </w:tc>
              <w:tc>
                <w:tcPr>
                  <w:tcW w:w="633" w:type="dxa"/>
                  <w:vAlign w:val="bottom"/>
                </w:tcPr>
                <w:p w14:paraId="70B6AFA7" w14:textId="7965EE21" w:rsidR="00101661" w:rsidRDefault="00101661" w:rsidP="00B9240E">
                  <w:pPr>
                    <w:pStyle w:val="TableBodyText"/>
                    <w:ind w:right="23"/>
                  </w:pPr>
                  <w:r>
                    <w:t xml:space="preserve"> 0.7</w:t>
                  </w:r>
                </w:p>
              </w:tc>
              <w:tc>
                <w:tcPr>
                  <w:tcW w:w="634" w:type="dxa"/>
                  <w:vAlign w:val="bottom"/>
                </w:tcPr>
                <w:p w14:paraId="2B7D8651" w14:textId="566D5336" w:rsidR="00101661" w:rsidRDefault="00101661" w:rsidP="00B9240E">
                  <w:pPr>
                    <w:pStyle w:val="TableBodyText"/>
                    <w:ind w:right="23"/>
                  </w:pPr>
                  <w:r>
                    <w:t xml:space="preserve"> 1.3</w:t>
                  </w:r>
                </w:p>
              </w:tc>
              <w:tc>
                <w:tcPr>
                  <w:tcW w:w="633" w:type="dxa"/>
                  <w:vAlign w:val="bottom"/>
                </w:tcPr>
                <w:p w14:paraId="09969397" w14:textId="3B1E15C2" w:rsidR="00101661" w:rsidRDefault="00101661" w:rsidP="00B9240E">
                  <w:pPr>
                    <w:pStyle w:val="TableBodyText"/>
                    <w:ind w:right="23"/>
                  </w:pPr>
                  <w:r>
                    <w:t xml:space="preserve"> 1.2</w:t>
                  </w:r>
                </w:p>
              </w:tc>
              <w:tc>
                <w:tcPr>
                  <w:tcW w:w="634" w:type="dxa"/>
                  <w:vAlign w:val="bottom"/>
                </w:tcPr>
                <w:p w14:paraId="70A8CA3D" w14:textId="0C3596D6" w:rsidR="00101661" w:rsidRDefault="00101661" w:rsidP="00B9240E">
                  <w:pPr>
                    <w:pStyle w:val="TableBodyText"/>
                    <w:ind w:right="23"/>
                  </w:pPr>
                  <w:r>
                    <w:t xml:space="preserve"> 1.3</w:t>
                  </w:r>
                </w:p>
              </w:tc>
              <w:tc>
                <w:tcPr>
                  <w:tcW w:w="633" w:type="dxa"/>
                  <w:vAlign w:val="bottom"/>
                </w:tcPr>
                <w:p w14:paraId="166383D1" w14:textId="7EE83DAB" w:rsidR="00101661" w:rsidRDefault="00101661" w:rsidP="00B9240E">
                  <w:pPr>
                    <w:pStyle w:val="TableBodyText"/>
                    <w:ind w:right="23"/>
                  </w:pPr>
                  <w:r>
                    <w:t xml:space="preserve"> 1.2</w:t>
                  </w:r>
                </w:p>
              </w:tc>
              <w:tc>
                <w:tcPr>
                  <w:tcW w:w="634" w:type="dxa"/>
                  <w:vAlign w:val="bottom"/>
                </w:tcPr>
                <w:p w14:paraId="02C4B3EF" w14:textId="2E92D696" w:rsidR="00101661" w:rsidRDefault="00101661" w:rsidP="00B9240E">
                  <w:pPr>
                    <w:pStyle w:val="TableBodyText"/>
                    <w:ind w:right="23"/>
                  </w:pPr>
                  <w:r>
                    <w:t xml:space="preserve"> 1.0</w:t>
                  </w:r>
                </w:p>
              </w:tc>
              <w:tc>
                <w:tcPr>
                  <w:tcW w:w="633" w:type="dxa"/>
                  <w:vAlign w:val="bottom"/>
                </w:tcPr>
                <w:p w14:paraId="4F37847B" w14:textId="2F520DF5" w:rsidR="00101661" w:rsidRPr="008C06D5" w:rsidRDefault="00934948" w:rsidP="00B9240E">
                  <w:pPr>
                    <w:pStyle w:val="TableBodyText"/>
                    <w:ind w:right="23"/>
                  </w:pPr>
                  <w:r>
                    <w:t>1.5</w:t>
                  </w:r>
                </w:p>
              </w:tc>
              <w:tc>
                <w:tcPr>
                  <w:tcW w:w="634" w:type="dxa"/>
                  <w:vAlign w:val="bottom"/>
                </w:tcPr>
                <w:p w14:paraId="1FE2466B" w14:textId="58531CB0" w:rsidR="00101661" w:rsidRDefault="00101661" w:rsidP="00B9240E">
                  <w:pPr>
                    <w:pStyle w:val="TableBodyText"/>
                    <w:ind w:right="23"/>
                  </w:pPr>
                  <w:r>
                    <w:t xml:space="preserve"> 1.5</w:t>
                  </w:r>
                </w:p>
              </w:tc>
              <w:tc>
                <w:tcPr>
                  <w:tcW w:w="633" w:type="dxa"/>
                  <w:vAlign w:val="bottom"/>
                </w:tcPr>
                <w:p w14:paraId="46B43849" w14:textId="0780761D" w:rsidR="00101661" w:rsidRDefault="00101661" w:rsidP="00B9240E">
                  <w:pPr>
                    <w:pStyle w:val="TableBodyText"/>
                    <w:ind w:right="23"/>
                  </w:pPr>
                  <w:r>
                    <w:t>..</w:t>
                  </w:r>
                </w:p>
              </w:tc>
              <w:tc>
                <w:tcPr>
                  <w:tcW w:w="634" w:type="dxa"/>
                  <w:vAlign w:val="bottom"/>
                </w:tcPr>
                <w:p w14:paraId="0AE011F4" w14:textId="663FF8C5" w:rsidR="00101661" w:rsidRDefault="00101661" w:rsidP="00B9240E">
                  <w:pPr>
                    <w:pStyle w:val="TableBodyText"/>
                    <w:ind w:right="23"/>
                  </w:pPr>
                  <w:r>
                    <w:t xml:space="preserve"> 1.1</w:t>
                  </w:r>
                </w:p>
              </w:tc>
            </w:tr>
            <w:tr w:rsidR="00101661" w:rsidRPr="00157F23" w14:paraId="4215D4CD" w14:textId="77777777" w:rsidTr="00B9240E">
              <w:tc>
                <w:tcPr>
                  <w:tcW w:w="2006" w:type="dxa"/>
                  <w:tcBorders>
                    <w:bottom w:val="single" w:sz="6" w:space="0" w:color="BFBFBF"/>
                  </w:tcBorders>
                </w:tcPr>
                <w:p w14:paraId="7194DD0D" w14:textId="77777777" w:rsidR="00101661" w:rsidRPr="00584FFF" w:rsidRDefault="00101661" w:rsidP="00101661">
                  <w:pPr>
                    <w:pStyle w:val="TableBodyText"/>
                    <w:tabs>
                      <w:tab w:val="right" w:pos="8789"/>
                    </w:tabs>
                    <w:spacing w:before="40"/>
                    <w:ind w:hanging="6"/>
                    <w:jc w:val="left"/>
                    <w:rPr>
                      <w:rStyle w:val="NoteLabel"/>
                    </w:rPr>
                  </w:pPr>
                  <w:r w:rsidRPr="00584FFF">
                    <w:rPr>
                      <w:b/>
                    </w:rPr>
                    <w:t>Total</w:t>
                  </w:r>
                </w:p>
              </w:tc>
              <w:tc>
                <w:tcPr>
                  <w:tcW w:w="633" w:type="dxa"/>
                  <w:tcBorders>
                    <w:bottom w:val="single" w:sz="6" w:space="0" w:color="BFBFBF"/>
                  </w:tcBorders>
                  <w:vAlign w:val="bottom"/>
                </w:tcPr>
                <w:p w14:paraId="76F12AFD" w14:textId="3F378D49" w:rsidR="00101661" w:rsidRDefault="00101661" w:rsidP="00B9240E">
                  <w:pPr>
                    <w:pStyle w:val="TableBodyText"/>
                    <w:ind w:right="23"/>
                    <w:rPr>
                      <w:b/>
                      <w:bCs/>
                    </w:rPr>
                  </w:pPr>
                  <w:r>
                    <w:rPr>
                      <w:b/>
                      <w:bCs/>
                    </w:rPr>
                    <w:t xml:space="preserve"> 0.6</w:t>
                  </w:r>
                </w:p>
              </w:tc>
              <w:tc>
                <w:tcPr>
                  <w:tcW w:w="634" w:type="dxa"/>
                  <w:tcBorders>
                    <w:bottom w:val="single" w:sz="6" w:space="0" w:color="BFBFBF"/>
                  </w:tcBorders>
                  <w:vAlign w:val="bottom"/>
                </w:tcPr>
                <w:p w14:paraId="1D0B2213" w14:textId="5133FCB0" w:rsidR="00101661" w:rsidRDefault="00101661" w:rsidP="00B9240E">
                  <w:pPr>
                    <w:pStyle w:val="TableBodyText"/>
                    <w:ind w:right="23"/>
                    <w:rPr>
                      <w:b/>
                      <w:bCs/>
                    </w:rPr>
                  </w:pPr>
                  <w:r>
                    <w:rPr>
                      <w:b/>
                      <w:bCs/>
                    </w:rPr>
                    <w:t xml:space="preserve"> 0.5</w:t>
                  </w:r>
                </w:p>
              </w:tc>
              <w:tc>
                <w:tcPr>
                  <w:tcW w:w="633" w:type="dxa"/>
                  <w:tcBorders>
                    <w:bottom w:val="single" w:sz="6" w:space="0" w:color="BFBFBF"/>
                  </w:tcBorders>
                  <w:vAlign w:val="bottom"/>
                </w:tcPr>
                <w:p w14:paraId="4F26F79C" w14:textId="5271DD9A" w:rsidR="00101661" w:rsidRDefault="00101661" w:rsidP="00B9240E">
                  <w:pPr>
                    <w:pStyle w:val="TableBodyText"/>
                    <w:ind w:right="23"/>
                    <w:rPr>
                      <w:b/>
                      <w:bCs/>
                    </w:rPr>
                  </w:pPr>
                  <w:r>
                    <w:rPr>
                      <w:b/>
                      <w:bCs/>
                    </w:rPr>
                    <w:t xml:space="preserve"> 0.3</w:t>
                  </w:r>
                </w:p>
              </w:tc>
              <w:tc>
                <w:tcPr>
                  <w:tcW w:w="634" w:type="dxa"/>
                  <w:tcBorders>
                    <w:bottom w:val="single" w:sz="6" w:space="0" w:color="BFBFBF"/>
                  </w:tcBorders>
                  <w:vAlign w:val="bottom"/>
                </w:tcPr>
                <w:p w14:paraId="24F60B2B" w14:textId="754F4BD6" w:rsidR="00101661" w:rsidRDefault="00101661" w:rsidP="00B9240E">
                  <w:pPr>
                    <w:pStyle w:val="TableBodyText"/>
                    <w:ind w:right="23"/>
                    <w:rPr>
                      <w:b/>
                      <w:bCs/>
                    </w:rPr>
                  </w:pPr>
                  <w:r>
                    <w:rPr>
                      <w:b/>
                      <w:bCs/>
                    </w:rPr>
                    <w:t xml:space="preserve"> 0.5</w:t>
                  </w:r>
                </w:p>
              </w:tc>
              <w:tc>
                <w:tcPr>
                  <w:tcW w:w="633" w:type="dxa"/>
                  <w:tcBorders>
                    <w:bottom w:val="single" w:sz="6" w:space="0" w:color="BFBFBF"/>
                  </w:tcBorders>
                  <w:vAlign w:val="bottom"/>
                </w:tcPr>
                <w:p w14:paraId="0E172EE4" w14:textId="7E1D4A59" w:rsidR="00101661" w:rsidRDefault="00101661" w:rsidP="00B9240E">
                  <w:pPr>
                    <w:pStyle w:val="TableBodyText"/>
                    <w:ind w:right="23"/>
                    <w:rPr>
                      <w:b/>
                      <w:bCs/>
                    </w:rPr>
                  </w:pPr>
                  <w:r>
                    <w:rPr>
                      <w:b/>
                      <w:bCs/>
                    </w:rPr>
                    <w:t xml:space="preserve"> 0.7</w:t>
                  </w:r>
                </w:p>
              </w:tc>
              <w:tc>
                <w:tcPr>
                  <w:tcW w:w="634" w:type="dxa"/>
                  <w:tcBorders>
                    <w:bottom w:val="single" w:sz="6" w:space="0" w:color="BFBFBF"/>
                  </w:tcBorders>
                  <w:vAlign w:val="bottom"/>
                </w:tcPr>
                <w:p w14:paraId="2A6E9222" w14:textId="44BA310B" w:rsidR="00101661" w:rsidRDefault="00101661" w:rsidP="00B9240E">
                  <w:pPr>
                    <w:pStyle w:val="TableBodyText"/>
                    <w:ind w:right="23"/>
                    <w:rPr>
                      <w:b/>
                      <w:bCs/>
                    </w:rPr>
                  </w:pPr>
                  <w:r>
                    <w:rPr>
                      <w:b/>
                      <w:bCs/>
                    </w:rPr>
                    <w:t xml:space="preserve"> 0.5</w:t>
                  </w:r>
                </w:p>
              </w:tc>
              <w:tc>
                <w:tcPr>
                  <w:tcW w:w="633" w:type="dxa"/>
                  <w:tcBorders>
                    <w:bottom w:val="single" w:sz="6" w:space="0" w:color="BFBFBF"/>
                  </w:tcBorders>
                  <w:vAlign w:val="bottom"/>
                </w:tcPr>
                <w:p w14:paraId="6EE8E9C1" w14:textId="72C38BF1" w:rsidR="00101661" w:rsidRPr="008C06D5" w:rsidRDefault="00283CBD" w:rsidP="00B9240E">
                  <w:pPr>
                    <w:pStyle w:val="TableBodyText"/>
                    <w:ind w:right="23"/>
                    <w:rPr>
                      <w:b/>
                      <w:bCs/>
                    </w:rPr>
                  </w:pPr>
                  <w:r>
                    <w:rPr>
                      <w:b/>
                      <w:bCs/>
                    </w:rPr>
                    <w:t xml:space="preserve"> 1.2</w:t>
                  </w:r>
                </w:p>
              </w:tc>
              <w:tc>
                <w:tcPr>
                  <w:tcW w:w="634" w:type="dxa"/>
                  <w:tcBorders>
                    <w:bottom w:val="single" w:sz="6" w:space="0" w:color="BFBFBF"/>
                  </w:tcBorders>
                  <w:vAlign w:val="bottom"/>
                </w:tcPr>
                <w:p w14:paraId="785C9549" w14:textId="0F80983F" w:rsidR="00101661" w:rsidRDefault="00101661" w:rsidP="00B9240E">
                  <w:pPr>
                    <w:pStyle w:val="TableBodyText"/>
                    <w:ind w:right="23"/>
                    <w:rPr>
                      <w:b/>
                      <w:bCs/>
                    </w:rPr>
                  </w:pPr>
                  <w:r>
                    <w:rPr>
                      <w:b/>
                      <w:bCs/>
                    </w:rPr>
                    <w:t xml:space="preserve"> 0.6</w:t>
                  </w:r>
                </w:p>
              </w:tc>
              <w:tc>
                <w:tcPr>
                  <w:tcW w:w="633" w:type="dxa"/>
                  <w:tcBorders>
                    <w:bottom w:val="single" w:sz="6" w:space="0" w:color="BFBFBF"/>
                  </w:tcBorders>
                  <w:vAlign w:val="bottom"/>
                </w:tcPr>
                <w:p w14:paraId="12D7FB3F" w14:textId="535D73E4" w:rsidR="00101661" w:rsidRDefault="00101661" w:rsidP="00B9240E">
                  <w:pPr>
                    <w:pStyle w:val="TableBodyText"/>
                    <w:ind w:right="23"/>
                    <w:rPr>
                      <w:b/>
                      <w:bCs/>
                    </w:rPr>
                  </w:pPr>
                  <w:r>
                    <w:rPr>
                      <w:b/>
                      <w:bCs/>
                    </w:rPr>
                    <w:t xml:space="preserve"> 0.9</w:t>
                  </w:r>
                </w:p>
              </w:tc>
              <w:tc>
                <w:tcPr>
                  <w:tcW w:w="634" w:type="dxa"/>
                  <w:tcBorders>
                    <w:bottom w:val="single" w:sz="6" w:space="0" w:color="BFBFBF"/>
                  </w:tcBorders>
                  <w:vAlign w:val="bottom"/>
                </w:tcPr>
                <w:p w14:paraId="02CE5EC1" w14:textId="4333C4D9" w:rsidR="00101661" w:rsidRDefault="00101661" w:rsidP="00B9240E">
                  <w:pPr>
                    <w:pStyle w:val="TableBodyText"/>
                    <w:ind w:right="23"/>
                    <w:rPr>
                      <w:b/>
                      <w:bCs/>
                    </w:rPr>
                  </w:pPr>
                  <w:r>
                    <w:rPr>
                      <w:b/>
                      <w:bCs/>
                    </w:rPr>
                    <w:t xml:space="preserve"> 0.5</w:t>
                  </w:r>
                </w:p>
              </w:tc>
            </w:tr>
          </w:tbl>
          <w:p w14:paraId="5A918946" w14:textId="77777777" w:rsidR="00F3288C" w:rsidRDefault="00F3288C" w:rsidP="003551D9">
            <w:pPr>
              <w:pStyle w:val="Box"/>
            </w:pPr>
          </w:p>
        </w:tc>
      </w:tr>
      <w:tr w:rsidR="00F3288C" w14:paraId="7CF62450" w14:textId="77777777" w:rsidTr="00B9240E">
        <w:trPr>
          <w:cantSplit/>
        </w:trPr>
        <w:tc>
          <w:tcPr>
            <w:tcW w:w="8789" w:type="dxa"/>
            <w:tcBorders>
              <w:top w:val="nil"/>
              <w:left w:val="nil"/>
              <w:bottom w:val="nil"/>
              <w:right w:val="nil"/>
            </w:tcBorders>
            <w:shd w:val="clear" w:color="auto" w:fill="auto"/>
          </w:tcPr>
          <w:p w14:paraId="33632102" w14:textId="74B4A3DC" w:rsidR="00F3288C" w:rsidRPr="004F77DA" w:rsidRDefault="00A424C3" w:rsidP="00362378">
            <w:pPr>
              <w:pStyle w:val="Note"/>
              <w:rPr>
                <w:i/>
                <w:szCs w:val="26"/>
                <w:lang w:eastAsia="en-US"/>
              </w:rPr>
            </w:pPr>
            <w:r w:rsidRPr="003117D8">
              <w:rPr>
                <w:rStyle w:val="NoteLabel"/>
              </w:rPr>
              <w:t>a</w:t>
            </w:r>
            <w:r w:rsidRPr="003117D8">
              <w:t> See box 7.1</w:t>
            </w:r>
            <w:r w:rsidR="002F186A">
              <w:t>1 and table 7A.26</w:t>
            </w:r>
            <w:r w:rsidRPr="003117D8">
              <w:t xml:space="preserve"> for detailed </w:t>
            </w:r>
            <w:r w:rsidR="00EB45CB" w:rsidRPr="003117D8">
              <w:t xml:space="preserve">definitions, footnotes and </w:t>
            </w:r>
            <w:r w:rsidRPr="003117D8">
              <w:t>caveats</w:t>
            </w:r>
            <w:r w:rsidR="00EA5D5E">
              <w:t>.</w:t>
            </w:r>
            <w:r w:rsidR="00362378">
              <w:t xml:space="preserve"> </w:t>
            </w:r>
            <w:r w:rsidR="00F45765" w:rsidRPr="000A1DE5">
              <w:t>..</w:t>
            </w:r>
            <w:r w:rsidR="00F45765" w:rsidRPr="00B91268">
              <w:rPr>
                <w:b/>
              </w:rPr>
              <w:t> </w:t>
            </w:r>
            <w:r w:rsidR="00F45765" w:rsidRPr="00B91268">
              <w:t>Not applicable.</w:t>
            </w:r>
          </w:p>
        </w:tc>
      </w:tr>
      <w:tr w:rsidR="00F3288C" w14:paraId="5847A9A1" w14:textId="77777777" w:rsidTr="00B9240E">
        <w:trPr>
          <w:cantSplit/>
        </w:trPr>
        <w:tc>
          <w:tcPr>
            <w:tcW w:w="8789" w:type="dxa"/>
            <w:tcBorders>
              <w:top w:val="nil"/>
              <w:left w:val="nil"/>
              <w:bottom w:val="nil"/>
              <w:right w:val="nil"/>
            </w:tcBorders>
            <w:shd w:val="clear" w:color="auto" w:fill="auto"/>
          </w:tcPr>
          <w:p w14:paraId="09DC020F" w14:textId="627070AB" w:rsidR="00F3288C" w:rsidRDefault="00F45765" w:rsidP="003551D9">
            <w:pPr>
              <w:pStyle w:val="Source"/>
            </w:pPr>
            <w:r>
              <w:rPr>
                <w:i/>
              </w:rPr>
              <w:t>Source</w:t>
            </w:r>
            <w:r w:rsidRPr="00AF5D20">
              <w:t>:</w:t>
            </w:r>
            <w:r>
              <w:rPr>
                <w:i/>
              </w:rPr>
              <w:t xml:space="preserve"> </w:t>
            </w:r>
            <w:r w:rsidRPr="00584FFF">
              <w:t>Australian, State and Territory court authorities and departments (unpublished); table 7A.2</w:t>
            </w:r>
            <w:r w:rsidR="002F186A">
              <w:t>6</w:t>
            </w:r>
            <w:r w:rsidRPr="00584FFF">
              <w:t>.</w:t>
            </w:r>
          </w:p>
        </w:tc>
      </w:tr>
      <w:tr w:rsidR="004B0BD8" w14:paraId="422A734A" w14:textId="77777777" w:rsidTr="00B9240E">
        <w:trPr>
          <w:cantSplit/>
        </w:trPr>
        <w:tc>
          <w:tcPr>
            <w:tcW w:w="8789" w:type="dxa"/>
            <w:tcBorders>
              <w:top w:val="nil"/>
              <w:left w:val="nil"/>
              <w:bottom w:val="nil"/>
              <w:right w:val="nil"/>
            </w:tcBorders>
            <w:shd w:val="clear" w:color="auto" w:fill="auto"/>
          </w:tcPr>
          <w:p w14:paraId="68C0A944" w14:textId="77777777" w:rsidR="004B0BD8" w:rsidRDefault="004B0BD8" w:rsidP="00BB76ED">
            <w:pPr>
              <w:pStyle w:val="Figurespace"/>
              <w:rPr>
                <w:i/>
              </w:rPr>
            </w:pPr>
          </w:p>
        </w:tc>
      </w:tr>
      <w:tr w:rsidR="00F3288C" w:rsidRPr="000863A5" w14:paraId="427F18C4" w14:textId="77777777" w:rsidTr="00B9240E">
        <w:tc>
          <w:tcPr>
            <w:tcW w:w="8789" w:type="dxa"/>
            <w:tcBorders>
              <w:top w:val="single" w:sz="6" w:space="0" w:color="78A22F" w:themeColor="accent1"/>
              <w:left w:val="nil"/>
              <w:bottom w:val="nil"/>
              <w:right w:val="nil"/>
            </w:tcBorders>
          </w:tcPr>
          <w:p w14:paraId="50435776" w14:textId="77777777" w:rsidR="00F3288C" w:rsidRPr="00626D32" w:rsidRDefault="00F3288C" w:rsidP="003551D9">
            <w:pPr>
              <w:pStyle w:val="BoxSpaceBelow"/>
            </w:pPr>
          </w:p>
        </w:tc>
      </w:tr>
    </w:tbl>
    <w:p w14:paraId="20E5FB4F" w14:textId="77777777" w:rsidR="00B61C2A" w:rsidRDefault="00AB47AC" w:rsidP="00B61C2A">
      <w:pPr>
        <w:pStyle w:val="Heading4"/>
      </w:pPr>
      <w:r>
        <w:t>C</w:t>
      </w:r>
      <w:r w:rsidR="00B61C2A">
        <w:t>ost per finalisation</w:t>
      </w:r>
    </w:p>
    <w:p w14:paraId="31E6D2F4" w14:textId="60BDDACA" w:rsidR="00D85B36" w:rsidRDefault="00B468FA" w:rsidP="00622974">
      <w:pPr>
        <w:pStyle w:val="BodyText"/>
      </w:pPr>
      <w:r w:rsidRPr="00F36779">
        <w:t>‘</w:t>
      </w:r>
      <w:r w:rsidR="00B61C2A" w:rsidRPr="00F36779">
        <w:t>Cost per finalisation</w:t>
      </w:r>
      <w:r w:rsidRPr="00F36779">
        <w:t>’ is a</w:t>
      </w:r>
      <w:r w:rsidR="00AB47AC">
        <w:t>n</w:t>
      </w:r>
      <w:r w:rsidRPr="00F36779">
        <w:t xml:space="preserve"> indicator of governments’</w:t>
      </w:r>
      <w:r w:rsidR="00340CB9" w:rsidRPr="00F36779">
        <w:t xml:space="preserve"> achievement against the</w:t>
      </w:r>
      <w:r w:rsidRPr="00F36779">
        <w:t xml:space="preserve"> objective </w:t>
      </w:r>
      <w:r w:rsidR="00340CB9" w:rsidRPr="00F36779">
        <w:t xml:space="preserve">of </w:t>
      </w:r>
      <w:r w:rsidRPr="00F36779">
        <w:t>provid</w:t>
      </w:r>
      <w:r w:rsidR="00340CB9" w:rsidRPr="00F36779">
        <w:t>ing</w:t>
      </w:r>
      <w:r w:rsidRPr="00F36779">
        <w:t xml:space="preserve"> court services in an efficient</w:t>
      </w:r>
      <w:r w:rsidR="00B61C2A" w:rsidRPr="00F36779">
        <w:t xml:space="preserve"> </w:t>
      </w:r>
      <w:r w:rsidRPr="00F36779">
        <w:t>manner</w:t>
      </w:r>
      <w:r w:rsidR="00B61C2A" w:rsidRPr="00F36779">
        <w:t xml:space="preserve"> (</w:t>
      </w:r>
      <w:r w:rsidR="00A76A9C" w:rsidRPr="00F36779">
        <w:t>box 7</w:t>
      </w:r>
      <w:r w:rsidR="00572B9F" w:rsidRPr="00F36779">
        <w:t>.1</w:t>
      </w:r>
      <w:r w:rsidR="00824B15">
        <w:t>2</w:t>
      </w:r>
      <w:r w:rsidR="00B61C2A" w:rsidRPr="00F36779">
        <w:t xml:space="preserve">). </w:t>
      </w:r>
    </w:p>
    <w:p w14:paraId="7F379887" w14:textId="77777777" w:rsidR="000033A3" w:rsidRDefault="000033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033A3" w14:paraId="3AFCC74E" w14:textId="77777777" w:rsidTr="00B9240E">
        <w:tc>
          <w:tcPr>
            <w:tcW w:w="8789" w:type="dxa"/>
            <w:tcBorders>
              <w:top w:val="single" w:sz="6" w:space="0" w:color="78A22F"/>
              <w:left w:val="nil"/>
              <w:bottom w:val="nil"/>
              <w:right w:val="nil"/>
            </w:tcBorders>
            <w:shd w:val="clear" w:color="auto" w:fill="F2F2F2" w:themeFill="background1" w:themeFillShade="F2"/>
          </w:tcPr>
          <w:p w14:paraId="12E37499" w14:textId="1CF71942" w:rsidR="000033A3" w:rsidRPr="000033A3" w:rsidRDefault="000033A3" w:rsidP="00824B15">
            <w:pPr>
              <w:pStyle w:val="BoxTitle"/>
              <w:rPr>
                <w:b w:val="0"/>
              </w:rPr>
            </w:pPr>
            <w:r>
              <w:rPr>
                <w:b w:val="0"/>
              </w:rPr>
              <w:t>Box 7</w:t>
            </w:r>
            <w:r w:rsidR="00DD2492">
              <w:rPr>
                <w:b w:val="0"/>
              </w:rPr>
              <w:t>.1</w:t>
            </w:r>
            <w:r w:rsidR="00824B15">
              <w:rPr>
                <w:b w:val="0"/>
              </w:rPr>
              <w:t>2</w:t>
            </w:r>
            <w:r>
              <w:tab/>
            </w:r>
            <w:r w:rsidRPr="00916E0D">
              <w:t>Cost per finalisation</w:t>
            </w:r>
          </w:p>
        </w:tc>
      </w:tr>
      <w:tr w:rsidR="000033A3" w14:paraId="624ABAD9" w14:textId="77777777" w:rsidTr="00B9240E">
        <w:trPr>
          <w:cantSplit/>
        </w:trPr>
        <w:tc>
          <w:tcPr>
            <w:tcW w:w="8789" w:type="dxa"/>
            <w:tcBorders>
              <w:top w:val="nil"/>
              <w:left w:val="nil"/>
              <w:bottom w:val="nil"/>
              <w:right w:val="nil"/>
            </w:tcBorders>
            <w:shd w:val="clear" w:color="auto" w:fill="F2F2F2" w:themeFill="background1" w:themeFillShade="F2"/>
          </w:tcPr>
          <w:p w14:paraId="0E76DE3F" w14:textId="77777777" w:rsidR="000033A3" w:rsidRPr="00F36779" w:rsidRDefault="000033A3" w:rsidP="003551D9">
            <w:pPr>
              <w:pStyle w:val="Box"/>
            </w:pPr>
            <w:r w:rsidRPr="00F36779">
              <w:t>‘Cost per finalisation’</w:t>
            </w:r>
            <w:r w:rsidRPr="00584FFF">
              <w:t xml:space="preserve"> is measured by dividing the total recurrent expenditure (gross and net</w:t>
            </w:r>
            <w:r w:rsidR="008A2A9B">
              <w:t xml:space="preserve"> – </w:t>
            </w:r>
            <w:r w:rsidR="008A2A9B" w:rsidRPr="003117D8">
              <w:t>excluding payroll tax</w:t>
            </w:r>
            <w:r w:rsidRPr="00584FFF">
              <w:t>)</w:t>
            </w:r>
            <w:r w:rsidRPr="00F36779">
              <w:t xml:space="preserve"> within each court for the financial year by the total number of finalisations for the same period. This indicator is not a measure of the actual cost per case. </w:t>
            </w:r>
          </w:p>
          <w:p w14:paraId="0138C160" w14:textId="77777777" w:rsidR="000033A3" w:rsidRPr="007E5F31" w:rsidRDefault="000033A3" w:rsidP="003551D9">
            <w:pPr>
              <w:pStyle w:val="Box"/>
            </w:pPr>
            <w:r w:rsidRPr="00F36779">
              <w:t xml:space="preserve">The following points need to be considered in </w:t>
            </w:r>
            <w:r w:rsidRPr="004551C5">
              <w:t xml:space="preserve">interpreting </w:t>
            </w:r>
            <w:r w:rsidR="00AB47AC" w:rsidRPr="004551C5">
              <w:t>the</w:t>
            </w:r>
            <w:r w:rsidRPr="004551C5">
              <w:t xml:space="preserve"> results</w:t>
            </w:r>
            <w:r w:rsidR="00AB47AC" w:rsidRPr="004551C5">
              <w:t xml:space="preserve"> for this indicator</w:t>
            </w:r>
            <w:r w:rsidRPr="004551C5">
              <w:t>:</w:t>
            </w:r>
          </w:p>
          <w:p w14:paraId="795F32F9" w14:textId="77777777" w:rsidR="000033A3" w:rsidRPr="007E5F31" w:rsidRDefault="000033A3" w:rsidP="003551D9">
            <w:pPr>
              <w:pStyle w:val="BoxListBullet"/>
            </w:pPr>
            <w:r w:rsidRPr="00F36779">
              <w:t>some finalisations take a short time and require few resources, whereas other finalisations may be resource intensive and involve complicated trials and interlocutory decisions</w:t>
            </w:r>
          </w:p>
          <w:p w14:paraId="54337604" w14:textId="77777777" w:rsidR="000033A3" w:rsidRPr="007E5F31" w:rsidRDefault="000033A3" w:rsidP="003551D9">
            <w:pPr>
              <w:pStyle w:val="BoxListBullet"/>
            </w:pPr>
            <w:r w:rsidRPr="00F36779">
              <w:t>expenditure data may include arbitrary allocation between criminal and civil jurisdictions</w:t>
            </w:r>
          </w:p>
          <w:p w14:paraId="1195874D" w14:textId="4A8FD596" w:rsidR="006D4FB3" w:rsidRPr="0057190D" w:rsidRDefault="000033A3" w:rsidP="00871574">
            <w:pPr>
              <w:pStyle w:val="BoxListBullet"/>
            </w:pPr>
            <w:r w:rsidRPr="00F36779">
              <w:t>net expenditure is calculated by deducting income (court fees</w:t>
            </w:r>
            <w:r w:rsidR="005951BA">
              <w:t xml:space="preserve"> and other sources of revenue, excluding fines</w:t>
            </w:r>
            <w:r w:rsidRPr="00F36779">
              <w:t>) from total expenditure</w:t>
            </w:r>
            <w:r w:rsidR="008628E2">
              <w:t xml:space="preserve">, and for </w:t>
            </w:r>
            <w:r w:rsidR="006D4FB3" w:rsidRPr="0057190D">
              <w:t xml:space="preserve">civil courts is impacted by court fee relief and exemptions </w:t>
            </w:r>
          </w:p>
          <w:p w14:paraId="30745962" w14:textId="77777777" w:rsidR="000033A3" w:rsidRPr="007E5F31" w:rsidRDefault="000033A3" w:rsidP="003551D9">
            <w:pPr>
              <w:pStyle w:val="BoxListBullet"/>
            </w:pPr>
            <w:r w:rsidRPr="00F36779">
              <w:t>a number of factors are beyond the control of jurisdictions, such as geographic dispersion, economies of scale and socioeconomic factors</w:t>
            </w:r>
            <w:r w:rsidR="00AB47AC">
              <w:t>.</w:t>
            </w:r>
          </w:p>
          <w:p w14:paraId="7A95D838" w14:textId="77777777" w:rsidR="000033A3" w:rsidRDefault="000033A3" w:rsidP="003551D9">
            <w:pPr>
              <w:pStyle w:val="BoxListBullet"/>
              <w:numPr>
                <w:ilvl w:val="0"/>
                <w:numId w:val="0"/>
              </w:numPr>
            </w:pPr>
            <w:r w:rsidRPr="00F36779">
              <w:t>Data reported for this indicator are</w:t>
            </w:r>
            <w:r>
              <w:t>:</w:t>
            </w:r>
            <w:r w:rsidRPr="00F36779">
              <w:t xml:space="preserve"> </w:t>
            </w:r>
          </w:p>
          <w:p w14:paraId="6194D174" w14:textId="77777777" w:rsidR="000033A3" w:rsidRPr="000033A3" w:rsidRDefault="000033A3" w:rsidP="00573616">
            <w:pPr>
              <w:pStyle w:val="BoxListBullet"/>
            </w:pPr>
            <w:r w:rsidRPr="000033A3">
              <w:t>comparable (subject to caveats) within jurisdictions over time but are not comparable across jurisdictions</w:t>
            </w:r>
          </w:p>
          <w:p w14:paraId="25344BC0" w14:textId="72D6DD8D" w:rsidR="000033A3" w:rsidRPr="009D5777" w:rsidRDefault="000033A3">
            <w:pPr>
              <w:pStyle w:val="BoxListBullet"/>
              <w:spacing w:after="120"/>
              <w:rPr>
                <w:szCs w:val="22"/>
              </w:rPr>
            </w:pPr>
            <w:r w:rsidRPr="000033A3">
              <w:t xml:space="preserve">complete for the current reporting period (subject to caveats). All required </w:t>
            </w:r>
            <w:r w:rsidRPr="00182BFE">
              <w:t>201</w:t>
            </w:r>
            <w:r w:rsidR="00DD0736" w:rsidRPr="00182BFE">
              <w:t>6</w:t>
            </w:r>
            <w:r w:rsidRPr="00182BFE">
              <w:noBreakHyphen/>
              <w:t>1</w:t>
            </w:r>
            <w:r w:rsidR="00DD0736" w:rsidRPr="00182BFE">
              <w:t>7</w:t>
            </w:r>
            <w:r w:rsidRPr="00182BFE">
              <w:t xml:space="preserve"> </w:t>
            </w:r>
            <w:r w:rsidRPr="000033A3">
              <w:t>data are available for all jurisdictions.</w:t>
            </w:r>
          </w:p>
        </w:tc>
      </w:tr>
      <w:tr w:rsidR="000033A3" w:rsidRPr="000863A5" w14:paraId="55687E96" w14:textId="77777777" w:rsidTr="00B9240E">
        <w:tc>
          <w:tcPr>
            <w:tcW w:w="8789" w:type="dxa"/>
            <w:tcBorders>
              <w:top w:val="single" w:sz="6" w:space="0" w:color="78A22F"/>
              <w:left w:val="nil"/>
              <w:bottom w:val="nil"/>
              <w:right w:val="nil"/>
            </w:tcBorders>
          </w:tcPr>
          <w:p w14:paraId="67EEF637" w14:textId="77777777" w:rsidR="000033A3" w:rsidRPr="00626D32" w:rsidRDefault="000033A3" w:rsidP="003551D9">
            <w:pPr>
              <w:pStyle w:val="BoxSpaceBelow"/>
            </w:pPr>
          </w:p>
        </w:tc>
      </w:tr>
    </w:tbl>
    <w:p w14:paraId="24CD1BD5" w14:textId="2CAB5C76" w:rsidR="004F27B0" w:rsidRDefault="00B56B49" w:rsidP="004F27B0">
      <w:pPr>
        <w:pStyle w:val="BodyText"/>
      </w:pPr>
      <w:r>
        <w:t>In general, the net</w:t>
      </w:r>
      <w:r w:rsidR="00B433D6">
        <w:t xml:space="preserve"> recurrent expenditure</w:t>
      </w:r>
      <w:r w:rsidR="004F27B0">
        <w:t xml:space="preserve"> per finalisation for civil courts will be lower than criminal courts because</w:t>
      </w:r>
      <w:r w:rsidR="00627105">
        <w:t xml:space="preserve"> </w:t>
      </w:r>
      <w:r w:rsidR="001273F2">
        <w:t>relatively little</w:t>
      </w:r>
      <w:r w:rsidR="004F27B0">
        <w:t xml:space="preserve"> income is generated by the criminal court system (</w:t>
      </w:r>
      <w:r w:rsidR="00A76A9C">
        <w:t>table</w:t>
      </w:r>
      <w:r w:rsidR="009668DF">
        <w:t>s</w:t>
      </w:r>
      <w:r w:rsidR="00A76A9C">
        <w:t> 7</w:t>
      </w:r>
      <w:r w:rsidR="004F27B0">
        <w:t>A.</w:t>
      </w:r>
      <w:r w:rsidR="00DF1EE3">
        <w:t>27</w:t>
      </w:r>
      <w:r w:rsidR="009668DF">
        <w:t>–</w:t>
      </w:r>
      <w:r w:rsidR="00DF1EE3">
        <w:t>29</w:t>
      </w:r>
      <w:r w:rsidR="004F27B0">
        <w:t xml:space="preserve">). </w:t>
      </w:r>
      <w:r w:rsidR="00807E2C">
        <w:t xml:space="preserve">Civil court fee structures </w:t>
      </w:r>
      <w:r w:rsidR="00EA5255">
        <w:t>can</w:t>
      </w:r>
      <w:r w:rsidR="00EA1007">
        <w:t xml:space="preserve"> </w:t>
      </w:r>
      <w:r w:rsidR="00807E2C">
        <w:t xml:space="preserve">also </w:t>
      </w:r>
      <w:r w:rsidR="00C25355" w:rsidRPr="00186209">
        <w:t xml:space="preserve">affect </w:t>
      </w:r>
      <w:r w:rsidR="00807E2C" w:rsidRPr="00186209">
        <w:t>c</w:t>
      </w:r>
      <w:r w:rsidR="00807E2C">
        <w:t>ost per finalisation results</w:t>
      </w:r>
      <w:r w:rsidR="009668DF">
        <w:t>.</w:t>
      </w:r>
      <w:r w:rsidR="00BC5923">
        <w:t xml:space="preserve"> </w:t>
      </w:r>
    </w:p>
    <w:p w14:paraId="6BB17DF6" w14:textId="77777777" w:rsidR="007C1F92" w:rsidRDefault="00A837EE" w:rsidP="007C1F92">
      <w:pPr>
        <w:pStyle w:val="Heading5"/>
      </w:pPr>
      <w:r>
        <w:t xml:space="preserve">Cost </w:t>
      </w:r>
      <w:r w:rsidR="007C1F92">
        <w:t xml:space="preserve">per finalisation for the </w:t>
      </w:r>
      <w:r w:rsidR="00BB4185">
        <w:t>S</w:t>
      </w:r>
      <w:r w:rsidR="001273F2">
        <w:t>upreme c</w:t>
      </w:r>
      <w:r w:rsidR="00BC62E9">
        <w:t>ourt</w:t>
      </w:r>
      <w:r w:rsidR="003B2DF1">
        <w:t>s</w:t>
      </w:r>
      <w:r w:rsidR="007C1F92">
        <w:t xml:space="preserve"> and the Federal Court of Australia</w:t>
      </w:r>
    </w:p>
    <w:p w14:paraId="133A406E" w14:textId="7CD47BDC" w:rsidR="007C1F92" w:rsidRDefault="00550957" w:rsidP="009F5231">
      <w:pPr>
        <w:pStyle w:val="BodyText"/>
      </w:pPr>
      <w:r w:rsidRPr="00CB2E7A">
        <w:t>Nationally</w:t>
      </w:r>
      <w:r w:rsidR="009732DD">
        <w:t xml:space="preserve"> </w:t>
      </w:r>
      <w:r w:rsidRPr="00CB2E7A">
        <w:t>i</w:t>
      </w:r>
      <w:r w:rsidR="007C1F92" w:rsidRPr="00CB2E7A">
        <w:t xml:space="preserve">n </w:t>
      </w:r>
      <w:r w:rsidR="002A5592" w:rsidRPr="00071ECB">
        <w:t>201</w:t>
      </w:r>
      <w:r w:rsidR="00DD0736" w:rsidRPr="00071ECB">
        <w:t>6</w:t>
      </w:r>
      <w:r w:rsidR="00205BCF" w:rsidRPr="00071ECB">
        <w:noBreakHyphen/>
      </w:r>
      <w:r w:rsidR="006C3715" w:rsidRPr="00071ECB">
        <w:t>1</w:t>
      </w:r>
      <w:r w:rsidR="00DD0736" w:rsidRPr="00071ECB">
        <w:t>7</w:t>
      </w:r>
      <w:r w:rsidR="007C1F92" w:rsidRPr="00AD03E0">
        <w:t xml:space="preserve">, </w:t>
      </w:r>
      <w:r w:rsidR="00B71BF2" w:rsidRPr="00A74C13">
        <w:rPr>
          <w:color w:val="000000" w:themeColor="text1"/>
        </w:rPr>
        <w:t>the gross cost per finalisation in the criminal jurisdiction of supreme courts ($21 332) was greater than the civil jurisdiction ($10 996)</w:t>
      </w:r>
      <w:r w:rsidR="009F3590" w:rsidRPr="00A74C13">
        <w:rPr>
          <w:color w:val="000000" w:themeColor="text1"/>
        </w:rPr>
        <w:t xml:space="preserve"> (tables 7A.30</w:t>
      </w:r>
      <w:r w:rsidR="008F08C6" w:rsidRPr="00A74C13">
        <w:t>–</w:t>
      </w:r>
      <w:r w:rsidR="009F3590" w:rsidRPr="00A74C13">
        <w:t>31)</w:t>
      </w:r>
      <w:r w:rsidR="00B71BF2" w:rsidRPr="00A74C13">
        <w:rPr>
          <w:color w:val="000000" w:themeColor="text1"/>
        </w:rPr>
        <w:t>. The net costs per finalisation were</w:t>
      </w:r>
      <w:r w:rsidR="00733842" w:rsidRPr="00A74C13">
        <w:rPr>
          <w:color w:val="000000" w:themeColor="text1"/>
        </w:rPr>
        <w:t xml:space="preserve"> </w:t>
      </w:r>
      <w:r w:rsidR="00733842" w:rsidRPr="00A74C13">
        <w:t>$</w:t>
      </w:r>
      <w:r w:rsidR="00071ECB" w:rsidRPr="00A74C13">
        <w:t>21 058</w:t>
      </w:r>
      <w:r w:rsidR="00B71BF2" w:rsidRPr="00A74C13">
        <w:t xml:space="preserve"> in the criminal courts and $7978 in</w:t>
      </w:r>
      <w:r w:rsidR="008628E2" w:rsidRPr="00A74C13">
        <w:t xml:space="preserve"> </w:t>
      </w:r>
      <w:r w:rsidR="007C1F92" w:rsidRPr="00A74C13">
        <w:t xml:space="preserve">the civil </w:t>
      </w:r>
      <w:r w:rsidR="00B71BF2" w:rsidRPr="00A74C13">
        <w:t>courts</w:t>
      </w:r>
      <w:r w:rsidR="00413DAF" w:rsidRPr="00AD03E0">
        <w:t xml:space="preserve"> (figure </w:t>
      </w:r>
      <w:r w:rsidR="00413DAF" w:rsidRPr="00BD72D8">
        <w:t>7.</w:t>
      </w:r>
      <w:r w:rsidR="00F97521">
        <w:t>7</w:t>
      </w:r>
      <w:r w:rsidR="00413DAF" w:rsidRPr="00AD03E0">
        <w:t>).</w:t>
      </w:r>
      <w:r w:rsidR="006855BD">
        <w:t xml:space="preserve"> </w:t>
      </w:r>
    </w:p>
    <w:p w14:paraId="734DD813" w14:textId="77777777" w:rsidR="00D50006" w:rsidRDefault="00D50006" w:rsidP="00D50006">
      <w:pPr>
        <w:pStyle w:val="Heading5"/>
        <w:keepNext w:val="0"/>
        <w:widowControl w:val="0"/>
      </w:pPr>
      <w:r>
        <w:t>Cost per finalisation for district/county courts</w:t>
      </w:r>
    </w:p>
    <w:p w14:paraId="0C6740C6" w14:textId="7D8321F3" w:rsidR="00D50006" w:rsidRDefault="00D50006" w:rsidP="00D50006">
      <w:pPr>
        <w:pStyle w:val="BodyText"/>
        <w:widowControl w:val="0"/>
      </w:pPr>
      <w:r w:rsidRPr="00443FE1">
        <w:t>Nationally in 2016</w:t>
      </w:r>
      <w:r w:rsidRPr="00443FE1">
        <w:noBreakHyphen/>
        <w:t xml:space="preserve">17, </w:t>
      </w:r>
      <w:r w:rsidR="002A1283" w:rsidRPr="00A74C13">
        <w:t>the gross cost per finalisation in the criminal jurisdiction of district/county courts ($9880) was greater than the civil jurisdiction ($4283)</w:t>
      </w:r>
      <w:r w:rsidR="000A1DE5">
        <w:rPr>
          <w:color w:val="000000" w:themeColor="text1"/>
        </w:rPr>
        <w:t xml:space="preserve"> </w:t>
      </w:r>
      <w:r w:rsidR="000A1DE5">
        <w:rPr>
          <w:color w:val="000000" w:themeColor="text1"/>
        </w:rPr>
        <w:br/>
        <w:t>(tables </w:t>
      </w:r>
      <w:r w:rsidR="008F08C6" w:rsidRPr="00A74C13">
        <w:rPr>
          <w:color w:val="000000" w:themeColor="text1"/>
        </w:rPr>
        <w:t>7A.30</w:t>
      </w:r>
      <w:r w:rsidR="008F08C6" w:rsidRPr="00A74C13">
        <w:t>–31)</w:t>
      </w:r>
      <w:r w:rsidR="002A1283" w:rsidRPr="00A74C13">
        <w:t>.</w:t>
      </w:r>
      <w:r w:rsidR="002A1283">
        <w:t xml:space="preserve"> The net </w:t>
      </w:r>
      <w:r w:rsidR="00443FE1">
        <w:t>cost</w:t>
      </w:r>
      <w:r w:rsidR="002A1283">
        <w:t xml:space="preserve"> per finalisation in the crimin</w:t>
      </w:r>
      <w:r w:rsidRPr="00896F23">
        <w:t xml:space="preserve">al jurisdiction </w:t>
      </w:r>
      <w:r w:rsidRPr="00D919A8">
        <w:t>($</w:t>
      </w:r>
      <w:r w:rsidR="00584881">
        <w:t>9703</w:t>
      </w:r>
      <w:r w:rsidRPr="003B2DF1">
        <w:t>)</w:t>
      </w:r>
      <w:r w:rsidRPr="00896F23">
        <w:t xml:space="preserve"> was</w:t>
      </w:r>
      <w:r w:rsidR="00584881">
        <w:t xml:space="preserve"> more than</w:t>
      </w:r>
      <w:r w:rsidRPr="00896F23">
        <w:t xml:space="preserve"> </w:t>
      </w:r>
      <w:r>
        <w:t>three</w:t>
      </w:r>
      <w:r w:rsidRPr="00896F23">
        <w:t xml:space="preserve"> times that in the civil jurisdiction </w:t>
      </w:r>
      <w:r w:rsidRPr="00D919A8">
        <w:t>($</w:t>
      </w:r>
      <w:r w:rsidR="00584881">
        <w:t>2661</w:t>
      </w:r>
      <w:r w:rsidRPr="00D919A8">
        <w:t>)</w:t>
      </w:r>
      <w:r>
        <w:t xml:space="preserve"> </w:t>
      </w:r>
      <w:r w:rsidRPr="00896F23">
        <w:t>(</w:t>
      </w:r>
      <w:r w:rsidRPr="00D919A8">
        <w:t>figure </w:t>
      </w:r>
      <w:r w:rsidRPr="00BD72D8">
        <w:t>7</w:t>
      </w:r>
      <w:r w:rsidRPr="00D919A8">
        <w:t>.</w:t>
      </w:r>
      <w:r>
        <w:t>8</w:t>
      </w:r>
      <w:r w:rsidRPr="00D919A8">
        <w:t>).</w:t>
      </w:r>
      <w:r w:rsidRPr="00896F23">
        <w:t xml:space="preserve"> </w:t>
      </w:r>
    </w:p>
    <w:p w14:paraId="3CC66B64" w14:textId="77777777" w:rsidR="0001425F" w:rsidRDefault="0001425F" w:rsidP="003551D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1425F" w14:paraId="1F9D65B8" w14:textId="77777777" w:rsidTr="00B9240E">
        <w:tc>
          <w:tcPr>
            <w:tcW w:w="8789" w:type="dxa"/>
            <w:tcBorders>
              <w:top w:val="single" w:sz="6" w:space="0" w:color="78A22F"/>
              <w:left w:val="nil"/>
              <w:bottom w:val="nil"/>
              <w:right w:val="nil"/>
            </w:tcBorders>
            <w:shd w:val="clear" w:color="auto" w:fill="auto"/>
          </w:tcPr>
          <w:p w14:paraId="2312B458" w14:textId="535E80F7" w:rsidR="0001425F" w:rsidRPr="00176D3F" w:rsidRDefault="0001425F" w:rsidP="00B06203">
            <w:pPr>
              <w:pStyle w:val="FigureTitle"/>
            </w:pPr>
            <w:r w:rsidRPr="00784A05">
              <w:rPr>
                <w:b w:val="0"/>
              </w:rPr>
              <w:t xml:space="preserve">Figure </w:t>
            </w:r>
            <w:r>
              <w:rPr>
                <w:b w:val="0"/>
              </w:rPr>
              <w:t>7.</w:t>
            </w:r>
            <w:r w:rsidR="00F97521">
              <w:rPr>
                <w:b w:val="0"/>
              </w:rPr>
              <w:t>7</w:t>
            </w:r>
            <w:r>
              <w:tab/>
            </w:r>
            <w:r w:rsidR="00B06203">
              <w:t>Net r</w:t>
            </w:r>
            <w:r w:rsidRPr="00584FFF">
              <w:t>ecurrent expenditure per finalisation, supreme courts and the Federal Court of Australia</w:t>
            </w:r>
            <w:r>
              <w:t xml:space="preserve">, </w:t>
            </w:r>
            <w:r w:rsidRPr="00F71A14">
              <w:t>201</w:t>
            </w:r>
            <w:r w:rsidR="00F71A14" w:rsidRPr="00F71A14">
              <w:t>6</w:t>
            </w:r>
            <w:r w:rsidRPr="00F71A14">
              <w:t>-1</w:t>
            </w:r>
            <w:r w:rsidR="00F71A14" w:rsidRPr="00F71A14">
              <w:t>7</w:t>
            </w:r>
            <w:r w:rsidRPr="00F71A14">
              <w:rPr>
                <w:rStyle w:val="NoteLabel"/>
                <w:b/>
              </w:rPr>
              <w:t>a</w:t>
            </w:r>
          </w:p>
        </w:tc>
      </w:tr>
      <w:tr w:rsidR="00D73F68" w14:paraId="7140F40F" w14:textId="77777777" w:rsidTr="00B9240E">
        <w:tc>
          <w:tcPr>
            <w:tcW w:w="8789" w:type="dxa"/>
            <w:tcBorders>
              <w:top w:val="nil"/>
              <w:left w:val="nil"/>
              <w:bottom w:val="nil"/>
              <w:right w:val="nil"/>
            </w:tcBorders>
            <w:shd w:val="clear" w:color="auto" w:fill="auto"/>
            <w:tcMar>
              <w:top w:w="28" w:type="dxa"/>
              <w:bottom w:w="28" w:type="dxa"/>
            </w:tcMar>
          </w:tcPr>
          <w:p w14:paraId="428130FB" w14:textId="71FBCAFC" w:rsidR="00D73F68" w:rsidRDefault="0051089A" w:rsidP="003551D9">
            <w:pPr>
              <w:pStyle w:val="Figure"/>
            </w:pPr>
            <w:r>
              <w:rPr>
                <w:noProof/>
              </w:rPr>
              <w:drawing>
                <wp:inline distT="0" distB="0" distL="0" distR="0" wp14:anchorId="028E7E8A" wp14:editId="675BFA13">
                  <wp:extent cx="5402580" cy="2880360"/>
                  <wp:effectExtent l="0" t="0" r="7620" b="0"/>
                  <wp:docPr id="6" name="Picture 6" descr="More details can be found within the text surrounding this image." title="Figure 7.7 Net recurrent expenditure per finalisation, supreme courts and the Federal Court of Austral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pic:spPr>
                      </pic:pic>
                    </a:graphicData>
                  </a:graphic>
                </wp:inline>
              </w:drawing>
            </w:r>
          </w:p>
        </w:tc>
      </w:tr>
      <w:tr w:rsidR="0001425F" w:rsidRPr="00176D3F" w14:paraId="1BAF5790" w14:textId="77777777" w:rsidTr="00B9240E">
        <w:tc>
          <w:tcPr>
            <w:tcW w:w="8789" w:type="dxa"/>
            <w:tcBorders>
              <w:top w:val="nil"/>
              <w:left w:val="nil"/>
              <w:bottom w:val="nil"/>
              <w:right w:val="nil"/>
            </w:tcBorders>
            <w:shd w:val="clear" w:color="auto" w:fill="auto"/>
          </w:tcPr>
          <w:p w14:paraId="63DFCC59" w14:textId="5B959EDD" w:rsidR="0001425F" w:rsidRPr="00176D3F" w:rsidRDefault="008E5826" w:rsidP="00CA6F92">
            <w:pPr>
              <w:pStyle w:val="Note"/>
              <w:spacing w:before="0" w:line="240" w:lineRule="auto"/>
            </w:pPr>
            <w:r>
              <w:rPr>
                <w:rStyle w:val="NoteLabel"/>
              </w:rPr>
              <w:t>a</w:t>
            </w:r>
            <w:r>
              <w:t> </w:t>
            </w:r>
            <w:r w:rsidR="008A2A9B" w:rsidRPr="003117D8">
              <w:t>See</w:t>
            </w:r>
            <w:r w:rsidR="00E31A33" w:rsidRPr="003117D8">
              <w:t xml:space="preserve"> box 7.1</w:t>
            </w:r>
            <w:r w:rsidR="001054C3">
              <w:t>2</w:t>
            </w:r>
            <w:r w:rsidR="00E31A33" w:rsidRPr="003117D8">
              <w:t xml:space="preserve"> and</w:t>
            </w:r>
            <w:r w:rsidR="001054C3">
              <w:t xml:space="preserve"> tables 7A.</w:t>
            </w:r>
            <w:r w:rsidR="00CA6F92">
              <w:t>27</w:t>
            </w:r>
            <w:r w:rsidR="00B817E1">
              <w:rPr>
                <w:rFonts w:cs="Arial"/>
              </w:rPr>
              <w:t>–</w:t>
            </w:r>
            <w:r w:rsidR="00CA6F92">
              <w:rPr>
                <w:rFonts w:cs="Arial"/>
              </w:rPr>
              <w:t>28</w:t>
            </w:r>
            <w:r w:rsidR="008A2A9B" w:rsidRPr="003117D8">
              <w:t xml:space="preserve"> for </w:t>
            </w:r>
            <w:r w:rsidR="00E31A33" w:rsidRPr="003117D8">
              <w:t>detailed</w:t>
            </w:r>
            <w:r w:rsidR="008A2A9B" w:rsidRPr="003117D8">
              <w:t xml:space="preserve"> </w:t>
            </w:r>
            <w:r w:rsidR="00EB45CB" w:rsidRPr="003117D8">
              <w:t xml:space="preserve">definitions, footnotes and </w:t>
            </w:r>
            <w:r w:rsidR="008A2A9B" w:rsidRPr="003117D8">
              <w:t>caveats</w:t>
            </w:r>
            <w:r w:rsidRPr="003117D8">
              <w:t>.</w:t>
            </w:r>
          </w:p>
        </w:tc>
      </w:tr>
      <w:tr w:rsidR="0001425F" w:rsidRPr="00176D3F" w14:paraId="2856B6CE" w14:textId="77777777" w:rsidTr="00B9240E">
        <w:tc>
          <w:tcPr>
            <w:tcW w:w="8789" w:type="dxa"/>
            <w:tcBorders>
              <w:top w:val="nil"/>
              <w:left w:val="nil"/>
              <w:bottom w:val="nil"/>
              <w:right w:val="nil"/>
            </w:tcBorders>
            <w:shd w:val="clear" w:color="auto" w:fill="auto"/>
          </w:tcPr>
          <w:p w14:paraId="30BEF200" w14:textId="5AC1DD13" w:rsidR="0001425F" w:rsidRPr="00176D3F" w:rsidRDefault="00030BD2" w:rsidP="00D331EF">
            <w:pPr>
              <w:pStyle w:val="Source"/>
              <w:spacing w:after="40"/>
            </w:pPr>
            <w:r>
              <w:rPr>
                <w:i/>
              </w:rPr>
              <w:t>S</w:t>
            </w:r>
            <w:r w:rsidR="0001425F" w:rsidRPr="00784A05">
              <w:rPr>
                <w:i/>
              </w:rPr>
              <w:t>ource</w:t>
            </w:r>
            <w:r w:rsidR="0001425F" w:rsidRPr="00176D3F">
              <w:t>:</w:t>
            </w:r>
            <w:r>
              <w:t xml:space="preserve"> </w:t>
            </w:r>
            <w:r w:rsidRPr="00FE3767">
              <w:t>State</w:t>
            </w:r>
            <w:r>
              <w:t xml:space="preserve"> and Territory court authorities and departments and the Federal Court of Austr</w:t>
            </w:r>
            <w:r w:rsidR="00D331EF">
              <w:t>alia (unpublished); tables 7A.27</w:t>
            </w:r>
            <w:r w:rsidR="00B817E1">
              <w:rPr>
                <w:rFonts w:cs="Arial"/>
              </w:rPr>
              <w:t>–</w:t>
            </w:r>
            <w:r w:rsidR="00D331EF">
              <w:rPr>
                <w:rFonts w:cs="Arial"/>
              </w:rPr>
              <w:t>28</w:t>
            </w:r>
            <w:r>
              <w:t>.</w:t>
            </w:r>
            <w:r w:rsidR="0001425F" w:rsidRPr="00176D3F">
              <w:t xml:space="preserve"> </w:t>
            </w:r>
          </w:p>
        </w:tc>
      </w:tr>
      <w:tr w:rsidR="0001425F" w:rsidRPr="000863A5" w14:paraId="6D1712B4" w14:textId="77777777" w:rsidTr="00B9240E">
        <w:tc>
          <w:tcPr>
            <w:tcW w:w="8789" w:type="dxa"/>
            <w:tcBorders>
              <w:top w:val="single" w:sz="6" w:space="0" w:color="78A22F"/>
              <w:left w:val="nil"/>
              <w:bottom w:val="nil"/>
              <w:right w:val="nil"/>
            </w:tcBorders>
          </w:tcPr>
          <w:p w14:paraId="21AFB748" w14:textId="77777777" w:rsidR="0001425F" w:rsidRPr="00626D32" w:rsidRDefault="0001425F" w:rsidP="005B1057">
            <w:pPr>
              <w:pStyle w:val="BoxSpaceBelow"/>
              <w:spacing w:after="0"/>
            </w:pPr>
          </w:p>
        </w:tc>
      </w:tr>
    </w:tbl>
    <w:p w14:paraId="608673DA" w14:textId="77777777" w:rsidR="00735B8C" w:rsidRDefault="00735B8C" w:rsidP="003551D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51D9" w14:paraId="4BEEAEE7" w14:textId="77777777" w:rsidTr="00B9240E">
        <w:tc>
          <w:tcPr>
            <w:tcW w:w="8789" w:type="dxa"/>
            <w:tcBorders>
              <w:top w:val="single" w:sz="6" w:space="0" w:color="78A22F"/>
              <w:left w:val="nil"/>
              <w:bottom w:val="nil"/>
              <w:right w:val="nil"/>
            </w:tcBorders>
            <w:shd w:val="clear" w:color="auto" w:fill="auto"/>
          </w:tcPr>
          <w:p w14:paraId="62901125" w14:textId="7BE5D75D" w:rsidR="003551D9" w:rsidRPr="00176D3F" w:rsidRDefault="003551D9" w:rsidP="00C27C06">
            <w:pPr>
              <w:pStyle w:val="FigureTitle"/>
            </w:pPr>
            <w:r w:rsidRPr="00784A05">
              <w:rPr>
                <w:b w:val="0"/>
              </w:rPr>
              <w:t xml:space="preserve">Figure </w:t>
            </w:r>
            <w:r>
              <w:rPr>
                <w:b w:val="0"/>
              </w:rPr>
              <w:t>7.</w:t>
            </w:r>
            <w:r w:rsidR="00F97521">
              <w:rPr>
                <w:b w:val="0"/>
              </w:rPr>
              <w:t>8</w:t>
            </w:r>
            <w:r>
              <w:tab/>
            </w:r>
            <w:r w:rsidR="00C27C06">
              <w:t>Net r</w:t>
            </w:r>
            <w:r w:rsidRPr="00584FFF">
              <w:t xml:space="preserve">ecurrent expenditure per finalisation, district/county courts, </w:t>
            </w:r>
            <w:r w:rsidRPr="005D06BE">
              <w:t>201</w:t>
            </w:r>
            <w:r w:rsidR="005D06BE" w:rsidRPr="005D06BE">
              <w:t>6</w:t>
            </w:r>
            <w:r w:rsidRPr="005D06BE">
              <w:noBreakHyphen/>
              <w:t>1</w:t>
            </w:r>
            <w:r w:rsidR="005D06BE" w:rsidRPr="005D06BE">
              <w:t>7</w:t>
            </w:r>
            <w:r w:rsidRPr="005D06BE">
              <w:rPr>
                <w:rStyle w:val="NoteLabel"/>
                <w:b/>
              </w:rPr>
              <w:t>a</w:t>
            </w:r>
          </w:p>
        </w:tc>
      </w:tr>
      <w:tr w:rsidR="003551D9" w14:paraId="610A6DF0" w14:textId="77777777" w:rsidTr="00B9240E">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3551D9" w14:paraId="1A2E17ED" w14:textId="77777777" w:rsidTr="00A23879">
              <w:tc>
                <w:tcPr>
                  <w:tcW w:w="8487" w:type="dxa"/>
                  <w:tcBorders>
                    <w:top w:val="nil"/>
                    <w:bottom w:val="nil"/>
                  </w:tcBorders>
                </w:tcPr>
                <w:p w14:paraId="2BF61270" w14:textId="7C53DE36" w:rsidR="003551D9" w:rsidRDefault="00656CC7" w:rsidP="00E4272C">
                  <w:pPr>
                    <w:pStyle w:val="Figure"/>
                    <w:spacing w:before="60" w:after="60"/>
                  </w:pPr>
                  <w:r>
                    <w:rPr>
                      <w:noProof/>
                    </w:rPr>
                    <w:drawing>
                      <wp:inline distT="0" distB="0" distL="0" distR="0" wp14:anchorId="6068FDA7" wp14:editId="12408EB6">
                        <wp:extent cx="5402580" cy="2880360"/>
                        <wp:effectExtent l="0" t="0" r="7620" b="0"/>
                        <wp:docPr id="7" name="Picture 7" descr="More details can be found within the text surrounding this image." title="Figure 7.8 Net recurrent expenditure per finalisation, district/county court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pic:spPr>
                            </pic:pic>
                          </a:graphicData>
                        </a:graphic>
                      </wp:inline>
                    </w:drawing>
                  </w:r>
                </w:p>
              </w:tc>
            </w:tr>
          </w:tbl>
          <w:p w14:paraId="75588C47" w14:textId="77777777" w:rsidR="003551D9" w:rsidRDefault="003551D9" w:rsidP="003551D9">
            <w:pPr>
              <w:pStyle w:val="Figure"/>
            </w:pPr>
          </w:p>
        </w:tc>
      </w:tr>
      <w:tr w:rsidR="003551D9" w:rsidRPr="00176D3F" w14:paraId="718F5F2D" w14:textId="77777777" w:rsidTr="00B9240E">
        <w:tc>
          <w:tcPr>
            <w:tcW w:w="8789" w:type="dxa"/>
            <w:tcBorders>
              <w:top w:val="nil"/>
              <w:left w:val="nil"/>
              <w:bottom w:val="nil"/>
              <w:right w:val="nil"/>
            </w:tcBorders>
            <w:shd w:val="clear" w:color="auto" w:fill="auto"/>
          </w:tcPr>
          <w:p w14:paraId="68286AA0" w14:textId="5C7C704F" w:rsidR="003551D9" w:rsidRPr="00176D3F" w:rsidRDefault="003551D9" w:rsidP="00CA6F92">
            <w:pPr>
              <w:pStyle w:val="Note"/>
              <w:spacing w:before="0"/>
            </w:pPr>
            <w:r>
              <w:rPr>
                <w:rStyle w:val="NoteLabel"/>
              </w:rPr>
              <w:t>a</w:t>
            </w:r>
            <w:r w:rsidR="00E4272C">
              <w:t xml:space="preserve"> </w:t>
            </w:r>
            <w:r w:rsidR="008A2A9B" w:rsidRPr="003117D8">
              <w:t xml:space="preserve">See </w:t>
            </w:r>
            <w:r w:rsidR="00B87CE6" w:rsidRPr="003117D8">
              <w:t>box 7.1</w:t>
            </w:r>
            <w:r w:rsidR="0092393F">
              <w:t>2</w:t>
            </w:r>
            <w:r w:rsidR="00B87CE6" w:rsidRPr="003117D8">
              <w:t xml:space="preserve"> and </w:t>
            </w:r>
            <w:r w:rsidR="00CA6F92">
              <w:t>tables 7A.27</w:t>
            </w:r>
            <w:r w:rsidR="00B817E1">
              <w:rPr>
                <w:rFonts w:cs="Arial"/>
              </w:rPr>
              <w:t>–</w:t>
            </w:r>
            <w:r w:rsidR="00CA6F92">
              <w:rPr>
                <w:rFonts w:cs="Arial"/>
              </w:rPr>
              <w:t>28</w:t>
            </w:r>
            <w:r w:rsidR="008A2A9B" w:rsidRPr="003117D8">
              <w:t xml:space="preserve"> for </w:t>
            </w:r>
            <w:r w:rsidR="00B87CE6" w:rsidRPr="003117D8">
              <w:t>detailed</w:t>
            </w:r>
            <w:r w:rsidR="008A2A9B" w:rsidRPr="003117D8">
              <w:t xml:space="preserve"> </w:t>
            </w:r>
            <w:r w:rsidR="00830A7C" w:rsidRPr="003117D8">
              <w:t xml:space="preserve">definitions, footnotes and </w:t>
            </w:r>
            <w:r w:rsidR="008A2A9B" w:rsidRPr="003117D8">
              <w:t>caveats</w:t>
            </w:r>
            <w:r w:rsidR="00E4272C" w:rsidRPr="003117D8">
              <w:t>.</w:t>
            </w:r>
          </w:p>
        </w:tc>
      </w:tr>
      <w:tr w:rsidR="003551D9" w:rsidRPr="00176D3F" w14:paraId="43F4476F" w14:textId="77777777" w:rsidTr="00B9240E">
        <w:tc>
          <w:tcPr>
            <w:tcW w:w="8789" w:type="dxa"/>
            <w:tcBorders>
              <w:top w:val="nil"/>
              <w:left w:val="nil"/>
              <w:bottom w:val="nil"/>
              <w:right w:val="nil"/>
            </w:tcBorders>
            <w:shd w:val="clear" w:color="auto" w:fill="auto"/>
          </w:tcPr>
          <w:p w14:paraId="2443467F" w14:textId="778DD295" w:rsidR="003551D9" w:rsidRPr="00176D3F" w:rsidRDefault="00E4272C" w:rsidP="00C728C9">
            <w:pPr>
              <w:pStyle w:val="Source"/>
              <w:spacing w:after="40"/>
            </w:pPr>
            <w:r>
              <w:rPr>
                <w:i/>
              </w:rPr>
              <w:t>S</w:t>
            </w:r>
            <w:r w:rsidR="003551D9" w:rsidRPr="00784A05">
              <w:rPr>
                <w:i/>
              </w:rPr>
              <w:t>ource</w:t>
            </w:r>
            <w:r w:rsidR="003551D9" w:rsidRPr="00176D3F">
              <w:t xml:space="preserve">: </w:t>
            </w:r>
            <w:r>
              <w:t>State and Territory court authorities and departm</w:t>
            </w:r>
            <w:r w:rsidR="00C728C9">
              <w:t>ents (unpublished); tables 7A.27</w:t>
            </w:r>
            <w:r w:rsidR="00B817E1">
              <w:rPr>
                <w:rFonts w:cs="Arial"/>
              </w:rPr>
              <w:t>–</w:t>
            </w:r>
            <w:r w:rsidR="00C728C9">
              <w:rPr>
                <w:rFonts w:cs="Arial"/>
              </w:rPr>
              <w:t>28</w:t>
            </w:r>
            <w:r>
              <w:t>.</w:t>
            </w:r>
          </w:p>
        </w:tc>
      </w:tr>
      <w:tr w:rsidR="003551D9" w:rsidRPr="000863A5" w14:paraId="01DDC2A2" w14:textId="77777777" w:rsidTr="00B9240E">
        <w:tc>
          <w:tcPr>
            <w:tcW w:w="8789" w:type="dxa"/>
            <w:tcBorders>
              <w:top w:val="single" w:sz="6" w:space="0" w:color="78A22F"/>
              <w:left w:val="nil"/>
              <w:bottom w:val="nil"/>
              <w:right w:val="nil"/>
            </w:tcBorders>
          </w:tcPr>
          <w:p w14:paraId="0D654A3D" w14:textId="77777777" w:rsidR="003551D9" w:rsidRPr="00626D32" w:rsidRDefault="003551D9" w:rsidP="003551D9">
            <w:pPr>
              <w:pStyle w:val="BoxSpaceBelow"/>
            </w:pPr>
          </w:p>
        </w:tc>
      </w:tr>
    </w:tbl>
    <w:p w14:paraId="3380645E" w14:textId="77777777" w:rsidR="003251F9" w:rsidRDefault="00A837EE" w:rsidP="003251F9">
      <w:pPr>
        <w:pStyle w:val="Heading5"/>
      </w:pPr>
      <w:r>
        <w:lastRenderedPageBreak/>
        <w:t xml:space="preserve">Cost </w:t>
      </w:r>
      <w:r w:rsidR="003251F9">
        <w:t xml:space="preserve">per finalisation for </w:t>
      </w:r>
      <w:r w:rsidR="003162B3">
        <w:t>magistrates’ c</w:t>
      </w:r>
      <w:r w:rsidR="00BC62E9">
        <w:t>ourt</w:t>
      </w:r>
      <w:r w:rsidR="003251F9">
        <w:t xml:space="preserve">s (including </w:t>
      </w:r>
      <w:r w:rsidR="003162B3">
        <w:t>c</w:t>
      </w:r>
      <w:r w:rsidR="00BC62E9">
        <w:t xml:space="preserve">hildren’s </w:t>
      </w:r>
      <w:r w:rsidR="003162B3">
        <w:t>c</w:t>
      </w:r>
      <w:r w:rsidR="00BC62E9">
        <w:t>ourt</w:t>
      </w:r>
      <w:r w:rsidR="003251F9">
        <w:t>s)</w:t>
      </w:r>
    </w:p>
    <w:p w14:paraId="5F9747BC" w14:textId="65EA8534" w:rsidR="00B61C2A" w:rsidRDefault="003251F9" w:rsidP="00186209">
      <w:pPr>
        <w:pStyle w:val="BodyText"/>
        <w:spacing w:before="120"/>
      </w:pPr>
      <w:r w:rsidRPr="00EA12F6">
        <w:t>Nationally</w:t>
      </w:r>
      <w:r w:rsidR="00A837EE">
        <w:t xml:space="preserve"> in </w:t>
      </w:r>
      <w:r w:rsidR="00A837EE" w:rsidRPr="00AD44C5">
        <w:t>201</w:t>
      </w:r>
      <w:r w:rsidR="00DD0736" w:rsidRPr="00AD44C5">
        <w:t>6</w:t>
      </w:r>
      <w:r w:rsidR="00AF5D20" w:rsidRPr="00AD44C5">
        <w:noBreakHyphen/>
      </w:r>
      <w:r w:rsidR="00A837EE" w:rsidRPr="00AD44C5">
        <w:t>1</w:t>
      </w:r>
      <w:r w:rsidR="00DD0736" w:rsidRPr="00AD44C5">
        <w:t>7</w:t>
      </w:r>
      <w:r w:rsidR="003162B3" w:rsidRPr="00AD44C5">
        <w:t xml:space="preserve"> </w:t>
      </w:r>
      <w:r w:rsidR="003162B3" w:rsidRPr="00A74C13">
        <w:t>for magistrates’</w:t>
      </w:r>
      <w:r w:rsidR="00535E37" w:rsidRPr="00A74C13">
        <w:t xml:space="preserve"> and children’s</w:t>
      </w:r>
      <w:r w:rsidR="003162B3" w:rsidRPr="00A74C13">
        <w:t xml:space="preserve"> courts</w:t>
      </w:r>
      <w:r w:rsidR="00535E37" w:rsidRPr="00A74C13">
        <w:t xml:space="preserve"> combined</w:t>
      </w:r>
      <w:r w:rsidRPr="00A74C13">
        <w:t>,</w:t>
      </w:r>
      <w:r w:rsidR="00535E37" w:rsidRPr="00A74C13">
        <w:t xml:space="preserve"> the gross cost per finalisation in the criminal jurisdiction ($596) was similar to that in the civil jurisdiction ($579)</w:t>
      </w:r>
      <w:r w:rsidR="00726E25" w:rsidRPr="00A74C13">
        <w:rPr>
          <w:color w:val="000000" w:themeColor="text1"/>
        </w:rPr>
        <w:t xml:space="preserve"> (tables 7A.30</w:t>
      </w:r>
      <w:r w:rsidR="00726E25" w:rsidRPr="00A74C13">
        <w:t>–31)</w:t>
      </w:r>
      <w:r w:rsidR="00535E37" w:rsidRPr="00A74C13">
        <w:t>.</w:t>
      </w:r>
      <w:r w:rsidRPr="00A74C13">
        <w:t xml:space="preserve"> </w:t>
      </w:r>
      <w:r w:rsidR="00535E37" w:rsidRPr="00A74C13">
        <w:t>The n</w:t>
      </w:r>
      <w:r w:rsidRPr="00A74C13">
        <w:t xml:space="preserve">et </w:t>
      </w:r>
      <w:r w:rsidR="00535E37" w:rsidRPr="00A74C13">
        <w:t>cost</w:t>
      </w:r>
      <w:r w:rsidRPr="00A74C13">
        <w:t xml:space="preserve"> per </w:t>
      </w:r>
      <w:r w:rsidR="00535E37" w:rsidRPr="00A74C13">
        <w:t xml:space="preserve">civil </w:t>
      </w:r>
      <w:r w:rsidRPr="00A74C13">
        <w:t>finalisation</w:t>
      </w:r>
      <w:r w:rsidR="00116C8E" w:rsidRPr="00A74C13">
        <w:t xml:space="preserve"> </w:t>
      </w:r>
      <w:r w:rsidR="00535E37" w:rsidRPr="00A74C13">
        <w:t xml:space="preserve">was reduced more than in the </w:t>
      </w:r>
      <w:r w:rsidR="008628E2" w:rsidRPr="00A74C13">
        <w:t xml:space="preserve">criminal jurisdiction </w:t>
      </w:r>
      <w:r w:rsidR="00116C8E" w:rsidRPr="00A74C13">
        <w:t>($</w:t>
      </w:r>
      <w:r w:rsidR="00535E37" w:rsidRPr="00A74C13">
        <w:t>390 compared with $564)</w:t>
      </w:r>
      <w:r w:rsidR="005433A6">
        <w:t xml:space="preserve"> </w:t>
      </w:r>
      <w:r w:rsidR="005433A6" w:rsidRPr="00853300">
        <w:t>(figure 7.</w:t>
      </w:r>
      <w:r w:rsidR="00F97521" w:rsidRPr="00853300">
        <w:t>9</w:t>
      </w:r>
      <w:r w:rsidR="005433A6" w:rsidRPr="00853300">
        <w:t>)</w:t>
      </w:r>
      <w:r w:rsidRPr="00853300">
        <w:t xml:space="preserve">. </w:t>
      </w:r>
    </w:p>
    <w:p w14:paraId="49A7E31E" w14:textId="77777777" w:rsidR="0083529F" w:rsidRDefault="0083529F" w:rsidP="007F33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29F" w14:paraId="2A1EDE1D" w14:textId="77777777" w:rsidTr="00B9240E">
        <w:tc>
          <w:tcPr>
            <w:tcW w:w="8789" w:type="dxa"/>
            <w:tcBorders>
              <w:top w:val="single" w:sz="6" w:space="0" w:color="78A22F"/>
              <w:left w:val="nil"/>
              <w:bottom w:val="nil"/>
              <w:right w:val="nil"/>
            </w:tcBorders>
            <w:shd w:val="clear" w:color="auto" w:fill="auto"/>
          </w:tcPr>
          <w:p w14:paraId="48C0DE59" w14:textId="54323398" w:rsidR="0083529F" w:rsidRPr="00176D3F" w:rsidRDefault="0083529F" w:rsidP="00CA6F92">
            <w:pPr>
              <w:pStyle w:val="FigureTitle"/>
            </w:pPr>
            <w:r w:rsidRPr="00784A05">
              <w:rPr>
                <w:b w:val="0"/>
              </w:rPr>
              <w:t xml:space="preserve">Figure </w:t>
            </w:r>
            <w:r>
              <w:rPr>
                <w:b w:val="0"/>
              </w:rPr>
              <w:t>7.</w:t>
            </w:r>
            <w:r w:rsidR="00F97521">
              <w:rPr>
                <w:b w:val="0"/>
              </w:rPr>
              <w:t>9</w:t>
            </w:r>
            <w:r>
              <w:tab/>
            </w:r>
            <w:r w:rsidR="00CA6F92">
              <w:t>Net r</w:t>
            </w:r>
            <w:r w:rsidRPr="00584FFF">
              <w:t xml:space="preserve">ecurrent expenditure per finalisation, total magistrates’ courts (including magistrates’ and children’s courts), </w:t>
            </w:r>
            <w:r w:rsidR="00084115">
              <w:br/>
            </w:r>
            <w:r w:rsidRPr="00AD44C5">
              <w:t>201</w:t>
            </w:r>
            <w:r w:rsidR="005F5193">
              <w:t>6</w:t>
            </w:r>
            <w:r w:rsidR="00084115" w:rsidRPr="00313083">
              <w:t>-</w:t>
            </w:r>
            <w:r w:rsidRPr="00AD44C5">
              <w:t>1</w:t>
            </w:r>
            <w:r w:rsidR="005F5193">
              <w:t>7</w:t>
            </w:r>
            <w:r w:rsidRPr="00AD44C5">
              <w:rPr>
                <w:rStyle w:val="NoteLabel"/>
                <w:b/>
              </w:rPr>
              <w:t>a</w:t>
            </w:r>
          </w:p>
        </w:tc>
      </w:tr>
      <w:tr w:rsidR="0083529F" w14:paraId="12FA1470" w14:textId="77777777" w:rsidTr="00B9240E">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83529F" w14:paraId="27B98996" w14:textId="77777777" w:rsidTr="00343844">
              <w:tc>
                <w:tcPr>
                  <w:tcW w:w="8487" w:type="dxa"/>
                  <w:tcBorders>
                    <w:top w:val="nil"/>
                    <w:bottom w:val="nil"/>
                  </w:tcBorders>
                </w:tcPr>
                <w:p w14:paraId="25C8E9AE" w14:textId="5BAC5D26" w:rsidR="0083529F" w:rsidRDefault="003665AC" w:rsidP="00D0377E">
                  <w:pPr>
                    <w:pStyle w:val="Figure"/>
                    <w:spacing w:before="60" w:after="60"/>
                  </w:pPr>
                  <w:r>
                    <w:rPr>
                      <w:noProof/>
                    </w:rPr>
                    <w:drawing>
                      <wp:inline distT="0" distB="0" distL="0" distR="0" wp14:anchorId="33629080" wp14:editId="63256688">
                        <wp:extent cx="5402580" cy="2880360"/>
                        <wp:effectExtent l="0" t="0" r="7620" b="0"/>
                        <wp:docPr id="15" name="Picture 15" descr="More details can be found within the text surrounding this image." title="Figure 7.9 Net recurrent expenditure per finalisation, total magistrates’ courts (including magistrates’ and children’s court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pic:spPr>
                            </pic:pic>
                          </a:graphicData>
                        </a:graphic>
                      </wp:inline>
                    </w:drawing>
                  </w:r>
                </w:p>
              </w:tc>
            </w:tr>
          </w:tbl>
          <w:p w14:paraId="13DFFD03" w14:textId="77777777" w:rsidR="0083529F" w:rsidRDefault="0083529F" w:rsidP="007F33FE">
            <w:pPr>
              <w:pStyle w:val="Figure"/>
            </w:pPr>
          </w:p>
        </w:tc>
      </w:tr>
      <w:tr w:rsidR="0083529F" w:rsidRPr="00176D3F" w14:paraId="4BB8B59D" w14:textId="77777777" w:rsidTr="00B9240E">
        <w:tc>
          <w:tcPr>
            <w:tcW w:w="8789" w:type="dxa"/>
            <w:tcBorders>
              <w:top w:val="nil"/>
              <w:left w:val="nil"/>
              <w:bottom w:val="nil"/>
              <w:right w:val="nil"/>
            </w:tcBorders>
            <w:shd w:val="clear" w:color="auto" w:fill="auto"/>
          </w:tcPr>
          <w:p w14:paraId="1EEED6F2" w14:textId="53405063" w:rsidR="0083529F" w:rsidRPr="00176D3F" w:rsidRDefault="0083529F" w:rsidP="00EB4344">
            <w:pPr>
              <w:pStyle w:val="Note"/>
            </w:pPr>
            <w:r>
              <w:rPr>
                <w:rStyle w:val="NoteLabel"/>
              </w:rPr>
              <w:t>a</w:t>
            </w:r>
            <w:r w:rsidR="000B6686" w:rsidRPr="00D905F7">
              <w:t> </w:t>
            </w:r>
            <w:r w:rsidR="00A837EE" w:rsidRPr="00971C28">
              <w:t xml:space="preserve">See </w:t>
            </w:r>
            <w:r w:rsidR="007B1D5B" w:rsidRPr="00971C28">
              <w:t>box 7.1</w:t>
            </w:r>
            <w:r w:rsidR="0092393F">
              <w:t>2</w:t>
            </w:r>
            <w:r w:rsidR="007B1D5B" w:rsidRPr="00971C28">
              <w:t xml:space="preserve"> and </w:t>
            </w:r>
            <w:r w:rsidR="0092393F">
              <w:t>tables 7A.</w:t>
            </w:r>
            <w:r w:rsidR="004A11B7">
              <w:t>27</w:t>
            </w:r>
            <w:r w:rsidR="004A11B7">
              <w:rPr>
                <w:rFonts w:cs="Arial"/>
              </w:rPr>
              <w:t>–</w:t>
            </w:r>
            <w:r w:rsidR="00EB4344">
              <w:t>28</w:t>
            </w:r>
            <w:r w:rsidR="00A837EE" w:rsidRPr="00971C28">
              <w:t xml:space="preserve"> for </w:t>
            </w:r>
            <w:r w:rsidR="007B1D5B" w:rsidRPr="00971C28">
              <w:t>detailed</w:t>
            </w:r>
            <w:r w:rsidR="00A837EE" w:rsidRPr="00971C28">
              <w:t xml:space="preserve"> </w:t>
            </w:r>
            <w:r w:rsidR="00830A7C" w:rsidRPr="00971C28">
              <w:t xml:space="preserve">definitions, footnotes and </w:t>
            </w:r>
            <w:r w:rsidR="00A837EE" w:rsidRPr="00971C28">
              <w:t>caveats</w:t>
            </w:r>
            <w:r w:rsidR="000B6686" w:rsidRPr="00971C28">
              <w:t>.</w:t>
            </w:r>
          </w:p>
        </w:tc>
      </w:tr>
      <w:tr w:rsidR="001C7412" w:rsidRPr="00176D3F" w14:paraId="3C350A10" w14:textId="77777777" w:rsidTr="00B9240E">
        <w:tc>
          <w:tcPr>
            <w:tcW w:w="8789" w:type="dxa"/>
            <w:tcBorders>
              <w:top w:val="nil"/>
              <w:left w:val="nil"/>
              <w:bottom w:val="nil"/>
              <w:right w:val="nil"/>
            </w:tcBorders>
            <w:shd w:val="clear" w:color="auto" w:fill="auto"/>
          </w:tcPr>
          <w:p w14:paraId="081C2E9E" w14:textId="21F4415D" w:rsidR="001C7412" w:rsidRPr="00176D3F" w:rsidRDefault="001C7412" w:rsidP="00EB4344">
            <w:pPr>
              <w:pStyle w:val="Source"/>
              <w:spacing w:after="40"/>
            </w:pPr>
            <w:r>
              <w:rPr>
                <w:i/>
              </w:rPr>
              <w:t>S</w:t>
            </w:r>
            <w:r w:rsidRPr="00784A05">
              <w:rPr>
                <w:i/>
              </w:rPr>
              <w:t>ource</w:t>
            </w:r>
            <w:r w:rsidRPr="00176D3F">
              <w:t xml:space="preserve">: </w:t>
            </w:r>
            <w:r>
              <w:t>State and Territory court authorities and departm</w:t>
            </w:r>
            <w:r w:rsidR="0092393F">
              <w:t>ents (unpublished); tables 7A.</w:t>
            </w:r>
            <w:r w:rsidR="004A11B7">
              <w:t>27</w:t>
            </w:r>
            <w:r w:rsidR="004A11B7">
              <w:rPr>
                <w:rFonts w:cs="Arial"/>
              </w:rPr>
              <w:t>–</w:t>
            </w:r>
            <w:r w:rsidR="00EB4344">
              <w:t>28</w:t>
            </w:r>
            <w:r>
              <w:t>.</w:t>
            </w:r>
          </w:p>
        </w:tc>
      </w:tr>
      <w:tr w:rsidR="001C7412" w:rsidRPr="000863A5" w14:paraId="157E2773" w14:textId="77777777" w:rsidTr="00B9240E">
        <w:tc>
          <w:tcPr>
            <w:tcW w:w="8789" w:type="dxa"/>
            <w:tcBorders>
              <w:top w:val="single" w:sz="6" w:space="0" w:color="78A22F"/>
              <w:left w:val="nil"/>
              <w:bottom w:val="nil"/>
              <w:right w:val="nil"/>
            </w:tcBorders>
          </w:tcPr>
          <w:p w14:paraId="59CFD729" w14:textId="77777777" w:rsidR="001C7412" w:rsidRPr="00626D32" w:rsidRDefault="001C7412" w:rsidP="00252458">
            <w:pPr>
              <w:pStyle w:val="BoxSpaceBelow"/>
            </w:pPr>
          </w:p>
        </w:tc>
      </w:tr>
    </w:tbl>
    <w:p w14:paraId="23BC1B4E" w14:textId="7FB8E981" w:rsidR="00A837EE" w:rsidRDefault="00A837EE" w:rsidP="00971C28">
      <w:pPr>
        <w:pStyle w:val="BodyText"/>
        <w:keepNext/>
      </w:pPr>
      <w:r>
        <w:t>Whilst finalisations in children’s courts are smaller in number tha</w:t>
      </w:r>
      <w:r w:rsidR="00B76373">
        <w:t>n</w:t>
      </w:r>
      <w:r>
        <w:t xml:space="preserve"> the magistrates</w:t>
      </w:r>
      <w:r w:rsidR="00705C3F">
        <w:t>’</w:t>
      </w:r>
      <w:r>
        <w:t xml:space="preserve"> courts, </w:t>
      </w:r>
      <w:r w:rsidRPr="00A74C13">
        <w:t>th</w:t>
      </w:r>
      <w:r w:rsidR="00BF015B" w:rsidRPr="00A74C13">
        <w:t>e net expenditure</w:t>
      </w:r>
      <w:r w:rsidR="00122F8E" w:rsidRPr="00A74C13">
        <w:t xml:space="preserve"> </w:t>
      </w:r>
      <w:r w:rsidR="00BF015B" w:rsidRPr="00A74C13">
        <w:t>is</w:t>
      </w:r>
      <w:r w:rsidR="00122F8E" w:rsidRPr="00A74C13">
        <w:t xml:space="preserve"> </w:t>
      </w:r>
      <w:r w:rsidR="00BF015B" w:rsidRPr="00A74C13">
        <w:t>higher</w:t>
      </w:r>
      <w:r w:rsidR="00122F8E">
        <w:t xml:space="preserve"> in the civil </w:t>
      </w:r>
      <w:r w:rsidR="005B1057">
        <w:t xml:space="preserve">than criminal </w:t>
      </w:r>
      <w:r w:rsidR="00122F8E">
        <w:t>courts</w:t>
      </w:r>
      <w:r>
        <w:t xml:space="preserve"> </w:t>
      </w:r>
      <w:r w:rsidRPr="00A74C13">
        <w:t>(</w:t>
      </w:r>
      <w:r w:rsidR="00C56889" w:rsidRPr="00A74C13">
        <w:t>$</w:t>
      </w:r>
      <w:r w:rsidR="009C6589" w:rsidRPr="00A74C13">
        <w:t>574</w:t>
      </w:r>
      <w:r w:rsidR="00D1498D">
        <w:t xml:space="preserve"> </w:t>
      </w:r>
      <w:r w:rsidR="00571B3E">
        <w:t>compared to $</w:t>
      </w:r>
      <w:r w:rsidR="00853300">
        <w:t>1460</w:t>
      </w:r>
      <w:r w:rsidR="00122F8E">
        <w:t xml:space="preserve"> per case finalised</w:t>
      </w:r>
      <w:r>
        <w:t>)</w:t>
      </w:r>
      <w:r w:rsidR="00CD24D2">
        <w:t xml:space="preserve"> (table</w:t>
      </w:r>
      <w:r w:rsidR="00853300">
        <w:t>s</w:t>
      </w:r>
      <w:r w:rsidR="00CD24D2">
        <w:t xml:space="preserve"> 7A.</w:t>
      </w:r>
      <w:r w:rsidR="00CE556A">
        <w:t>27–</w:t>
      </w:r>
      <w:r w:rsidR="00853300">
        <w:t>28</w:t>
      </w:r>
      <w:r w:rsidR="00CD24D2">
        <w:t>)</w:t>
      </w:r>
      <w:r>
        <w:t xml:space="preserve">. </w:t>
      </w:r>
    </w:p>
    <w:p w14:paraId="02703F7B" w14:textId="4818FAD0" w:rsidR="001D65E9" w:rsidRPr="007F7989" w:rsidRDefault="002A1350" w:rsidP="001D65E9">
      <w:pPr>
        <w:pStyle w:val="Heading5"/>
      </w:pPr>
      <w:r w:rsidRPr="007F7989">
        <w:t>Cost</w:t>
      </w:r>
      <w:r w:rsidR="001D65E9" w:rsidRPr="007F7989">
        <w:t xml:space="preserve"> per finalisation for family courts and the Federal</w:t>
      </w:r>
      <w:r w:rsidR="00B56F35" w:rsidRPr="007F7989">
        <w:t xml:space="preserve"> Circuit</w:t>
      </w:r>
      <w:r w:rsidR="001D65E9" w:rsidRPr="007F7989">
        <w:t xml:space="preserve"> Court of Australia</w:t>
      </w:r>
    </w:p>
    <w:p w14:paraId="273FF161" w14:textId="21FB4C52" w:rsidR="00AC40C3" w:rsidRDefault="000852C8" w:rsidP="00454D6B">
      <w:pPr>
        <w:pStyle w:val="BodyText"/>
      </w:pPr>
      <w:r w:rsidRPr="000852C8">
        <w:t xml:space="preserve">The Family Court of Australia, Family Court of WA and the Federal </w:t>
      </w:r>
      <w:r w:rsidR="00B56F35">
        <w:t>Circuit</w:t>
      </w:r>
      <w:r w:rsidRPr="000852C8">
        <w:t xml:space="preserve"> Court are responsible for determining matters related to family law and child support, but each court has a different focus, breadth and complexity of work, which contr</w:t>
      </w:r>
      <w:r w:rsidR="003170C0">
        <w:t>ibute</w:t>
      </w:r>
      <w:r w:rsidR="00B77690">
        <w:t>s</w:t>
      </w:r>
      <w:r w:rsidR="003170C0">
        <w:t xml:space="preserve"> to the differences in </w:t>
      </w:r>
      <w:r w:rsidRPr="000852C8">
        <w:t>recurrent expenditure per fin</w:t>
      </w:r>
      <w:r>
        <w:t>alisation results presented in f</w:t>
      </w:r>
      <w:r w:rsidR="00242A3B">
        <w:t xml:space="preserve">igure </w:t>
      </w:r>
      <w:r w:rsidR="00242A3B" w:rsidRPr="00BD72D8">
        <w:t>7.</w:t>
      </w:r>
      <w:r w:rsidR="00F97521">
        <w:t>10</w:t>
      </w:r>
      <w:r w:rsidR="000F6850">
        <w:t xml:space="preserve"> </w:t>
      </w:r>
      <w:r w:rsidR="008D3EA1">
        <w:t xml:space="preserve">(see </w:t>
      </w:r>
      <w:r w:rsidR="00C1129B">
        <w:t>table 7A.37</w:t>
      </w:r>
      <w:r w:rsidR="008D3EA1">
        <w:t xml:space="preserve"> for details).</w:t>
      </w:r>
    </w:p>
    <w:p w14:paraId="5B1BE9B6" w14:textId="77777777" w:rsidR="00197C98" w:rsidRDefault="00197C98" w:rsidP="007F33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97C98" w14:paraId="6800202A" w14:textId="77777777" w:rsidTr="00B9240E">
        <w:tc>
          <w:tcPr>
            <w:tcW w:w="8789" w:type="dxa"/>
            <w:tcBorders>
              <w:top w:val="single" w:sz="6" w:space="0" w:color="78A22F"/>
              <w:left w:val="nil"/>
              <w:bottom w:val="nil"/>
              <w:right w:val="nil"/>
            </w:tcBorders>
            <w:shd w:val="clear" w:color="auto" w:fill="auto"/>
          </w:tcPr>
          <w:p w14:paraId="58E1C2EF" w14:textId="286B4D1B" w:rsidR="00197C98" w:rsidRPr="00176D3F" w:rsidRDefault="00197C98" w:rsidP="00F97521">
            <w:pPr>
              <w:pStyle w:val="FigureTitle"/>
            </w:pPr>
            <w:r w:rsidRPr="00784A05">
              <w:rPr>
                <w:b w:val="0"/>
              </w:rPr>
              <w:t xml:space="preserve">Figure </w:t>
            </w:r>
            <w:r>
              <w:rPr>
                <w:b w:val="0"/>
              </w:rPr>
              <w:t>7</w:t>
            </w:r>
            <w:r w:rsidR="000F6850">
              <w:rPr>
                <w:b w:val="0"/>
              </w:rPr>
              <w:t>.</w:t>
            </w:r>
            <w:r w:rsidR="00F97521">
              <w:rPr>
                <w:b w:val="0"/>
              </w:rPr>
              <w:t>10</w:t>
            </w:r>
            <w:r w:rsidR="0086482E">
              <w:tab/>
            </w:r>
            <w:r w:rsidR="0086482E" w:rsidRPr="00584FFF">
              <w:t xml:space="preserve">Recurrent expenditure per finalisation, family courts and the Federal </w:t>
            </w:r>
            <w:r w:rsidR="0086482E">
              <w:t xml:space="preserve">Circuit </w:t>
            </w:r>
            <w:r w:rsidR="0086482E" w:rsidRPr="00584FFF">
              <w:t>Court of Australia</w:t>
            </w:r>
            <w:r w:rsidR="0086482E" w:rsidRPr="008B1942">
              <w:t xml:space="preserve">, </w:t>
            </w:r>
            <w:r w:rsidR="0086482E" w:rsidRPr="00CA1E79">
              <w:t>201</w:t>
            </w:r>
            <w:r w:rsidR="00CC10A9">
              <w:t>6</w:t>
            </w:r>
            <w:r w:rsidR="0086482E" w:rsidRPr="00CA1E79">
              <w:t>-1</w:t>
            </w:r>
            <w:r w:rsidR="00761186">
              <w:t>7</w:t>
            </w:r>
            <w:r w:rsidR="0086482E" w:rsidRPr="00CA1E79">
              <w:rPr>
                <w:rStyle w:val="NoteLabel"/>
                <w:b/>
              </w:rPr>
              <w:t>a</w:t>
            </w:r>
          </w:p>
        </w:tc>
      </w:tr>
      <w:tr w:rsidR="00197C98" w14:paraId="63C02958" w14:textId="77777777" w:rsidTr="00B9240E">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197C98" w14:paraId="6D5806E8" w14:textId="77777777" w:rsidTr="001829CF">
              <w:tc>
                <w:tcPr>
                  <w:tcW w:w="8487" w:type="dxa"/>
                  <w:tcBorders>
                    <w:top w:val="nil"/>
                    <w:bottom w:val="nil"/>
                  </w:tcBorders>
                </w:tcPr>
                <w:p w14:paraId="67DEE730" w14:textId="169EB74E" w:rsidR="00197C98" w:rsidRDefault="00DC157C" w:rsidP="00C250D7">
                  <w:pPr>
                    <w:pStyle w:val="Figure"/>
                    <w:keepNext w:val="0"/>
                  </w:pPr>
                  <w:r>
                    <w:rPr>
                      <w:noProof/>
                    </w:rPr>
                    <w:drawing>
                      <wp:inline distT="0" distB="0" distL="0" distR="0" wp14:anchorId="03D4F696" wp14:editId="4409FCCC">
                        <wp:extent cx="5570220" cy="2804160"/>
                        <wp:effectExtent l="0" t="0" r="0" b="0"/>
                        <wp:docPr id="9" name="Picture 9" descr="More details can be found within the text surrounding this image." title="Figure 7.10 Recurrent expenditure per finalisation, family courts and the Federal Circuit Court of Australia,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0220" cy="2804160"/>
                                </a:xfrm>
                                <a:prstGeom prst="rect">
                                  <a:avLst/>
                                </a:prstGeom>
                                <a:noFill/>
                              </pic:spPr>
                            </pic:pic>
                          </a:graphicData>
                        </a:graphic>
                      </wp:inline>
                    </w:drawing>
                  </w:r>
                </w:p>
              </w:tc>
            </w:tr>
          </w:tbl>
          <w:p w14:paraId="650DF6C1" w14:textId="77777777" w:rsidR="00197C98" w:rsidRDefault="00197C98" w:rsidP="00C250D7">
            <w:pPr>
              <w:pStyle w:val="Figure"/>
              <w:keepNext w:val="0"/>
            </w:pPr>
          </w:p>
        </w:tc>
      </w:tr>
      <w:tr w:rsidR="00197C98" w:rsidRPr="00176D3F" w14:paraId="1D15B395" w14:textId="77777777" w:rsidTr="00B9240E">
        <w:tc>
          <w:tcPr>
            <w:tcW w:w="8789" w:type="dxa"/>
            <w:tcBorders>
              <w:top w:val="nil"/>
              <w:left w:val="nil"/>
              <w:bottom w:val="nil"/>
              <w:right w:val="nil"/>
            </w:tcBorders>
            <w:shd w:val="clear" w:color="auto" w:fill="auto"/>
          </w:tcPr>
          <w:p w14:paraId="5DFF1000" w14:textId="015FA9B2" w:rsidR="00197C98" w:rsidRPr="00AB33DD" w:rsidRDefault="00197C98" w:rsidP="00551F92">
            <w:pPr>
              <w:pStyle w:val="Note"/>
            </w:pPr>
            <w:r w:rsidRPr="00790878">
              <w:rPr>
                <w:rStyle w:val="NoteLabel"/>
              </w:rPr>
              <w:t>a</w:t>
            </w:r>
            <w:r w:rsidR="008C5307" w:rsidRPr="00790878">
              <w:t> </w:t>
            </w:r>
            <w:r w:rsidR="008D3EA1" w:rsidRPr="003D4B51">
              <w:t xml:space="preserve">See </w:t>
            </w:r>
            <w:r w:rsidR="00751570" w:rsidRPr="003D4B51">
              <w:t>box 7.1</w:t>
            </w:r>
            <w:r w:rsidR="002E791D">
              <w:t>2</w:t>
            </w:r>
            <w:r w:rsidR="00751570" w:rsidRPr="003D4B51">
              <w:t xml:space="preserve"> and </w:t>
            </w:r>
            <w:r w:rsidR="002E791D">
              <w:t>table</w:t>
            </w:r>
            <w:r w:rsidR="00551F92">
              <w:t>s</w:t>
            </w:r>
            <w:r w:rsidR="002E791D">
              <w:t xml:space="preserve"> 7A.</w:t>
            </w:r>
            <w:r w:rsidR="00551F92">
              <w:t>28 and 7A.31</w:t>
            </w:r>
            <w:r w:rsidR="008D3EA1" w:rsidRPr="003D4B51">
              <w:t xml:space="preserve"> for </w:t>
            </w:r>
            <w:r w:rsidR="00751570" w:rsidRPr="003D4B51">
              <w:t>detailed</w:t>
            </w:r>
            <w:r w:rsidR="008D3EA1" w:rsidRPr="003D4B51">
              <w:t xml:space="preserve"> </w:t>
            </w:r>
            <w:r w:rsidR="00830A7C" w:rsidRPr="003D4B51">
              <w:t xml:space="preserve">definitions, footnotes and </w:t>
            </w:r>
            <w:r w:rsidR="008D3EA1" w:rsidRPr="003D4B51">
              <w:t>caveats</w:t>
            </w:r>
            <w:r w:rsidR="00EA542C" w:rsidRPr="00790878">
              <w:rPr>
                <w:rFonts w:asciiTheme="minorHAnsi" w:hAnsiTheme="minorHAnsi" w:cstheme="minorHAnsi"/>
                <w:szCs w:val="18"/>
              </w:rPr>
              <w:t>.</w:t>
            </w:r>
          </w:p>
        </w:tc>
      </w:tr>
      <w:tr w:rsidR="00197C98" w:rsidRPr="00176D3F" w14:paraId="14656779" w14:textId="77777777" w:rsidTr="00B9240E">
        <w:tc>
          <w:tcPr>
            <w:tcW w:w="8789" w:type="dxa"/>
            <w:tcBorders>
              <w:top w:val="nil"/>
              <w:left w:val="nil"/>
              <w:bottom w:val="nil"/>
              <w:right w:val="nil"/>
            </w:tcBorders>
            <w:shd w:val="clear" w:color="auto" w:fill="auto"/>
          </w:tcPr>
          <w:p w14:paraId="64971DF7" w14:textId="77AC429D" w:rsidR="00197C98" w:rsidRPr="00176D3F" w:rsidRDefault="00437FFB" w:rsidP="006563C0">
            <w:pPr>
              <w:pStyle w:val="Source"/>
              <w:spacing w:after="40"/>
            </w:pPr>
            <w:r>
              <w:rPr>
                <w:i/>
              </w:rPr>
              <w:t>S</w:t>
            </w:r>
            <w:r w:rsidR="00197C98" w:rsidRPr="00784A05">
              <w:rPr>
                <w:i/>
              </w:rPr>
              <w:t>ource</w:t>
            </w:r>
            <w:r w:rsidR="00197C98" w:rsidRPr="00176D3F">
              <w:t xml:space="preserve">: </w:t>
            </w:r>
            <w:r w:rsidRPr="00AE6337">
              <w:t>Australian</w:t>
            </w:r>
            <w:r>
              <w:t xml:space="preserve"> and State</w:t>
            </w:r>
            <w:r w:rsidRPr="00AE6337">
              <w:t xml:space="preserve"> court authorities</w:t>
            </w:r>
            <w:r>
              <w:t xml:space="preserve"> and departments</w:t>
            </w:r>
            <w:r w:rsidRPr="00AE6337">
              <w:t xml:space="preserve"> </w:t>
            </w:r>
            <w:r w:rsidR="002E791D">
              <w:t>(unpublished); table</w:t>
            </w:r>
            <w:r w:rsidR="00C70C24">
              <w:t>s 7A.28 and</w:t>
            </w:r>
            <w:r>
              <w:t> 7</w:t>
            </w:r>
            <w:r w:rsidRPr="00AE6337">
              <w:t>A.</w:t>
            </w:r>
            <w:r>
              <w:t>3</w:t>
            </w:r>
            <w:r w:rsidR="002E791D">
              <w:t>1</w:t>
            </w:r>
            <w:r w:rsidRPr="00AE6337">
              <w:t>.</w:t>
            </w:r>
          </w:p>
        </w:tc>
      </w:tr>
      <w:tr w:rsidR="00197C98" w:rsidRPr="000863A5" w14:paraId="4266D632" w14:textId="77777777" w:rsidTr="00B9240E">
        <w:tc>
          <w:tcPr>
            <w:tcW w:w="8789" w:type="dxa"/>
            <w:tcBorders>
              <w:top w:val="single" w:sz="6" w:space="0" w:color="78A22F"/>
              <w:left w:val="nil"/>
              <w:bottom w:val="nil"/>
              <w:right w:val="nil"/>
            </w:tcBorders>
          </w:tcPr>
          <w:p w14:paraId="113F3F2A" w14:textId="77777777" w:rsidR="00197C98" w:rsidRPr="00626D32" w:rsidRDefault="00197C98" w:rsidP="00C250D7">
            <w:pPr>
              <w:pStyle w:val="BoxSpaceBelow"/>
            </w:pPr>
          </w:p>
        </w:tc>
      </w:tr>
    </w:tbl>
    <w:p w14:paraId="7E340EE2" w14:textId="77777777" w:rsidR="00F166F5" w:rsidRDefault="00E61C91" w:rsidP="00F166F5">
      <w:pPr>
        <w:pStyle w:val="Heading5"/>
      </w:pPr>
      <w:r>
        <w:t>E</w:t>
      </w:r>
      <w:r w:rsidR="00F166F5">
        <w:t xml:space="preserve">xpenditure per reported death and fire for </w:t>
      </w:r>
      <w:r w:rsidR="00061B48">
        <w:t>coroners’ c</w:t>
      </w:r>
      <w:r w:rsidR="00BC62E9">
        <w:t>ourt</w:t>
      </w:r>
      <w:r w:rsidR="00F166F5">
        <w:t>s</w:t>
      </w:r>
    </w:p>
    <w:p w14:paraId="6496451E" w14:textId="7B9BC3E0" w:rsidR="0042362C" w:rsidRDefault="00F166F5" w:rsidP="008D0127">
      <w:pPr>
        <w:pStyle w:val="BodyText"/>
      </w:pPr>
      <w:r>
        <w:t xml:space="preserve">Nationally, </w:t>
      </w:r>
      <w:r w:rsidR="00344AE4">
        <w:t xml:space="preserve">net </w:t>
      </w:r>
      <w:r>
        <w:t xml:space="preserve">expenditure per reported death and fire in </w:t>
      </w:r>
      <w:r w:rsidR="00061B48">
        <w:t>coroners’ c</w:t>
      </w:r>
      <w:r w:rsidR="00BC62E9">
        <w:t>ourt</w:t>
      </w:r>
      <w:r>
        <w:t>s</w:t>
      </w:r>
      <w:r w:rsidR="0026694E">
        <w:t xml:space="preserve"> (excluding costs associated with autopsy, forensic science, pathology tests and body conveyancing fees)</w:t>
      </w:r>
      <w:r>
        <w:t xml:space="preserve"> was </w:t>
      </w:r>
      <w:r w:rsidRPr="00BE3121">
        <w:t xml:space="preserve">approximately </w:t>
      </w:r>
      <w:r w:rsidR="00A7281B" w:rsidRPr="00A7281B">
        <w:t>$</w:t>
      </w:r>
      <w:r w:rsidR="0057213F">
        <w:t>1904</w:t>
      </w:r>
      <w:r w:rsidR="00964694" w:rsidRPr="008B1942">
        <w:t xml:space="preserve"> </w:t>
      </w:r>
      <w:r w:rsidRPr="008B1942">
        <w:t xml:space="preserve">in </w:t>
      </w:r>
      <w:r w:rsidR="00F64976" w:rsidRPr="0057213F">
        <w:t>201</w:t>
      </w:r>
      <w:r w:rsidR="00360F8E" w:rsidRPr="0057213F">
        <w:t>6</w:t>
      </w:r>
      <w:r w:rsidR="00205BCF" w:rsidRPr="0057213F">
        <w:noBreakHyphen/>
      </w:r>
      <w:r w:rsidR="00F64976" w:rsidRPr="0057213F">
        <w:t>1</w:t>
      </w:r>
      <w:r w:rsidR="00360F8E" w:rsidRPr="0057213F">
        <w:t>7</w:t>
      </w:r>
      <w:r w:rsidRPr="0057213F">
        <w:t xml:space="preserve"> </w:t>
      </w:r>
      <w:r w:rsidRPr="00BE3121">
        <w:t>(</w:t>
      </w:r>
      <w:r w:rsidR="002E791D">
        <w:t>table</w:t>
      </w:r>
      <w:r w:rsidR="00485FA0">
        <w:t xml:space="preserve"> 7A.28</w:t>
      </w:r>
      <w:r w:rsidRPr="00BE3121">
        <w:t xml:space="preserve">). </w:t>
      </w:r>
    </w:p>
    <w:p w14:paraId="73E68E3A" w14:textId="77777777" w:rsidR="00F166F5" w:rsidRDefault="00F166F5" w:rsidP="005E4E11">
      <w:pPr>
        <w:pStyle w:val="Heading3"/>
      </w:pPr>
      <w:r>
        <w:t>Outcomes</w:t>
      </w:r>
    </w:p>
    <w:p w14:paraId="16ADECA2" w14:textId="77777777" w:rsidR="000426A1" w:rsidRPr="00E75996" w:rsidRDefault="000426A1" w:rsidP="000426A1">
      <w:pPr>
        <w:pStyle w:val="Heading4"/>
      </w:pPr>
      <w:r>
        <w:t>Perceptions of court integrity</w:t>
      </w:r>
    </w:p>
    <w:p w14:paraId="6EEB2A59" w14:textId="09A41CBF" w:rsidR="00573C2B" w:rsidRDefault="000426A1" w:rsidP="003D4B51">
      <w:pPr>
        <w:pStyle w:val="BodyText"/>
      </w:pPr>
      <w:r>
        <w:t>‘Perceptions of court integrity’ is an indicator of government’s objective to encourage public confidenc</w:t>
      </w:r>
      <w:r w:rsidR="00B749F3">
        <w:t>e and trust in the courts (</w:t>
      </w:r>
      <w:r w:rsidR="00BA7230">
        <w:t>b</w:t>
      </w:r>
      <w:r w:rsidR="00B749F3">
        <w:t>ox 7.13</w:t>
      </w:r>
      <w:r w:rsidR="00573C2B" w:rsidRPr="00573C2B">
        <w:t xml:space="preserve">). </w:t>
      </w:r>
      <w:r w:rsidR="00B749F3">
        <w:t>Community confidence and trust in the fairness and equality of court processes and procedures is integral to a willingness to engage with courts and comply with court outcomes. High levels of perceived integrity of courts is an indicator of community confidence and trust that courts treat people fairly and appropriately and that court processes are administered in a consistent and unbiased manner.</w:t>
      </w:r>
    </w:p>
    <w:p w14:paraId="00FEC7FC" w14:textId="7961AC80" w:rsidR="000426A1" w:rsidRDefault="000426A1" w:rsidP="000426A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426A1" w14:paraId="54CB68CD" w14:textId="77777777" w:rsidTr="00B9240E">
        <w:tc>
          <w:tcPr>
            <w:tcW w:w="8789" w:type="dxa"/>
            <w:tcBorders>
              <w:top w:val="single" w:sz="6" w:space="0" w:color="78A22F"/>
              <w:left w:val="nil"/>
              <w:bottom w:val="nil"/>
              <w:right w:val="nil"/>
            </w:tcBorders>
            <w:shd w:val="clear" w:color="auto" w:fill="F2F2F2"/>
          </w:tcPr>
          <w:p w14:paraId="494AC744" w14:textId="782246B0" w:rsidR="000426A1" w:rsidRDefault="000426A1" w:rsidP="00B749F3">
            <w:pPr>
              <w:pStyle w:val="BoxTitle"/>
            </w:pPr>
            <w:r>
              <w:rPr>
                <w:b w:val="0"/>
              </w:rPr>
              <w:t xml:space="preserve">Box </w:t>
            </w:r>
            <w:r w:rsidR="00B749F3">
              <w:rPr>
                <w:b w:val="0"/>
              </w:rPr>
              <w:t>7.13</w:t>
            </w:r>
            <w:r>
              <w:tab/>
              <w:t>Perceptions of court integrity</w:t>
            </w:r>
          </w:p>
        </w:tc>
      </w:tr>
      <w:tr w:rsidR="000426A1" w14:paraId="48B43709" w14:textId="77777777" w:rsidTr="00B9240E">
        <w:tc>
          <w:tcPr>
            <w:tcW w:w="8789" w:type="dxa"/>
            <w:tcBorders>
              <w:top w:val="nil"/>
              <w:left w:val="nil"/>
              <w:bottom w:val="nil"/>
              <w:right w:val="nil"/>
            </w:tcBorders>
            <w:shd w:val="clear" w:color="auto" w:fill="F2F2F2"/>
          </w:tcPr>
          <w:p w14:paraId="1A805166" w14:textId="77777777" w:rsidR="000426A1" w:rsidRDefault="000426A1" w:rsidP="00AC2754">
            <w:pPr>
              <w:pStyle w:val="Box"/>
            </w:pPr>
            <w:r>
              <w:t>‘Perceptions of court integrity’ is defined as the proportion of the community who believe that courts in Australia treat people fairly, equally and respectfully.</w:t>
            </w:r>
          </w:p>
          <w:p w14:paraId="47BF7020" w14:textId="77777777" w:rsidR="000426A1" w:rsidRDefault="000426A1" w:rsidP="00AC2754">
            <w:pPr>
              <w:pStyle w:val="Box"/>
            </w:pPr>
            <w:r>
              <w:t>High or increasing proportions of perceived court integrity are desirable.</w:t>
            </w:r>
          </w:p>
          <w:p w14:paraId="163D4CB3" w14:textId="77777777" w:rsidR="000426A1" w:rsidRDefault="000426A1" w:rsidP="00AC2754">
            <w:pPr>
              <w:pStyle w:val="Box"/>
            </w:pPr>
            <w:r>
              <w:t>Data are not yet available for reporting against this indicator.</w:t>
            </w:r>
          </w:p>
        </w:tc>
      </w:tr>
      <w:tr w:rsidR="000426A1" w14:paraId="33593734" w14:textId="77777777" w:rsidTr="00B9240E">
        <w:tc>
          <w:tcPr>
            <w:tcW w:w="8789" w:type="dxa"/>
            <w:tcBorders>
              <w:top w:val="nil"/>
              <w:left w:val="nil"/>
              <w:bottom w:val="single" w:sz="6" w:space="0" w:color="78A22F"/>
              <w:right w:val="nil"/>
            </w:tcBorders>
            <w:shd w:val="clear" w:color="auto" w:fill="F2F2F2"/>
          </w:tcPr>
          <w:p w14:paraId="44B01D1A" w14:textId="77777777" w:rsidR="000426A1" w:rsidRDefault="000426A1" w:rsidP="00AC2754">
            <w:pPr>
              <w:pStyle w:val="Box"/>
              <w:spacing w:before="0" w:line="120" w:lineRule="exact"/>
            </w:pPr>
          </w:p>
        </w:tc>
      </w:tr>
    </w:tbl>
    <w:p w14:paraId="00A787AF" w14:textId="33239BF1" w:rsidR="000426A1" w:rsidRDefault="000426A1" w:rsidP="000426A1">
      <w:pPr>
        <w:pStyle w:val="BoxSpaceAbove"/>
        <w:spacing w:before="0"/>
      </w:pPr>
    </w:p>
    <w:p w14:paraId="4C5EAB76" w14:textId="77777777" w:rsidR="005E4E11" w:rsidRDefault="005E4E11" w:rsidP="006563C0">
      <w:pPr>
        <w:pStyle w:val="Heading2"/>
        <w:keepLines/>
        <w:widowControl w:val="0"/>
      </w:pPr>
      <w:bookmarkStart w:id="23" w:name="_Toc340063215"/>
      <w:bookmarkStart w:id="24" w:name="_Toc458687992"/>
      <w:r>
        <w:t>7.</w:t>
      </w:r>
      <w:r w:rsidR="00F66551">
        <w:rPr>
          <w:noProof/>
        </w:rPr>
        <w:t>4</w:t>
      </w:r>
      <w:r w:rsidRPr="005E4E11">
        <w:tab/>
        <w:t>Definitions of key terms</w:t>
      </w:r>
      <w:bookmarkEnd w:id="23"/>
      <w:bookmarkEnd w:id="24"/>
    </w:p>
    <w:tbl>
      <w:tblPr>
        <w:tblW w:w="8789" w:type="dxa"/>
        <w:tblLayout w:type="fixed"/>
        <w:tblCellMar>
          <w:left w:w="0" w:type="dxa"/>
          <w:right w:w="0" w:type="dxa"/>
        </w:tblCellMar>
        <w:tblLook w:val="0000" w:firstRow="0" w:lastRow="0" w:firstColumn="0" w:lastColumn="0" w:noHBand="0" w:noVBand="0"/>
      </w:tblPr>
      <w:tblGrid>
        <w:gridCol w:w="2552"/>
        <w:gridCol w:w="6237"/>
      </w:tblGrid>
      <w:tr w:rsidR="006D7F52" w14:paraId="7F90766E" w14:textId="77777777" w:rsidTr="00742A8F">
        <w:trPr>
          <w:cantSplit/>
        </w:trPr>
        <w:tc>
          <w:tcPr>
            <w:tcW w:w="2552" w:type="dxa"/>
          </w:tcPr>
          <w:p w14:paraId="66E4A681" w14:textId="77777777" w:rsidR="006D7F52" w:rsidRDefault="006D7F52" w:rsidP="006563C0">
            <w:pPr>
              <w:pStyle w:val="TableUnitsRow"/>
              <w:keepNext w:val="0"/>
              <w:keepLines w:val="0"/>
              <w:widowControl w:val="0"/>
              <w:spacing w:before="60" w:after="60"/>
              <w:ind w:left="0"/>
              <w:jc w:val="left"/>
              <w:rPr>
                <w:b/>
              </w:rPr>
            </w:pPr>
          </w:p>
          <w:p w14:paraId="6CD49E7E" w14:textId="77777777" w:rsidR="006D7F52" w:rsidRPr="001A147A" w:rsidRDefault="006D7F52" w:rsidP="006563C0">
            <w:pPr>
              <w:pStyle w:val="TableUnitsRow"/>
              <w:keepNext w:val="0"/>
              <w:keepLines w:val="0"/>
              <w:widowControl w:val="0"/>
              <w:spacing w:before="60" w:after="60"/>
              <w:ind w:left="0"/>
              <w:jc w:val="left"/>
              <w:rPr>
                <w:b/>
              </w:rPr>
            </w:pPr>
            <w:r w:rsidRPr="001A147A">
              <w:rPr>
                <w:b/>
              </w:rPr>
              <w:t>Active pending population</w:t>
            </w:r>
          </w:p>
        </w:tc>
        <w:tc>
          <w:tcPr>
            <w:tcW w:w="6237" w:type="dxa"/>
          </w:tcPr>
          <w:p w14:paraId="33D13CBD" w14:textId="77777777" w:rsidR="006D7F52" w:rsidRDefault="006D7F52" w:rsidP="006563C0">
            <w:pPr>
              <w:pStyle w:val="TableUnitsRow"/>
              <w:keepNext w:val="0"/>
              <w:keepLines w:val="0"/>
              <w:widowControl w:val="0"/>
              <w:spacing w:before="60" w:after="60"/>
              <w:ind w:left="0" w:right="6"/>
              <w:jc w:val="left"/>
            </w:pPr>
          </w:p>
          <w:p w14:paraId="7D13E6F6" w14:textId="77777777" w:rsidR="006D7F52" w:rsidRPr="001A147A" w:rsidRDefault="006D7F52" w:rsidP="006563C0">
            <w:pPr>
              <w:pStyle w:val="TableUnitsRow"/>
              <w:keepNext w:val="0"/>
              <w:keepLines w:val="0"/>
              <w:widowControl w:val="0"/>
              <w:spacing w:before="60" w:after="60"/>
              <w:ind w:left="0" w:right="6"/>
              <w:jc w:val="left"/>
            </w:pPr>
            <w:r w:rsidRPr="001A147A">
              <w:t xml:space="preserve">A </w:t>
            </w:r>
            <w:r>
              <w:t>lodgment</w:t>
            </w:r>
            <w:r w:rsidRPr="001A147A">
              <w:t xml:space="preserve"> that is yet to be finalised but is part of the </w:t>
            </w:r>
            <w:r w:rsidR="00373082">
              <w:t xml:space="preserve">active </w:t>
            </w:r>
            <w:r w:rsidRPr="001A147A">
              <w:t>case man</w:t>
            </w:r>
            <w:r>
              <w:t>agement of court administrators.</w:t>
            </w:r>
          </w:p>
        </w:tc>
      </w:tr>
      <w:tr w:rsidR="006D7F52" w14:paraId="708FD744" w14:textId="77777777" w:rsidTr="00742A8F">
        <w:trPr>
          <w:cantSplit/>
        </w:trPr>
        <w:tc>
          <w:tcPr>
            <w:tcW w:w="2552" w:type="dxa"/>
          </w:tcPr>
          <w:p w14:paraId="7B244549" w14:textId="77777777" w:rsidR="006D7F52" w:rsidRPr="001A147A" w:rsidRDefault="006D7F52" w:rsidP="006563C0">
            <w:pPr>
              <w:pStyle w:val="TableBodyText"/>
              <w:keepNext w:val="0"/>
              <w:keepLines w:val="0"/>
              <w:widowControl w:val="0"/>
              <w:spacing w:before="60" w:after="60"/>
              <w:ind w:left="0"/>
              <w:jc w:val="left"/>
              <w:rPr>
                <w:b/>
              </w:rPr>
            </w:pPr>
            <w:r w:rsidRPr="001A147A">
              <w:rPr>
                <w:b/>
              </w:rPr>
              <w:t xml:space="preserve">Attendance </w:t>
            </w:r>
            <w:r>
              <w:rPr>
                <w:b/>
              </w:rPr>
              <w:t>i</w:t>
            </w:r>
            <w:r w:rsidRPr="001A147A">
              <w:rPr>
                <w:b/>
              </w:rPr>
              <w:t>ndicator</w:t>
            </w:r>
          </w:p>
        </w:tc>
        <w:tc>
          <w:tcPr>
            <w:tcW w:w="6237" w:type="dxa"/>
          </w:tcPr>
          <w:p w14:paraId="3982F8CE" w14:textId="6F27AFE7" w:rsidR="006D7F52" w:rsidRPr="001A147A" w:rsidRDefault="006D7F52" w:rsidP="006563C0">
            <w:pPr>
              <w:pStyle w:val="TableBodyText"/>
              <w:keepNext w:val="0"/>
              <w:keepLines w:val="0"/>
              <w:widowControl w:val="0"/>
              <w:spacing w:before="60" w:after="60"/>
              <w:ind w:left="0" w:right="6"/>
              <w:jc w:val="left"/>
            </w:pPr>
            <w:r w:rsidRPr="001A147A">
              <w:t>An attendance is defined as the number of times that par</w:t>
            </w:r>
            <w:r>
              <w:t>ties or their representatives a</w:t>
            </w:r>
            <w:r w:rsidRPr="001A147A">
              <w:t>re required to be present in court (including any appointment which is adjourned or rescheduled) for all finalised matters during the year. Th</w:t>
            </w:r>
            <w:r>
              <w:t>e actual attendance is one that</w:t>
            </w:r>
            <w:r w:rsidRPr="001A147A">
              <w:t xml:space="preserve"> is heard by a judicial </w:t>
            </w:r>
            <w:r>
              <w:t>officer or mediator/arbitrator.</w:t>
            </w:r>
          </w:p>
        </w:tc>
      </w:tr>
      <w:tr w:rsidR="006D7F52" w14:paraId="25AFB579" w14:textId="77777777" w:rsidTr="00742A8F">
        <w:trPr>
          <w:cantSplit/>
        </w:trPr>
        <w:tc>
          <w:tcPr>
            <w:tcW w:w="2552" w:type="dxa"/>
          </w:tcPr>
          <w:p w14:paraId="2AAA2331" w14:textId="77777777" w:rsidR="006D7F52" w:rsidRPr="001A147A" w:rsidRDefault="006D7F52" w:rsidP="006563C0">
            <w:pPr>
              <w:pStyle w:val="TableBodyText"/>
              <w:keepNext w:val="0"/>
              <w:keepLines w:val="0"/>
              <w:widowControl w:val="0"/>
              <w:spacing w:before="60" w:after="60"/>
              <w:ind w:left="0"/>
              <w:jc w:val="left"/>
              <w:rPr>
                <w:b/>
              </w:rPr>
            </w:pPr>
            <w:r w:rsidRPr="001A147A">
              <w:rPr>
                <w:b/>
              </w:rPr>
              <w:t>Case</w:t>
            </w:r>
          </w:p>
        </w:tc>
        <w:tc>
          <w:tcPr>
            <w:tcW w:w="6237" w:type="dxa"/>
          </w:tcPr>
          <w:p w14:paraId="5C14D156" w14:textId="77777777" w:rsidR="006D7F52" w:rsidRPr="001A147A" w:rsidRDefault="006D7F52" w:rsidP="006563C0">
            <w:pPr>
              <w:pStyle w:val="TableBodyText"/>
              <w:keepNext w:val="0"/>
              <w:keepLines w:val="0"/>
              <w:widowControl w:val="0"/>
              <w:spacing w:before="60" w:after="60"/>
              <w:ind w:left="0" w:right="6"/>
              <w:jc w:val="left"/>
            </w:pPr>
            <w:r w:rsidRPr="001A147A">
              <w:t>The measurement of workload in the civil jurisdiction. It is the issues, grievances or complaints that constitute a single and related series of disputes brought by an entity (or group of entities) against another entity (or group).</w:t>
            </w:r>
          </w:p>
        </w:tc>
      </w:tr>
      <w:tr w:rsidR="0007611E" w14:paraId="4169ABA5" w14:textId="77777777" w:rsidTr="00790878">
        <w:trPr>
          <w:cantSplit/>
        </w:trPr>
        <w:tc>
          <w:tcPr>
            <w:tcW w:w="2552" w:type="dxa"/>
            <w:shd w:val="clear" w:color="auto" w:fill="auto"/>
          </w:tcPr>
          <w:p w14:paraId="46CC7CEE" w14:textId="77777777" w:rsidR="0007611E" w:rsidRPr="001A147A" w:rsidRDefault="0007611E" w:rsidP="006563C0">
            <w:pPr>
              <w:pStyle w:val="TableBodyText"/>
              <w:keepNext w:val="0"/>
              <w:keepLines w:val="0"/>
              <w:widowControl w:val="0"/>
              <w:spacing w:before="60" w:after="60"/>
              <w:ind w:left="0"/>
              <w:jc w:val="left"/>
              <w:rPr>
                <w:b/>
              </w:rPr>
            </w:pPr>
            <w:r>
              <w:rPr>
                <w:b/>
              </w:rPr>
              <w:t>Comparability</w:t>
            </w:r>
          </w:p>
        </w:tc>
        <w:tc>
          <w:tcPr>
            <w:tcW w:w="6237" w:type="dxa"/>
            <w:shd w:val="clear" w:color="auto" w:fill="auto"/>
          </w:tcPr>
          <w:p w14:paraId="2DE1904D" w14:textId="77777777" w:rsidR="0007611E" w:rsidRDefault="00AB33DD" w:rsidP="006563C0">
            <w:pPr>
              <w:pStyle w:val="TableBodyText"/>
              <w:keepNext w:val="0"/>
              <w:keepLines w:val="0"/>
              <w:widowControl w:val="0"/>
              <w:spacing w:before="60" w:after="60"/>
              <w:ind w:left="0" w:right="6"/>
              <w:jc w:val="left"/>
            </w:pPr>
            <w:r>
              <w:t>Data are considered comparable if,</w:t>
            </w:r>
            <w:r w:rsidR="0007611E" w:rsidRPr="00CD50C4">
              <w:t xml:space="preserve"> (subject to caveats)</w:t>
            </w:r>
            <w:r>
              <w:t xml:space="preserve"> they</w:t>
            </w:r>
            <w:r w:rsidR="0007611E" w:rsidRPr="00CD50C4">
              <w:t xml:space="preserve">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07611E" w14:paraId="3EAA1890" w14:textId="77777777" w:rsidTr="00790878">
        <w:trPr>
          <w:cantSplit/>
        </w:trPr>
        <w:tc>
          <w:tcPr>
            <w:tcW w:w="2552" w:type="dxa"/>
            <w:shd w:val="clear" w:color="auto" w:fill="auto"/>
          </w:tcPr>
          <w:p w14:paraId="0DEAB256" w14:textId="77777777" w:rsidR="0007611E" w:rsidRDefault="0007611E" w:rsidP="006563C0">
            <w:pPr>
              <w:pStyle w:val="TableBodyText"/>
              <w:keepNext w:val="0"/>
              <w:keepLines w:val="0"/>
              <w:widowControl w:val="0"/>
              <w:spacing w:before="60" w:after="60"/>
              <w:ind w:left="0"/>
              <w:jc w:val="left"/>
              <w:rPr>
                <w:b/>
              </w:rPr>
            </w:pPr>
            <w:r>
              <w:rPr>
                <w:b/>
              </w:rPr>
              <w:t>Completeness</w:t>
            </w:r>
          </w:p>
        </w:tc>
        <w:tc>
          <w:tcPr>
            <w:tcW w:w="6237" w:type="dxa"/>
            <w:shd w:val="clear" w:color="auto" w:fill="auto"/>
          </w:tcPr>
          <w:p w14:paraId="7FC8351A" w14:textId="77777777" w:rsidR="0007611E" w:rsidRPr="00CD50C4" w:rsidRDefault="00AB33DD" w:rsidP="006563C0">
            <w:pPr>
              <w:pStyle w:val="TableBodyText"/>
              <w:keepNext w:val="0"/>
              <w:keepLines w:val="0"/>
              <w:widowControl w:val="0"/>
              <w:spacing w:before="60" w:after="60"/>
              <w:ind w:left="0" w:right="6"/>
              <w:jc w:val="left"/>
            </w:pPr>
            <w:r>
              <w:t>Data are considered complete</w:t>
            </w:r>
            <w:r w:rsidR="0007611E" w:rsidRPr="00CD50C4">
              <w:t xml:space="preserve"> if all required data are available for all jurisdictions that provide the service.</w:t>
            </w:r>
          </w:p>
        </w:tc>
      </w:tr>
      <w:tr w:rsidR="006D7F52" w14:paraId="22BF309D" w14:textId="77777777" w:rsidTr="00742A8F">
        <w:trPr>
          <w:cantSplit/>
        </w:trPr>
        <w:tc>
          <w:tcPr>
            <w:tcW w:w="2552" w:type="dxa"/>
          </w:tcPr>
          <w:p w14:paraId="1E7D185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Cost recovery</w:t>
            </w:r>
          </w:p>
        </w:tc>
        <w:tc>
          <w:tcPr>
            <w:tcW w:w="6237" w:type="dxa"/>
          </w:tcPr>
          <w:p w14:paraId="401C8FA3" w14:textId="642D3C8E" w:rsidR="006D7F52" w:rsidRPr="001A147A" w:rsidRDefault="00841F40" w:rsidP="006563C0">
            <w:pPr>
              <w:pStyle w:val="TableBodyText"/>
              <w:keepNext w:val="0"/>
              <w:keepLines w:val="0"/>
              <w:widowControl w:val="0"/>
              <w:spacing w:before="60" w:after="60"/>
              <w:ind w:left="0" w:right="6"/>
              <w:jc w:val="left"/>
            </w:pPr>
            <w:r>
              <w:t>The amount</w:t>
            </w:r>
            <w:r w:rsidR="006D7F52" w:rsidRPr="001A147A">
              <w:t xml:space="preserve"> of court fees</w:t>
            </w:r>
            <w:r>
              <w:t xml:space="preserve"> collected</w:t>
            </w:r>
            <w:r w:rsidR="006D7F52" w:rsidRPr="001A147A">
              <w:t xml:space="preserve"> divided by the </w:t>
            </w:r>
            <w:r>
              <w:t>amount</w:t>
            </w:r>
            <w:r w:rsidR="006D7F52" w:rsidRPr="001A147A">
              <w:t xml:space="preserve"> of court expenditure.</w:t>
            </w:r>
          </w:p>
        </w:tc>
      </w:tr>
      <w:tr w:rsidR="006D7F52" w14:paraId="4B3ED453" w14:textId="77777777" w:rsidTr="00742A8F">
        <w:trPr>
          <w:cantSplit/>
        </w:trPr>
        <w:tc>
          <w:tcPr>
            <w:tcW w:w="2552" w:type="dxa"/>
          </w:tcPr>
          <w:p w14:paraId="1BB8CD0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Court fees collected</w:t>
            </w:r>
          </w:p>
        </w:tc>
        <w:tc>
          <w:tcPr>
            <w:tcW w:w="6237" w:type="dxa"/>
          </w:tcPr>
          <w:p w14:paraId="1B9F59A5" w14:textId="77777777" w:rsidR="006D7F52" w:rsidRPr="001A147A" w:rsidRDefault="006D7F52" w:rsidP="006563C0">
            <w:pPr>
              <w:pStyle w:val="TableBodyText"/>
              <w:keepNext w:val="0"/>
              <w:keepLines w:val="0"/>
              <w:widowControl w:val="0"/>
              <w:spacing w:before="60" w:after="60"/>
              <w:ind w:left="0" w:right="6"/>
              <w:jc w:val="left"/>
            </w:pPr>
            <w:r w:rsidRPr="001A147A">
              <w:t xml:space="preserve">Total court income from fees charged in the civil jurisdiction. </w:t>
            </w:r>
            <w:r w:rsidR="008966E5">
              <w:t>Can i</w:t>
            </w:r>
            <w:r w:rsidRPr="001A147A">
              <w:t>nclude filing, sitting hearing and deposition fees, and excludes transcript fees.</w:t>
            </w:r>
          </w:p>
        </w:tc>
      </w:tr>
      <w:tr w:rsidR="006D7F52" w14:paraId="2CBA8027" w14:textId="77777777" w:rsidTr="00742A8F">
        <w:trPr>
          <w:cantSplit/>
        </w:trPr>
        <w:tc>
          <w:tcPr>
            <w:tcW w:w="2552" w:type="dxa"/>
          </w:tcPr>
          <w:p w14:paraId="446455A2" w14:textId="77777777" w:rsidR="006D7F52" w:rsidRPr="001A147A" w:rsidRDefault="006D7F52" w:rsidP="006563C0">
            <w:pPr>
              <w:pStyle w:val="TableBodyText"/>
              <w:keepNext w:val="0"/>
              <w:keepLines w:val="0"/>
              <w:widowControl w:val="0"/>
              <w:spacing w:before="60" w:after="60"/>
              <w:ind w:left="0"/>
              <w:jc w:val="left"/>
              <w:rPr>
                <w:b/>
              </w:rPr>
            </w:pPr>
            <w:r>
              <w:rPr>
                <w:b/>
              </w:rPr>
              <w:t>Electronic infringement and enforcement system</w:t>
            </w:r>
          </w:p>
        </w:tc>
        <w:tc>
          <w:tcPr>
            <w:tcW w:w="6237" w:type="dxa"/>
          </w:tcPr>
          <w:p w14:paraId="58360DC1" w14:textId="77777777" w:rsidR="006D7F52" w:rsidRPr="001A147A" w:rsidRDefault="006D7F52" w:rsidP="006563C0">
            <w:pPr>
              <w:pStyle w:val="TableBodyText"/>
              <w:keepNext w:val="0"/>
              <w:keepLines w:val="0"/>
              <w:widowControl w:val="0"/>
              <w:spacing w:before="60" w:after="60"/>
              <w:ind w:left="0" w:right="6"/>
              <w:jc w:val="left"/>
            </w:pPr>
            <w:r w:rsidRPr="001A147A">
              <w:t>A court with the capacity to produce enforceable orders against defendants (such as fines, licence cancellation and incarceration) and to process infringements, on-the-spot fines and summary offences.</w:t>
            </w:r>
          </w:p>
        </w:tc>
      </w:tr>
      <w:tr w:rsidR="006D7F52" w14:paraId="30E1599C" w14:textId="77777777" w:rsidTr="00742A8F">
        <w:trPr>
          <w:cantSplit/>
        </w:trPr>
        <w:tc>
          <w:tcPr>
            <w:tcW w:w="2552" w:type="dxa"/>
          </w:tcPr>
          <w:p w14:paraId="09D3263F" w14:textId="77777777" w:rsidR="006D7F52" w:rsidRPr="001A147A" w:rsidRDefault="006D7F52" w:rsidP="006563C0">
            <w:pPr>
              <w:pStyle w:val="TableBodyText"/>
              <w:keepNext w:val="0"/>
              <w:keepLines w:val="0"/>
              <w:widowControl w:val="0"/>
              <w:spacing w:before="40"/>
              <w:jc w:val="left"/>
              <w:rPr>
                <w:b/>
              </w:rPr>
            </w:pPr>
            <w:r w:rsidRPr="001A147A">
              <w:rPr>
                <w:b/>
              </w:rPr>
              <w:t>Excluded courts and tribunals</w:t>
            </w:r>
          </w:p>
        </w:tc>
        <w:tc>
          <w:tcPr>
            <w:tcW w:w="6237" w:type="dxa"/>
          </w:tcPr>
          <w:p w14:paraId="046EFCB5" w14:textId="77777777" w:rsidR="006D7F52" w:rsidRPr="001A147A" w:rsidRDefault="006D7F52" w:rsidP="006563C0">
            <w:pPr>
              <w:pStyle w:val="TableBodyText"/>
              <w:keepNext w:val="0"/>
              <w:keepLines w:val="0"/>
              <w:widowControl w:val="0"/>
              <w:spacing w:before="40"/>
              <w:ind w:right="6"/>
              <w:jc w:val="left"/>
            </w:pPr>
            <w:r>
              <w:t>This includes such bodies as g</w:t>
            </w:r>
            <w:r w:rsidRPr="001A147A">
              <w:t>uardianship boards, environment resources and development courts, and administrative appeals tribunals.</w:t>
            </w:r>
            <w:r>
              <w:t xml:space="preserve"> The types of excluded courts and tribunals vary among the states and territories.</w:t>
            </w:r>
          </w:p>
        </w:tc>
      </w:tr>
      <w:tr w:rsidR="000B4A4D" w:rsidRPr="003C1817" w14:paraId="2B4DA53E" w14:textId="77777777" w:rsidTr="008D0127">
        <w:trPr>
          <w:cantSplit/>
        </w:trPr>
        <w:tc>
          <w:tcPr>
            <w:tcW w:w="2552" w:type="dxa"/>
          </w:tcPr>
          <w:p w14:paraId="27941D65" w14:textId="374984AD" w:rsidR="000B4A4D" w:rsidRPr="00DF7337" w:rsidRDefault="00B473D5" w:rsidP="006563C0">
            <w:pPr>
              <w:pStyle w:val="TableBodyText"/>
              <w:keepNext w:val="0"/>
              <w:keepLines w:val="0"/>
              <w:widowControl w:val="0"/>
              <w:spacing w:before="40"/>
              <w:jc w:val="left"/>
              <w:rPr>
                <w:b/>
              </w:rPr>
            </w:pPr>
            <w:r w:rsidRPr="00DF7337">
              <w:rPr>
                <w:b/>
              </w:rPr>
              <w:t>FTE staff</w:t>
            </w:r>
          </w:p>
        </w:tc>
        <w:tc>
          <w:tcPr>
            <w:tcW w:w="6237" w:type="dxa"/>
          </w:tcPr>
          <w:p w14:paraId="41CBEA15" w14:textId="77777777" w:rsidR="000B4A4D" w:rsidRPr="00DF7337" w:rsidRDefault="000B4A4D" w:rsidP="006563C0">
            <w:pPr>
              <w:pStyle w:val="TableBodyText"/>
              <w:keepNext w:val="0"/>
              <w:keepLines w:val="0"/>
              <w:widowControl w:val="0"/>
              <w:spacing w:before="40"/>
              <w:ind w:right="6"/>
              <w:jc w:val="left"/>
            </w:pPr>
            <w:r w:rsidRPr="00DF7337">
              <w:t>FTE staff can include the following categories of staff employed directly by court authorities or by umbrella and other departments:</w:t>
            </w:r>
          </w:p>
          <w:p w14:paraId="46DFEEA9" w14:textId="77777777" w:rsidR="000B4A4D" w:rsidRPr="00DF7337" w:rsidRDefault="000B4A4D" w:rsidP="006563C0">
            <w:pPr>
              <w:pStyle w:val="TableBodyText"/>
              <w:keepNext w:val="0"/>
              <w:keepLines w:val="0"/>
              <w:widowControl w:val="0"/>
              <w:spacing w:before="40"/>
              <w:ind w:right="6"/>
              <w:jc w:val="left"/>
            </w:pPr>
            <w:r w:rsidRPr="00DF7337">
              <w:t>•</w:t>
            </w:r>
            <w:r w:rsidRPr="00DF7337">
              <w:tab/>
              <w:t>judicial officers, judicial support staff and registry court staff</w:t>
            </w:r>
          </w:p>
          <w:p w14:paraId="17D3AABB"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security and sheriff type staff</w:t>
            </w:r>
          </w:p>
          <w:p w14:paraId="2E49798A"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reporters</w:t>
            </w:r>
          </w:p>
          <w:p w14:paraId="53C86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library and information technology staff</w:t>
            </w:r>
          </w:p>
          <w:p w14:paraId="4919A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counsellors, mediators and interpreters</w:t>
            </w:r>
          </w:p>
          <w:p w14:paraId="771DD794" w14:textId="77777777" w:rsidR="000B4A4D" w:rsidRPr="00DF7337" w:rsidRDefault="000B4A4D" w:rsidP="006563C0">
            <w:pPr>
              <w:pStyle w:val="TableBodyText"/>
              <w:keepNext w:val="0"/>
              <w:keepLines w:val="0"/>
              <w:widowControl w:val="0"/>
              <w:spacing w:before="40"/>
              <w:ind w:right="6"/>
              <w:jc w:val="left"/>
            </w:pPr>
            <w:r w:rsidRPr="00DF7337">
              <w:t>•</w:t>
            </w:r>
            <w:r w:rsidRPr="00DF7337">
              <w:tab/>
              <w:t>cleaning, gardening and maintenance staff</w:t>
            </w:r>
          </w:p>
          <w:p w14:paraId="4EE44632" w14:textId="77777777" w:rsidR="000B4A4D" w:rsidRPr="00DF7337" w:rsidRDefault="000B4A4D" w:rsidP="006563C0">
            <w:pPr>
              <w:pStyle w:val="TableBodyText"/>
              <w:keepNext w:val="0"/>
              <w:keepLines w:val="0"/>
              <w:widowControl w:val="0"/>
              <w:spacing w:before="40"/>
              <w:ind w:right="6"/>
              <w:jc w:val="left"/>
            </w:pPr>
            <w:r w:rsidRPr="00DF7337">
              <w:t>•</w:t>
            </w:r>
            <w:r w:rsidRPr="00DF7337">
              <w:tab/>
              <w:t>first line support staff and probate staff</w:t>
            </w:r>
          </w:p>
          <w:p w14:paraId="783884DA" w14:textId="2665C88D" w:rsidR="000B4A4D" w:rsidRPr="00DF7337" w:rsidRDefault="000B4A4D" w:rsidP="006563C0">
            <w:pPr>
              <w:pStyle w:val="TableBodyText"/>
              <w:keepNext w:val="0"/>
              <w:keepLines w:val="0"/>
              <w:widowControl w:val="0"/>
              <w:spacing w:before="40"/>
              <w:ind w:right="6"/>
              <w:jc w:val="left"/>
            </w:pPr>
            <w:r w:rsidRPr="00DF7337">
              <w:t>•</w:t>
            </w:r>
            <w:r w:rsidRPr="00DF7337">
              <w:tab/>
              <w:t>corporate administration staff and umbrella department staff.</w:t>
            </w:r>
          </w:p>
        </w:tc>
      </w:tr>
      <w:tr w:rsidR="006D7F52" w14:paraId="492C1790" w14:textId="77777777" w:rsidTr="00742A8F">
        <w:trPr>
          <w:cantSplit/>
        </w:trPr>
        <w:tc>
          <w:tcPr>
            <w:tcW w:w="2552" w:type="dxa"/>
          </w:tcPr>
          <w:p w14:paraId="6A19BB74" w14:textId="77777777" w:rsidR="006D7F52" w:rsidRPr="001A147A" w:rsidRDefault="006D7F52" w:rsidP="006563C0">
            <w:pPr>
              <w:pStyle w:val="TableBodyText"/>
              <w:keepNext w:val="0"/>
              <w:keepLines w:val="0"/>
              <w:widowControl w:val="0"/>
              <w:spacing w:before="40"/>
              <w:jc w:val="left"/>
              <w:rPr>
                <w:b/>
              </w:rPr>
            </w:pPr>
            <w:r w:rsidRPr="001A147A">
              <w:rPr>
                <w:b/>
              </w:rPr>
              <w:lastRenderedPageBreak/>
              <w:t>Income</w:t>
            </w:r>
          </w:p>
        </w:tc>
        <w:tc>
          <w:tcPr>
            <w:tcW w:w="6237" w:type="dxa"/>
          </w:tcPr>
          <w:p w14:paraId="78394C2B" w14:textId="77777777" w:rsidR="006D7F52" w:rsidRPr="001A147A" w:rsidRDefault="006D7F52" w:rsidP="006563C0">
            <w:pPr>
              <w:pStyle w:val="TableBodyText"/>
              <w:keepNext w:val="0"/>
              <w:keepLines w:val="0"/>
              <w:widowControl w:val="0"/>
              <w:spacing w:before="40"/>
              <w:ind w:right="6"/>
              <w:jc w:val="left"/>
            </w:pPr>
            <w:r w:rsidRPr="001A147A">
              <w:t>Income derived from court fees, library revenue, court reporting revenue, sheriff and bailiff revenue, probate revenue, mediation revenue, rental income and any other sources of revenue (excluding fines).</w:t>
            </w:r>
          </w:p>
        </w:tc>
      </w:tr>
      <w:tr w:rsidR="006D7F52" w14:paraId="5022184E" w14:textId="77777777" w:rsidTr="00742A8F">
        <w:trPr>
          <w:cantSplit/>
        </w:trPr>
        <w:tc>
          <w:tcPr>
            <w:tcW w:w="2552" w:type="dxa"/>
          </w:tcPr>
          <w:p w14:paraId="405BFCDF" w14:textId="77777777" w:rsidR="006D7F52" w:rsidRPr="001A147A" w:rsidRDefault="006D7F52" w:rsidP="006563C0">
            <w:pPr>
              <w:pStyle w:val="TableUnitsRow"/>
              <w:keepNext w:val="0"/>
              <w:keepLines w:val="0"/>
              <w:widowControl w:val="0"/>
              <w:jc w:val="left"/>
              <w:rPr>
                <w:b/>
              </w:rPr>
            </w:pPr>
            <w:r w:rsidRPr="001A147A">
              <w:rPr>
                <w:b/>
              </w:rPr>
              <w:t>Judicial officer</w:t>
            </w:r>
          </w:p>
        </w:tc>
        <w:tc>
          <w:tcPr>
            <w:tcW w:w="6237" w:type="dxa"/>
          </w:tcPr>
          <w:p w14:paraId="2400DCC4" w14:textId="77777777" w:rsidR="006D7F52" w:rsidRPr="001A147A" w:rsidRDefault="006D7F52" w:rsidP="006563C0">
            <w:pPr>
              <w:pStyle w:val="TableUnitsRow"/>
              <w:keepNext w:val="0"/>
              <w:keepLines w:val="0"/>
              <w:widowControl w:val="0"/>
              <w:ind w:right="6"/>
              <w:jc w:val="left"/>
            </w:pPr>
            <w:r w:rsidRPr="001A147A">
              <w:t>Judges, magistrates, masters, coroners, judicial registrars and all other officers who, following argument and giving of evidence, make enforceable orders of the court. The data are provided on the basis of the proportion of time spent on the judicial activity.</w:t>
            </w:r>
          </w:p>
        </w:tc>
      </w:tr>
      <w:tr w:rsidR="006D7F52" w14:paraId="6E718F28" w14:textId="77777777" w:rsidTr="00742A8F">
        <w:trPr>
          <w:cantSplit/>
        </w:trPr>
        <w:tc>
          <w:tcPr>
            <w:tcW w:w="2552" w:type="dxa"/>
          </w:tcPr>
          <w:p w14:paraId="1E2D0199" w14:textId="77777777" w:rsidR="006D7F52" w:rsidRPr="001A147A" w:rsidRDefault="006D7F52" w:rsidP="006563C0">
            <w:pPr>
              <w:pStyle w:val="TableBodyText"/>
              <w:keepNext w:val="0"/>
              <w:keepLines w:val="0"/>
              <w:widowControl w:val="0"/>
              <w:spacing w:before="40"/>
              <w:jc w:val="left"/>
              <w:rPr>
                <w:b/>
              </w:rPr>
            </w:pPr>
            <w:r>
              <w:rPr>
                <w:b/>
              </w:rPr>
              <w:t>Lodg</w:t>
            </w:r>
            <w:r w:rsidRPr="001A147A">
              <w:rPr>
                <w:b/>
              </w:rPr>
              <w:t>ment</w:t>
            </w:r>
          </w:p>
        </w:tc>
        <w:tc>
          <w:tcPr>
            <w:tcW w:w="6237" w:type="dxa"/>
          </w:tcPr>
          <w:p w14:paraId="3FA31536" w14:textId="77777777" w:rsidR="006D7F52" w:rsidRPr="001A147A" w:rsidRDefault="006D7F52" w:rsidP="006563C0">
            <w:pPr>
              <w:pStyle w:val="TableBodyText"/>
              <w:keepNext w:val="0"/>
              <w:keepLines w:val="0"/>
              <w:widowControl w:val="0"/>
              <w:spacing w:before="40"/>
              <w:ind w:right="6"/>
              <w:jc w:val="left"/>
            </w:pPr>
            <w:r w:rsidRPr="001A147A">
              <w:t>The initiation or commencement of a matter before the court. The date of commencement is counted as the date of registration of a court matter.</w:t>
            </w:r>
          </w:p>
        </w:tc>
      </w:tr>
      <w:tr w:rsidR="006D7F52" w14:paraId="4BDD8435" w14:textId="77777777" w:rsidTr="00742A8F">
        <w:tc>
          <w:tcPr>
            <w:tcW w:w="2552" w:type="dxa"/>
          </w:tcPr>
          <w:p w14:paraId="158DE9DE" w14:textId="350C2E1D" w:rsidR="006D7F52" w:rsidRPr="001A147A" w:rsidRDefault="008A7504" w:rsidP="006563C0">
            <w:pPr>
              <w:pStyle w:val="TableBodyText"/>
              <w:keepNext w:val="0"/>
              <w:keepLines w:val="0"/>
              <w:widowControl w:val="0"/>
              <w:spacing w:before="40"/>
              <w:jc w:val="left"/>
              <w:rPr>
                <w:b/>
              </w:rPr>
            </w:pPr>
            <w:r>
              <w:rPr>
                <w:b/>
              </w:rPr>
              <w:t>Matter</w:t>
            </w:r>
          </w:p>
        </w:tc>
        <w:tc>
          <w:tcPr>
            <w:tcW w:w="6237" w:type="dxa"/>
          </w:tcPr>
          <w:p w14:paraId="0051B8B4" w14:textId="77777777" w:rsidR="006D7F52" w:rsidRPr="001A147A" w:rsidRDefault="006D7F52" w:rsidP="006563C0">
            <w:pPr>
              <w:pStyle w:val="TableBodyText"/>
              <w:keepNext w:val="0"/>
              <w:keepLines w:val="0"/>
              <w:widowControl w:val="0"/>
              <w:spacing w:before="40"/>
              <w:ind w:right="6"/>
              <w:jc w:val="left"/>
            </w:pPr>
            <w:r w:rsidRPr="001A147A">
              <w:rPr>
                <w:i/>
              </w:rPr>
              <w:t>Coronial matters</w:t>
            </w:r>
            <w:r w:rsidRPr="001A147A">
              <w:t>:</w:t>
            </w:r>
            <w:r w:rsidRPr="001A147A">
              <w:rPr>
                <w:i/>
              </w:rPr>
              <w:t xml:space="preserve"> </w:t>
            </w:r>
            <w:r w:rsidRPr="001A147A">
              <w:t>Deaths and fires reported to the coroner in each jurisdiction, including all reported deaths and fires regardless of whether the coroner held an inquest or inqui</w:t>
            </w:r>
            <w:r>
              <w:t>ry. Coronial jurisdictions can</w:t>
            </w:r>
            <w:r w:rsidRPr="001A147A">
              <w:t xml:space="preserve"> extend to </w:t>
            </w:r>
            <w:r>
              <w:t>the manner</w:t>
            </w:r>
            <w:r w:rsidRPr="001A147A">
              <w:t xml:space="preserve"> of </w:t>
            </w:r>
            <w:r>
              <w:t xml:space="preserve">the </w:t>
            </w:r>
            <w:r w:rsidRPr="001A147A">
              <w:t>death of a person who was killed; was found drowned; died a sudden death of which the cause is unknown; died under suspicious or unusual circumstances; died during or following the administration of an operation of a medical, surgical, dental, diagnostic or like nature; died in a prison remand centre or lockup; or died under circumstances that (in the opinion of the Attorney-General) require that the cause of death be more clearly ascertained.</w:t>
            </w:r>
          </w:p>
          <w:p w14:paraId="5A2776B4" w14:textId="77777777" w:rsidR="006D7F52" w:rsidRPr="001A147A" w:rsidRDefault="006D7F52" w:rsidP="006563C0">
            <w:pPr>
              <w:pStyle w:val="TableBodyText"/>
              <w:keepNext w:val="0"/>
              <w:keepLines w:val="0"/>
              <w:widowControl w:val="0"/>
              <w:spacing w:before="40"/>
              <w:ind w:right="6"/>
              <w:jc w:val="left"/>
            </w:pPr>
            <w:r w:rsidRPr="001A147A">
              <w:rPr>
                <w:i/>
              </w:rPr>
              <w:t>Criminal matters</w:t>
            </w:r>
            <w:r w:rsidRPr="001A147A">
              <w:t>: Matters brought to the court by a government prosecuting agency, which is generally the Director of Public Prosecutions but could also be the Attorney-General, the police, local coun</w:t>
            </w:r>
            <w:r>
              <w:t>cils or</w:t>
            </w:r>
            <w:r w:rsidRPr="001A147A">
              <w:t xml:space="preserve"> traffic camera branches.</w:t>
            </w:r>
          </w:p>
          <w:p w14:paraId="3701C2C4" w14:textId="77777777" w:rsidR="006D7F52" w:rsidRDefault="006D7F52" w:rsidP="006563C0">
            <w:pPr>
              <w:pStyle w:val="TableBodyText"/>
              <w:keepNext w:val="0"/>
              <w:keepLines w:val="0"/>
              <w:widowControl w:val="0"/>
              <w:spacing w:before="40"/>
              <w:ind w:right="6"/>
              <w:jc w:val="left"/>
            </w:pPr>
            <w:r w:rsidRPr="001A147A">
              <w:rPr>
                <w:i/>
              </w:rPr>
              <w:t>Civil matters</w:t>
            </w:r>
            <w:r w:rsidRPr="001A147A">
              <w:t>: Matters brought before the court by individuals or organisations against another party, such as small claims and residential tenancies, as well as matters dealt with by the appeal</w:t>
            </w:r>
            <w:r>
              <w:t xml:space="preserve"> court jurisdiction.</w:t>
            </w:r>
          </w:p>
          <w:p w14:paraId="5999A63A" w14:textId="77777777" w:rsidR="006D7F52" w:rsidRPr="001A147A" w:rsidRDefault="006D7F52" w:rsidP="006563C0">
            <w:pPr>
              <w:pStyle w:val="TableUnitsRow"/>
              <w:keepNext w:val="0"/>
              <w:keepLines w:val="0"/>
              <w:widowControl w:val="0"/>
              <w:ind w:right="6"/>
              <w:jc w:val="left"/>
            </w:pPr>
            <w:r w:rsidRPr="001A147A">
              <w:rPr>
                <w:i/>
              </w:rPr>
              <w:t>Excluded matters</w:t>
            </w:r>
            <w:r w:rsidRPr="001A147A">
              <w:t>:</w:t>
            </w:r>
            <w:r w:rsidRPr="001A147A">
              <w:rPr>
                <w:i/>
              </w:rPr>
              <w:t xml:space="preserve"> </w:t>
            </w:r>
            <w:r w:rsidRPr="001A147A">
              <w:t>Extraordinary driver’s licence applications; any application on a pending dispute; applications for bail directions or judgment; secondary processes (for example, applications for default judgments); interlocutory matters; investigation/examination summonses; firearms appeals; escort agents’ licensing appeals; pastoral lands appeals; local government tribunals; police promotions appeals; applications appealing the decisions of workers compensation review officers.</w:t>
            </w:r>
          </w:p>
          <w:p w14:paraId="768AF4C8" w14:textId="77777777" w:rsidR="006D7F52" w:rsidRPr="001A147A" w:rsidRDefault="006D7F52" w:rsidP="006563C0">
            <w:pPr>
              <w:pStyle w:val="TableBodyText"/>
              <w:keepNext w:val="0"/>
              <w:keepLines w:val="0"/>
              <w:widowControl w:val="0"/>
              <w:spacing w:before="40"/>
              <w:ind w:right="6"/>
              <w:jc w:val="left"/>
            </w:pPr>
            <w:r w:rsidRPr="001A147A">
              <w:rPr>
                <w:i/>
              </w:rPr>
              <w:t>Probate</w:t>
            </w:r>
            <w:r w:rsidR="00A00E44">
              <w:rPr>
                <w:i/>
              </w:rPr>
              <w:t xml:space="preserve"> matters</w:t>
            </w:r>
            <w:r w:rsidRPr="001A147A">
              <w:t>: Matters such as applications for the appointment of an executor or administrator to the estate of a deceased person.</w:t>
            </w:r>
          </w:p>
        </w:tc>
      </w:tr>
      <w:tr w:rsidR="006D7F52" w14:paraId="7302AAF7" w14:textId="77777777" w:rsidTr="00742A8F">
        <w:trPr>
          <w:cantSplit/>
        </w:trPr>
        <w:tc>
          <w:tcPr>
            <w:tcW w:w="2552" w:type="dxa"/>
          </w:tcPr>
          <w:p w14:paraId="4FCF0CB8" w14:textId="77777777" w:rsidR="006D7F52" w:rsidRPr="001A147A" w:rsidRDefault="006D7F52" w:rsidP="006563C0">
            <w:pPr>
              <w:pStyle w:val="TableBodyText"/>
              <w:keepNext w:val="0"/>
              <w:keepLines w:val="0"/>
              <w:widowControl w:val="0"/>
              <w:spacing w:before="40"/>
              <w:jc w:val="left"/>
              <w:rPr>
                <w:b/>
              </w:rPr>
            </w:pPr>
            <w:r w:rsidRPr="001A147A">
              <w:rPr>
                <w:b/>
              </w:rPr>
              <w:t>Real expenditure</w:t>
            </w:r>
          </w:p>
        </w:tc>
        <w:tc>
          <w:tcPr>
            <w:tcW w:w="6237" w:type="dxa"/>
          </w:tcPr>
          <w:p w14:paraId="5527CD7A" w14:textId="7388D434" w:rsidR="000364F1" w:rsidRPr="001A147A" w:rsidRDefault="006D7F52" w:rsidP="006563C0">
            <w:pPr>
              <w:pStyle w:val="TableBodyText"/>
              <w:keepNext w:val="0"/>
              <w:keepLines w:val="0"/>
              <w:widowControl w:val="0"/>
              <w:spacing w:before="40"/>
              <w:ind w:right="6"/>
              <w:jc w:val="left"/>
            </w:pPr>
            <w:r w:rsidRPr="001A147A">
              <w:t xml:space="preserve">Actual expenditure adjusted for changes in prices using the </w:t>
            </w:r>
            <w:r w:rsidR="00E95ADC">
              <w:t>general government final consumption expenditure (GGFCE)</w:t>
            </w:r>
            <w:r w:rsidR="000364F1">
              <w:t xml:space="preserve"> </w:t>
            </w:r>
            <w:r w:rsidR="00E95ADC">
              <w:t xml:space="preserve">chain </w:t>
            </w:r>
            <w:r w:rsidRPr="001A147A">
              <w:t>price</w:t>
            </w:r>
            <w:r w:rsidR="00E95ADC">
              <w:t xml:space="preserve"> index</w:t>
            </w:r>
            <w:r w:rsidRPr="001A147A">
              <w:t xml:space="preserve"> deflator and expressed in terms of </w:t>
            </w:r>
            <w:r w:rsidR="00E95ADC">
              <w:t>current</w:t>
            </w:r>
            <w:r w:rsidRPr="001A147A">
              <w:t xml:space="preserve"> year prices</w:t>
            </w:r>
            <w:r w:rsidR="000364F1">
              <w:t xml:space="preserve"> (i.e. for the court</w:t>
            </w:r>
            <w:r w:rsidR="00E95ADC">
              <w:t>s</w:t>
            </w:r>
            <w:r w:rsidR="000364F1">
              <w:t xml:space="preserve"> </w:t>
            </w:r>
            <w:r w:rsidR="00FB5C54">
              <w:t xml:space="preserve"> chapter with 201</w:t>
            </w:r>
            <w:r w:rsidR="002E5561">
              <w:t>6</w:t>
            </w:r>
            <w:r w:rsidR="00AF5D20">
              <w:noBreakHyphen/>
            </w:r>
            <w:r w:rsidR="003E7F16">
              <w:t>1</w:t>
            </w:r>
            <w:r w:rsidR="002E5561">
              <w:t>7</w:t>
            </w:r>
            <w:r w:rsidR="000364F1">
              <w:t xml:space="preserve"> as the base year). Additional information about the G</w:t>
            </w:r>
            <w:r w:rsidR="00E95ADC">
              <w:t>GFCE</w:t>
            </w:r>
            <w:r w:rsidR="000364F1">
              <w:t xml:space="preserve"> index can be found in </w:t>
            </w:r>
            <w:r w:rsidR="00C55561">
              <w:t>chapter 2</w:t>
            </w:r>
            <w:r w:rsidR="00573C2B">
              <w:t>.</w:t>
            </w:r>
          </w:p>
        </w:tc>
      </w:tr>
      <w:tr w:rsidR="00F121F6" w:rsidRPr="00CC376D" w14:paraId="2526460F" w14:textId="77777777" w:rsidTr="00742A8F">
        <w:trPr>
          <w:cantSplit/>
        </w:trPr>
        <w:tc>
          <w:tcPr>
            <w:tcW w:w="2552" w:type="dxa"/>
          </w:tcPr>
          <w:p w14:paraId="4865CA47" w14:textId="77777777" w:rsidR="00F121F6" w:rsidRPr="00C941CD" w:rsidRDefault="00F121F6" w:rsidP="006563C0">
            <w:pPr>
              <w:pStyle w:val="TableBodyText"/>
              <w:keepNext w:val="0"/>
              <w:keepLines w:val="0"/>
              <w:widowControl w:val="0"/>
              <w:jc w:val="left"/>
            </w:pPr>
            <w:r w:rsidRPr="00C941CD">
              <w:rPr>
                <w:b/>
              </w:rPr>
              <w:t>Recurrent expenditure</w:t>
            </w:r>
          </w:p>
        </w:tc>
        <w:tc>
          <w:tcPr>
            <w:tcW w:w="6237" w:type="dxa"/>
          </w:tcPr>
          <w:p w14:paraId="040DEC13" w14:textId="77777777" w:rsidR="00F121F6" w:rsidRPr="00C941CD" w:rsidRDefault="00F121F6" w:rsidP="006563C0">
            <w:pPr>
              <w:pStyle w:val="TableBodyText"/>
              <w:keepNext w:val="0"/>
              <w:keepLines w:val="0"/>
              <w:widowControl w:val="0"/>
              <w:jc w:val="left"/>
            </w:pPr>
            <w:r w:rsidRPr="00C941C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6D7F52" w:rsidRPr="00EB64F9" w14:paraId="6640A4EE" w14:textId="77777777" w:rsidTr="00742A8F">
        <w:trPr>
          <w:cantSplit/>
        </w:trPr>
        <w:tc>
          <w:tcPr>
            <w:tcW w:w="2552" w:type="dxa"/>
          </w:tcPr>
          <w:p w14:paraId="62DA5873" w14:textId="77777777" w:rsidR="006D7F52" w:rsidRPr="00EB64F9" w:rsidRDefault="006D7F52" w:rsidP="006563C0">
            <w:pPr>
              <w:pStyle w:val="TableBodyText"/>
              <w:keepNext w:val="0"/>
              <w:keepLines w:val="0"/>
              <w:widowControl w:val="0"/>
              <w:spacing w:before="40"/>
              <w:jc w:val="left"/>
              <w:rPr>
                <w:b/>
              </w:rPr>
            </w:pPr>
            <w:r w:rsidRPr="00EB64F9">
              <w:rPr>
                <w:b/>
              </w:rPr>
              <w:t>Specialist jurisdiction court</w:t>
            </w:r>
          </w:p>
        </w:tc>
        <w:tc>
          <w:tcPr>
            <w:tcW w:w="6237" w:type="dxa"/>
          </w:tcPr>
          <w:p w14:paraId="6D8018B4" w14:textId="77777777" w:rsidR="006D7F52" w:rsidRPr="00EB64F9" w:rsidRDefault="006D7F52" w:rsidP="006563C0">
            <w:pPr>
              <w:pStyle w:val="TableBodyText"/>
              <w:keepNext w:val="0"/>
              <w:keepLines w:val="0"/>
              <w:widowControl w:val="0"/>
              <w:spacing w:before="40"/>
              <w:jc w:val="left"/>
            </w:pPr>
            <w:r w:rsidRPr="00EB64F9">
              <w:t xml:space="preserve">A court which has exclusive jurisdiction in a field of law presided over by a judicial officer with expertise in that area. </w:t>
            </w:r>
            <w:r>
              <w:t xml:space="preserve">Examples of these types of courts which are within the scope of this Report are the family courts, the </w:t>
            </w:r>
            <w:r w:rsidR="00BC62E9">
              <w:t>Children’s Court</w:t>
            </w:r>
            <w:r>
              <w:t>s</w:t>
            </w:r>
            <w:r w:rsidRPr="00EB64F9">
              <w:t xml:space="preserve"> </w:t>
            </w:r>
            <w:r>
              <w:t xml:space="preserve">and the </w:t>
            </w:r>
            <w:r w:rsidR="00BC62E9">
              <w:t>Coroners’ Court</w:t>
            </w:r>
            <w:r>
              <w:t xml:space="preserve">s. Examples of </w:t>
            </w:r>
            <w:r w:rsidRPr="00EB64F9">
              <w:t>specialist jurisdiction court</w:t>
            </w:r>
            <w:r>
              <w:t>s which are excluded from this Report include Indigenous and circle sentencing courts and drug courts</w:t>
            </w:r>
            <w:r w:rsidRPr="00EB64F9">
              <w:t>.</w:t>
            </w:r>
          </w:p>
        </w:tc>
      </w:tr>
    </w:tbl>
    <w:p w14:paraId="0DAF0D71" w14:textId="3F35B0BF" w:rsidR="006D7F52" w:rsidRDefault="006D7F52" w:rsidP="00E421A8">
      <w:pPr>
        <w:pStyle w:val="Heading2"/>
      </w:pPr>
      <w:bookmarkStart w:id="25" w:name="_Toc340063217"/>
      <w:bookmarkStart w:id="26" w:name="_Toc458687993"/>
      <w:r>
        <w:t>7.</w:t>
      </w:r>
      <w:r w:rsidR="00F66551">
        <w:rPr>
          <w:noProof/>
        </w:rPr>
        <w:t>5</w:t>
      </w:r>
      <w:r>
        <w:tab/>
        <w:t>References</w:t>
      </w:r>
      <w:bookmarkEnd w:id="25"/>
      <w:bookmarkEnd w:id="26"/>
    </w:p>
    <w:p w14:paraId="0FA35516" w14:textId="255DAC2F" w:rsidR="001D6C51" w:rsidRDefault="006D7F52" w:rsidP="006563C0">
      <w:pPr>
        <w:pStyle w:val="Reference"/>
        <w:keepNext/>
      </w:pPr>
      <w:r w:rsidRPr="00847496">
        <w:t>ABS (Austr</w:t>
      </w:r>
      <w:r w:rsidR="009D35A2" w:rsidRPr="00847496">
        <w:t>alian Bureau of Statist</w:t>
      </w:r>
      <w:r w:rsidR="00AA7355" w:rsidRPr="00847496">
        <w:t>ics) 201</w:t>
      </w:r>
      <w:r w:rsidR="000363E5">
        <w:t>7</w:t>
      </w:r>
      <w:r w:rsidRPr="00847496">
        <w:t xml:space="preserve">, </w:t>
      </w:r>
      <w:r w:rsidRPr="00847496">
        <w:rPr>
          <w:i/>
        </w:rPr>
        <w:t>Criminal Courts, Australia</w:t>
      </w:r>
      <w:r w:rsidRPr="00847496">
        <w:t>,</w:t>
      </w:r>
      <w:r w:rsidR="009D35A2" w:rsidRPr="00847496">
        <w:t xml:space="preserve"> </w:t>
      </w:r>
      <w:r w:rsidR="00A52A70" w:rsidRPr="00847496">
        <w:rPr>
          <w:i/>
        </w:rPr>
        <w:t>201</w:t>
      </w:r>
      <w:r w:rsidR="000363E5">
        <w:rPr>
          <w:i/>
        </w:rPr>
        <w:t>5</w:t>
      </w:r>
      <w:r w:rsidR="00AF5D20" w:rsidRPr="00847496">
        <w:rPr>
          <w:i/>
        </w:rPr>
        <w:noBreakHyphen/>
      </w:r>
      <w:r w:rsidR="00A52A70" w:rsidRPr="00847496">
        <w:rPr>
          <w:i/>
        </w:rPr>
        <w:t>1</w:t>
      </w:r>
      <w:r w:rsidR="000363E5">
        <w:rPr>
          <w:i/>
        </w:rPr>
        <w:t>6</w:t>
      </w:r>
      <w:r w:rsidR="009D35A2" w:rsidRPr="00847496">
        <w:rPr>
          <w:i/>
        </w:rPr>
        <w:t>,</w:t>
      </w:r>
      <w:r w:rsidRPr="00847496">
        <w:t xml:space="preserve"> </w:t>
      </w:r>
      <w:r>
        <w:t>Cat.</w:t>
      </w:r>
      <w:r w:rsidR="0038285C">
        <w:t> </w:t>
      </w:r>
      <w:r>
        <w:t>no.</w:t>
      </w:r>
      <w:r w:rsidR="0038285C">
        <w:t> </w:t>
      </w:r>
      <w:r>
        <w:t>4513.0, Canberra</w:t>
      </w:r>
      <w:r w:rsidR="00E91470">
        <w:t>.</w:t>
      </w:r>
    </w:p>
    <w:p w14:paraId="0803E6D7" w14:textId="3645CA99" w:rsidR="00A20955" w:rsidRPr="005F66EB" w:rsidRDefault="00A20955" w:rsidP="006563C0">
      <w:pPr>
        <w:pStyle w:val="Reference"/>
        <w:keepNext/>
        <w:jc w:val="left"/>
      </w:pPr>
      <w:r w:rsidRPr="00DB4969">
        <w:t>Family Court of Australia annual report</w:t>
      </w:r>
      <w:r w:rsidR="00CA0B96">
        <w:t xml:space="preserve"> 2016-17</w:t>
      </w:r>
      <w:r w:rsidR="00DB4969" w:rsidRPr="005F66EB">
        <w:t xml:space="preserve">, </w:t>
      </w:r>
      <w:r w:rsidR="00B9240E" w:rsidRPr="00B9240E">
        <w:t>http://www.familycourt.gov.au/wps/wcm</w:t>
      </w:r>
      <w:r w:rsidR="00B9240E">
        <w:t xml:space="preserve"> </w:t>
      </w:r>
      <w:r w:rsidR="00CA0B96" w:rsidRPr="00CA0B96">
        <w:t>/connect/7456589e-fc98-409b-8d1c-7b909bd30dcf/2743-</w:t>
      </w:r>
      <w:r w:rsidR="00CA0B96">
        <w:t>F</w:t>
      </w:r>
      <w:r w:rsidR="00CA0B96" w:rsidRPr="00CA0B96">
        <w:t>amily_Court_of_Australia_</w:t>
      </w:r>
      <w:r w:rsidR="00B9240E">
        <w:t xml:space="preserve"> </w:t>
      </w:r>
      <w:r w:rsidR="00CA0B96" w:rsidRPr="00CA0B96">
        <w:lastRenderedPageBreak/>
        <w:t>AnnualReport_2016_17_WEB.pdf?MOD=AJPERES&amp;CVID=</w:t>
      </w:r>
      <w:r w:rsidR="00CA0B96">
        <w:t>(accessed 20</w:t>
      </w:r>
      <w:r w:rsidR="00DB4969" w:rsidRPr="005F66EB">
        <w:t xml:space="preserve"> </w:t>
      </w:r>
      <w:r w:rsidR="00FF32AB">
        <w:t>October</w:t>
      </w:r>
      <w:r w:rsidR="00B9240E">
        <w:t xml:space="preserve"> 2</w:t>
      </w:r>
      <w:r w:rsidR="00DB4969" w:rsidRPr="005F66EB">
        <w:t>01</w:t>
      </w:r>
      <w:r w:rsidR="00FF32AB">
        <w:t>7</w:t>
      </w:r>
      <w:r w:rsidR="00DB4969" w:rsidRPr="005F66EB">
        <w:t>)</w:t>
      </w:r>
      <w:r w:rsidR="00DB4969">
        <w:t>.</w:t>
      </w:r>
    </w:p>
    <w:p w14:paraId="6C818BCC" w14:textId="509871DD" w:rsidR="00547992" w:rsidRPr="003D59D7" w:rsidRDefault="00547992" w:rsidP="006563C0">
      <w:pPr>
        <w:pStyle w:val="Reference"/>
        <w:keepNext/>
      </w:pPr>
      <w:r>
        <w:t>Taylor</w:t>
      </w:r>
      <w:r w:rsidR="003A5043">
        <w:t>, A.</w:t>
      </w:r>
      <w:r w:rsidR="007A7B41">
        <w:t>,</w:t>
      </w:r>
      <w:r>
        <w:t xml:space="preserve"> Ibrahim</w:t>
      </w:r>
      <w:r w:rsidR="003A5043">
        <w:t>, N.</w:t>
      </w:r>
      <w:r w:rsidR="007A7B41">
        <w:t>,</w:t>
      </w:r>
      <w:r>
        <w:t xml:space="preserve"> Wakefield</w:t>
      </w:r>
      <w:r w:rsidR="003A5043">
        <w:t>,</w:t>
      </w:r>
      <w:r>
        <w:t xml:space="preserve"> S</w:t>
      </w:r>
      <w:r w:rsidR="003A5043">
        <w:t>.</w:t>
      </w:r>
      <w:r>
        <w:t xml:space="preserve"> and Finn</w:t>
      </w:r>
      <w:r w:rsidR="003A5043">
        <w:t>,</w:t>
      </w:r>
      <w:r>
        <w:t xml:space="preserve"> K</w:t>
      </w:r>
      <w:r w:rsidR="003A5043">
        <w:t>.</w:t>
      </w:r>
      <w:r>
        <w:t xml:space="preserve"> 2015, </w:t>
      </w:r>
      <w:r>
        <w:rPr>
          <w:i/>
        </w:rPr>
        <w:t>Domestic and family violence protection orders in Australia: An investigation of information sharing and enforcement,</w:t>
      </w:r>
      <w:r w:rsidR="003D59D7">
        <w:rPr>
          <w:i/>
        </w:rPr>
        <w:t xml:space="preserve"> </w:t>
      </w:r>
      <w:r w:rsidR="003D59D7">
        <w:t>State of knowledge paper Issue 16, Australia’s National Research Organisation for Women’s Safety, Sydney.</w:t>
      </w:r>
    </w:p>
    <w:sectPr w:rsidR="00547992" w:rsidRPr="003D59D7" w:rsidSect="00041735">
      <w:headerReference w:type="even" r:id="rId27"/>
      <w:headerReference w:type="default" r:id="rId28"/>
      <w:footerReference w:type="even" r:id="rId29"/>
      <w:footerReference w:type="default" r:id="rId30"/>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B91E" w14:textId="77777777" w:rsidR="00CA3F79" w:rsidRDefault="00CA3F79">
      <w:r>
        <w:separator/>
      </w:r>
    </w:p>
  </w:endnote>
  <w:endnote w:type="continuationSeparator" w:id="0">
    <w:p w14:paraId="443FCC43" w14:textId="77777777" w:rsidR="00CA3F79" w:rsidRDefault="00CA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3F79" w14:paraId="6BDCBD99" w14:textId="77777777" w:rsidTr="00403101">
      <w:trPr>
        <w:trHeight w:hRule="exact" w:val="567"/>
      </w:trPr>
      <w:tc>
        <w:tcPr>
          <w:tcW w:w="510" w:type="dxa"/>
        </w:tcPr>
        <w:p w14:paraId="0F780E58" w14:textId="7565242D" w:rsidR="00CA3F79" w:rsidRPr="00A24443" w:rsidRDefault="00CA3F79" w:rsidP="00403101">
          <w:pPr>
            <w:pStyle w:val="Footer"/>
            <w:tabs>
              <w:tab w:val="left" w:pos="0"/>
            </w:tabs>
            <w:ind w:right="0"/>
            <w:rPr>
              <w:rStyle w:val="PageNumbe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1CDB">
            <w:rPr>
              <w:rStyle w:val="PageNumber"/>
              <w:caps w:val="0"/>
              <w:noProof/>
            </w:rPr>
            <w:t>2</w:t>
          </w:r>
          <w:r w:rsidRPr="00A24443">
            <w:rPr>
              <w:rStyle w:val="PageNumber"/>
              <w:caps w:val="0"/>
            </w:rPr>
            <w:fldChar w:fldCharType="end"/>
          </w:r>
        </w:p>
      </w:tc>
      <w:tc>
        <w:tcPr>
          <w:tcW w:w="7767" w:type="dxa"/>
        </w:tcPr>
        <w:p w14:paraId="0BCAF94C" w14:textId="7196FBA4" w:rsidR="00CA3F79" w:rsidRPr="0013739A" w:rsidRDefault="002602F1" w:rsidP="00403101">
          <w:pPr>
            <w:pStyle w:val="Footer"/>
            <w:rPr>
              <w:rFonts w:cs="Arial"/>
            </w:rPr>
          </w:pPr>
          <w:r>
            <w:rPr>
              <w:rFonts w:cs="Arial"/>
            </w:rPr>
            <w:t>Report on Government Services 2018</w:t>
          </w:r>
          <w:bookmarkStart w:id="27" w:name="DraftReportEven"/>
          <w:bookmarkEnd w:id="27"/>
        </w:p>
      </w:tc>
      <w:tc>
        <w:tcPr>
          <w:tcW w:w="510" w:type="dxa"/>
        </w:tcPr>
        <w:p w14:paraId="04CA9C59" w14:textId="77777777" w:rsidR="00CA3F79" w:rsidRDefault="00CA3F79" w:rsidP="00403101">
          <w:pPr>
            <w:pStyle w:val="Footer"/>
          </w:pPr>
        </w:p>
      </w:tc>
    </w:tr>
  </w:tbl>
  <w:p w14:paraId="0E628A6D" w14:textId="77777777" w:rsidR="00CA3F79" w:rsidRDefault="00CA3F79" w:rsidP="00403101">
    <w:pPr>
      <w:pStyle w:val="FooterEnd"/>
    </w:pPr>
  </w:p>
  <w:p w14:paraId="022E15EA" w14:textId="77777777" w:rsidR="00CA3F79" w:rsidRDefault="00CA3F7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3F79" w14:paraId="7E31B372" w14:textId="77777777" w:rsidTr="00403101">
      <w:trPr>
        <w:trHeight w:hRule="exact" w:val="567"/>
      </w:trPr>
      <w:tc>
        <w:tcPr>
          <w:tcW w:w="510" w:type="dxa"/>
        </w:tcPr>
        <w:p w14:paraId="009BF3D7" w14:textId="77777777" w:rsidR="00CA3F79" w:rsidRDefault="00CA3F79">
          <w:pPr>
            <w:pStyle w:val="Footer"/>
            <w:ind w:right="360" w:firstLine="360"/>
          </w:pPr>
          <w:bookmarkStart w:id="28" w:name="_Chapter"/>
          <w:bookmarkEnd w:id="28"/>
        </w:p>
      </w:tc>
      <w:tc>
        <w:tcPr>
          <w:tcW w:w="7767" w:type="dxa"/>
        </w:tcPr>
        <w:p w14:paraId="79E61EB9" w14:textId="5E4D2690" w:rsidR="00CA3F79" w:rsidRPr="00BA5B14" w:rsidRDefault="002602F1" w:rsidP="00403101">
          <w:pPr>
            <w:pStyle w:val="Footer"/>
            <w:jc w:val="right"/>
            <w:rPr>
              <w:rFonts w:cs="Arial"/>
            </w:rPr>
          </w:pPr>
          <w:r>
            <w:rPr>
              <w:rFonts w:cs="Arial"/>
            </w:rPr>
            <w:t>Courts</w:t>
          </w:r>
        </w:p>
      </w:tc>
      <w:tc>
        <w:tcPr>
          <w:tcW w:w="510" w:type="dxa"/>
        </w:tcPr>
        <w:p w14:paraId="0C359214" w14:textId="40E0B9C3" w:rsidR="00CA3F79" w:rsidRPr="00A24443" w:rsidRDefault="00CA3F79">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01CDB">
            <w:rPr>
              <w:rStyle w:val="PageNumber"/>
              <w:caps w:val="0"/>
              <w:noProof/>
            </w:rPr>
            <w:t>1</w:t>
          </w:r>
          <w:r w:rsidRPr="00A24443">
            <w:rPr>
              <w:rStyle w:val="PageNumber"/>
              <w:caps w:val="0"/>
            </w:rPr>
            <w:fldChar w:fldCharType="end"/>
          </w:r>
        </w:p>
      </w:tc>
    </w:tr>
  </w:tbl>
  <w:p w14:paraId="53BE26BB" w14:textId="77777777" w:rsidR="00CA3F79" w:rsidRDefault="00CA3F79">
    <w:pPr>
      <w:pStyle w:val="FooterEnd"/>
    </w:pPr>
  </w:p>
  <w:p w14:paraId="1ADDC705" w14:textId="77777777" w:rsidR="00CA3F79" w:rsidRDefault="00CA3F7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54A7" w14:textId="77777777" w:rsidR="00CA3F79" w:rsidRDefault="00CA3F79">
      <w:r>
        <w:separator/>
      </w:r>
    </w:p>
  </w:footnote>
  <w:footnote w:type="continuationSeparator" w:id="0">
    <w:p w14:paraId="32C61B66" w14:textId="77777777" w:rsidR="00CA3F79" w:rsidRDefault="00CA3F79">
      <w:r>
        <w:continuationSeparator/>
      </w:r>
    </w:p>
  </w:footnote>
  <w:footnote w:id="1">
    <w:p w14:paraId="7A1AFB54" w14:textId="3FCF4441" w:rsidR="00CA3F79" w:rsidRPr="006C14A2" w:rsidRDefault="00CA3F79">
      <w:pPr>
        <w:pStyle w:val="FootnoteText"/>
      </w:pPr>
      <w:r w:rsidRPr="006C14A2">
        <w:rPr>
          <w:rStyle w:val="FootnoteReference"/>
        </w:rPr>
        <w:footnoteRef/>
      </w:r>
      <w:r w:rsidRPr="006C14A2">
        <w:tab/>
        <w:t xml:space="preserve">For the purposes of this Report, civil non-appeal lodgments that have had no </w:t>
      </w:r>
      <w:r>
        <w:t>court action in the past 12 </w:t>
      </w:r>
      <w:r w:rsidRPr="006C14A2">
        <w:t>months are counted (deemed) as finalised. The rationale for this is to focus on those matters that are active and part of a workload that the courts can progress. A case which is deemed finalised is considered closed — in the event that it becomes active again in the court after 12 months it is not counted again in this Report.</w:t>
      </w:r>
    </w:p>
  </w:footnote>
  <w:footnote w:id="2">
    <w:p w14:paraId="15731B65" w14:textId="601C5049" w:rsidR="00CA3F79" w:rsidRPr="009A2CA2" w:rsidRDefault="00CA3F79" w:rsidP="008D0127">
      <w:pPr>
        <w:pStyle w:val="FootnoteText"/>
      </w:pPr>
      <w:r w:rsidRPr="009A2CA2">
        <w:rPr>
          <w:rStyle w:val="FootnoteReference"/>
        </w:rPr>
        <w:footnoteRef/>
      </w:r>
      <w:r w:rsidRPr="009A2CA2">
        <w:tab/>
        <w:t>While ‘domestic’ and ‘family’ violence are distinct concepts, the former referring to violence against an intimate partner, the latter referring to broader family and kinship relationships, the terms are often used interchangeably and their definitions generally incorporate both domestic and family-related violence.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A3F79" w14:paraId="343770E9" w14:textId="77777777">
      <w:tc>
        <w:tcPr>
          <w:tcW w:w="2155" w:type="dxa"/>
          <w:tcBorders>
            <w:top w:val="single" w:sz="24" w:space="0" w:color="auto"/>
          </w:tcBorders>
        </w:tcPr>
        <w:p w14:paraId="084341EA" w14:textId="77777777" w:rsidR="00CA3F79" w:rsidRDefault="00CA3F79" w:rsidP="00403101">
          <w:pPr>
            <w:pStyle w:val="HeaderEven"/>
          </w:pPr>
        </w:p>
      </w:tc>
      <w:tc>
        <w:tcPr>
          <w:tcW w:w="6634" w:type="dxa"/>
          <w:tcBorders>
            <w:top w:val="single" w:sz="6" w:space="0" w:color="auto"/>
          </w:tcBorders>
        </w:tcPr>
        <w:p w14:paraId="174459D8" w14:textId="77777777" w:rsidR="00CA3F79" w:rsidRDefault="00CA3F79" w:rsidP="00403101">
          <w:pPr>
            <w:pStyle w:val="HeaderEven"/>
          </w:pPr>
        </w:p>
      </w:tc>
    </w:tr>
  </w:tbl>
  <w:p w14:paraId="4DF37263" w14:textId="77777777" w:rsidR="00CA3F79" w:rsidRDefault="00CA3F79" w:rsidP="00403101">
    <w:pPr>
      <w:pStyle w:val="HeaderEnd"/>
    </w:pPr>
  </w:p>
  <w:p w14:paraId="007C731E" w14:textId="77777777" w:rsidR="00CA3F79" w:rsidRDefault="00CA3F7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A3F79" w14:paraId="698AA9BD" w14:textId="77777777">
      <w:tc>
        <w:tcPr>
          <w:tcW w:w="6634" w:type="dxa"/>
          <w:tcBorders>
            <w:top w:val="single" w:sz="6" w:space="0" w:color="auto"/>
          </w:tcBorders>
        </w:tcPr>
        <w:p w14:paraId="35912286" w14:textId="77777777" w:rsidR="00CA3F79" w:rsidRDefault="00CA3F79" w:rsidP="00403101">
          <w:pPr>
            <w:pStyle w:val="HeaderOdd"/>
          </w:pPr>
        </w:p>
      </w:tc>
      <w:tc>
        <w:tcPr>
          <w:tcW w:w="2155" w:type="dxa"/>
          <w:tcBorders>
            <w:top w:val="single" w:sz="24" w:space="0" w:color="auto"/>
          </w:tcBorders>
        </w:tcPr>
        <w:p w14:paraId="1BE634F7" w14:textId="77777777" w:rsidR="00CA3F79" w:rsidRDefault="00CA3F79" w:rsidP="00403101">
          <w:pPr>
            <w:pStyle w:val="HeaderOdd"/>
          </w:pPr>
        </w:p>
      </w:tc>
    </w:tr>
  </w:tbl>
  <w:p w14:paraId="079EB8D7" w14:textId="77777777" w:rsidR="00CA3F79" w:rsidRDefault="00CA3F79" w:rsidP="00403101">
    <w:pPr>
      <w:pStyle w:val="HeaderEnd"/>
    </w:pPr>
  </w:p>
  <w:p w14:paraId="3FFDB7BA" w14:textId="77777777" w:rsidR="00CA3F79" w:rsidRDefault="00CA3F79">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D9892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9042E6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3104A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0A48D5"/>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15:restartNumberingAfterBreak="0">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07057F34"/>
    <w:multiLevelType w:val="singleLevel"/>
    <w:tmpl w:val="ED98921A"/>
    <w:lvl w:ilvl="0">
      <w:start w:val="1"/>
      <w:numFmt w:val="decimal"/>
      <w:lvlText w:val="%1."/>
      <w:legacy w:legacy="1" w:legacySpace="0" w:legacyIndent="340"/>
      <w:lvlJc w:val="left"/>
      <w:pPr>
        <w:ind w:left="340" w:hanging="340"/>
      </w:pPr>
    </w:lvl>
  </w:abstractNum>
  <w:abstractNum w:abstractNumId="14" w15:restartNumberingAfterBreak="0">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7C67212"/>
    <w:multiLevelType w:val="hybridMultilevel"/>
    <w:tmpl w:val="FECC6D1C"/>
    <w:lvl w:ilvl="0" w:tplc="3B36083A">
      <w:start w:val="1"/>
      <w:numFmt w:val="bullet"/>
      <w:lvlText w:val=""/>
      <w:lvlJc w:val="left"/>
      <w:pPr>
        <w:ind w:left="1039" w:hanging="360"/>
      </w:pPr>
      <w:rPr>
        <w:rFonts w:ascii="Symbol" w:hAnsi="Symbol" w:hint="default"/>
        <w:sz w:val="20"/>
        <w:szCs w:val="20"/>
      </w:rPr>
    </w:lvl>
    <w:lvl w:ilvl="1" w:tplc="0C090003" w:tentative="1">
      <w:start w:val="1"/>
      <w:numFmt w:val="bullet"/>
      <w:lvlText w:val="o"/>
      <w:lvlJc w:val="left"/>
      <w:pPr>
        <w:ind w:left="1759" w:hanging="360"/>
      </w:pPr>
      <w:rPr>
        <w:rFonts w:ascii="Courier New" w:hAnsi="Courier New" w:cs="Courier New" w:hint="default"/>
      </w:rPr>
    </w:lvl>
    <w:lvl w:ilvl="2" w:tplc="0C090005" w:tentative="1">
      <w:start w:val="1"/>
      <w:numFmt w:val="bullet"/>
      <w:lvlText w:val=""/>
      <w:lvlJc w:val="left"/>
      <w:pPr>
        <w:ind w:left="2479" w:hanging="360"/>
      </w:pPr>
      <w:rPr>
        <w:rFonts w:ascii="Wingdings" w:hAnsi="Wingdings" w:hint="default"/>
      </w:rPr>
    </w:lvl>
    <w:lvl w:ilvl="3" w:tplc="0C090001" w:tentative="1">
      <w:start w:val="1"/>
      <w:numFmt w:val="bullet"/>
      <w:lvlText w:val=""/>
      <w:lvlJc w:val="left"/>
      <w:pPr>
        <w:ind w:left="3199" w:hanging="360"/>
      </w:pPr>
      <w:rPr>
        <w:rFonts w:ascii="Symbol" w:hAnsi="Symbol" w:hint="default"/>
      </w:rPr>
    </w:lvl>
    <w:lvl w:ilvl="4" w:tplc="0C090003" w:tentative="1">
      <w:start w:val="1"/>
      <w:numFmt w:val="bullet"/>
      <w:lvlText w:val="o"/>
      <w:lvlJc w:val="left"/>
      <w:pPr>
        <w:ind w:left="3919" w:hanging="360"/>
      </w:pPr>
      <w:rPr>
        <w:rFonts w:ascii="Courier New" w:hAnsi="Courier New" w:cs="Courier New" w:hint="default"/>
      </w:rPr>
    </w:lvl>
    <w:lvl w:ilvl="5" w:tplc="0C090005" w:tentative="1">
      <w:start w:val="1"/>
      <w:numFmt w:val="bullet"/>
      <w:lvlText w:val=""/>
      <w:lvlJc w:val="left"/>
      <w:pPr>
        <w:ind w:left="4639" w:hanging="360"/>
      </w:pPr>
      <w:rPr>
        <w:rFonts w:ascii="Wingdings" w:hAnsi="Wingdings" w:hint="default"/>
      </w:rPr>
    </w:lvl>
    <w:lvl w:ilvl="6" w:tplc="0C090001" w:tentative="1">
      <w:start w:val="1"/>
      <w:numFmt w:val="bullet"/>
      <w:lvlText w:val=""/>
      <w:lvlJc w:val="left"/>
      <w:pPr>
        <w:ind w:left="5359" w:hanging="360"/>
      </w:pPr>
      <w:rPr>
        <w:rFonts w:ascii="Symbol" w:hAnsi="Symbol" w:hint="default"/>
      </w:rPr>
    </w:lvl>
    <w:lvl w:ilvl="7" w:tplc="0C090003" w:tentative="1">
      <w:start w:val="1"/>
      <w:numFmt w:val="bullet"/>
      <w:lvlText w:val="o"/>
      <w:lvlJc w:val="left"/>
      <w:pPr>
        <w:ind w:left="6079" w:hanging="360"/>
      </w:pPr>
      <w:rPr>
        <w:rFonts w:ascii="Courier New" w:hAnsi="Courier New" w:cs="Courier New" w:hint="default"/>
      </w:rPr>
    </w:lvl>
    <w:lvl w:ilvl="8" w:tplc="0C090005" w:tentative="1">
      <w:start w:val="1"/>
      <w:numFmt w:val="bullet"/>
      <w:lvlText w:val=""/>
      <w:lvlJc w:val="left"/>
      <w:pPr>
        <w:ind w:left="6799" w:hanging="360"/>
      </w:pPr>
      <w:rPr>
        <w:rFonts w:ascii="Wingdings" w:hAnsi="Wingdings" w:hint="default"/>
      </w:rPr>
    </w:lvl>
  </w:abstractNum>
  <w:abstractNum w:abstractNumId="1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15D4300"/>
    <w:multiLevelType w:val="hybridMultilevel"/>
    <w:tmpl w:val="3ADC8D10"/>
    <w:lvl w:ilvl="0" w:tplc="0C090001">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EC070A1"/>
    <w:multiLevelType w:val="hybridMultilevel"/>
    <w:tmpl w:val="24D20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87E05"/>
    <w:multiLevelType w:val="hybridMultilevel"/>
    <w:tmpl w:val="D37CED0E"/>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E330D3"/>
    <w:multiLevelType w:val="hybridMultilevel"/>
    <w:tmpl w:val="8B02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9" w15:restartNumberingAfterBreak="0">
    <w:nsid w:val="37975ACA"/>
    <w:multiLevelType w:val="hybridMultilevel"/>
    <w:tmpl w:val="5B3C9BD2"/>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1" w15:restartNumberingAfterBreak="0">
    <w:nsid w:val="47B36E84"/>
    <w:multiLevelType w:val="hybridMultilevel"/>
    <w:tmpl w:val="BB38F42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511F6453"/>
    <w:multiLevelType w:val="multilevel"/>
    <w:tmpl w:val="0C8809A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F74561"/>
    <w:multiLevelType w:val="singleLevel"/>
    <w:tmpl w:val="ED98921A"/>
    <w:lvl w:ilvl="0">
      <w:start w:val="1"/>
      <w:numFmt w:val="decimal"/>
      <w:lvlText w:val="%1."/>
      <w:legacy w:legacy="1" w:legacySpace="0" w:legacyIndent="340"/>
      <w:lvlJc w:val="left"/>
      <w:pPr>
        <w:ind w:left="340" w:hanging="340"/>
      </w:pPr>
    </w:lvl>
  </w:abstractNum>
  <w:abstractNum w:abstractNumId="3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7"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38" w15:restartNumberingAfterBreak="0">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40" w15:restartNumberingAfterBreak="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4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5A096576"/>
    <w:multiLevelType w:val="singleLevel"/>
    <w:tmpl w:val="ED98921A"/>
    <w:lvl w:ilvl="0">
      <w:start w:val="1"/>
      <w:numFmt w:val="decimal"/>
      <w:lvlText w:val="%1."/>
      <w:legacy w:legacy="1" w:legacySpace="0" w:legacyIndent="340"/>
      <w:lvlJc w:val="left"/>
      <w:pPr>
        <w:ind w:left="340" w:hanging="340"/>
      </w:pPr>
    </w:lvl>
  </w:abstractNum>
  <w:abstractNum w:abstractNumId="43" w15:restartNumberingAfterBreak="0">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CA7383F"/>
    <w:multiLevelType w:val="hybridMultilevel"/>
    <w:tmpl w:val="18D4D80C"/>
    <w:lvl w:ilvl="0" w:tplc="29B8EB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055F7F"/>
    <w:multiLevelType w:val="singleLevel"/>
    <w:tmpl w:val="ED98921A"/>
    <w:lvl w:ilvl="0">
      <w:start w:val="1"/>
      <w:numFmt w:val="decimal"/>
      <w:lvlText w:val="%1."/>
      <w:legacy w:legacy="1" w:legacySpace="0" w:legacyIndent="340"/>
      <w:lvlJc w:val="left"/>
      <w:pPr>
        <w:ind w:left="340" w:hanging="340"/>
      </w:pPr>
    </w:lvl>
  </w:abstractNum>
  <w:abstractNum w:abstractNumId="46" w15:restartNumberingAfterBreak="0">
    <w:nsid w:val="608E741E"/>
    <w:multiLevelType w:val="singleLevel"/>
    <w:tmpl w:val="ED98921A"/>
    <w:lvl w:ilvl="0">
      <w:start w:val="1"/>
      <w:numFmt w:val="decimal"/>
      <w:lvlText w:val="%1."/>
      <w:legacy w:legacy="1" w:legacySpace="0" w:legacyIndent="340"/>
      <w:lvlJc w:val="left"/>
      <w:pPr>
        <w:ind w:left="340" w:hanging="340"/>
      </w:pPr>
    </w:lvl>
  </w:abstractNum>
  <w:abstractNum w:abstractNumId="4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320C1E"/>
    <w:multiLevelType w:val="singleLevel"/>
    <w:tmpl w:val="C444122C"/>
    <w:lvl w:ilvl="0">
      <w:start w:val="1"/>
      <w:numFmt w:val="decimal"/>
      <w:lvlText w:val="%1."/>
      <w:legacy w:legacy="1" w:legacySpace="0" w:legacyIndent="284"/>
      <w:lvlJc w:val="left"/>
      <w:pPr>
        <w:ind w:left="284" w:hanging="284"/>
      </w:pPr>
    </w:lvl>
  </w:abstractNum>
  <w:abstractNum w:abstractNumId="49" w15:restartNumberingAfterBreak="0">
    <w:nsid w:val="61C16FB1"/>
    <w:multiLevelType w:val="hybridMultilevel"/>
    <w:tmpl w:val="5DFC1440"/>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5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52" w15:restartNumberingAfterBreak="0">
    <w:nsid w:val="65E53EDC"/>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8F5702"/>
    <w:multiLevelType w:val="hybridMultilevel"/>
    <w:tmpl w:val="32AA2E2A"/>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55"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57" w15:restartNumberingAfterBreak="0">
    <w:nsid w:val="714D7840"/>
    <w:multiLevelType w:val="hybridMultilevel"/>
    <w:tmpl w:val="07328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6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6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62" w15:restartNumberingAfterBreak="0">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1"/>
  </w:num>
  <w:num w:numId="2">
    <w:abstractNumId w:val="10"/>
  </w:num>
  <w:num w:numId="3">
    <w:abstractNumId w:val="11"/>
  </w:num>
  <w:num w:numId="4">
    <w:abstractNumId w:val="19"/>
  </w:num>
  <w:num w:numId="5">
    <w:abstractNumId w:val="36"/>
  </w:num>
  <w:num w:numId="6">
    <w:abstractNumId w:val="28"/>
  </w:num>
  <w:num w:numId="7">
    <w:abstractNumId w:val="60"/>
  </w:num>
  <w:num w:numId="8">
    <w:abstractNumId w:val="61"/>
  </w:num>
  <w:num w:numId="9">
    <w:abstractNumId w:val="22"/>
  </w:num>
  <w:num w:numId="10">
    <w:abstractNumId w:val="37"/>
  </w:num>
  <w:num w:numId="11">
    <w:abstractNumId w:val="39"/>
  </w:num>
  <w:num w:numId="12">
    <w:abstractNumId w:val="7"/>
  </w:num>
  <w:num w:numId="13">
    <w:abstractNumId w:val="34"/>
  </w:num>
  <w:num w:numId="14">
    <w:abstractNumId w:val="17"/>
  </w:num>
  <w:num w:numId="15">
    <w:abstractNumId w:val="16"/>
  </w:num>
  <w:num w:numId="16">
    <w:abstractNumId w:val="44"/>
  </w:num>
  <w:num w:numId="17">
    <w:abstractNumId w:val="31"/>
  </w:num>
  <w:num w:numId="18">
    <w:abstractNumId w:val="27"/>
  </w:num>
  <w:num w:numId="19">
    <w:abstractNumId w:val="32"/>
  </w:num>
  <w:num w:numId="20">
    <w:abstractNumId w:val="41"/>
  </w:num>
  <w:num w:numId="21">
    <w:abstractNumId w:val="53"/>
  </w:num>
  <w:num w:numId="22">
    <w:abstractNumId w:val="49"/>
  </w:num>
  <w:num w:numId="23">
    <w:abstractNumId w:val="24"/>
  </w:num>
  <w:num w:numId="24">
    <w:abstractNumId w:val="52"/>
  </w:num>
  <w:num w:numId="25">
    <w:abstractNumId w:val="8"/>
  </w:num>
  <w:num w:numId="26">
    <w:abstractNumId w:val="7"/>
  </w:num>
  <w:num w:numId="27">
    <w:abstractNumId w:val="18"/>
  </w:num>
  <w:num w:numId="28">
    <w:abstractNumId w:val="29"/>
  </w:num>
  <w:num w:numId="29">
    <w:abstractNumId w:val="15"/>
  </w:num>
  <w:num w:numId="30">
    <w:abstractNumId w:val="5"/>
  </w:num>
  <w:num w:numId="31">
    <w:abstractNumId w:val="3"/>
  </w:num>
  <w:num w:numId="32">
    <w:abstractNumId w:val="2"/>
  </w:num>
  <w:num w:numId="33">
    <w:abstractNumId w:val="4"/>
  </w:num>
  <w:num w:numId="34">
    <w:abstractNumId w:val="1"/>
  </w:num>
  <w:num w:numId="35">
    <w:abstractNumId w:val="0"/>
  </w:num>
  <w:num w:numId="36">
    <w:abstractNumId w:val="13"/>
  </w:num>
  <w:num w:numId="37">
    <w:abstractNumId w:val="46"/>
  </w:num>
  <w:num w:numId="38">
    <w:abstractNumId w:val="50"/>
  </w:num>
  <w:num w:numId="39">
    <w:abstractNumId w:val="35"/>
  </w:num>
  <w:num w:numId="40">
    <w:abstractNumId w:val="38"/>
  </w:num>
  <w:num w:numId="41">
    <w:abstractNumId w:val="40"/>
  </w:num>
  <w:num w:numId="42">
    <w:abstractNumId w:val="59"/>
  </w:num>
  <w:num w:numId="43">
    <w:abstractNumId w:val="45"/>
  </w:num>
  <w:num w:numId="44">
    <w:abstractNumId w:val="54"/>
  </w:num>
  <w:num w:numId="45">
    <w:abstractNumId w:val="56"/>
  </w:num>
  <w:num w:numId="46">
    <w:abstractNumId w:val="42"/>
  </w:num>
  <w:num w:numId="47">
    <w:abstractNumId w:val="30"/>
  </w:num>
  <w:num w:numId="48">
    <w:abstractNumId w:val="62"/>
  </w:num>
  <w:num w:numId="49">
    <w:abstractNumId w:val="9"/>
  </w:num>
  <w:num w:numId="50">
    <w:abstractNumId w:val="26"/>
  </w:num>
  <w:num w:numId="51">
    <w:abstractNumId w:val="58"/>
  </w:num>
  <w:num w:numId="52">
    <w:abstractNumId w:val="43"/>
  </w:num>
  <w:num w:numId="53">
    <w:abstractNumId w:val="14"/>
  </w:num>
  <w:num w:numId="54">
    <w:abstractNumId w:val="48"/>
  </w:num>
  <w:num w:numId="55">
    <w:abstractNumId w:val="33"/>
  </w:num>
  <w:num w:numId="56">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57">
    <w:abstractNumId w:val="12"/>
  </w:num>
  <w:num w:numId="58">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59">
    <w:abstractNumId w:val="47"/>
  </w:num>
  <w:num w:numId="60">
    <w:abstractNumId w:val="20"/>
  </w:num>
  <w:num w:numId="61">
    <w:abstractNumId w:val="55"/>
  </w:num>
  <w:num w:numId="62">
    <w:abstractNumId w:val="21"/>
  </w:num>
  <w:num w:numId="63">
    <w:abstractNumId w:val="57"/>
  </w:num>
  <w:num w:numId="64">
    <w:abstractNumId w:val="25"/>
  </w:num>
  <w:num w:numId="65">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activeWritingStyle w:appName="MSWord" w:lang="en-AU" w:vendorID="8" w:dllVersion="513" w:checkStyle="1"/>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4444"/>
    <w:rsid w:val="000045CC"/>
    <w:rsid w:val="00005311"/>
    <w:rsid w:val="00005609"/>
    <w:rsid w:val="00006962"/>
    <w:rsid w:val="00007275"/>
    <w:rsid w:val="000074F4"/>
    <w:rsid w:val="00007D81"/>
    <w:rsid w:val="000101A9"/>
    <w:rsid w:val="00010224"/>
    <w:rsid w:val="00010890"/>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30C6"/>
    <w:rsid w:val="000232B5"/>
    <w:rsid w:val="00023D67"/>
    <w:rsid w:val="000240D8"/>
    <w:rsid w:val="00024295"/>
    <w:rsid w:val="00024A10"/>
    <w:rsid w:val="00024A77"/>
    <w:rsid w:val="00024A83"/>
    <w:rsid w:val="000254EB"/>
    <w:rsid w:val="000255D6"/>
    <w:rsid w:val="0002580E"/>
    <w:rsid w:val="00025A80"/>
    <w:rsid w:val="00025BFD"/>
    <w:rsid w:val="00025FE1"/>
    <w:rsid w:val="000260D5"/>
    <w:rsid w:val="000261F4"/>
    <w:rsid w:val="00026305"/>
    <w:rsid w:val="000264C9"/>
    <w:rsid w:val="000268A6"/>
    <w:rsid w:val="000268C0"/>
    <w:rsid w:val="00026CD1"/>
    <w:rsid w:val="00026DA1"/>
    <w:rsid w:val="0002710F"/>
    <w:rsid w:val="000277E8"/>
    <w:rsid w:val="00027A56"/>
    <w:rsid w:val="00027AB7"/>
    <w:rsid w:val="00027C67"/>
    <w:rsid w:val="00027FB7"/>
    <w:rsid w:val="00030333"/>
    <w:rsid w:val="000303C8"/>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C83"/>
    <w:rsid w:val="00034037"/>
    <w:rsid w:val="0003439B"/>
    <w:rsid w:val="00034BAD"/>
    <w:rsid w:val="00034CEC"/>
    <w:rsid w:val="000350C2"/>
    <w:rsid w:val="000354D8"/>
    <w:rsid w:val="00035EF1"/>
    <w:rsid w:val="00036352"/>
    <w:rsid w:val="000363E5"/>
    <w:rsid w:val="00036492"/>
    <w:rsid w:val="000364F1"/>
    <w:rsid w:val="00036D70"/>
    <w:rsid w:val="00036F39"/>
    <w:rsid w:val="00037412"/>
    <w:rsid w:val="000376A5"/>
    <w:rsid w:val="000408FB"/>
    <w:rsid w:val="00040AF1"/>
    <w:rsid w:val="00040B0B"/>
    <w:rsid w:val="0004156F"/>
    <w:rsid w:val="00041735"/>
    <w:rsid w:val="0004184B"/>
    <w:rsid w:val="00041891"/>
    <w:rsid w:val="000426A1"/>
    <w:rsid w:val="0004278B"/>
    <w:rsid w:val="00042BC0"/>
    <w:rsid w:val="0004317D"/>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FB5"/>
    <w:rsid w:val="000518A0"/>
    <w:rsid w:val="00051A63"/>
    <w:rsid w:val="000524A2"/>
    <w:rsid w:val="00052C52"/>
    <w:rsid w:val="00052DBE"/>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758A"/>
    <w:rsid w:val="00057E30"/>
    <w:rsid w:val="0006002B"/>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744"/>
    <w:rsid w:val="00070DE8"/>
    <w:rsid w:val="00070E1D"/>
    <w:rsid w:val="000710EF"/>
    <w:rsid w:val="00071524"/>
    <w:rsid w:val="000717F9"/>
    <w:rsid w:val="000718F2"/>
    <w:rsid w:val="00071B66"/>
    <w:rsid w:val="00071EA5"/>
    <w:rsid w:val="00071ECB"/>
    <w:rsid w:val="000726A2"/>
    <w:rsid w:val="00073000"/>
    <w:rsid w:val="00073401"/>
    <w:rsid w:val="00073835"/>
    <w:rsid w:val="00073BB2"/>
    <w:rsid w:val="00074285"/>
    <w:rsid w:val="000743AF"/>
    <w:rsid w:val="00074A15"/>
    <w:rsid w:val="00074BE2"/>
    <w:rsid w:val="00074DD4"/>
    <w:rsid w:val="00075811"/>
    <w:rsid w:val="00075B6C"/>
    <w:rsid w:val="00075BD9"/>
    <w:rsid w:val="00075EF3"/>
    <w:rsid w:val="0007611E"/>
    <w:rsid w:val="0007683F"/>
    <w:rsid w:val="00076920"/>
    <w:rsid w:val="00076DC2"/>
    <w:rsid w:val="00077117"/>
    <w:rsid w:val="0007764E"/>
    <w:rsid w:val="000777EE"/>
    <w:rsid w:val="0007788D"/>
    <w:rsid w:val="0008037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B10"/>
    <w:rsid w:val="00091BB7"/>
    <w:rsid w:val="000922BB"/>
    <w:rsid w:val="00092CF6"/>
    <w:rsid w:val="00092F50"/>
    <w:rsid w:val="0009300C"/>
    <w:rsid w:val="000931F9"/>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15"/>
    <w:rsid w:val="000A175B"/>
    <w:rsid w:val="000A1DE5"/>
    <w:rsid w:val="000A20FC"/>
    <w:rsid w:val="000A227B"/>
    <w:rsid w:val="000A2B43"/>
    <w:rsid w:val="000A2B81"/>
    <w:rsid w:val="000A2BC1"/>
    <w:rsid w:val="000A2C8D"/>
    <w:rsid w:val="000A2CC8"/>
    <w:rsid w:val="000A453C"/>
    <w:rsid w:val="000A4898"/>
    <w:rsid w:val="000A4EE3"/>
    <w:rsid w:val="000A5309"/>
    <w:rsid w:val="000A532C"/>
    <w:rsid w:val="000A55B9"/>
    <w:rsid w:val="000A6111"/>
    <w:rsid w:val="000A6B42"/>
    <w:rsid w:val="000A6C52"/>
    <w:rsid w:val="000A7A04"/>
    <w:rsid w:val="000A7C7E"/>
    <w:rsid w:val="000A7F22"/>
    <w:rsid w:val="000B0592"/>
    <w:rsid w:val="000B0857"/>
    <w:rsid w:val="000B091D"/>
    <w:rsid w:val="000B0EDE"/>
    <w:rsid w:val="000B11A3"/>
    <w:rsid w:val="000B1519"/>
    <w:rsid w:val="000B1565"/>
    <w:rsid w:val="000B19BD"/>
    <w:rsid w:val="000B1B7A"/>
    <w:rsid w:val="000B1D4A"/>
    <w:rsid w:val="000B2287"/>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47E"/>
    <w:rsid w:val="000C4FA4"/>
    <w:rsid w:val="000C5303"/>
    <w:rsid w:val="000C5670"/>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D0"/>
    <w:rsid w:val="000D25E1"/>
    <w:rsid w:val="000D334D"/>
    <w:rsid w:val="000D3449"/>
    <w:rsid w:val="000D39CD"/>
    <w:rsid w:val="000D39E2"/>
    <w:rsid w:val="000D3D82"/>
    <w:rsid w:val="000D4302"/>
    <w:rsid w:val="000D456C"/>
    <w:rsid w:val="000D48FC"/>
    <w:rsid w:val="000D4979"/>
    <w:rsid w:val="000D51FB"/>
    <w:rsid w:val="000D5309"/>
    <w:rsid w:val="000D5C63"/>
    <w:rsid w:val="000D5F36"/>
    <w:rsid w:val="000D63C5"/>
    <w:rsid w:val="000D64E4"/>
    <w:rsid w:val="000D6B83"/>
    <w:rsid w:val="000D6CC4"/>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51F9"/>
    <w:rsid w:val="000E52C4"/>
    <w:rsid w:val="000E59B9"/>
    <w:rsid w:val="000E59EC"/>
    <w:rsid w:val="000E5DEF"/>
    <w:rsid w:val="000E5EBA"/>
    <w:rsid w:val="000E741A"/>
    <w:rsid w:val="000E7547"/>
    <w:rsid w:val="000E7574"/>
    <w:rsid w:val="000E7B7B"/>
    <w:rsid w:val="000F07F7"/>
    <w:rsid w:val="000F0818"/>
    <w:rsid w:val="000F0BED"/>
    <w:rsid w:val="000F0D5A"/>
    <w:rsid w:val="000F24CC"/>
    <w:rsid w:val="000F2618"/>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CC8"/>
    <w:rsid w:val="00104D9B"/>
    <w:rsid w:val="00105127"/>
    <w:rsid w:val="001052D7"/>
    <w:rsid w:val="001054C3"/>
    <w:rsid w:val="00105E10"/>
    <w:rsid w:val="0010672D"/>
    <w:rsid w:val="00107161"/>
    <w:rsid w:val="001074C5"/>
    <w:rsid w:val="00107926"/>
    <w:rsid w:val="00107C0F"/>
    <w:rsid w:val="00107D6B"/>
    <w:rsid w:val="00110110"/>
    <w:rsid w:val="0011073F"/>
    <w:rsid w:val="0011082B"/>
    <w:rsid w:val="00110959"/>
    <w:rsid w:val="001111C0"/>
    <w:rsid w:val="00111AA9"/>
    <w:rsid w:val="00111C9D"/>
    <w:rsid w:val="00111E33"/>
    <w:rsid w:val="00111F52"/>
    <w:rsid w:val="00111FC9"/>
    <w:rsid w:val="001123BB"/>
    <w:rsid w:val="001127B0"/>
    <w:rsid w:val="0011286C"/>
    <w:rsid w:val="001128A0"/>
    <w:rsid w:val="00112B3B"/>
    <w:rsid w:val="001130D0"/>
    <w:rsid w:val="001133B7"/>
    <w:rsid w:val="001147F4"/>
    <w:rsid w:val="001149E0"/>
    <w:rsid w:val="00114D20"/>
    <w:rsid w:val="001153A1"/>
    <w:rsid w:val="001153C0"/>
    <w:rsid w:val="0011567F"/>
    <w:rsid w:val="00115A42"/>
    <w:rsid w:val="00115A45"/>
    <w:rsid w:val="00115BD9"/>
    <w:rsid w:val="0011608A"/>
    <w:rsid w:val="00116324"/>
    <w:rsid w:val="0011696A"/>
    <w:rsid w:val="00116C8E"/>
    <w:rsid w:val="00116E83"/>
    <w:rsid w:val="00117243"/>
    <w:rsid w:val="001174B2"/>
    <w:rsid w:val="00117888"/>
    <w:rsid w:val="001208ED"/>
    <w:rsid w:val="001211D2"/>
    <w:rsid w:val="001215E3"/>
    <w:rsid w:val="00121A0A"/>
    <w:rsid w:val="00121A7C"/>
    <w:rsid w:val="00121D2B"/>
    <w:rsid w:val="00121E67"/>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5420"/>
    <w:rsid w:val="00135A48"/>
    <w:rsid w:val="00135F31"/>
    <w:rsid w:val="00135FCD"/>
    <w:rsid w:val="00136170"/>
    <w:rsid w:val="0013625F"/>
    <w:rsid w:val="00136484"/>
    <w:rsid w:val="00137023"/>
    <w:rsid w:val="00137267"/>
    <w:rsid w:val="001372DC"/>
    <w:rsid w:val="00137F63"/>
    <w:rsid w:val="00140390"/>
    <w:rsid w:val="0014046D"/>
    <w:rsid w:val="001406F8"/>
    <w:rsid w:val="00141516"/>
    <w:rsid w:val="0014160B"/>
    <w:rsid w:val="0014162E"/>
    <w:rsid w:val="00141738"/>
    <w:rsid w:val="00141F22"/>
    <w:rsid w:val="001424A8"/>
    <w:rsid w:val="00142A81"/>
    <w:rsid w:val="001432EC"/>
    <w:rsid w:val="001436C6"/>
    <w:rsid w:val="00143D8D"/>
    <w:rsid w:val="00143DD2"/>
    <w:rsid w:val="0014408F"/>
    <w:rsid w:val="001444E3"/>
    <w:rsid w:val="00144516"/>
    <w:rsid w:val="0014483B"/>
    <w:rsid w:val="00145619"/>
    <w:rsid w:val="001457BC"/>
    <w:rsid w:val="00146A9B"/>
    <w:rsid w:val="00146E94"/>
    <w:rsid w:val="00147206"/>
    <w:rsid w:val="00147FBB"/>
    <w:rsid w:val="001503D1"/>
    <w:rsid w:val="00150AF7"/>
    <w:rsid w:val="00150DAC"/>
    <w:rsid w:val="00150DCD"/>
    <w:rsid w:val="0015111B"/>
    <w:rsid w:val="00151789"/>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961"/>
    <w:rsid w:val="00154BBA"/>
    <w:rsid w:val="00154BCA"/>
    <w:rsid w:val="00154D34"/>
    <w:rsid w:val="0015541B"/>
    <w:rsid w:val="00155E01"/>
    <w:rsid w:val="00155F21"/>
    <w:rsid w:val="001561FF"/>
    <w:rsid w:val="00156EC3"/>
    <w:rsid w:val="00157304"/>
    <w:rsid w:val="00157BA3"/>
    <w:rsid w:val="00157CAB"/>
    <w:rsid w:val="00157F23"/>
    <w:rsid w:val="00160692"/>
    <w:rsid w:val="00160E43"/>
    <w:rsid w:val="001613E7"/>
    <w:rsid w:val="001615B0"/>
    <w:rsid w:val="0016168D"/>
    <w:rsid w:val="00161899"/>
    <w:rsid w:val="00161B40"/>
    <w:rsid w:val="00161C0A"/>
    <w:rsid w:val="00161DEB"/>
    <w:rsid w:val="001621AF"/>
    <w:rsid w:val="0016223A"/>
    <w:rsid w:val="00162250"/>
    <w:rsid w:val="001627EE"/>
    <w:rsid w:val="00162DEB"/>
    <w:rsid w:val="00162F6C"/>
    <w:rsid w:val="00163233"/>
    <w:rsid w:val="00163274"/>
    <w:rsid w:val="0016393B"/>
    <w:rsid w:val="00163BE4"/>
    <w:rsid w:val="00163CDC"/>
    <w:rsid w:val="00163E04"/>
    <w:rsid w:val="00164908"/>
    <w:rsid w:val="001652D2"/>
    <w:rsid w:val="00165A9D"/>
    <w:rsid w:val="00165BF4"/>
    <w:rsid w:val="00166142"/>
    <w:rsid w:val="0016625E"/>
    <w:rsid w:val="001671A0"/>
    <w:rsid w:val="001676AB"/>
    <w:rsid w:val="001677C1"/>
    <w:rsid w:val="001679ED"/>
    <w:rsid w:val="00167B69"/>
    <w:rsid w:val="00167BB6"/>
    <w:rsid w:val="00170170"/>
    <w:rsid w:val="001701A4"/>
    <w:rsid w:val="00170528"/>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5025"/>
    <w:rsid w:val="0017551A"/>
    <w:rsid w:val="0017562C"/>
    <w:rsid w:val="00175A19"/>
    <w:rsid w:val="00175AEA"/>
    <w:rsid w:val="00175EC4"/>
    <w:rsid w:val="001762A7"/>
    <w:rsid w:val="00176B3A"/>
    <w:rsid w:val="00176BDC"/>
    <w:rsid w:val="00176BE7"/>
    <w:rsid w:val="00176C64"/>
    <w:rsid w:val="00176DCA"/>
    <w:rsid w:val="00177B40"/>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558"/>
    <w:rsid w:val="0018786E"/>
    <w:rsid w:val="00187E0B"/>
    <w:rsid w:val="0019053C"/>
    <w:rsid w:val="00190A70"/>
    <w:rsid w:val="00190F9C"/>
    <w:rsid w:val="001912C7"/>
    <w:rsid w:val="001913F1"/>
    <w:rsid w:val="00191A6B"/>
    <w:rsid w:val="0019257B"/>
    <w:rsid w:val="00192621"/>
    <w:rsid w:val="001929A0"/>
    <w:rsid w:val="00192F6A"/>
    <w:rsid w:val="00193604"/>
    <w:rsid w:val="00193A05"/>
    <w:rsid w:val="00193FF2"/>
    <w:rsid w:val="0019412C"/>
    <w:rsid w:val="001942A7"/>
    <w:rsid w:val="0019469B"/>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B8"/>
    <w:rsid w:val="001A628F"/>
    <w:rsid w:val="001A6615"/>
    <w:rsid w:val="001A683C"/>
    <w:rsid w:val="001A6A25"/>
    <w:rsid w:val="001A732B"/>
    <w:rsid w:val="001A7749"/>
    <w:rsid w:val="001A7929"/>
    <w:rsid w:val="001A7B2D"/>
    <w:rsid w:val="001A7DE1"/>
    <w:rsid w:val="001A7E7C"/>
    <w:rsid w:val="001A7F0B"/>
    <w:rsid w:val="001B03A9"/>
    <w:rsid w:val="001B061B"/>
    <w:rsid w:val="001B08E5"/>
    <w:rsid w:val="001B0A94"/>
    <w:rsid w:val="001B0DC2"/>
    <w:rsid w:val="001B0E14"/>
    <w:rsid w:val="001B13BF"/>
    <w:rsid w:val="001B18B5"/>
    <w:rsid w:val="001B18D9"/>
    <w:rsid w:val="001B1EA8"/>
    <w:rsid w:val="001B1F2E"/>
    <w:rsid w:val="001B2518"/>
    <w:rsid w:val="001B2AE3"/>
    <w:rsid w:val="001B2B79"/>
    <w:rsid w:val="001B3118"/>
    <w:rsid w:val="001B3522"/>
    <w:rsid w:val="001B354E"/>
    <w:rsid w:val="001B3857"/>
    <w:rsid w:val="001B3935"/>
    <w:rsid w:val="001B41E2"/>
    <w:rsid w:val="001B422A"/>
    <w:rsid w:val="001B4499"/>
    <w:rsid w:val="001B467B"/>
    <w:rsid w:val="001B4BDB"/>
    <w:rsid w:val="001B4D22"/>
    <w:rsid w:val="001B4FA0"/>
    <w:rsid w:val="001B563E"/>
    <w:rsid w:val="001B6B6A"/>
    <w:rsid w:val="001B6BD1"/>
    <w:rsid w:val="001B704F"/>
    <w:rsid w:val="001B71E7"/>
    <w:rsid w:val="001B7647"/>
    <w:rsid w:val="001B7895"/>
    <w:rsid w:val="001B78EA"/>
    <w:rsid w:val="001B799A"/>
    <w:rsid w:val="001B7BFD"/>
    <w:rsid w:val="001B7C78"/>
    <w:rsid w:val="001B7D7E"/>
    <w:rsid w:val="001C0FAA"/>
    <w:rsid w:val="001C1441"/>
    <w:rsid w:val="001C1785"/>
    <w:rsid w:val="001C18BA"/>
    <w:rsid w:val="001C1D13"/>
    <w:rsid w:val="001C209A"/>
    <w:rsid w:val="001C2593"/>
    <w:rsid w:val="001C28C5"/>
    <w:rsid w:val="001C29DE"/>
    <w:rsid w:val="001C2A3E"/>
    <w:rsid w:val="001C3004"/>
    <w:rsid w:val="001C3230"/>
    <w:rsid w:val="001C3577"/>
    <w:rsid w:val="001C46F0"/>
    <w:rsid w:val="001C47B9"/>
    <w:rsid w:val="001C48F5"/>
    <w:rsid w:val="001C4B82"/>
    <w:rsid w:val="001C4F68"/>
    <w:rsid w:val="001C534C"/>
    <w:rsid w:val="001C5A97"/>
    <w:rsid w:val="001C5B30"/>
    <w:rsid w:val="001C616C"/>
    <w:rsid w:val="001C734F"/>
    <w:rsid w:val="001C7412"/>
    <w:rsid w:val="001C75EB"/>
    <w:rsid w:val="001C791B"/>
    <w:rsid w:val="001C7920"/>
    <w:rsid w:val="001C7DCB"/>
    <w:rsid w:val="001C7FEF"/>
    <w:rsid w:val="001D06F4"/>
    <w:rsid w:val="001D0891"/>
    <w:rsid w:val="001D0E28"/>
    <w:rsid w:val="001D1066"/>
    <w:rsid w:val="001D12A3"/>
    <w:rsid w:val="001D13D0"/>
    <w:rsid w:val="001D16DC"/>
    <w:rsid w:val="001D1A82"/>
    <w:rsid w:val="001D1B30"/>
    <w:rsid w:val="001D1ED3"/>
    <w:rsid w:val="001D2003"/>
    <w:rsid w:val="001D230D"/>
    <w:rsid w:val="001D27A0"/>
    <w:rsid w:val="001D28C2"/>
    <w:rsid w:val="001D2A8A"/>
    <w:rsid w:val="001D2C88"/>
    <w:rsid w:val="001D31B6"/>
    <w:rsid w:val="001D3797"/>
    <w:rsid w:val="001D37C2"/>
    <w:rsid w:val="001D3A1E"/>
    <w:rsid w:val="001D3E4C"/>
    <w:rsid w:val="001D4057"/>
    <w:rsid w:val="001D4252"/>
    <w:rsid w:val="001D47CA"/>
    <w:rsid w:val="001D4C8E"/>
    <w:rsid w:val="001D4ED6"/>
    <w:rsid w:val="001D58F9"/>
    <w:rsid w:val="001D5969"/>
    <w:rsid w:val="001D5A72"/>
    <w:rsid w:val="001D65E9"/>
    <w:rsid w:val="001D67A2"/>
    <w:rsid w:val="001D6C51"/>
    <w:rsid w:val="001D7418"/>
    <w:rsid w:val="001D7881"/>
    <w:rsid w:val="001D7AFC"/>
    <w:rsid w:val="001D7C3A"/>
    <w:rsid w:val="001D7F95"/>
    <w:rsid w:val="001E01DB"/>
    <w:rsid w:val="001E045E"/>
    <w:rsid w:val="001E0C12"/>
    <w:rsid w:val="001E0C23"/>
    <w:rsid w:val="001E0D69"/>
    <w:rsid w:val="001E140D"/>
    <w:rsid w:val="001E14A2"/>
    <w:rsid w:val="001E1558"/>
    <w:rsid w:val="001E2106"/>
    <w:rsid w:val="001E2A1C"/>
    <w:rsid w:val="001E3514"/>
    <w:rsid w:val="001E3810"/>
    <w:rsid w:val="001E3904"/>
    <w:rsid w:val="001E3A2E"/>
    <w:rsid w:val="001E4298"/>
    <w:rsid w:val="001E45C1"/>
    <w:rsid w:val="001E491A"/>
    <w:rsid w:val="001E4D63"/>
    <w:rsid w:val="001E5193"/>
    <w:rsid w:val="001E51D2"/>
    <w:rsid w:val="001E52A7"/>
    <w:rsid w:val="001E53C0"/>
    <w:rsid w:val="001E597B"/>
    <w:rsid w:val="001E5C30"/>
    <w:rsid w:val="001E6133"/>
    <w:rsid w:val="001E636E"/>
    <w:rsid w:val="001E6F5A"/>
    <w:rsid w:val="001E7774"/>
    <w:rsid w:val="001E78D1"/>
    <w:rsid w:val="001E79B2"/>
    <w:rsid w:val="001E7B47"/>
    <w:rsid w:val="001F0173"/>
    <w:rsid w:val="001F0430"/>
    <w:rsid w:val="001F0592"/>
    <w:rsid w:val="001F0677"/>
    <w:rsid w:val="001F0848"/>
    <w:rsid w:val="001F09BF"/>
    <w:rsid w:val="001F1023"/>
    <w:rsid w:val="001F1088"/>
    <w:rsid w:val="001F19C5"/>
    <w:rsid w:val="001F1D38"/>
    <w:rsid w:val="001F2633"/>
    <w:rsid w:val="001F2D09"/>
    <w:rsid w:val="001F3805"/>
    <w:rsid w:val="001F43EF"/>
    <w:rsid w:val="001F4506"/>
    <w:rsid w:val="001F45EE"/>
    <w:rsid w:val="001F467F"/>
    <w:rsid w:val="001F4C02"/>
    <w:rsid w:val="001F4E94"/>
    <w:rsid w:val="001F4F04"/>
    <w:rsid w:val="001F5452"/>
    <w:rsid w:val="001F5700"/>
    <w:rsid w:val="001F584A"/>
    <w:rsid w:val="001F5D3A"/>
    <w:rsid w:val="001F5DBB"/>
    <w:rsid w:val="001F5E1D"/>
    <w:rsid w:val="001F5F57"/>
    <w:rsid w:val="001F60C9"/>
    <w:rsid w:val="001F64FC"/>
    <w:rsid w:val="001F661A"/>
    <w:rsid w:val="001F68D5"/>
    <w:rsid w:val="001F69F0"/>
    <w:rsid w:val="001F6ADD"/>
    <w:rsid w:val="001F6C36"/>
    <w:rsid w:val="001F6FE7"/>
    <w:rsid w:val="001F730D"/>
    <w:rsid w:val="001F7832"/>
    <w:rsid w:val="001F7F44"/>
    <w:rsid w:val="002008B1"/>
    <w:rsid w:val="002008E0"/>
    <w:rsid w:val="00200AD2"/>
    <w:rsid w:val="00200C62"/>
    <w:rsid w:val="00200E2E"/>
    <w:rsid w:val="00200E3A"/>
    <w:rsid w:val="0020175F"/>
    <w:rsid w:val="00201A70"/>
    <w:rsid w:val="00202699"/>
    <w:rsid w:val="00202CCB"/>
    <w:rsid w:val="00202DF7"/>
    <w:rsid w:val="00202EE1"/>
    <w:rsid w:val="00203018"/>
    <w:rsid w:val="0020315D"/>
    <w:rsid w:val="002034DD"/>
    <w:rsid w:val="0020350A"/>
    <w:rsid w:val="0020373E"/>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99C"/>
    <w:rsid w:val="00207C3B"/>
    <w:rsid w:val="00210089"/>
    <w:rsid w:val="002100E4"/>
    <w:rsid w:val="0021063A"/>
    <w:rsid w:val="00211144"/>
    <w:rsid w:val="00211452"/>
    <w:rsid w:val="00211798"/>
    <w:rsid w:val="002119DD"/>
    <w:rsid w:val="00211E77"/>
    <w:rsid w:val="00212B70"/>
    <w:rsid w:val="00212C74"/>
    <w:rsid w:val="00213DF2"/>
    <w:rsid w:val="00214336"/>
    <w:rsid w:val="0021461A"/>
    <w:rsid w:val="002148FE"/>
    <w:rsid w:val="00214AEE"/>
    <w:rsid w:val="00214B36"/>
    <w:rsid w:val="00214BD3"/>
    <w:rsid w:val="00214FB3"/>
    <w:rsid w:val="00215BBE"/>
    <w:rsid w:val="00216040"/>
    <w:rsid w:val="00216417"/>
    <w:rsid w:val="00216D52"/>
    <w:rsid w:val="002174A1"/>
    <w:rsid w:val="002178D1"/>
    <w:rsid w:val="002178E6"/>
    <w:rsid w:val="0021792E"/>
    <w:rsid w:val="00217AE2"/>
    <w:rsid w:val="0022003B"/>
    <w:rsid w:val="0022063D"/>
    <w:rsid w:val="00220803"/>
    <w:rsid w:val="002209D4"/>
    <w:rsid w:val="00220CB9"/>
    <w:rsid w:val="00220DFA"/>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7032"/>
    <w:rsid w:val="00227BFA"/>
    <w:rsid w:val="0023003B"/>
    <w:rsid w:val="0023017B"/>
    <w:rsid w:val="00230E9A"/>
    <w:rsid w:val="002316AA"/>
    <w:rsid w:val="0023198B"/>
    <w:rsid w:val="00231F2E"/>
    <w:rsid w:val="002323AF"/>
    <w:rsid w:val="00232431"/>
    <w:rsid w:val="002325B3"/>
    <w:rsid w:val="00232644"/>
    <w:rsid w:val="002328F2"/>
    <w:rsid w:val="00233182"/>
    <w:rsid w:val="002334B0"/>
    <w:rsid w:val="00233CF4"/>
    <w:rsid w:val="00233FB3"/>
    <w:rsid w:val="002341F6"/>
    <w:rsid w:val="0023473F"/>
    <w:rsid w:val="00234871"/>
    <w:rsid w:val="00234B2C"/>
    <w:rsid w:val="00234E17"/>
    <w:rsid w:val="002354B3"/>
    <w:rsid w:val="00235E2E"/>
    <w:rsid w:val="00235FC8"/>
    <w:rsid w:val="00235FF1"/>
    <w:rsid w:val="00236430"/>
    <w:rsid w:val="00236657"/>
    <w:rsid w:val="00236959"/>
    <w:rsid w:val="00236AD0"/>
    <w:rsid w:val="00236E45"/>
    <w:rsid w:val="0023719F"/>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1063"/>
    <w:rsid w:val="00241D17"/>
    <w:rsid w:val="00241DEA"/>
    <w:rsid w:val="0024216B"/>
    <w:rsid w:val="00242411"/>
    <w:rsid w:val="00242A3B"/>
    <w:rsid w:val="00242B8C"/>
    <w:rsid w:val="00242BDB"/>
    <w:rsid w:val="0024414E"/>
    <w:rsid w:val="0024447C"/>
    <w:rsid w:val="00244714"/>
    <w:rsid w:val="002447D9"/>
    <w:rsid w:val="00244C65"/>
    <w:rsid w:val="00244D8B"/>
    <w:rsid w:val="00244F7C"/>
    <w:rsid w:val="00245227"/>
    <w:rsid w:val="00245CA6"/>
    <w:rsid w:val="00245CEC"/>
    <w:rsid w:val="002460C8"/>
    <w:rsid w:val="002465F2"/>
    <w:rsid w:val="00246735"/>
    <w:rsid w:val="00246EAC"/>
    <w:rsid w:val="002476DF"/>
    <w:rsid w:val="002476E6"/>
    <w:rsid w:val="00247F79"/>
    <w:rsid w:val="00250592"/>
    <w:rsid w:val="00250A43"/>
    <w:rsid w:val="00250AC6"/>
    <w:rsid w:val="00250BAD"/>
    <w:rsid w:val="0025177F"/>
    <w:rsid w:val="0025205B"/>
    <w:rsid w:val="002520EE"/>
    <w:rsid w:val="002521A3"/>
    <w:rsid w:val="00252265"/>
    <w:rsid w:val="00252458"/>
    <w:rsid w:val="0025266E"/>
    <w:rsid w:val="002526A0"/>
    <w:rsid w:val="002529A2"/>
    <w:rsid w:val="002529DB"/>
    <w:rsid w:val="00252C5C"/>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EB4"/>
    <w:rsid w:val="00265513"/>
    <w:rsid w:val="00265775"/>
    <w:rsid w:val="00265F2A"/>
    <w:rsid w:val="00266186"/>
    <w:rsid w:val="002667E5"/>
    <w:rsid w:val="0026694E"/>
    <w:rsid w:val="002675D3"/>
    <w:rsid w:val="002675FD"/>
    <w:rsid w:val="00267B7F"/>
    <w:rsid w:val="00267EEE"/>
    <w:rsid w:val="00267FD8"/>
    <w:rsid w:val="002702C8"/>
    <w:rsid w:val="00270BA7"/>
    <w:rsid w:val="00270F57"/>
    <w:rsid w:val="002716A1"/>
    <w:rsid w:val="0027181C"/>
    <w:rsid w:val="00272317"/>
    <w:rsid w:val="00272DEF"/>
    <w:rsid w:val="00272E43"/>
    <w:rsid w:val="00273501"/>
    <w:rsid w:val="002739AD"/>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58E"/>
    <w:rsid w:val="00280917"/>
    <w:rsid w:val="0028094E"/>
    <w:rsid w:val="00280D50"/>
    <w:rsid w:val="00281037"/>
    <w:rsid w:val="00281258"/>
    <w:rsid w:val="00281396"/>
    <w:rsid w:val="002815B1"/>
    <w:rsid w:val="00281A19"/>
    <w:rsid w:val="00281C23"/>
    <w:rsid w:val="0028201F"/>
    <w:rsid w:val="002825DF"/>
    <w:rsid w:val="002827C9"/>
    <w:rsid w:val="00282A10"/>
    <w:rsid w:val="00283478"/>
    <w:rsid w:val="00283CBD"/>
    <w:rsid w:val="0028417C"/>
    <w:rsid w:val="002844AB"/>
    <w:rsid w:val="00284C86"/>
    <w:rsid w:val="00284FA3"/>
    <w:rsid w:val="00285107"/>
    <w:rsid w:val="0028516E"/>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718"/>
    <w:rsid w:val="00294CA1"/>
    <w:rsid w:val="00294D93"/>
    <w:rsid w:val="00295026"/>
    <w:rsid w:val="002951C2"/>
    <w:rsid w:val="00295462"/>
    <w:rsid w:val="00295762"/>
    <w:rsid w:val="00295B70"/>
    <w:rsid w:val="00295FA5"/>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912"/>
    <w:rsid w:val="002A2D81"/>
    <w:rsid w:val="002A312E"/>
    <w:rsid w:val="002A364D"/>
    <w:rsid w:val="002A36D6"/>
    <w:rsid w:val="002A3B48"/>
    <w:rsid w:val="002A3DDB"/>
    <w:rsid w:val="002A3DE5"/>
    <w:rsid w:val="002A3F2B"/>
    <w:rsid w:val="002A481E"/>
    <w:rsid w:val="002A49AE"/>
    <w:rsid w:val="002A4A6A"/>
    <w:rsid w:val="002A51BD"/>
    <w:rsid w:val="002A53B7"/>
    <w:rsid w:val="002A5592"/>
    <w:rsid w:val="002A56B3"/>
    <w:rsid w:val="002A56F4"/>
    <w:rsid w:val="002A5702"/>
    <w:rsid w:val="002A58A7"/>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F0"/>
    <w:rsid w:val="002B05C6"/>
    <w:rsid w:val="002B080E"/>
    <w:rsid w:val="002B0A34"/>
    <w:rsid w:val="002B0B5F"/>
    <w:rsid w:val="002B1415"/>
    <w:rsid w:val="002B1CCF"/>
    <w:rsid w:val="002B1F24"/>
    <w:rsid w:val="002B22FB"/>
    <w:rsid w:val="002B23A5"/>
    <w:rsid w:val="002B2A76"/>
    <w:rsid w:val="002B2E2E"/>
    <w:rsid w:val="002B3376"/>
    <w:rsid w:val="002B3480"/>
    <w:rsid w:val="002B3C86"/>
    <w:rsid w:val="002B3D6E"/>
    <w:rsid w:val="002B418E"/>
    <w:rsid w:val="002B445A"/>
    <w:rsid w:val="002B4973"/>
    <w:rsid w:val="002B49E7"/>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F8"/>
    <w:rsid w:val="002C517F"/>
    <w:rsid w:val="002C535D"/>
    <w:rsid w:val="002C5934"/>
    <w:rsid w:val="002C5B43"/>
    <w:rsid w:val="002C5B52"/>
    <w:rsid w:val="002C61AD"/>
    <w:rsid w:val="002C64D9"/>
    <w:rsid w:val="002C65D5"/>
    <w:rsid w:val="002C67E4"/>
    <w:rsid w:val="002C6BDE"/>
    <w:rsid w:val="002C6D07"/>
    <w:rsid w:val="002C6E1D"/>
    <w:rsid w:val="002C6F55"/>
    <w:rsid w:val="002C7364"/>
    <w:rsid w:val="002C73A4"/>
    <w:rsid w:val="002C7B11"/>
    <w:rsid w:val="002D00D4"/>
    <w:rsid w:val="002D05D2"/>
    <w:rsid w:val="002D0826"/>
    <w:rsid w:val="002D0C55"/>
    <w:rsid w:val="002D1642"/>
    <w:rsid w:val="002D1BAB"/>
    <w:rsid w:val="002D24FC"/>
    <w:rsid w:val="002D263D"/>
    <w:rsid w:val="002D2713"/>
    <w:rsid w:val="002D27EB"/>
    <w:rsid w:val="002D2D84"/>
    <w:rsid w:val="002D3194"/>
    <w:rsid w:val="002D3A2F"/>
    <w:rsid w:val="002D3CF1"/>
    <w:rsid w:val="002D41EF"/>
    <w:rsid w:val="002D4D88"/>
    <w:rsid w:val="002D4E60"/>
    <w:rsid w:val="002D52A0"/>
    <w:rsid w:val="002D5529"/>
    <w:rsid w:val="002D59EA"/>
    <w:rsid w:val="002D5DCE"/>
    <w:rsid w:val="002D6286"/>
    <w:rsid w:val="002D6AC8"/>
    <w:rsid w:val="002D6AFB"/>
    <w:rsid w:val="002D7047"/>
    <w:rsid w:val="002D7313"/>
    <w:rsid w:val="002D76B7"/>
    <w:rsid w:val="002E0008"/>
    <w:rsid w:val="002E017E"/>
    <w:rsid w:val="002E094A"/>
    <w:rsid w:val="002E1715"/>
    <w:rsid w:val="002E17C7"/>
    <w:rsid w:val="002E21AD"/>
    <w:rsid w:val="002E2209"/>
    <w:rsid w:val="002E23BD"/>
    <w:rsid w:val="002E2932"/>
    <w:rsid w:val="002E2C56"/>
    <w:rsid w:val="002E2E35"/>
    <w:rsid w:val="002E32DD"/>
    <w:rsid w:val="002E33A7"/>
    <w:rsid w:val="002E349B"/>
    <w:rsid w:val="002E3898"/>
    <w:rsid w:val="002E3B05"/>
    <w:rsid w:val="002E3C82"/>
    <w:rsid w:val="002E3E59"/>
    <w:rsid w:val="002E46E2"/>
    <w:rsid w:val="002E4D3E"/>
    <w:rsid w:val="002E5561"/>
    <w:rsid w:val="002E56C3"/>
    <w:rsid w:val="002E5A26"/>
    <w:rsid w:val="002E5D95"/>
    <w:rsid w:val="002E6495"/>
    <w:rsid w:val="002E66DD"/>
    <w:rsid w:val="002E69F1"/>
    <w:rsid w:val="002E70D8"/>
    <w:rsid w:val="002E7630"/>
    <w:rsid w:val="002E791D"/>
    <w:rsid w:val="002E7961"/>
    <w:rsid w:val="002E79B7"/>
    <w:rsid w:val="002F0369"/>
    <w:rsid w:val="002F0DB5"/>
    <w:rsid w:val="002F1064"/>
    <w:rsid w:val="002F11E9"/>
    <w:rsid w:val="002F186A"/>
    <w:rsid w:val="002F2102"/>
    <w:rsid w:val="002F25CB"/>
    <w:rsid w:val="002F26E3"/>
    <w:rsid w:val="002F2E66"/>
    <w:rsid w:val="002F328A"/>
    <w:rsid w:val="002F38B9"/>
    <w:rsid w:val="002F3C71"/>
    <w:rsid w:val="002F3CFE"/>
    <w:rsid w:val="002F4282"/>
    <w:rsid w:val="002F43AD"/>
    <w:rsid w:val="002F451C"/>
    <w:rsid w:val="002F4530"/>
    <w:rsid w:val="002F52D4"/>
    <w:rsid w:val="002F55B4"/>
    <w:rsid w:val="002F5D51"/>
    <w:rsid w:val="002F5DBB"/>
    <w:rsid w:val="002F633E"/>
    <w:rsid w:val="002F63FD"/>
    <w:rsid w:val="002F679C"/>
    <w:rsid w:val="002F67F8"/>
    <w:rsid w:val="002F69E5"/>
    <w:rsid w:val="002F6A98"/>
    <w:rsid w:val="002F6C11"/>
    <w:rsid w:val="002F7189"/>
    <w:rsid w:val="002F729B"/>
    <w:rsid w:val="002F73DC"/>
    <w:rsid w:val="002F760A"/>
    <w:rsid w:val="002F76C5"/>
    <w:rsid w:val="002F7735"/>
    <w:rsid w:val="002F7750"/>
    <w:rsid w:val="002F7A5F"/>
    <w:rsid w:val="0030027C"/>
    <w:rsid w:val="003009C7"/>
    <w:rsid w:val="003014F1"/>
    <w:rsid w:val="003015BE"/>
    <w:rsid w:val="00301A30"/>
    <w:rsid w:val="00302195"/>
    <w:rsid w:val="00302574"/>
    <w:rsid w:val="00302785"/>
    <w:rsid w:val="003029AE"/>
    <w:rsid w:val="00302ABC"/>
    <w:rsid w:val="0030337A"/>
    <w:rsid w:val="0030339A"/>
    <w:rsid w:val="00304563"/>
    <w:rsid w:val="003046E1"/>
    <w:rsid w:val="00304B3E"/>
    <w:rsid w:val="0030500D"/>
    <w:rsid w:val="00305111"/>
    <w:rsid w:val="0030524E"/>
    <w:rsid w:val="00305762"/>
    <w:rsid w:val="00305B0F"/>
    <w:rsid w:val="00306369"/>
    <w:rsid w:val="003064D6"/>
    <w:rsid w:val="00306E9E"/>
    <w:rsid w:val="00307520"/>
    <w:rsid w:val="00307847"/>
    <w:rsid w:val="00307A97"/>
    <w:rsid w:val="00307D59"/>
    <w:rsid w:val="00310671"/>
    <w:rsid w:val="003107B7"/>
    <w:rsid w:val="00311043"/>
    <w:rsid w:val="003112B9"/>
    <w:rsid w:val="00311427"/>
    <w:rsid w:val="0031152D"/>
    <w:rsid w:val="003117D8"/>
    <w:rsid w:val="00312009"/>
    <w:rsid w:val="003126E3"/>
    <w:rsid w:val="00312AC3"/>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4A4"/>
    <w:rsid w:val="003168CF"/>
    <w:rsid w:val="00316D5E"/>
    <w:rsid w:val="00316ED5"/>
    <w:rsid w:val="00316F28"/>
    <w:rsid w:val="003170C0"/>
    <w:rsid w:val="00317A1F"/>
    <w:rsid w:val="00320CE8"/>
    <w:rsid w:val="00320DBA"/>
    <w:rsid w:val="00321007"/>
    <w:rsid w:val="00321217"/>
    <w:rsid w:val="003212AE"/>
    <w:rsid w:val="0032177C"/>
    <w:rsid w:val="0032189E"/>
    <w:rsid w:val="00321CF8"/>
    <w:rsid w:val="00322965"/>
    <w:rsid w:val="003235FC"/>
    <w:rsid w:val="00323DCB"/>
    <w:rsid w:val="0032403A"/>
    <w:rsid w:val="00324385"/>
    <w:rsid w:val="003246CB"/>
    <w:rsid w:val="00324725"/>
    <w:rsid w:val="00324C59"/>
    <w:rsid w:val="003251F9"/>
    <w:rsid w:val="003253DC"/>
    <w:rsid w:val="00325430"/>
    <w:rsid w:val="00325B5A"/>
    <w:rsid w:val="00326072"/>
    <w:rsid w:val="0032635E"/>
    <w:rsid w:val="00326733"/>
    <w:rsid w:val="0032681E"/>
    <w:rsid w:val="00326911"/>
    <w:rsid w:val="0032691A"/>
    <w:rsid w:val="00326F09"/>
    <w:rsid w:val="003270B7"/>
    <w:rsid w:val="003277D9"/>
    <w:rsid w:val="00327DD1"/>
    <w:rsid w:val="00330904"/>
    <w:rsid w:val="00330E6C"/>
    <w:rsid w:val="003312E4"/>
    <w:rsid w:val="00331F3C"/>
    <w:rsid w:val="00332123"/>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2DD"/>
    <w:rsid w:val="00337A14"/>
    <w:rsid w:val="00340CB9"/>
    <w:rsid w:val="00341A33"/>
    <w:rsid w:val="00341B5E"/>
    <w:rsid w:val="00342899"/>
    <w:rsid w:val="003428AB"/>
    <w:rsid w:val="00342E44"/>
    <w:rsid w:val="00342FFE"/>
    <w:rsid w:val="0034309D"/>
    <w:rsid w:val="003430B0"/>
    <w:rsid w:val="0034323F"/>
    <w:rsid w:val="00343844"/>
    <w:rsid w:val="00344AE4"/>
    <w:rsid w:val="003450C0"/>
    <w:rsid w:val="00345599"/>
    <w:rsid w:val="00345DCE"/>
    <w:rsid w:val="00346063"/>
    <w:rsid w:val="003460C8"/>
    <w:rsid w:val="003460CA"/>
    <w:rsid w:val="00346B55"/>
    <w:rsid w:val="0034754E"/>
    <w:rsid w:val="003477FA"/>
    <w:rsid w:val="00347D7B"/>
    <w:rsid w:val="00347F7E"/>
    <w:rsid w:val="0035057A"/>
    <w:rsid w:val="00350605"/>
    <w:rsid w:val="00350DBA"/>
    <w:rsid w:val="00350EF3"/>
    <w:rsid w:val="00351CCB"/>
    <w:rsid w:val="00352C1B"/>
    <w:rsid w:val="00352F6C"/>
    <w:rsid w:val="003530AB"/>
    <w:rsid w:val="00353BF7"/>
    <w:rsid w:val="00353F8F"/>
    <w:rsid w:val="00354487"/>
    <w:rsid w:val="003545C9"/>
    <w:rsid w:val="00354BD3"/>
    <w:rsid w:val="003551D9"/>
    <w:rsid w:val="003554B4"/>
    <w:rsid w:val="00355A2D"/>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87A"/>
    <w:rsid w:val="00361DC4"/>
    <w:rsid w:val="00361F51"/>
    <w:rsid w:val="00362378"/>
    <w:rsid w:val="00362661"/>
    <w:rsid w:val="00362910"/>
    <w:rsid w:val="00362952"/>
    <w:rsid w:val="00362A8A"/>
    <w:rsid w:val="00362E3C"/>
    <w:rsid w:val="00362E8D"/>
    <w:rsid w:val="00363026"/>
    <w:rsid w:val="00363B76"/>
    <w:rsid w:val="003640B9"/>
    <w:rsid w:val="003641CF"/>
    <w:rsid w:val="00364D9A"/>
    <w:rsid w:val="00364FDC"/>
    <w:rsid w:val="00365203"/>
    <w:rsid w:val="0036524B"/>
    <w:rsid w:val="0036539C"/>
    <w:rsid w:val="00365465"/>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29AE"/>
    <w:rsid w:val="00372DF7"/>
    <w:rsid w:val="00373082"/>
    <w:rsid w:val="00373553"/>
    <w:rsid w:val="003739CE"/>
    <w:rsid w:val="00373B3F"/>
    <w:rsid w:val="00373E83"/>
    <w:rsid w:val="0037405E"/>
    <w:rsid w:val="003743EA"/>
    <w:rsid w:val="00374562"/>
    <w:rsid w:val="00374F4C"/>
    <w:rsid w:val="00375179"/>
    <w:rsid w:val="003752E5"/>
    <w:rsid w:val="00375D67"/>
    <w:rsid w:val="0037638A"/>
    <w:rsid w:val="0037669B"/>
    <w:rsid w:val="00376A25"/>
    <w:rsid w:val="00376F6C"/>
    <w:rsid w:val="0037705E"/>
    <w:rsid w:val="003778D1"/>
    <w:rsid w:val="00377DD5"/>
    <w:rsid w:val="00377DEB"/>
    <w:rsid w:val="00380041"/>
    <w:rsid w:val="0038020B"/>
    <w:rsid w:val="003807FE"/>
    <w:rsid w:val="00380809"/>
    <w:rsid w:val="00380865"/>
    <w:rsid w:val="003814E2"/>
    <w:rsid w:val="003815A7"/>
    <w:rsid w:val="003817DD"/>
    <w:rsid w:val="00382211"/>
    <w:rsid w:val="00382528"/>
    <w:rsid w:val="0038270E"/>
    <w:rsid w:val="0038285C"/>
    <w:rsid w:val="00382DFF"/>
    <w:rsid w:val="00382F51"/>
    <w:rsid w:val="00383436"/>
    <w:rsid w:val="003837A4"/>
    <w:rsid w:val="003846E5"/>
    <w:rsid w:val="00384712"/>
    <w:rsid w:val="0038658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E26"/>
    <w:rsid w:val="00397B0D"/>
    <w:rsid w:val="00397F7A"/>
    <w:rsid w:val="003A0233"/>
    <w:rsid w:val="003A1204"/>
    <w:rsid w:val="003A1320"/>
    <w:rsid w:val="003A1444"/>
    <w:rsid w:val="003A26EC"/>
    <w:rsid w:val="003A3233"/>
    <w:rsid w:val="003A356B"/>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120F"/>
    <w:rsid w:val="003B1486"/>
    <w:rsid w:val="003B18D9"/>
    <w:rsid w:val="003B1D4B"/>
    <w:rsid w:val="003B2835"/>
    <w:rsid w:val="003B29BC"/>
    <w:rsid w:val="003B2A27"/>
    <w:rsid w:val="003B2BA6"/>
    <w:rsid w:val="003B2DF1"/>
    <w:rsid w:val="003B3104"/>
    <w:rsid w:val="003B341A"/>
    <w:rsid w:val="003B34D4"/>
    <w:rsid w:val="003B3F74"/>
    <w:rsid w:val="003B3F92"/>
    <w:rsid w:val="003B40CC"/>
    <w:rsid w:val="003B4176"/>
    <w:rsid w:val="003B4E7C"/>
    <w:rsid w:val="003B4F6E"/>
    <w:rsid w:val="003B58B9"/>
    <w:rsid w:val="003B5A56"/>
    <w:rsid w:val="003B65EF"/>
    <w:rsid w:val="003B6914"/>
    <w:rsid w:val="003B6F3E"/>
    <w:rsid w:val="003B7448"/>
    <w:rsid w:val="003B7651"/>
    <w:rsid w:val="003B788E"/>
    <w:rsid w:val="003C04C7"/>
    <w:rsid w:val="003C0991"/>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4BB2"/>
    <w:rsid w:val="003C4D5A"/>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2741"/>
    <w:rsid w:val="003E2B97"/>
    <w:rsid w:val="003E3027"/>
    <w:rsid w:val="003E3212"/>
    <w:rsid w:val="003E38DC"/>
    <w:rsid w:val="003E3995"/>
    <w:rsid w:val="003E3CA4"/>
    <w:rsid w:val="003E3DCB"/>
    <w:rsid w:val="003E42EC"/>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CAE"/>
    <w:rsid w:val="003F3E0E"/>
    <w:rsid w:val="003F4406"/>
    <w:rsid w:val="003F526B"/>
    <w:rsid w:val="003F52A3"/>
    <w:rsid w:val="003F53AD"/>
    <w:rsid w:val="003F5661"/>
    <w:rsid w:val="003F5662"/>
    <w:rsid w:val="003F5C9F"/>
    <w:rsid w:val="003F61E5"/>
    <w:rsid w:val="003F67B5"/>
    <w:rsid w:val="003F7288"/>
    <w:rsid w:val="003F7A1A"/>
    <w:rsid w:val="003F7A5B"/>
    <w:rsid w:val="003F7DC9"/>
    <w:rsid w:val="0040053D"/>
    <w:rsid w:val="00400849"/>
    <w:rsid w:val="00400E38"/>
    <w:rsid w:val="00401025"/>
    <w:rsid w:val="0040129F"/>
    <w:rsid w:val="004021D7"/>
    <w:rsid w:val="00402446"/>
    <w:rsid w:val="004024E4"/>
    <w:rsid w:val="00403101"/>
    <w:rsid w:val="004036D7"/>
    <w:rsid w:val="004037BA"/>
    <w:rsid w:val="00403A87"/>
    <w:rsid w:val="00403D2A"/>
    <w:rsid w:val="0040410C"/>
    <w:rsid w:val="004049FB"/>
    <w:rsid w:val="00404BF4"/>
    <w:rsid w:val="00404C61"/>
    <w:rsid w:val="004051AB"/>
    <w:rsid w:val="00405764"/>
    <w:rsid w:val="00405ABC"/>
    <w:rsid w:val="0040621D"/>
    <w:rsid w:val="00406B19"/>
    <w:rsid w:val="00406D9C"/>
    <w:rsid w:val="00406DA4"/>
    <w:rsid w:val="00406EA2"/>
    <w:rsid w:val="004071F8"/>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8EC"/>
    <w:rsid w:val="00414BE7"/>
    <w:rsid w:val="00414DEA"/>
    <w:rsid w:val="00414FDF"/>
    <w:rsid w:val="004156F5"/>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32B3"/>
    <w:rsid w:val="00423320"/>
    <w:rsid w:val="004234FD"/>
    <w:rsid w:val="004235D0"/>
    <w:rsid w:val="0042362C"/>
    <w:rsid w:val="00423968"/>
    <w:rsid w:val="00423AC7"/>
    <w:rsid w:val="00424224"/>
    <w:rsid w:val="00425098"/>
    <w:rsid w:val="004252F6"/>
    <w:rsid w:val="00425593"/>
    <w:rsid w:val="004255FC"/>
    <w:rsid w:val="004256BA"/>
    <w:rsid w:val="00425768"/>
    <w:rsid w:val="00425823"/>
    <w:rsid w:val="00425A69"/>
    <w:rsid w:val="00425D07"/>
    <w:rsid w:val="00426FA1"/>
    <w:rsid w:val="00427558"/>
    <w:rsid w:val="004275EB"/>
    <w:rsid w:val="00427799"/>
    <w:rsid w:val="00427CAD"/>
    <w:rsid w:val="0043006C"/>
    <w:rsid w:val="004303A4"/>
    <w:rsid w:val="004306CD"/>
    <w:rsid w:val="00430CA2"/>
    <w:rsid w:val="00431419"/>
    <w:rsid w:val="004317E7"/>
    <w:rsid w:val="00431C54"/>
    <w:rsid w:val="00431DA3"/>
    <w:rsid w:val="00431DD7"/>
    <w:rsid w:val="0043279B"/>
    <w:rsid w:val="00432A69"/>
    <w:rsid w:val="00432B6E"/>
    <w:rsid w:val="00432EE7"/>
    <w:rsid w:val="004332DD"/>
    <w:rsid w:val="004332DE"/>
    <w:rsid w:val="004334A7"/>
    <w:rsid w:val="00433679"/>
    <w:rsid w:val="004337F0"/>
    <w:rsid w:val="00433A16"/>
    <w:rsid w:val="00433B0A"/>
    <w:rsid w:val="004343B6"/>
    <w:rsid w:val="004344EB"/>
    <w:rsid w:val="004345AF"/>
    <w:rsid w:val="004350EE"/>
    <w:rsid w:val="0043546D"/>
    <w:rsid w:val="00435739"/>
    <w:rsid w:val="0043593F"/>
    <w:rsid w:val="00435E8C"/>
    <w:rsid w:val="00435EB9"/>
    <w:rsid w:val="004365FC"/>
    <w:rsid w:val="0043694D"/>
    <w:rsid w:val="00436C23"/>
    <w:rsid w:val="00436C67"/>
    <w:rsid w:val="00436F78"/>
    <w:rsid w:val="00436FD5"/>
    <w:rsid w:val="004375CB"/>
    <w:rsid w:val="004377CE"/>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7D9"/>
    <w:rsid w:val="004517E8"/>
    <w:rsid w:val="004518F2"/>
    <w:rsid w:val="00451F3A"/>
    <w:rsid w:val="004523F7"/>
    <w:rsid w:val="0045289C"/>
    <w:rsid w:val="00452A02"/>
    <w:rsid w:val="00452BCB"/>
    <w:rsid w:val="00452CAD"/>
    <w:rsid w:val="00453B3B"/>
    <w:rsid w:val="00453F06"/>
    <w:rsid w:val="00453FF2"/>
    <w:rsid w:val="004542E0"/>
    <w:rsid w:val="004545D4"/>
    <w:rsid w:val="00454D6B"/>
    <w:rsid w:val="00454E58"/>
    <w:rsid w:val="004551C5"/>
    <w:rsid w:val="004559EE"/>
    <w:rsid w:val="00455B4D"/>
    <w:rsid w:val="00455DA8"/>
    <w:rsid w:val="0045715A"/>
    <w:rsid w:val="0045718A"/>
    <w:rsid w:val="00457729"/>
    <w:rsid w:val="0046068B"/>
    <w:rsid w:val="004609BE"/>
    <w:rsid w:val="00460BCD"/>
    <w:rsid w:val="00460ED9"/>
    <w:rsid w:val="0046117E"/>
    <w:rsid w:val="00461750"/>
    <w:rsid w:val="00461A31"/>
    <w:rsid w:val="00461B69"/>
    <w:rsid w:val="00461D57"/>
    <w:rsid w:val="004626E1"/>
    <w:rsid w:val="004629D5"/>
    <w:rsid w:val="00462C75"/>
    <w:rsid w:val="00462D99"/>
    <w:rsid w:val="00463C7B"/>
    <w:rsid w:val="00464055"/>
    <w:rsid w:val="0046433C"/>
    <w:rsid w:val="00464475"/>
    <w:rsid w:val="00464886"/>
    <w:rsid w:val="00464DE7"/>
    <w:rsid w:val="0046589C"/>
    <w:rsid w:val="004658F7"/>
    <w:rsid w:val="00465901"/>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CCF"/>
    <w:rsid w:val="00474EDB"/>
    <w:rsid w:val="004758FA"/>
    <w:rsid w:val="00475D7F"/>
    <w:rsid w:val="00475E2F"/>
    <w:rsid w:val="0047615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815"/>
    <w:rsid w:val="00482CFF"/>
    <w:rsid w:val="00483020"/>
    <w:rsid w:val="00483370"/>
    <w:rsid w:val="00483CEE"/>
    <w:rsid w:val="004841DC"/>
    <w:rsid w:val="004844A0"/>
    <w:rsid w:val="004845E9"/>
    <w:rsid w:val="00484AA0"/>
    <w:rsid w:val="00484BBC"/>
    <w:rsid w:val="0048535C"/>
    <w:rsid w:val="00485FA0"/>
    <w:rsid w:val="00486077"/>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31B0"/>
    <w:rsid w:val="004A32CA"/>
    <w:rsid w:val="004A33FB"/>
    <w:rsid w:val="004A35BE"/>
    <w:rsid w:val="004A3668"/>
    <w:rsid w:val="004A3DBA"/>
    <w:rsid w:val="004A403E"/>
    <w:rsid w:val="004A4056"/>
    <w:rsid w:val="004A4088"/>
    <w:rsid w:val="004A40D4"/>
    <w:rsid w:val="004A49D9"/>
    <w:rsid w:val="004A4EF2"/>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EE"/>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AC4"/>
    <w:rsid w:val="004B4D16"/>
    <w:rsid w:val="004B4EEA"/>
    <w:rsid w:val="004B54D1"/>
    <w:rsid w:val="004B6632"/>
    <w:rsid w:val="004B663D"/>
    <w:rsid w:val="004B674A"/>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10A1"/>
    <w:rsid w:val="004C11BA"/>
    <w:rsid w:val="004C1D14"/>
    <w:rsid w:val="004C1E2A"/>
    <w:rsid w:val="004C2752"/>
    <w:rsid w:val="004C277B"/>
    <w:rsid w:val="004C34F1"/>
    <w:rsid w:val="004C3D63"/>
    <w:rsid w:val="004C4247"/>
    <w:rsid w:val="004C4434"/>
    <w:rsid w:val="004C4455"/>
    <w:rsid w:val="004C487E"/>
    <w:rsid w:val="004C4CBD"/>
    <w:rsid w:val="004C526F"/>
    <w:rsid w:val="004C54C4"/>
    <w:rsid w:val="004C55E8"/>
    <w:rsid w:val="004C56AE"/>
    <w:rsid w:val="004C572A"/>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C6"/>
    <w:rsid w:val="004D397D"/>
    <w:rsid w:val="004D3BA5"/>
    <w:rsid w:val="004D451E"/>
    <w:rsid w:val="004D4B98"/>
    <w:rsid w:val="004D4FE1"/>
    <w:rsid w:val="004D526A"/>
    <w:rsid w:val="004D5656"/>
    <w:rsid w:val="004D56FC"/>
    <w:rsid w:val="004D5840"/>
    <w:rsid w:val="004D6170"/>
    <w:rsid w:val="004D65D7"/>
    <w:rsid w:val="004D664B"/>
    <w:rsid w:val="004D6C00"/>
    <w:rsid w:val="004D6D2C"/>
    <w:rsid w:val="004D6F74"/>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D02"/>
    <w:rsid w:val="004F74D5"/>
    <w:rsid w:val="004F7547"/>
    <w:rsid w:val="004F77DA"/>
    <w:rsid w:val="004F7F7C"/>
    <w:rsid w:val="004F7F7F"/>
    <w:rsid w:val="00500626"/>
    <w:rsid w:val="0050080C"/>
    <w:rsid w:val="00500812"/>
    <w:rsid w:val="00500AF4"/>
    <w:rsid w:val="00500D5B"/>
    <w:rsid w:val="00501462"/>
    <w:rsid w:val="00501CDB"/>
    <w:rsid w:val="00501D43"/>
    <w:rsid w:val="00501F80"/>
    <w:rsid w:val="00502397"/>
    <w:rsid w:val="0050241B"/>
    <w:rsid w:val="005024A4"/>
    <w:rsid w:val="00502931"/>
    <w:rsid w:val="00502AF2"/>
    <w:rsid w:val="00502BFC"/>
    <w:rsid w:val="00502C4A"/>
    <w:rsid w:val="00503053"/>
    <w:rsid w:val="0050307D"/>
    <w:rsid w:val="00503797"/>
    <w:rsid w:val="005037D1"/>
    <w:rsid w:val="00503FC9"/>
    <w:rsid w:val="0050404C"/>
    <w:rsid w:val="005044E4"/>
    <w:rsid w:val="005045E8"/>
    <w:rsid w:val="00504986"/>
    <w:rsid w:val="00504F9C"/>
    <w:rsid w:val="0050513B"/>
    <w:rsid w:val="00505751"/>
    <w:rsid w:val="00505926"/>
    <w:rsid w:val="00505BE8"/>
    <w:rsid w:val="00505CA4"/>
    <w:rsid w:val="00505E37"/>
    <w:rsid w:val="00506CC3"/>
    <w:rsid w:val="0050779D"/>
    <w:rsid w:val="00507C7B"/>
    <w:rsid w:val="00507CDB"/>
    <w:rsid w:val="005102D6"/>
    <w:rsid w:val="00510326"/>
    <w:rsid w:val="00510607"/>
    <w:rsid w:val="0051089A"/>
    <w:rsid w:val="005108AA"/>
    <w:rsid w:val="00510A0E"/>
    <w:rsid w:val="00510A1C"/>
    <w:rsid w:val="00510B04"/>
    <w:rsid w:val="00510CF7"/>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E0D"/>
    <w:rsid w:val="0051512D"/>
    <w:rsid w:val="0051543B"/>
    <w:rsid w:val="005163FB"/>
    <w:rsid w:val="0051648A"/>
    <w:rsid w:val="00516507"/>
    <w:rsid w:val="00516B7D"/>
    <w:rsid w:val="00516FC4"/>
    <w:rsid w:val="00516FC9"/>
    <w:rsid w:val="0051713B"/>
    <w:rsid w:val="00517695"/>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788"/>
    <w:rsid w:val="00553795"/>
    <w:rsid w:val="005539E7"/>
    <w:rsid w:val="00553B60"/>
    <w:rsid w:val="00553C42"/>
    <w:rsid w:val="00553DB2"/>
    <w:rsid w:val="005547C2"/>
    <w:rsid w:val="005548E7"/>
    <w:rsid w:val="00554DAC"/>
    <w:rsid w:val="00555424"/>
    <w:rsid w:val="00555957"/>
    <w:rsid w:val="00555A70"/>
    <w:rsid w:val="00555C8E"/>
    <w:rsid w:val="00555CBF"/>
    <w:rsid w:val="0055621A"/>
    <w:rsid w:val="00556476"/>
    <w:rsid w:val="00556EC8"/>
    <w:rsid w:val="00557381"/>
    <w:rsid w:val="00557E66"/>
    <w:rsid w:val="00560BF4"/>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EB5"/>
    <w:rsid w:val="00564F0C"/>
    <w:rsid w:val="005651BA"/>
    <w:rsid w:val="0056531B"/>
    <w:rsid w:val="0056550F"/>
    <w:rsid w:val="00565A94"/>
    <w:rsid w:val="00565C9D"/>
    <w:rsid w:val="00565F07"/>
    <w:rsid w:val="005661EB"/>
    <w:rsid w:val="005663EC"/>
    <w:rsid w:val="005666F4"/>
    <w:rsid w:val="00566E21"/>
    <w:rsid w:val="005671BE"/>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FFF"/>
    <w:rsid w:val="005850DE"/>
    <w:rsid w:val="005851D8"/>
    <w:rsid w:val="005855D4"/>
    <w:rsid w:val="005856DD"/>
    <w:rsid w:val="00585897"/>
    <w:rsid w:val="00585933"/>
    <w:rsid w:val="00585B3D"/>
    <w:rsid w:val="00585E2E"/>
    <w:rsid w:val="00585E4C"/>
    <w:rsid w:val="00585FEB"/>
    <w:rsid w:val="00586378"/>
    <w:rsid w:val="0058677F"/>
    <w:rsid w:val="00586802"/>
    <w:rsid w:val="00586849"/>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D69"/>
    <w:rsid w:val="00592EF5"/>
    <w:rsid w:val="00593048"/>
    <w:rsid w:val="00593289"/>
    <w:rsid w:val="00593710"/>
    <w:rsid w:val="00593985"/>
    <w:rsid w:val="00593AD2"/>
    <w:rsid w:val="00593EB5"/>
    <w:rsid w:val="0059415E"/>
    <w:rsid w:val="005943E6"/>
    <w:rsid w:val="00594B44"/>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7B"/>
    <w:rsid w:val="005A0BF0"/>
    <w:rsid w:val="005A0D6B"/>
    <w:rsid w:val="005A114C"/>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7C9"/>
    <w:rsid w:val="005C1C28"/>
    <w:rsid w:val="005C2319"/>
    <w:rsid w:val="005C2B7B"/>
    <w:rsid w:val="005C2D8F"/>
    <w:rsid w:val="005C3254"/>
    <w:rsid w:val="005C3860"/>
    <w:rsid w:val="005C3B51"/>
    <w:rsid w:val="005C3DCD"/>
    <w:rsid w:val="005C4983"/>
    <w:rsid w:val="005C4CAE"/>
    <w:rsid w:val="005C5412"/>
    <w:rsid w:val="005C5A16"/>
    <w:rsid w:val="005C5F0B"/>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758"/>
    <w:rsid w:val="005E3914"/>
    <w:rsid w:val="005E3C68"/>
    <w:rsid w:val="005E3DA8"/>
    <w:rsid w:val="005E3DCA"/>
    <w:rsid w:val="005E4925"/>
    <w:rsid w:val="005E4C8F"/>
    <w:rsid w:val="005E4E11"/>
    <w:rsid w:val="005E4E74"/>
    <w:rsid w:val="005E56B7"/>
    <w:rsid w:val="005E6047"/>
    <w:rsid w:val="005E60F6"/>
    <w:rsid w:val="005E67D2"/>
    <w:rsid w:val="005E69F9"/>
    <w:rsid w:val="005E6DA1"/>
    <w:rsid w:val="005E6EFB"/>
    <w:rsid w:val="005E7024"/>
    <w:rsid w:val="005E7060"/>
    <w:rsid w:val="005E7EFD"/>
    <w:rsid w:val="005E7F18"/>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DBE"/>
    <w:rsid w:val="005F5061"/>
    <w:rsid w:val="005F5103"/>
    <w:rsid w:val="005F5180"/>
    <w:rsid w:val="005F5193"/>
    <w:rsid w:val="005F5740"/>
    <w:rsid w:val="005F5C72"/>
    <w:rsid w:val="005F6675"/>
    <w:rsid w:val="005F66BD"/>
    <w:rsid w:val="005F66EB"/>
    <w:rsid w:val="005F6A69"/>
    <w:rsid w:val="005F7740"/>
    <w:rsid w:val="005F78ED"/>
    <w:rsid w:val="005F7A78"/>
    <w:rsid w:val="006000CB"/>
    <w:rsid w:val="00600324"/>
    <w:rsid w:val="006004DD"/>
    <w:rsid w:val="00600921"/>
    <w:rsid w:val="00600A2D"/>
    <w:rsid w:val="00600F1E"/>
    <w:rsid w:val="0060179B"/>
    <w:rsid w:val="0060180C"/>
    <w:rsid w:val="00601913"/>
    <w:rsid w:val="006028F8"/>
    <w:rsid w:val="00602909"/>
    <w:rsid w:val="00602C3F"/>
    <w:rsid w:val="00602D05"/>
    <w:rsid w:val="00603AF7"/>
    <w:rsid w:val="00603C81"/>
    <w:rsid w:val="00603CBA"/>
    <w:rsid w:val="00603ED2"/>
    <w:rsid w:val="0060497D"/>
    <w:rsid w:val="00604AD1"/>
    <w:rsid w:val="00604ADA"/>
    <w:rsid w:val="00604C88"/>
    <w:rsid w:val="00605098"/>
    <w:rsid w:val="0060532D"/>
    <w:rsid w:val="00605EBB"/>
    <w:rsid w:val="00606075"/>
    <w:rsid w:val="00606AD0"/>
    <w:rsid w:val="00606DE9"/>
    <w:rsid w:val="00606FC9"/>
    <w:rsid w:val="0060788A"/>
    <w:rsid w:val="00607D34"/>
    <w:rsid w:val="00607E38"/>
    <w:rsid w:val="006106C6"/>
    <w:rsid w:val="00610E72"/>
    <w:rsid w:val="00611696"/>
    <w:rsid w:val="00611975"/>
    <w:rsid w:val="0061199B"/>
    <w:rsid w:val="006119FB"/>
    <w:rsid w:val="00611EB8"/>
    <w:rsid w:val="00612038"/>
    <w:rsid w:val="00612324"/>
    <w:rsid w:val="0061245E"/>
    <w:rsid w:val="0061250C"/>
    <w:rsid w:val="006127A5"/>
    <w:rsid w:val="00613B71"/>
    <w:rsid w:val="00613CE7"/>
    <w:rsid w:val="00614266"/>
    <w:rsid w:val="006142AC"/>
    <w:rsid w:val="0061449F"/>
    <w:rsid w:val="00614578"/>
    <w:rsid w:val="006153A9"/>
    <w:rsid w:val="006155E4"/>
    <w:rsid w:val="006158A2"/>
    <w:rsid w:val="006158E0"/>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1AF9"/>
    <w:rsid w:val="00621F62"/>
    <w:rsid w:val="0062207F"/>
    <w:rsid w:val="0062222F"/>
    <w:rsid w:val="00622329"/>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2B08"/>
    <w:rsid w:val="00633AA2"/>
    <w:rsid w:val="006343DE"/>
    <w:rsid w:val="0063453C"/>
    <w:rsid w:val="00634903"/>
    <w:rsid w:val="00635018"/>
    <w:rsid w:val="006356C6"/>
    <w:rsid w:val="00635A1F"/>
    <w:rsid w:val="00635CF6"/>
    <w:rsid w:val="00635DB1"/>
    <w:rsid w:val="0063601A"/>
    <w:rsid w:val="00636427"/>
    <w:rsid w:val="0063779C"/>
    <w:rsid w:val="00637879"/>
    <w:rsid w:val="00640CED"/>
    <w:rsid w:val="006411BB"/>
    <w:rsid w:val="0064133D"/>
    <w:rsid w:val="00641632"/>
    <w:rsid w:val="00641DE7"/>
    <w:rsid w:val="00642206"/>
    <w:rsid w:val="0064244F"/>
    <w:rsid w:val="00642652"/>
    <w:rsid w:val="00642867"/>
    <w:rsid w:val="00642992"/>
    <w:rsid w:val="006432D4"/>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3C0"/>
    <w:rsid w:val="00656571"/>
    <w:rsid w:val="006567BA"/>
    <w:rsid w:val="00656A49"/>
    <w:rsid w:val="00656CC7"/>
    <w:rsid w:val="006577C5"/>
    <w:rsid w:val="00660253"/>
    <w:rsid w:val="00660B9B"/>
    <w:rsid w:val="006611CC"/>
    <w:rsid w:val="006612DC"/>
    <w:rsid w:val="006614DA"/>
    <w:rsid w:val="00661872"/>
    <w:rsid w:val="00661AD0"/>
    <w:rsid w:val="00661D78"/>
    <w:rsid w:val="00661DD3"/>
    <w:rsid w:val="0066232A"/>
    <w:rsid w:val="00662346"/>
    <w:rsid w:val="0066245A"/>
    <w:rsid w:val="00662C24"/>
    <w:rsid w:val="00663254"/>
    <w:rsid w:val="00663376"/>
    <w:rsid w:val="00663D5A"/>
    <w:rsid w:val="006640C8"/>
    <w:rsid w:val="00664E55"/>
    <w:rsid w:val="00666053"/>
    <w:rsid w:val="00666409"/>
    <w:rsid w:val="006668F2"/>
    <w:rsid w:val="006669F1"/>
    <w:rsid w:val="00666A2D"/>
    <w:rsid w:val="00666CB7"/>
    <w:rsid w:val="0066732C"/>
    <w:rsid w:val="0066764E"/>
    <w:rsid w:val="006679CD"/>
    <w:rsid w:val="0067000C"/>
    <w:rsid w:val="0067021C"/>
    <w:rsid w:val="006706D7"/>
    <w:rsid w:val="00670901"/>
    <w:rsid w:val="00670BA0"/>
    <w:rsid w:val="00670E5A"/>
    <w:rsid w:val="00671185"/>
    <w:rsid w:val="006711F3"/>
    <w:rsid w:val="0067192A"/>
    <w:rsid w:val="00671F33"/>
    <w:rsid w:val="00671F37"/>
    <w:rsid w:val="006722C1"/>
    <w:rsid w:val="00672382"/>
    <w:rsid w:val="00672753"/>
    <w:rsid w:val="00672F2D"/>
    <w:rsid w:val="00672F39"/>
    <w:rsid w:val="00673E19"/>
    <w:rsid w:val="00674063"/>
    <w:rsid w:val="00674685"/>
    <w:rsid w:val="006749BD"/>
    <w:rsid w:val="00674A5E"/>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80003"/>
    <w:rsid w:val="0068079F"/>
    <w:rsid w:val="00680A52"/>
    <w:rsid w:val="00680BA1"/>
    <w:rsid w:val="0068100C"/>
    <w:rsid w:val="0068106B"/>
    <w:rsid w:val="0068128E"/>
    <w:rsid w:val="00681961"/>
    <w:rsid w:val="00681A42"/>
    <w:rsid w:val="00681B7B"/>
    <w:rsid w:val="00681EB4"/>
    <w:rsid w:val="00682064"/>
    <w:rsid w:val="00682689"/>
    <w:rsid w:val="00682D51"/>
    <w:rsid w:val="00683018"/>
    <w:rsid w:val="006842E2"/>
    <w:rsid w:val="00684486"/>
    <w:rsid w:val="006855BD"/>
    <w:rsid w:val="006856FF"/>
    <w:rsid w:val="00685A4C"/>
    <w:rsid w:val="00686263"/>
    <w:rsid w:val="006871DA"/>
    <w:rsid w:val="0068781E"/>
    <w:rsid w:val="00687DBB"/>
    <w:rsid w:val="006902E1"/>
    <w:rsid w:val="0069072C"/>
    <w:rsid w:val="006907F1"/>
    <w:rsid w:val="00690ADB"/>
    <w:rsid w:val="00690F43"/>
    <w:rsid w:val="006911BD"/>
    <w:rsid w:val="00691967"/>
    <w:rsid w:val="00691DB2"/>
    <w:rsid w:val="00692111"/>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A0023"/>
    <w:rsid w:val="006A1014"/>
    <w:rsid w:val="006A170F"/>
    <w:rsid w:val="006A1AE8"/>
    <w:rsid w:val="006A1D43"/>
    <w:rsid w:val="006A2089"/>
    <w:rsid w:val="006A20A3"/>
    <w:rsid w:val="006A22B8"/>
    <w:rsid w:val="006A24BE"/>
    <w:rsid w:val="006A29D6"/>
    <w:rsid w:val="006A2C78"/>
    <w:rsid w:val="006A324F"/>
    <w:rsid w:val="006A3588"/>
    <w:rsid w:val="006A421D"/>
    <w:rsid w:val="006A4F0D"/>
    <w:rsid w:val="006A507D"/>
    <w:rsid w:val="006A57A3"/>
    <w:rsid w:val="006A5D7C"/>
    <w:rsid w:val="006A5E58"/>
    <w:rsid w:val="006A5EF5"/>
    <w:rsid w:val="006A6E8D"/>
    <w:rsid w:val="006A775A"/>
    <w:rsid w:val="006A7A2D"/>
    <w:rsid w:val="006B0318"/>
    <w:rsid w:val="006B036E"/>
    <w:rsid w:val="006B072E"/>
    <w:rsid w:val="006B0BD4"/>
    <w:rsid w:val="006B0E71"/>
    <w:rsid w:val="006B1633"/>
    <w:rsid w:val="006B1C06"/>
    <w:rsid w:val="006B24DE"/>
    <w:rsid w:val="006B2CA0"/>
    <w:rsid w:val="006B38AA"/>
    <w:rsid w:val="006B39C4"/>
    <w:rsid w:val="006B3C8C"/>
    <w:rsid w:val="006B4609"/>
    <w:rsid w:val="006B4C55"/>
    <w:rsid w:val="006B5897"/>
    <w:rsid w:val="006B5D7C"/>
    <w:rsid w:val="006B5FD7"/>
    <w:rsid w:val="006B605B"/>
    <w:rsid w:val="006B6210"/>
    <w:rsid w:val="006B68C1"/>
    <w:rsid w:val="006B6C97"/>
    <w:rsid w:val="006B735F"/>
    <w:rsid w:val="006B7A38"/>
    <w:rsid w:val="006C01EF"/>
    <w:rsid w:val="006C0656"/>
    <w:rsid w:val="006C0833"/>
    <w:rsid w:val="006C0B78"/>
    <w:rsid w:val="006C0EAB"/>
    <w:rsid w:val="006C11FF"/>
    <w:rsid w:val="006C14A2"/>
    <w:rsid w:val="006C1B07"/>
    <w:rsid w:val="006C1DC8"/>
    <w:rsid w:val="006C22BB"/>
    <w:rsid w:val="006C28A2"/>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7B1"/>
    <w:rsid w:val="006D6A7F"/>
    <w:rsid w:val="006D730C"/>
    <w:rsid w:val="006D7A2C"/>
    <w:rsid w:val="006D7D22"/>
    <w:rsid w:val="006D7F52"/>
    <w:rsid w:val="006E0433"/>
    <w:rsid w:val="006E0731"/>
    <w:rsid w:val="006E1930"/>
    <w:rsid w:val="006E1CA5"/>
    <w:rsid w:val="006E2D86"/>
    <w:rsid w:val="006E450D"/>
    <w:rsid w:val="006E4A13"/>
    <w:rsid w:val="006E4EDA"/>
    <w:rsid w:val="006E5707"/>
    <w:rsid w:val="006E5CEC"/>
    <w:rsid w:val="006E5EED"/>
    <w:rsid w:val="006E5FD0"/>
    <w:rsid w:val="006E623F"/>
    <w:rsid w:val="006E6636"/>
    <w:rsid w:val="006E724C"/>
    <w:rsid w:val="006E753F"/>
    <w:rsid w:val="006E75B0"/>
    <w:rsid w:val="006E7738"/>
    <w:rsid w:val="006E7A70"/>
    <w:rsid w:val="006E7F2F"/>
    <w:rsid w:val="006F088C"/>
    <w:rsid w:val="006F0FB8"/>
    <w:rsid w:val="006F129C"/>
    <w:rsid w:val="006F1465"/>
    <w:rsid w:val="006F15E6"/>
    <w:rsid w:val="006F161D"/>
    <w:rsid w:val="006F1926"/>
    <w:rsid w:val="006F1DAF"/>
    <w:rsid w:val="006F1E68"/>
    <w:rsid w:val="006F24A2"/>
    <w:rsid w:val="006F2B6B"/>
    <w:rsid w:val="006F3DE4"/>
    <w:rsid w:val="006F3FB8"/>
    <w:rsid w:val="006F412F"/>
    <w:rsid w:val="006F496B"/>
    <w:rsid w:val="006F53A6"/>
    <w:rsid w:val="006F57B9"/>
    <w:rsid w:val="006F5863"/>
    <w:rsid w:val="006F5996"/>
    <w:rsid w:val="006F5C54"/>
    <w:rsid w:val="006F5D2C"/>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610E"/>
    <w:rsid w:val="0070627F"/>
    <w:rsid w:val="007063BB"/>
    <w:rsid w:val="0070738D"/>
    <w:rsid w:val="00707439"/>
    <w:rsid w:val="00707D18"/>
    <w:rsid w:val="00707D44"/>
    <w:rsid w:val="00710389"/>
    <w:rsid w:val="00710BE1"/>
    <w:rsid w:val="00710BFC"/>
    <w:rsid w:val="00710E3C"/>
    <w:rsid w:val="007110B0"/>
    <w:rsid w:val="007112AD"/>
    <w:rsid w:val="00711524"/>
    <w:rsid w:val="00711C1D"/>
    <w:rsid w:val="007124C2"/>
    <w:rsid w:val="00712673"/>
    <w:rsid w:val="00713269"/>
    <w:rsid w:val="007132BB"/>
    <w:rsid w:val="00713E0D"/>
    <w:rsid w:val="00714108"/>
    <w:rsid w:val="00715567"/>
    <w:rsid w:val="00715BBA"/>
    <w:rsid w:val="00716213"/>
    <w:rsid w:val="007165F5"/>
    <w:rsid w:val="00716CAC"/>
    <w:rsid w:val="007170E2"/>
    <w:rsid w:val="007177DA"/>
    <w:rsid w:val="00717857"/>
    <w:rsid w:val="00717A82"/>
    <w:rsid w:val="00717AFA"/>
    <w:rsid w:val="00717C0E"/>
    <w:rsid w:val="007207EC"/>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5CF"/>
    <w:rsid w:val="0072472F"/>
    <w:rsid w:val="00724C5B"/>
    <w:rsid w:val="007256B4"/>
    <w:rsid w:val="00725716"/>
    <w:rsid w:val="00725908"/>
    <w:rsid w:val="00725974"/>
    <w:rsid w:val="00725CEE"/>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934"/>
    <w:rsid w:val="0074095E"/>
    <w:rsid w:val="00740AA1"/>
    <w:rsid w:val="00740CAB"/>
    <w:rsid w:val="00741343"/>
    <w:rsid w:val="00741773"/>
    <w:rsid w:val="00741B1C"/>
    <w:rsid w:val="00741B29"/>
    <w:rsid w:val="007426E7"/>
    <w:rsid w:val="0074284F"/>
    <w:rsid w:val="00742A7D"/>
    <w:rsid w:val="00742A8F"/>
    <w:rsid w:val="00742C30"/>
    <w:rsid w:val="007432C5"/>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1568"/>
    <w:rsid w:val="00751570"/>
    <w:rsid w:val="00752211"/>
    <w:rsid w:val="00752774"/>
    <w:rsid w:val="00752C96"/>
    <w:rsid w:val="00753A3B"/>
    <w:rsid w:val="00753B75"/>
    <w:rsid w:val="007544CB"/>
    <w:rsid w:val="00754780"/>
    <w:rsid w:val="00754BC0"/>
    <w:rsid w:val="00754E9A"/>
    <w:rsid w:val="00754FE8"/>
    <w:rsid w:val="007552A5"/>
    <w:rsid w:val="007552CD"/>
    <w:rsid w:val="0075559F"/>
    <w:rsid w:val="00755779"/>
    <w:rsid w:val="0075600E"/>
    <w:rsid w:val="0075612B"/>
    <w:rsid w:val="00756132"/>
    <w:rsid w:val="0075653F"/>
    <w:rsid w:val="0075660F"/>
    <w:rsid w:val="00756E5E"/>
    <w:rsid w:val="00757478"/>
    <w:rsid w:val="00757BD0"/>
    <w:rsid w:val="00757F11"/>
    <w:rsid w:val="00757F2A"/>
    <w:rsid w:val="007606DE"/>
    <w:rsid w:val="007608F7"/>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7BE"/>
    <w:rsid w:val="00770AC6"/>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B9F"/>
    <w:rsid w:val="00777C1B"/>
    <w:rsid w:val="00780AA2"/>
    <w:rsid w:val="00780D29"/>
    <w:rsid w:val="007816CA"/>
    <w:rsid w:val="00781F96"/>
    <w:rsid w:val="00782000"/>
    <w:rsid w:val="007823A0"/>
    <w:rsid w:val="00782807"/>
    <w:rsid w:val="007828FB"/>
    <w:rsid w:val="007829ED"/>
    <w:rsid w:val="00782A51"/>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6C0"/>
    <w:rsid w:val="007916D6"/>
    <w:rsid w:val="00792021"/>
    <w:rsid w:val="00792240"/>
    <w:rsid w:val="00792381"/>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2984"/>
    <w:rsid w:val="007A2C42"/>
    <w:rsid w:val="007A2F22"/>
    <w:rsid w:val="007A31A2"/>
    <w:rsid w:val="007A3F4A"/>
    <w:rsid w:val="007A4892"/>
    <w:rsid w:val="007A5284"/>
    <w:rsid w:val="007A59CD"/>
    <w:rsid w:val="007A6294"/>
    <w:rsid w:val="007A658E"/>
    <w:rsid w:val="007A6C9C"/>
    <w:rsid w:val="007A6FF8"/>
    <w:rsid w:val="007A7486"/>
    <w:rsid w:val="007A7939"/>
    <w:rsid w:val="007A7B4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883"/>
    <w:rsid w:val="007B5C80"/>
    <w:rsid w:val="007B5FCA"/>
    <w:rsid w:val="007B62D8"/>
    <w:rsid w:val="007B62DB"/>
    <w:rsid w:val="007B653B"/>
    <w:rsid w:val="007B65CE"/>
    <w:rsid w:val="007B680D"/>
    <w:rsid w:val="007B6CA8"/>
    <w:rsid w:val="007B79F9"/>
    <w:rsid w:val="007C018D"/>
    <w:rsid w:val="007C0355"/>
    <w:rsid w:val="007C035D"/>
    <w:rsid w:val="007C04CE"/>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E3"/>
    <w:rsid w:val="007C51DE"/>
    <w:rsid w:val="007C5291"/>
    <w:rsid w:val="007C5342"/>
    <w:rsid w:val="007C58F4"/>
    <w:rsid w:val="007C5D42"/>
    <w:rsid w:val="007C5D7D"/>
    <w:rsid w:val="007C5E6A"/>
    <w:rsid w:val="007C60AF"/>
    <w:rsid w:val="007C643A"/>
    <w:rsid w:val="007C68B6"/>
    <w:rsid w:val="007C6BB6"/>
    <w:rsid w:val="007C6D6E"/>
    <w:rsid w:val="007C73E3"/>
    <w:rsid w:val="007C78C4"/>
    <w:rsid w:val="007C79B6"/>
    <w:rsid w:val="007C7C09"/>
    <w:rsid w:val="007D017B"/>
    <w:rsid w:val="007D0439"/>
    <w:rsid w:val="007D04A2"/>
    <w:rsid w:val="007D06F8"/>
    <w:rsid w:val="007D0D86"/>
    <w:rsid w:val="007D0E88"/>
    <w:rsid w:val="007D134D"/>
    <w:rsid w:val="007D1776"/>
    <w:rsid w:val="007D1794"/>
    <w:rsid w:val="007D1832"/>
    <w:rsid w:val="007D1BB0"/>
    <w:rsid w:val="007D21D6"/>
    <w:rsid w:val="007D24C1"/>
    <w:rsid w:val="007D27BD"/>
    <w:rsid w:val="007D2884"/>
    <w:rsid w:val="007D321A"/>
    <w:rsid w:val="007D355B"/>
    <w:rsid w:val="007D36EB"/>
    <w:rsid w:val="007D3746"/>
    <w:rsid w:val="007D3906"/>
    <w:rsid w:val="007D4009"/>
    <w:rsid w:val="007D4682"/>
    <w:rsid w:val="007D48A9"/>
    <w:rsid w:val="007D4917"/>
    <w:rsid w:val="007D4E67"/>
    <w:rsid w:val="007D4E7F"/>
    <w:rsid w:val="007D59A7"/>
    <w:rsid w:val="007D5B9D"/>
    <w:rsid w:val="007D6156"/>
    <w:rsid w:val="007D615A"/>
    <w:rsid w:val="007D62C0"/>
    <w:rsid w:val="007D64C7"/>
    <w:rsid w:val="007D653A"/>
    <w:rsid w:val="007D6EDE"/>
    <w:rsid w:val="007D6FEF"/>
    <w:rsid w:val="007D7738"/>
    <w:rsid w:val="007E00D7"/>
    <w:rsid w:val="007E03E6"/>
    <w:rsid w:val="007E0438"/>
    <w:rsid w:val="007E047D"/>
    <w:rsid w:val="007E0660"/>
    <w:rsid w:val="007E0AA8"/>
    <w:rsid w:val="007E118D"/>
    <w:rsid w:val="007E16EF"/>
    <w:rsid w:val="007E17BC"/>
    <w:rsid w:val="007E1A7E"/>
    <w:rsid w:val="007E2198"/>
    <w:rsid w:val="007E23B2"/>
    <w:rsid w:val="007E278F"/>
    <w:rsid w:val="007E2DE7"/>
    <w:rsid w:val="007E305B"/>
    <w:rsid w:val="007E30AF"/>
    <w:rsid w:val="007E37CF"/>
    <w:rsid w:val="007E3C26"/>
    <w:rsid w:val="007E3E1F"/>
    <w:rsid w:val="007E4154"/>
    <w:rsid w:val="007E43CB"/>
    <w:rsid w:val="007E43FE"/>
    <w:rsid w:val="007E4BB2"/>
    <w:rsid w:val="007E4DDC"/>
    <w:rsid w:val="007E5545"/>
    <w:rsid w:val="007E5F0A"/>
    <w:rsid w:val="007E5F31"/>
    <w:rsid w:val="007E663D"/>
    <w:rsid w:val="007E673B"/>
    <w:rsid w:val="007E676A"/>
    <w:rsid w:val="007E6825"/>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E7E"/>
    <w:rsid w:val="007F29BB"/>
    <w:rsid w:val="007F2D65"/>
    <w:rsid w:val="007F33FE"/>
    <w:rsid w:val="007F369E"/>
    <w:rsid w:val="007F378C"/>
    <w:rsid w:val="007F3F43"/>
    <w:rsid w:val="007F4D65"/>
    <w:rsid w:val="007F51AA"/>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1275"/>
    <w:rsid w:val="00801C06"/>
    <w:rsid w:val="00801CD7"/>
    <w:rsid w:val="008029E5"/>
    <w:rsid w:val="00802C88"/>
    <w:rsid w:val="00803235"/>
    <w:rsid w:val="0080352A"/>
    <w:rsid w:val="00803545"/>
    <w:rsid w:val="00803619"/>
    <w:rsid w:val="008039EF"/>
    <w:rsid w:val="00803E20"/>
    <w:rsid w:val="008047AA"/>
    <w:rsid w:val="0080666C"/>
    <w:rsid w:val="0080699B"/>
    <w:rsid w:val="00806B1D"/>
    <w:rsid w:val="00806B93"/>
    <w:rsid w:val="00806DAA"/>
    <w:rsid w:val="00806EBC"/>
    <w:rsid w:val="00807766"/>
    <w:rsid w:val="00807E2C"/>
    <w:rsid w:val="00810CDE"/>
    <w:rsid w:val="00810D05"/>
    <w:rsid w:val="008116F7"/>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E2F"/>
    <w:rsid w:val="008226BE"/>
    <w:rsid w:val="00822CA8"/>
    <w:rsid w:val="008231A4"/>
    <w:rsid w:val="008233EE"/>
    <w:rsid w:val="008244F7"/>
    <w:rsid w:val="008248B4"/>
    <w:rsid w:val="00824B15"/>
    <w:rsid w:val="00824C96"/>
    <w:rsid w:val="008253B0"/>
    <w:rsid w:val="008253DB"/>
    <w:rsid w:val="00825578"/>
    <w:rsid w:val="008255EC"/>
    <w:rsid w:val="008259CC"/>
    <w:rsid w:val="00825A11"/>
    <w:rsid w:val="00825E0A"/>
    <w:rsid w:val="00826011"/>
    <w:rsid w:val="008263B4"/>
    <w:rsid w:val="008265E2"/>
    <w:rsid w:val="00826B8E"/>
    <w:rsid w:val="00827387"/>
    <w:rsid w:val="00827589"/>
    <w:rsid w:val="00827724"/>
    <w:rsid w:val="008278FA"/>
    <w:rsid w:val="008305F2"/>
    <w:rsid w:val="00830A7C"/>
    <w:rsid w:val="0083147E"/>
    <w:rsid w:val="008317F7"/>
    <w:rsid w:val="00831AE1"/>
    <w:rsid w:val="00831BBC"/>
    <w:rsid w:val="00831EB6"/>
    <w:rsid w:val="00832365"/>
    <w:rsid w:val="00832ACA"/>
    <w:rsid w:val="00832E64"/>
    <w:rsid w:val="0083325A"/>
    <w:rsid w:val="00833604"/>
    <w:rsid w:val="00833718"/>
    <w:rsid w:val="0083380D"/>
    <w:rsid w:val="00833962"/>
    <w:rsid w:val="00833F02"/>
    <w:rsid w:val="00833F59"/>
    <w:rsid w:val="00834023"/>
    <w:rsid w:val="00834077"/>
    <w:rsid w:val="008340CB"/>
    <w:rsid w:val="00834617"/>
    <w:rsid w:val="008347C3"/>
    <w:rsid w:val="00834D3A"/>
    <w:rsid w:val="00834F4C"/>
    <w:rsid w:val="00835255"/>
    <w:rsid w:val="00835256"/>
    <w:rsid w:val="0083529F"/>
    <w:rsid w:val="0083572F"/>
    <w:rsid w:val="008357A5"/>
    <w:rsid w:val="00835836"/>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56B"/>
    <w:rsid w:val="0085261A"/>
    <w:rsid w:val="008527A1"/>
    <w:rsid w:val="00852F2A"/>
    <w:rsid w:val="00853300"/>
    <w:rsid w:val="008535B4"/>
    <w:rsid w:val="00853871"/>
    <w:rsid w:val="008539EF"/>
    <w:rsid w:val="00853EC1"/>
    <w:rsid w:val="008548D3"/>
    <w:rsid w:val="00854AC7"/>
    <w:rsid w:val="00854F0D"/>
    <w:rsid w:val="00854FBC"/>
    <w:rsid w:val="00855834"/>
    <w:rsid w:val="00855DF6"/>
    <w:rsid w:val="008560BF"/>
    <w:rsid w:val="0085638F"/>
    <w:rsid w:val="0085677B"/>
    <w:rsid w:val="008568AC"/>
    <w:rsid w:val="00856E8A"/>
    <w:rsid w:val="00857208"/>
    <w:rsid w:val="00857508"/>
    <w:rsid w:val="008578D3"/>
    <w:rsid w:val="00860B52"/>
    <w:rsid w:val="00860E68"/>
    <w:rsid w:val="00860F68"/>
    <w:rsid w:val="00861A32"/>
    <w:rsid w:val="008628A2"/>
    <w:rsid w:val="008628E2"/>
    <w:rsid w:val="00862A22"/>
    <w:rsid w:val="00862DBD"/>
    <w:rsid w:val="008630C3"/>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25B"/>
    <w:rsid w:val="008838C6"/>
    <w:rsid w:val="00883F2E"/>
    <w:rsid w:val="0088415D"/>
    <w:rsid w:val="00884583"/>
    <w:rsid w:val="00884609"/>
    <w:rsid w:val="00884AC4"/>
    <w:rsid w:val="00884F73"/>
    <w:rsid w:val="008850E6"/>
    <w:rsid w:val="00885C2B"/>
    <w:rsid w:val="00886034"/>
    <w:rsid w:val="00886129"/>
    <w:rsid w:val="0088699E"/>
    <w:rsid w:val="00886A65"/>
    <w:rsid w:val="0088708E"/>
    <w:rsid w:val="00891124"/>
    <w:rsid w:val="0089125A"/>
    <w:rsid w:val="008914F7"/>
    <w:rsid w:val="00891A6F"/>
    <w:rsid w:val="00891BD4"/>
    <w:rsid w:val="00891C62"/>
    <w:rsid w:val="00891E3E"/>
    <w:rsid w:val="0089216C"/>
    <w:rsid w:val="00892512"/>
    <w:rsid w:val="008925AF"/>
    <w:rsid w:val="00892CB0"/>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3DB"/>
    <w:rsid w:val="008964F9"/>
    <w:rsid w:val="008966E5"/>
    <w:rsid w:val="00896858"/>
    <w:rsid w:val="00896A96"/>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E2C"/>
    <w:rsid w:val="008B652E"/>
    <w:rsid w:val="008B66E7"/>
    <w:rsid w:val="008B6702"/>
    <w:rsid w:val="008B6E6C"/>
    <w:rsid w:val="008B6EC9"/>
    <w:rsid w:val="008B7154"/>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E2A"/>
    <w:rsid w:val="008C4329"/>
    <w:rsid w:val="008C43E6"/>
    <w:rsid w:val="008C5026"/>
    <w:rsid w:val="008C5307"/>
    <w:rsid w:val="008C5786"/>
    <w:rsid w:val="008C5D70"/>
    <w:rsid w:val="008C696A"/>
    <w:rsid w:val="008C6BE4"/>
    <w:rsid w:val="008C6CAD"/>
    <w:rsid w:val="008C6F6C"/>
    <w:rsid w:val="008C753A"/>
    <w:rsid w:val="008D0127"/>
    <w:rsid w:val="008D05CD"/>
    <w:rsid w:val="008D12EC"/>
    <w:rsid w:val="008D1993"/>
    <w:rsid w:val="008D1E06"/>
    <w:rsid w:val="008D2514"/>
    <w:rsid w:val="008D2A86"/>
    <w:rsid w:val="008D2C7F"/>
    <w:rsid w:val="008D38A2"/>
    <w:rsid w:val="008D3920"/>
    <w:rsid w:val="008D3EA1"/>
    <w:rsid w:val="008D420E"/>
    <w:rsid w:val="008D426E"/>
    <w:rsid w:val="008D4444"/>
    <w:rsid w:val="008D490D"/>
    <w:rsid w:val="008D4A68"/>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D89"/>
    <w:rsid w:val="008E3F78"/>
    <w:rsid w:val="008E4572"/>
    <w:rsid w:val="008E4733"/>
    <w:rsid w:val="008E4E0B"/>
    <w:rsid w:val="008E54B1"/>
    <w:rsid w:val="008E5826"/>
    <w:rsid w:val="008E5AF6"/>
    <w:rsid w:val="008E5E2C"/>
    <w:rsid w:val="008E5F3C"/>
    <w:rsid w:val="008E672B"/>
    <w:rsid w:val="008E68D8"/>
    <w:rsid w:val="008E6A94"/>
    <w:rsid w:val="008E6B11"/>
    <w:rsid w:val="008E7087"/>
    <w:rsid w:val="008E72C5"/>
    <w:rsid w:val="008E7BEF"/>
    <w:rsid w:val="008E7C04"/>
    <w:rsid w:val="008F08C6"/>
    <w:rsid w:val="008F119E"/>
    <w:rsid w:val="008F13B1"/>
    <w:rsid w:val="008F1572"/>
    <w:rsid w:val="008F1EDA"/>
    <w:rsid w:val="008F1F5C"/>
    <w:rsid w:val="008F1F87"/>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A89"/>
    <w:rsid w:val="00900FC4"/>
    <w:rsid w:val="0090136C"/>
    <w:rsid w:val="009016A0"/>
    <w:rsid w:val="009016FD"/>
    <w:rsid w:val="0090197C"/>
    <w:rsid w:val="00901B8C"/>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231C"/>
    <w:rsid w:val="00922341"/>
    <w:rsid w:val="00922676"/>
    <w:rsid w:val="00922736"/>
    <w:rsid w:val="0092279A"/>
    <w:rsid w:val="009229B6"/>
    <w:rsid w:val="00922BEF"/>
    <w:rsid w:val="00923134"/>
    <w:rsid w:val="00923239"/>
    <w:rsid w:val="00923280"/>
    <w:rsid w:val="0092393F"/>
    <w:rsid w:val="00923A4E"/>
    <w:rsid w:val="00923C58"/>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BEE"/>
    <w:rsid w:val="00927D10"/>
    <w:rsid w:val="00930697"/>
    <w:rsid w:val="00930A2D"/>
    <w:rsid w:val="0093193D"/>
    <w:rsid w:val="00931FF8"/>
    <w:rsid w:val="00932359"/>
    <w:rsid w:val="00932DBD"/>
    <w:rsid w:val="00932FC2"/>
    <w:rsid w:val="00933350"/>
    <w:rsid w:val="0093358E"/>
    <w:rsid w:val="00933970"/>
    <w:rsid w:val="00934108"/>
    <w:rsid w:val="0093418F"/>
    <w:rsid w:val="009341C7"/>
    <w:rsid w:val="00934290"/>
    <w:rsid w:val="00934295"/>
    <w:rsid w:val="00934790"/>
    <w:rsid w:val="00934948"/>
    <w:rsid w:val="00934957"/>
    <w:rsid w:val="00934B1C"/>
    <w:rsid w:val="00934B35"/>
    <w:rsid w:val="00935336"/>
    <w:rsid w:val="00935898"/>
    <w:rsid w:val="00935E83"/>
    <w:rsid w:val="00935E9D"/>
    <w:rsid w:val="00936936"/>
    <w:rsid w:val="00936CD0"/>
    <w:rsid w:val="00937216"/>
    <w:rsid w:val="00937516"/>
    <w:rsid w:val="00937B10"/>
    <w:rsid w:val="00937E4A"/>
    <w:rsid w:val="00937E7E"/>
    <w:rsid w:val="00937F85"/>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DF"/>
    <w:rsid w:val="00943659"/>
    <w:rsid w:val="0094369A"/>
    <w:rsid w:val="00943C82"/>
    <w:rsid w:val="00944904"/>
    <w:rsid w:val="00944A9B"/>
    <w:rsid w:val="00944D9E"/>
    <w:rsid w:val="00944F0E"/>
    <w:rsid w:val="00944FCC"/>
    <w:rsid w:val="00945415"/>
    <w:rsid w:val="009457BC"/>
    <w:rsid w:val="00945876"/>
    <w:rsid w:val="00945C8F"/>
    <w:rsid w:val="00945E13"/>
    <w:rsid w:val="00946595"/>
    <w:rsid w:val="00946B8B"/>
    <w:rsid w:val="00946EEC"/>
    <w:rsid w:val="0094726D"/>
    <w:rsid w:val="00947514"/>
    <w:rsid w:val="00947593"/>
    <w:rsid w:val="009475A5"/>
    <w:rsid w:val="00947B13"/>
    <w:rsid w:val="0095017D"/>
    <w:rsid w:val="00950806"/>
    <w:rsid w:val="00951BC3"/>
    <w:rsid w:val="009529E2"/>
    <w:rsid w:val="00952C06"/>
    <w:rsid w:val="00952FB6"/>
    <w:rsid w:val="009532B6"/>
    <w:rsid w:val="009538B0"/>
    <w:rsid w:val="00953F2A"/>
    <w:rsid w:val="00953FF8"/>
    <w:rsid w:val="0095403D"/>
    <w:rsid w:val="0095414F"/>
    <w:rsid w:val="0095454C"/>
    <w:rsid w:val="0095456D"/>
    <w:rsid w:val="00954583"/>
    <w:rsid w:val="0095497C"/>
    <w:rsid w:val="009550DE"/>
    <w:rsid w:val="009552A6"/>
    <w:rsid w:val="0095540B"/>
    <w:rsid w:val="00955536"/>
    <w:rsid w:val="009555DB"/>
    <w:rsid w:val="00955AA5"/>
    <w:rsid w:val="00955C70"/>
    <w:rsid w:val="00955E9E"/>
    <w:rsid w:val="00956460"/>
    <w:rsid w:val="009566D7"/>
    <w:rsid w:val="00956AA6"/>
    <w:rsid w:val="00956D8B"/>
    <w:rsid w:val="00956DA2"/>
    <w:rsid w:val="0095714E"/>
    <w:rsid w:val="00957990"/>
    <w:rsid w:val="00957ACA"/>
    <w:rsid w:val="00957C18"/>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406E"/>
    <w:rsid w:val="00964694"/>
    <w:rsid w:val="009646F0"/>
    <w:rsid w:val="0096501A"/>
    <w:rsid w:val="009651E7"/>
    <w:rsid w:val="009655C0"/>
    <w:rsid w:val="00965F63"/>
    <w:rsid w:val="00966654"/>
    <w:rsid w:val="009668DF"/>
    <w:rsid w:val="00966BDE"/>
    <w:rsid w:val="00966BE0"/>
    <w:rsid w:val="00966C3E"/>
    <w:rsid w:val="009670C6"/>
    <w:rsid w:val="0096732F"/>
    <w:rsid w:val="00967874"/>
    <w:rsid w:val="00967E6B"/>
    <w:rsid w:val="00967F0F"/>
    <w:rsid w:val="00967F29"/>
    <w:rsid w:val="00970457"/>
    <w:rsid w:val="00970AD7"/>
    <w:rsid w:val="009713EB"/>
    <w:rsid w:val="00971A69"/>
    <w:rsid w:val="00971C28"/>
    <w:rsid w:val="009732AD"/>
    <w:rsid w:val="009732DD"/>
    <w:rsid w:val="009737FB"/>
    <w:rsid w:val="0097395D"/>
    <w:rsid w:val="00974087"/>
    <w:rsid w:val="0097477A"/>
    <w:rsid w:val="009748BC"/>
    <w:rsid w:val="0097496D"/>
    <w:rsid w:val="00974998"/>
    <w:rsid w:val="00974DF1"/>
    <w:rsid w:val="009762CC"/>
    <w:rsid w:val="00976669"/>
    <w:rsid w:val="00976DBA"/>
    <w:rsid w:val="00976F51"/>
    <w:rsid w:val="009777FC"/>
    <w:rsid w:val="00977858"/>
    <w:rsid w:val="00980A43"/>
    <w:rsid w:val="00980FD3"/>
    <w:rsid w:val="00981576"/>
    <w:rsid w:val="009825EE"/>
    <w:rsid w:val="00982D41"/>
    <w:rsid w:val="0098318B"/>
    <w:rsid w:val="009837C5"/>
    <w:rsid w:val="00983B7B"/>
    <w:rsid w:val="00983ED6"/>
    <w:rsid w:val="00984187"/>
    <w:rsid w:val="009844CA"/>
    <w:rsid w:val="00984659"/>
    <w:rsid w:val="00984B39"/>
    <w:rsid w:val="00984CA0"/>
    <w:rsid w:val="00985366"/>
    <w:rsid w:val="00985853"/>
    <w:rsid w:val="0098592D"/>
    <w:rsid w:val="00985992"/>
    <w:rsid w:val="00985A65"/>
    <w:rsid w:val="00986570"/>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46"/>
    <w:rsid w:val="009A3539"/>
    <w:rsid w:val="009A3ADC"/>
    <w:rsid w:val="009A3B87"/>
    <w:rsid w:val="009A4002"/>
    <w:rsid w:val="009A44D1"/>
    <w:rsid w:val="009A4845"/>
    <w:rsid w:val="009A5440"/>
    <w:rsid w:val="009A5712"/>
    <w:rsid w:val="009A5FE8"/>
    <w:rsid w:val="009A62D8"/>
    <w:rsid w:val="009A68D3"/>
    <w:rsid w:val="009A7172"/>
    <w:rsid w:val="009A766B"/>
    <w:rsid w:val="009A7930"/>
    <w:rsid w:val="009B0092"/>
    <w:rsid w:val="009B035F"/>
    <w:rsid w:val="009B056E"/>
    <w:rsid w:val="009B05AD"/>
    <w:rsid w:val="009B063E"/>
    <w:rsid w:val="009B0FB5"/>
    <w:rsid w:val="009B0FE0"/>
    <w:rsid w:val="009B17EB"/>
    <w:rsid w:val="009B191C"/>
    <w:rsid w:val="009B1AB5"/>
    <w:rsid w:val="009B1B80"/>
    <w:rsid w:val="009B1C9E"/>
    <w:rsid w:val="009B1D43"/>
    <w:rsid w:val="009B209D"/>
    <w:rsid w:val="009B20D8"/>
    <w:rsid w:val="009B25F9"/>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A2C"/>
    <w:rsid w:val="009C2A51"/>
    <w:rsid w:val="009C2B52"/>
    <w:rsid w:val="009C2CA2"/>
    <w:rsid w:val="009C2EE2"/>
    <w:rsid w:val="009C338C"/>
    <w:rsid w:val="009C4301"/>
    <w:rsid w:val="009C4E16"/>
    <w:rsid w:val="009C5330"/>
    <w:rsid w:val="009C5A79"/>
    <w:rsid w:val="009C5AAE"/>
    <w:rsid w:val="009C6589"/>
    <w:rsid w:val="009C66A5"/>
    <w:rsid w:val="009C6C97"/>
    <w:rsid w:val="009C6C99"/>
    <w:rsid w:val="009D08E8"/>
    <w:rsid w:val="009D0C22"/>
    <w:rsid w:val="009D0E8F"/>
    <w:rsid w:val="009D14BE"/>
    <w:rsid w:val="009D1637"/>
    <w:rsid w:val="009D2071"/>
    <w:rsid w:val="009D2096"/>
    <w:rsid w:val="009D21A0"/>
    <w:rsid w:val="009D243D"/>
    <w:rsid w:val="009D268E"/>
    <w:rsid w:val="009D26A8"/>
    <w:rsid w:val="009D2831"/>
    <w:rsid w:val="009D2857"/>
    <w:rsid w:val="009D2E1A"/>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7D61"/>
    <w:rsid w:val="009D7EDA"/>
    <w:rsid w:val="009D7F1E"/>
    <w:rsid w:val="009E0D48"/>
    <w:rsid w:val="009E106A"/>
    <w:rsid w:val="009E150D"/>
    <w:rsid w:val="009E1F0F"/>
    <w:rsid w:val="009E1F57"/>
    <w:rsid w:val="009E1F78"/>
    <w:rsid w:val="009E26F4"/>
    <w:rsid w:val="009E2D81"/>
    <w:rsid w:val="009E2E0E"/>
    <w:rsid w:val="009E326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58"/>
    <w:rsid w:val="009E6DD0"/>
    <w:rsid w:val="009E6DDE"/>
    <w:rsid w:val="009E712F"/>
    <w:rsid w:val="009E720F"/>
    <w:rsid w:val="009E78FC"/>
    <w:rsid w:val="009E792C"/>
    <w:rsid w:val="009E793F"/>
    <w:rsid w:val="009E7EF3"/>
    <w:rsid w:val="009F0086"/>
    <w:rsid w:val="009F0314"/>
    <w:rsid w:val="009F03BA"/>
    <w:rsid w:val="009F06CC"/>
    <w:rsid w:val="009F07A4"/>
    <w:rsid w:val="009F091F"/>
    <w:rsid w:val="009F0F47"/>
    <w:rsid w:val="009F11AB"/>
    <w:rsid w:val="009F1573"/>
    <w:rsid w:val="009F166B"/>
    <w:rsid w:val="009F1919"/>
    <w:rsid w:val="009F1972"/>
    <w:rsid w:val="009F1A87"/>
    <w:rsid w:val="009F1B38"/>
    <w:rsid w:val="009F2258"/>
    <w:rsid w:val="009F262F"/>
    <w:rsid w:val="009F2CA2"/>
    <w:rsid w:val="009F3590"/>
    <w:rsid w:val="009F383D"/>
    <w:rsid w:val="009F3851"/>
    <w:rsid w:val="009F44D4"/>
    <w:rsid w:val="009F4667"/>
    <w:rsid w:val="009F4923"/>
    <w:rsid w:val="009F4935"/>
    <w:rsid w:val="009F4B2B"/>
    <w:rsid w:val="009F4BAB"/>
    <w:rsid w:val="009F4C03"/>
    <w:rsid w:val="009F516E"/>
    <w:rsid w:val="009F5231"/>
    <w:rsid w:val="009F606D"/>
    <w:rsid w:val="009F60C4"/>
    <w:rsid w:val="009F61F0"/>
    <w:rsid w:val="009F6251"/>
    <w:rsid w:val="009F6257"/>
    <w:rsid w:val="009F6588"/>
    <w:rsid w:val="009F66D6"/>
    <w:rsid w:val="009F6705"/>
    <w:rsid w:val="009F6757"/>
    <w:rsid w:val="009F7679"/>
    <w:rsid w:val="009F78D4"/>
    <w:rsid w:val="009F7C62"/>
    <w:rsid w:val="00A002EC"/>
    <w:rsid w:val="00A004BC"/>
    <w:rsid w:val="00A00633"/>
    <w:rsid w:val="00A00802"/>
    <w:rsid w:val="00A00818"/>
    <w:rsid w:val="00A00E44"/>
    <w:rsid w:val="00A00F42"/>
    <w:rsid w:val="00A00F57"/>
    <w:rsid w:val="00A0157B"/>
    <w:rsid w:val="00A02890"/>
    <w:rsid w:val="00A02999"/>
    <w:rsid w:val="00A029CB"/>
    <w:rsid w:val="00A02A3B"/>
    <w:rsid w:val="00A02AA8"/>
    <w:rsid w:val="00A02EE3"/>
    <w:rsid w:val="00A031DD"/>
    <w:rsid w:val="00A04565"/>
    <w:rsid w:val="00A046AB"/>
    <w:rsid w:val="00A04EA5"/>
    <w:rsid w:val="00A0508B"/>
    <w:rsid w:val="00A053F6"/>
    <w:rsid w:val="00A05646"/>
    <w:rsid w:val="00A05AAC"/>
    <w:rsid w:val="00A06421"/>
    <w:rsid w:val="00A06B99"/>
    <w:rsid w:val="00A06C53"/>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E34"/>
    <w:rsid w:val="00A21310"/>
    <w:rsid w:val="00A2178B"/>
    <w:rsid w:val="00A21BCE"/>
    <w:rsid w:val="00A21FD5"/>
    <w:rsid w:val="00A22203"/>
    <w:rsid w:val="00A22303"/>
    <w:rsid w:val="00A2237F"/>
    <w:rsid w:val="00A22495"/>
    <w:rsid w:val="00A2254E"/>
    <w:rsid w:val="00A2307C"/>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F6C"/>
    <w:rsid w:val="00A32281"/>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4F7"/>
    <w:rsid w:val="00A37B20"/>
    <w:rsid w:val="00A402A5"/>
    <w:rsid w:val="00A4064D"/>
    <w:rsid w:val="00A40AAD"/>
    <w:rsid w:val="00A40BD5"/>
    <w:rsid w:val="00A40BFA"/>
    <w:rsid w:val="00A41121"/>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6B"/>
    <w:rsid w:val="00A5438D"/>
    <w:rsid w:val="00A54718"/>
    <w:rsid w:val="00A54E14"/>
    <w:rsid w:val="00A55256"/>
    <w:rsid w:val="00A55288"/>
    <w:rsid w:val="00A553BD"/>
    <w:rsid w:val="00A55AB1"/>
    <w:rsid w:val="00A55CA5"/>
    <w:rsid w:val="00A563AE"/>
    <w:rsid w:val="00A56B15"/>
    <w:rsid w:val="00A56DF5"/>
    <w:rsid w:val="00A573FF"/>
    <w:rsid w:val="00A577CD"/>
    <w:rsid w:val="00A57A45"/>
    <w:rsid w:val="00A57A94"/>
    <w:rsid w:val="00A57BD8"/>
    <w:rsid w:val="00A61661"/>
    <w:rsid w:val="00A616A1"/>
    <w:rsid w:val="00A6172E"/>
    <w:rsid w:val="00A61E74"/>
    <w:rsid w:val="00A6200E"/>
    <w:rsid w:val="00A6221B"/>
    <w:rsid w:val="00A62627"/>
    <w:rsid w:val="00A62B1F"/>
    <w:rsid w:val="00A62DDD"/>
    <w:rsid w:val="00A6310A"/>
    <w:rsid w:val="00A6339C"/>
    <w:rsid w:val="00A63D68"/>
    <w:rsid w:val="00A64223"/>
    <w:rsid w:val="00A643DB"/>
    <w:rsid w:val="00A650F2"/>
    <w:rsid w:val="00A652FA"/>
    <w:rsid w:val="00A655C4"/>
    <w:rsid w:val="00A65653"/>
    <w:rsid w:val="00A66413"/>
    <w:rsid w:val="00A66758"/>
    <w:rsid w:val="00A672C6"/>
    <w:rsid w:val="00A672FE"/>
    <w:rsid w:val="00A675C5"/>
    <w:rsid w:val="00A67768"/>
    <w:rsid w:val="00A679A1"/>
    <w:rsid w:val="00A67D58"/>
    <w:rsid w:val="00A7035F"/>
    <w:rsid w:val="00A703EB"/>
    <w:rsid w:val="00A70AFE"/>
    <w:rsid w:val="00A718D9"/>
    <w:rsid w:val="00A7197B"/>
    <w:rsid w:val="00A71A58"/>
    <w:rsid w:val="00A71F34"/>
    <w:rsid w:val="00A71FCA"/>
    <w:rsid w:val="00A722C4"/>
    <w:rsid w:val="00A7281B"/>
    <w:rsid w:val="00A732EC"/>
    <w:rsid w:val="00A738AD"/>
    <w:rsid w:val="00A73AE4"/>
    <w:rsid w:val="00A73D67"/>
    <w:rsid w:val="00A741A6"/>
    <w:rsid w:val="00A74510"/>
    <w:rsid w:val="00A745A6"/>
    <w:rsid w:val="00A749BE"/>
    <w:rsid w:val="00A74C13"/>
    <w:rsid w:val="00A74F08"/>
    <w:rsid w:val="00A751FB"/>
    <w:rsid w:val="00A76022"/>
    <w:rsid w:val="00A76A9C"/>
    <w:rsid w:val="00A76D57"/>
    <w:rsid w:val="00A76F58"/>
    <w:rsid w:val="00A77424"/>
    <w:rsid w:val="00A7750E"/>
    <w:rsid w:val="00A77970"/>
    <w:rsid w:val="00A8006A"/>
    <w:rsid w:val="00A802E6"/>
    <w:rsid w:val="00A80413"/>
    <w:rsid w:val="00A80B8B"/>
    <w:rsid w:val="00A80DE0"/>
    <w:rsid w:val="00A812E7"/>
    <w:rsid w:val="00A81A5A"/>
    <w:rsid w:val="00A81D5C"/>
    <w:rsid w:val="00A81E8B"/>
    <w:rsid w:val="00A81F5F"/>
    <w:rsid w:val="00A820BB"/>
    <w:rsid w:val="00A8214A"/>
    <w:rsid w:val="00A8286D"/>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336"/>
    <w:rsid w:val="00A8582E"/>
    <w:rsid w:val="00A85A0A"/>
    <w:rsid w:val="00A86074"/>
    <w:rsid w:val="00A8617D"/>
    <w:rsid w:val="00A861D1"/>
    <w:rsid w:val="00A8636E"/>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14CF"/>
    <w:rsid w:val="00A9156C"/>
    <w:rsid w:val="00A92239"/>
    <w:rsid w:val="00A92721"/>
    <w:rsid w:val="00A92952"/>
    <w:rsid w:val="00A92BCC"/>
    <w:rsid w:val="00A92F79"/>
    <w:rsid w:val="00A933A3"/>
    <w:rsid w:val="00A934C0"/>
    <w:rsid w:val="00A934CF"/>
    <w:rsid w:val="00A93A47"/>
    <w:rsid w:val="00A93B25"/>
    <w:rsid w:val="00A93D33"/>
    <w:rsid w:val="00A947D3"/>
    <w:rsid w:val="00A94CFA"/>
    <w:rsid w:val="00A957F6"/>
    <w:rsid w:val="00A9634A"/>
    <w:rsid w:val="00A968AF"/>
    <w:rsid w:val="00A968B0"/>
    <w:rsid w:val="00A973C6"/>
    <w:rsid w:val="00A97610"/>
    <w:rsid w:val="00A97D3E"/>
    <w:rsid w:val="00AA0C69"/>
    <w:rsid w:val="00AA0FAA"/>
    <w:rsid w:val="00AA0FB5"/>
    <w:rsid w:val="00AA10BF"/>
    <w:rsid w:val="00AA143C"/>
    <w:rsid w:val="00AA1613"/>
    <w:rsid w:val="00AA1F7F"/>
    <w:rsid w:val="00AA209F"/>
    <w:rsid w:val="00AA2DFD"/>
    <w:rsid w:val="00AA33BE"/>
    <w:rsid w:val="00AA375C"/>
    <w:rsid w:val="00AA45C2"/>
    <w:rsid w:val="00AA49D4"/>
    <w:rsid w:val="00AA4D18"/>
    <w:rsid w:val="00AA585C"/>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88A"/>
    <w:rsid w:val="00AB28A0"/>
    <w:rsid w:val="00AB28E1"/>
    <w:rsid w:val="00AB29B9"/>
    <w:rsid w:val="00AB33DD"/>
    <w:rsid w:val="00AB3953"/>
    <w:rsid w:val="00AB3963"/>
    <w:rsid w:val="00AB3CD3"/>
    <w:rsid w:val="00AB3D06"/>
    <w:rsid w:val="00AB3EB5"/>
    <w:rsid w:val="00AB4060"/>
    <w:rsid w:val="00AB4649"/>
    <w:rsid w:val="00AB47AC"/>
    <w:rsid w:val="00AB4D4D"/>
    <w:rsid w:val="00AB512C"/>
    <w:rsid w:val="00AB522D"/>
    <w:rsid w:val="00AB55FC"/>
    <w:rsid w:val="00AB5832"/>
    <w:rsid w:val="00AB5C9A"/>
    <w:rsid w:val="00AB6081"/>
    <w:rsid w:val="00AB66C0"/>
    <w:rsid w:val="00AB67B5"/>
    <w:rsid w:val="00AB6801"/>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FCF"/>
    <w:rsid w:val="00AC60FC"/>
    <w:rsid w:val="00AC6504"/>
    <w:rsid w:val="00AC6623"/>
    <w:rsid w:val="00AC672D"/>
    <w:rsid w:val="00AC6930"/>
    <w:rsid w:val="00AC6F80"/>
    <w:rsid w:val="00AC7140"/>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5009"/>
    <w:rsid w:val="00AD519D"/>
    <w:rsid w:val="00AD556D"/>
    <w:rsid w:val="00AD5ACF"/>
    <w:rsid w:val="00AD62D6"/>
    <w:rsid w:val="00AD644B"/>
    <w:rsid w:val="00AD6612"/>
    <w:rsid w:val="00AD67BE"/>
    <w:rsid w:val="00AD7104"/>
    <w:rsid w:val="00AD7143"/>
    <w:rsid w:val="00AD77D9"/>
    <w:rsid w:val="00AD7E8D"/>
    <w:rsid w:val="00AE041E"/>
    <w:rsid w:val="00AE0EBA"/>
    <w:rsid w:val="00AE10EA"/>
    <w:rsid w:val="00AE11F6"/>
    <w:rsid w:val="00AE144A"/>
    <w:rsid w:val="00AE171F"/>
    <w:rsid w:val="00AE1845"/>
    <w:rsid w:val="00AE1C99"/>
    <w:rsid w:val="00AE2480"/>
    <w:rsid w:val="00AE24E6"/>
    <w:rsid w:val="00AE260F"/>
    <w:rsid w:val="00AE3633"/>
    <w:rsid w:val="00AE3A10"/>
    <w:rsid w:val="00AE3A2D"/>
    <w:rsid w:val="00AE3BA4"/>
    <w:rsid w:val="00AE3E9E"/>
    <w:rsid w:val="00AE4358"/>
    <w:rsid w:val="00AE4400"/>
    <w:rsid w:val="00AE4535"/>
    <w:rsid w:val="00AE461A"/>
    <w:rsid w:val="00AE4700"/>
    <w:rsid w:val="00AE48A7"/>
    <w:rsid w:val="00AE4CDD"/>
    <w:rsid w:val="00AE50B4"/>
    <w:rsid w:val="00AE5288"/>
    <w:rsid w:val="00AE6290"/>
    <w:rsid w:val="00AE6337"/>
    <w:rsid w:val="00AE65B3"/>
    <w:rsid w:val="00AE6766"/>
    <w:rsid w:val="00AE6A45"/>
    <w:rsid w:val="00AE6CC7"/>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949"/>
    <w:rsid w:val="00AF2A5F"/>
    <w:rsid w:val="00AF2A64"/>
    <w:rsid w:val="00AF590D"/>
    <w:rsid w:val="00AF5D20"/>
    <w:rsid w:val="00AF5D27"/>
    <w:rsid w:val="00AF642D"/>
    <w:rsid w:val="00AF64D8"/>
    <w:rsid w:val="00AF68F3"/>
    <w:rsid w:val="00AF6A5C"/>
    <w:rsid w:val="00AF6C61"/>
    <w:rsid w:val="00AF6E0A"/>
    <w:rsid w:val="00AF6F96"/>
    <w:rsid w:val="00AF742A"/>
    <w:rsid w:val="00AF7830"/>
    <w:rsid w:val="00AF786D"/>
    <w:rsid w:val="00B00546"/>
    <w:rsid w:val="00B005BA"/>
    <w:rsid w:val="00B0084D"/>
    <w:rsid w:val="00B00A13"/>
    <w:rsid w:val="00B00E25"/>
    <w:rsid w:val="00B01470"/>
    <w:rsid w:val="00B01944"/>
    <w:rsid w:val="00B01A4B"/>
    <w:rsid w:val="00B01C04"/>
    <w:rsid w:val="00B01CEF"/>
    <w:rsid w:val="00B02440"/>
    <w:rsid w:val="00B03135"/>
    <w:rsid w:val="00B038A4"/>
    <w:rsid w:val="00B03CF9"/>
    <w:rsid w:val="00B043DC"/>
    <w:rsid w:val="00B046A6"/>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748"/>
    <w:rsid w:val="00B21B41"/>
    <w:rsid w:val="00B21F3E"/>
    <w:rsid w:val="00B220C3"/>
    <w:rsid w:val="00B2315C"/>
    <w:rsid w:val="00B233AC"/>
    <w:rsid w:val="00B24A87"/>
    <w:rsid w:val="00B24C2F"/>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560"/>
    <w:rsid w:val="00B32810"/>
    <w:rsid w:val="00B33344"/>
    <w:rsid w:val="00B334F7"/>
    <w:rsid w:val="00B33692"/>
    <w:rsid w:val="00B33C0A"/>
    <w:rsid w:val="00B33D53"/>
    <w:rsid w:val="00B33E09"/>
    <w:rsid w:val="00B34287"/>
    <w:rsid w:val="00B342E2"/>
    <w:rsid w:val="00B34469"/>
    <w:rsid w:val="00B34CA1"/>
    <w:rsid w:val="00B34DEB"/>
    <w:rsid w:val="00B352F0"/>
    <w:rsid w:val="00B3531E"/>
    <w:rsid w:val="00B3552C"/>
    <w:rsid w:val="00B35B1E"/>
    <w:rsid w:val="00B35D23"/>
    <w:rsid w:val="00B36456"/>
    <w:rsid w:val="00B364AF"/>
    <w:rsid w:val="00B36D73"/>
    <w:rsid w:val="00B36D7D"/>
    <w:rsid w:val="00B37AC8"/>
    <w:rsid w:val="00B37B73"/>
    <w:rsid w:val="00B37BAC"/>
    <w:rsid w:val="00B37BD2"/>
    <w:rsid w:val="00B37CAF"/>
    <w:rsid w:val="00B37E0F"/>
    <w:rsid w:val="00B37FA4"/>
    <w:rsid w:val="00B40348"/>
    <w:rsid w:val="00B405BD"/>
    <w:rsid w:val="00B41391"/>
    <w:rsid w:val="00B41470"/>
    <w:rsid w:val="00B41542"/>
    <w:rsid w:val="00B417B0"/>
    <w:rsid w:val="00B418DC"/>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51D3"/>
    <w:rsid w:val="00B46532"/>
    <w:rsid w:val="00B46677"/>
    <w:rsid w:val="00B467AC"/>
    <w:rsid w:val="00B468FA"/>
    <w:rsid w:val="00B46A5A"/>
    <w:rsid w:val="00B46E4C"/>
    <w:rsid w:val="00B47169"/>
    <w:rsid w:val="00B473D5"/>
    <w:rsid w:val="00B475AD"/>
    <w:rsid w:val="00B4773E"/>
    <w:rsid w:val="00B477DC"/>
    <w:rsid w:val="00B47A34"/>
    <w:rsid w:val="00B47BC5"/>
    <w:rsid w:val="00B50897"/>
    <w:rsid w:val="00B50B07"/>
    <w:rsid w:val="00B513F1"/>
    <w:rsid w:val="00B51A46"/>
    <w:rsid w:val="00B526A1"/>
    <w:rsid w:val="00B52711"/>
    <w:rsid w:val="00B5291A"/>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A78"/>
    <w:rsid w:val="00B56AD4"/>
    <w:rsid w:val="00B56B49"/>
    <w:rsid w:val="00B56BA6"/>
    <w:rsid w:val="00B56F35"/>
    <w:rsid w:val="00B5705B"/>
    <w:rsid w:val="00B571FF"/>
    <w:rsid w:val="00B57327"/>
    <w:rsid w:val="00B57355"/>
    <w:rsid w:val="00B5783F"/>
    <w:rsid w:val="00B57A1E"/>
    <w:rsid w:val="00B602FA"/>
    <w:rsid w:val="00B6068F"/>
    <w:rsid w:val="00B606B4"/>
    <w:rsid w:val="00B60BCE"/>
    <w:rsid w:val="00B60FA5"/>
    <w:rsid w:val="00B61251"/>
    <w:rsid w:val="00B61277"/>
    <w:rsid w:val="00B61B57"/>
    <w:rsid w:val="00B61C2A"/>
    <w:rsid w:val="00B61D96"/>
    <w:rsid w:val="00B624B6"/>
    <w:rsid w:val="00B62804"/>
    <w:rsid w:val="00B62945"/>
    <w:rsid w:val="00B62FBA"/>
    <w:rsid w:val="00B63299"/>
    <w:rsid w:val="00B635E4"/>
    <w:rsid w:val="00B636B2"/>
    <w:rsid w:val="00B63B59"/>
    <w:rsid w:val="00B64AD2"/>
    <w:rsid w:val="00B65A65"/>
    <w:rsid w:val="00B65D25"/>
    <w:rsid w:val="00B65E60"/>
    <w:rsid w:val="00B65FB5"/>
    <w:rsid w:val="00B6691F"/>
    <w:rsid w:val="00B670C5"/>
    <w:rsid w:val="00B674AD"/>
    <w:rsid w:val="00B679F8"/>
    <w:rsid w:val="00B67D21"/>
    <w:rsid w:val="00B67E04"/>
    <w:rsid w:val="00B67E4E"/>
    <w:rsid w:val="00B7008F"/>
    <w:rsid w:val="00B704B3"/>
    <w:rsid w:val="00B70763"/>
    <w:rsid w:val="00B71063"/>
    <w:rsid w:val="00B71191"/>
    <w:rsid w:val="00B712CC"/>
    <w:rsid w:val="00B713FA"/>
    <w:rsid w:val="00B7140A"/>
    <w:rsid w:val="00B717AE"/>
    <w:rsid w:val="00B7184B"/>
    <w:rsid w:val="00B71BF2"/>
    <w:rsid w:val="00B71FF0"/>
    <w:rsid w:val="00B72A26"/>
    <w:rsid w:val="00B73224"/>
    <w:rsid w:val="00B73354"/>
    <w:rsid w:val="00B733DD"/>
    <w:rsid w:val="00B73794"/>
    <w:rsid w:val="00B73D77"/>
    <w:rsid w:val="00B73E4B"/>
    <w:rsid w:val="00B749F3"/>
    <w:rsid w:val="00B74CAC"/>
    <w:rsid w:val="00B75107"/>
    <w:rsid w:val="00B75433"/>
    <w:rsid w:val="00B75F43"/>
    <w:rsid w:val="00B75F61"/>
    <w:rsid w:val="00B76373"/>
    <w:rsid w:val="00B76671"/>
    <w:rsid w:val="00B76C78"/>
    <w:rsid w:val="00B76CA6"/>
    <w:rsid w:val="00B77325"/>
    <w:rsid w:val="00B775CA"/>
    <w:rsid w:val="00B775DF"/>
    <w:rsid w:val="00B77690"/>
    <w:rsid w:val="00B77793"/>
    <w:rsid w:val="00B7795E"/>
    <w:rsid w:val="00B77BE6"/>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FEE"/>
    <w:rsid w:val="00B84061"/>
    <w:rsid w:val="00B84D65"/>
    <w:rsid w:val="00B84F72"/>
    <w:rsid w:val="00B853DD"/>
    <w:rsid w:val="00B85883"/>
    <w:rsid w:val="00B85F27"/>
    <w:rsid w:val="00B86633"/>
    <w:rsid w:val="00B86CC5"/>
    <w:rsid w:val="00B87CE6"/>
    <w:rsid w:val="00B87FBD"/>
    <w:rsid w:val="00B9051F"/>
    <w:rsid w:val="00B9164A"/>
    <w:rsid w:val="00B9240E"/>
    <w:rsid w:val="00B924D0"/>
    <w:rsid w:val="00B9314C"/>
    <w:rsid w:val="00B9326C"/>
    <w:rsid w:val="00B93709"/>
    <w:rsid w:val="00B93815"/>
    <w:rsid w:val="00B94BF8"/>
    <w:rsid w:val="00B94E53"/>
    <w:rsid w:val="00B94EEB"/>
    <w:rsid w:val="00B95381"/>
    <w:rsid w:val="00B95393"/>
    <w:rsid w:val="00B953CC"/>
    <w:rsid w:val="00B95582"/>
    <w:rsid w:val="00B95B8A"/>
    <w:rsid w:val="00B9652C"/>
    <w:rsid w:val="00B9679E"/>
    <w:rsid w:val="00B96ABA"/>
    <w:rsid w:val="00B96C93"/>
    <w:rsid w:val="00B96FAE"/>
    <w:rsid w:val="00B97E70"/>
    <w:rsid w:val="00B97F5A"/>
    <w:rsid w:val="00BA03A4"/>
    <w:rsid w:val="00BA0AE8"/>
    <w:rsid w:val="00BA12CE"/>
    <w:rsid w:val="00BA1D95"/>
    <w:rsid w:val="00BA1E0A"/>
    <w:rsid w:val="00BA2713"/>
    <w:rsid w:val="00BA2D95"/>
    <w:rsid w:val="00BA3797"/>
    <w:rsid w:val="00BA386C"/>
    <w:rsid w:val="00BA39A3"/>
    <w:rsid w:val="00BA4FC0"/>
    <w:rsid w:val="00BA5057"/>
    <w:rsid w:val="00BA51F6"/>
    <w:rsid w:val="00BA5514"/>
    <w:rsid w:val="00BA55DC"/>
    <w:rsid w:val="00BA584C"/>
    <w:rsid w:val="00BA5EBC"/>
    <w:rsid w:val="00BA65C0"/>
    <w:rsid w:val="00BA6D35"/>
    <w:rsid w:val="00BA6DE5"/>
    <w:rsid w:val="00BA7230"/>
    <w:rsid w:val="00BB02DD"/>
    <w:rsid w:val="00BB081A"/>
    <w:rsid w:val="00BB0AC9"/>
    <w:rsid w:val="00BB0C4A"/>
    <w:rsid w:val="00BB1B1E"/>
    <w:rsid w:val="00BB2E72"/>
    <w:rsid w:val="00BB4185"/>
    <w:rsid w:val="00BB47D8"/>
    <w:rsid w:val="00BB4881"/>
    <w:rsid w:val="00BB4984"/>
    <w:rsid w:val="00BB4999"/>
    <w:rsid w:val="00BB4D07"/>
    <w:rsid w:val="00BB50E4"/>
    <w:rsid w:val="00BB5326"/>
    <w:rsid w:val="00BB5661"/>
    <w:rsid w:val="00BB5785"/>
    <w:rsid w:val="00BB5AD0"/>
    <w:rsid w:val="00BB6331"/>
    <w:rsid w:val="00BB6971"/>
    <w:rsid w:val="00BB6B5D"/>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E9F"/>
    <w:rsid w:val="00BC4021"/>
    <w:rsid w:val="00BC4C5B"/>
    <w:rsid w:val="00BC4D5E"/>
    <w:rsid w:val="00BC4ED9"/>
    <w:rsid w:val="00BC57B8"/>
    <w:rsid w:val="00BC5923"/>
    <w:rsid w:val="00BC5B62"/>
    <w:rsid w:val="00BC5D16"/>
    <w:rsid w:val="00BC5ECA"/>
    <w:rsid w:val="00BC62E9"/>
    <w:rsid w:val="00BC6A00"/>
    <w:rsid w:val="00BC6B1F"/>
    <w:rsid w:val="00BC6CE0"/>
    <w:rsid w:val="00BC7826"/>
    <w:rsid w:val="00BC7FE1"/>
    <w:rsid w:val="00BD03EA"/>
    <w:rsid w:val="00BD056E"/>
    <w:rsid w:val="00BD061E"/>
    <w:rsid w:val="00BD1EDD"/>
    <w:rsid w:val="00BD1EF7"/>
    <w:rsid w:val="00BD22DF"/>
    <w:rsid w:val="00BD2D72"/>
    <w:rsid w:val="00BD3296"/>
    <w:rsid w:val="00BD32D9"/>
    <w:rsid w:val="00BD4320"/>
    <w:rsid w:val="00BD4382"/>
    <w:rsid w:val="00BD479E"/>
    <w:rsid w:val="00BD4F61"/>
    <w:rsid w:val="00BD5042"/>
    <w:rsid w:val="00BD54F8"/>
    <w:rsid w:val="00BD5CC0"/>
    <w:rsid w:val="00BD5E22"/>
    <w:rsid w:val="00BD6227"/>
    <w:rsid w:val="00BD6A71"/>
    <w:rsid w:val="00BD6ED6"/>
    <w:rsid w:val="00BD72D8"/>
    <w:rsid w:val="00BD7779"/>
    <w:rsid w:val="00BE05ED"/>
    <w:rsid w:val="00BE0760"/>
    <w:rsid w:val="00BE0BDA"/>
    <w:rsid w:val="00BE0C8A"/>
    <w:rsid w:val="00BE1202"/>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217"/>
    <w:rsid w:val="00BF0984"/>
    <w:rsid w:val="00BF0F6A"/>
    <w:rsid w:val="00BF143B"/>
    <w:rsid w:val="00BF19E9"/>
    <w:rsid w:val="00BF1ECB"/>
    <w:rsid w:val="00BF21DD"/>
    <w:rsid w:val="00BF229A"/>
    <w:rsid w:val="00BF2ADA"/>
    <w:rsid w:val="00BF3221"/>
    <w:rsid w:val="00BF3CA2"/>
    <w:rsid w:val="00BF4BA9"/>
    <w:rsid w:val="00BF4DF7"/>
    <w:rsid w:val="00BF4F06"/>
    <w:rsid w:val="00BF5203"/>
    <w:rsid w:val="00BF570D"/>
    <w:rsid w:val="00BF5922"/>
    <w:rsid w:val="00BF5B93"/>
    <w:rsid w:val="00BF5BC0"/>
    <w:rsid w:val="00BF660A"/>
    <w:rsid w:val="00BF667B"/>
    <w:rsid w:val="00BF6E30"/>
    <w:rsid w:val="00BF6F6A"/>
    <w:rsid w:val="00BF7231"/>
    <w:rsid w:val="00BF7414"/>
    <w:rsid w:val="00BF7434"/>
    <w:rsid w:val="00BF758A"/>
    <w:rsid w:val="00BF7706"/>
    <w:rsid w:val="00BF7E41"/>
    <w:rsid w:val="00C00075"/>
    <w:rsid w:val="00C0042E"/>
    <w:rsid w:val="00C0085D"/>
    <w:rsid w:val="00C00B39"/>
    <w:rsid w:val="00C01054"/>
    <w:rsid w:val="00C01418"/>
    <w:rsid w:val="00C01BF7"/>
    <w:rsid w:val="00C01EF3"/>
    <w:rsid w:val="00C022E2"/>
    <w:rsid w:val="00C02858"/>
    <w:rsid w:val="00C03005"/>
    <w:rsid w:val="00C033C5"/>
    <w:rsid w:val="00C0356B"/>
    <w:rsid w:val="00C03649"/>
    <w:rsid w:val="00C039D9"/>
    <w:rsid w:val="00C03BCE"/>
    <w:rsid w:val="00C0455D"/>
    <w:rsid w:val="00C04A59"/>
    <w:rsid w:val="00C053C7"/>
    <w:rsid w:val="00C05BAA"/>
    <w:rsid w:val="00C06663"/>
    <w:rsid w:val="00C0681A"/>
    <w:rsid w:val="00C074BA"/>
    <w:rsid w:val="00C10197"/>
    <w:rsid w:val="00C106D4"/>
    <w:rsid w:val="00C1080E"/>
    <w:rsid w:val="00C10813"/>
    <w:rsid w:val="00C10889"/>
    <w:rsid w:val="00C10A7E"/>
    <w:rsid w:val="00C10C9C"/>
    <w:rsid w:val="00C1129B"/>
    <w:rsid w:val="00C11459"/>
    <w:rsid w:val="00C11AE1"/>
    <w:rsid w:val="00C11D5B"/>
    <w:rsid w:val="00C123C7"/>
    <w:rsid w:val="00C129BA"/>
    <w:rsid w:val="00C12D27"/>
    <w:rsid w:val="00C13701"/>
    <w:rsid w:val="00C1378E"/>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A28"/>
    <w:rsid w:val="00C17CCC"/>
    <w:rsid w:val="00C200A4"/>
    <w:rsid w:val="00C201B3"/>
    <w:rsid w:val="00C201FE"/>
    <w:rsid w:val="00C21436"/>
    <w:rsid w:val="00C218F1"/>
    <w:rsid w:val="00C21DF4"/>
    <w:rsid w:val="00C21E7B"/>
    <w:rsid w:val="00C22060"/>
    <w:rsid w:val="00C220FC"/>
    <w:rsid w:val="00C2253B"/>
    <w:rsid w:val="00C2284A"/>
    <w:rsid w:val="00C23564"/>
    <w:rsid w:val="00C23917"/>
    <w:rsid w:val="00C24171"/>
    <w:rsid w:val="00C248C5"/>
    <w:rsid w:val="00C24CA4"/>
    <w:rsid w:val="00C250D7"/>
    <w:rsid w:val="00C25355"/>
    <w:rsid w:val="00C25CD3"/>
    <w:rsid w:val="00C263A8"/>
    <w:rsid w:val="00C26A01"/>
    <w:rsid w:val="00C26B3A"/>
    <w:rsid w:val="00C2780D"/>
    <w:rsid w:val="00C27BB0"/>
    <w:rsid w:val="00C27C06"/>
    <w:rsid w:val="00C27D8D"/>
    <w:rsid w:val="00C27E77"/>
    <w:rsid w:val="00C30970"/>
    <w:rsid w:val="00C30A12"/>
    <w:rsid w:val="00C311BA"/>
    <w:rsid w:val="00C3126A"/>
    <w:rsid w:val="00C31E39"/>
    <w:rsid w:val="00C32AB3"/>
    <w:rsid w:val="00C32C7A"/>
    <w:rsid w:val="00C32CFE"/>
    <w:rsid w:val="00C32E19"/>
    <w:rsid w:val="00C3324E"/>
    <w:rsid w:val="00C33AC9"/>
    <w:rsid w:val="00C348B7"/>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174F"/>
    <w:rsid w:val="00C4199C"/>
    <w:rsid w:val="00C419D7"/>
    <w:rsid w:val="00C41B2B"/>
    <w:rsid w:val="00C41C2D"/>
    <w:rsid w:val="00C41CC2"/>
    <w:rsid w:val="00C41E04"/>
    <w:rsid w:val="00C41E27"/>
    <w:rsid w:val="00C4205E"/>
    <w:rsid w:val="00C4236B"/>
    <w:rsid w:val="00C425DF"/>
    <w:rsid w:val="00C43559"/>
    <w:rsid w:val="00C442F5"/>
    <w:rsid w:val="00C450BE"/>
    <w:rsid w:val="00C45187"/>
    <w:rsid w:val="00C451C8"/>
    <w:rsid w:val="00C454F7"/>
    <w:rsid w:val="00C46012"/>
    <w:rsid w:val="00C4624A"/>
    <w:rsid w:val="00C465EB"/>
    <w:rsid w:val="00C46929"/>
    <w:rsid w:val="00C46EDD"/>
    <w:rsid w:val="00C472D7"/>
    <w:rsid w:val="00C475A6"/>
    <w:rsid w:val="00C47614"/>
    <w:rsid w:val="00C47D4F"/>
    <w:rsid w:val="00C50DBA"/>
    <w:rsid w:val="00C512C6"/>
    <w:rsid w:val="00C51A87"/>
    <w:rsid w:val="00C51C4A"/>
    <w:rsid w:val="00C52327"/>
    <w:rsid w:val="00C537A9"/>
    <w:rsid w:val="00C53A5D"/>
    <w:rsid w:val="00C53E3D"/>
    <w:rsid w:val="00C54351"/>
    <w:rsid w:val="00C5439B"/>
    <w:rsid w:val="00C545A1"/>
    <w:rsid w:val="00C54731"/>
    <w:rsid w:val="00C549B5"/>
    <w:rsid w:val="00C54FB0"/>
    <w:rsid w:val="00C55561"/>
    <w:rsid w:val="00C55D77"/>
    <w:rsid w:val="00C55E59"/>
    <w:rsid w:val="00C56030"/>
    <w:rsid w:val="00C560D5"/>
    <w:rsid w:val="00C56351"/>
    <w:rsid w:val="00C563E1"/>
    <w:rsid w:val="00C5657F"/>
    <w:rsid w:val="00C56889"/>
    <w:rsid w:val="00C56EE4"/>
    <w:rsid w:val="00C60062"/>
    <w:rsid w:val="00C603E7"/>
    <w:rsid w:val="00C60BD9"/>
    <w:rsid w:val="00C61040"/>
    <w:rsid w:val="00C6139C"/>
    <w:rsid w:val="00C6196F"/>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BF1"/>
    <w:rsid w:val="00C66CF6"/>
    <w:rsid w:val="00C678FF"/>
    <w:rsid w:val="00C70C24"/>
    <w:rsid w:val="00C70C5B"/>
    <w:rsid w:val="00C712BB"/>
    <w:rsid w:val="00C712D3"/>
    <w:rsid w:val="00C712E6"/>
    <w:rsid w:val="00C71696"/>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C64"/>
    <w:rsid w:val="00C779F3"/>
    <w:rsid w:val="00C77F4C"/>
    <w:rsid w:val="00C80118"/>
    <w:rsid w:val="00C8069C"/>
    <w:rsid w:val="00C80E83"/>
    <w:rsid w:val="00C8116E"/>
    <w:rsid w:val="00C81170"/>
    <w:rsid w:val="00C8177A"/>
    <w:rsid w:val="00C81843"/>
    <w:rsid w:val="00C81B4E"/>
    <w:rsid w:val="00C81E6F"/>
    <w:rsid w:val="00C82082"/>
    <w:rsid w:val="00C822BA"/>
    <w:rsid w:val="00C828BA"/>
    <w:rsid w:val="00C82EC2"/>
    <w:rsid w:val="00C82F20"/>
    <w:rsid w:val="00C83190"/>
    <w:rsid w:val="00C843EA"/>
    <w:rsid w:val="00C8471B"/>
    <w:rsid w:val="00C84BAB"/>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327"/>
    <w:rsid w:val="00C928F6"/>
    <w:rsid w:val="00C92903"/>
    <w:rsid w:val="00C92B2F"/>
    <w:rsid w:val="00C92F33"/>
    <w:rsid w:val="00C92FDC"/>
    <w:rsid w:val="00C93EF5"/>
    <w:rsid w:val="00C942BF"/>
    <w:rsid w:val="00C943CE"/>
    <w:rsid w:val="00C947E5"/>
    <w:rsid w:val="00C94D0F"/>
    <w:rsid w:val="00C94E34"/>
    <w:rsid w:val="00C95668"/>
    <w:rsid w:val="00C95C6E"/>
    <w:rsid w:val="00C96214"/>
    <w:rsid w:val="00C9670C"/>
    <w:rsid w:val="00C9677C"/>
    <w:rsid w:val="00C967B6"/>
    <w:rsid w:val="00C96918"/>
    <w:rsid w:val="00C96A5B"/>
    <w:rsid w:val="00C96B64"/>
    <w:rsid w:val="00C96FB6"/>
    <w:rsid w:val="00CA0136"/>
    <w:rsid w:val="00CA0652"/>
    <w:rsid w:val="00CA0AD1"/>
    <w:rsid w:val="00CA0B96"/>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357"/>
    <w:rsid w:val="00CA4785"/>
    <w:rsid w:val="00CA4BAC"/>
    <w:rsid w:val="00CA4D6E"/>
    <w:rsid w:val="00CA5846"/>
    <w:rsid w:val="00CA5B4A"/>
    <w:rsid w:val="00CA5EE0"/>
    <w:rsid w:val="00CA5F24"/>
    <w:rsid w:val="00CA6318"/>
    <w:rsid w:val="00CA6C44"/>
    <w:rsid w:val="00CA6EED"/>
    <w:rsid w:val="00CA6F21"/>
    <w:rsid w:val="00CA6F92"/>
    <w:rsid w:val="00CA7645"/>
    <w:rsid w:val="00CA7BB3"/>
    <w:rsid w:val="00CB03FA"/>
    <w:rsid w:val="00CB1F46"/>
    <w:rsid w:val="00CB1FA4"/>
    <w:rsid w:val="00CB23AE"/>
    <w:rsid w:val="00CB2AA5"/>
    <w:rsid w:val="00CB2E7A"/>
    <w:rsid w:val="00CB36D9"/>
    <w:rsid w:val="00CB3E5D"/>
    <w:rsid w:val="00CB43A9"/>
    <w:rsid w:val="00CB45F3"/>
    <w:rsid w:val="00CB4C0F"/>
    <w:rsid w:val="00CB5F0D"/>
    <w:rsid w:val="00CB62BB"/>
    <w:rsid w:val="00CB644C"/>
    <w:rsid w:val="00CB67BF"/>
    <w:rsid w:val="00CB71FF"/>
    <w:rsid w:val="00CB7226"/>
    <w:rsid w:val="00CB730A"/>
    <w:rsid w:val="00CB77C0"/>
    <w:rsid w:val="00CB79CD"/>
    <w:rsid w:val="00CB7AC3"/>
    <w:rsid w:val="00CB7DFB"/>
    <w:rsid w:val="00CC104A"/>
    <w:rsid w:val="00CC1053"/>
    <w:rsid w:val="00CC10A9"/>
    <w:rsid w:val="00CC10D3"/>
    <w:rsid w:val="00CC1131"/>
    <w:rsid w:val="00CC1667"/>
    <w:rsid w:val="00CC17AC"/>
    <w:rsid w:val="00CC1A0B"/>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B27"/>
    <w:rsid w:val="00CD0008"/>
    <w:rsid w:val="00CD00F0"/>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73E"/>
    <w:rsid w:val="00CD37F7"/>
    <w:rsid w:val="00CD3A4A"/>
    <w:rsid w:val="00CD4B49"/>
    <w:rsid w:val="00CD52B3"/>
    <w:rsid w:val="00CD5B6A"/>
    <w:rsid w:val="00CD6976"/>
    <w:rsid w:val="00CD6E51"/>
    <w:rsid w:val="00CD73CB"/>
    <w:rsid w:val="00CD7E65"/>
    <w:rsid w:val="00CE001C"/>
    <w:rsid w:val="00CE0563"/>
    <w:rsid w:val="00CE0B1C"/>
    <w:rsid w:val="00CE17A0"/>
    <w:rsid w:val="00CE180F"/>
    <w:rsid w:val="00CE2155"/>
    <w:rsid w:val="00CE2387"/>
    <w:rsid w:val="00CE24DB"/>
    <w:rsid w:val="00CE25E6"/>
    <w:rsid w:val="00CE2D24"/>
    <w:rsid w:val="00CE37DA"/>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B7A"/>
    <w:rsid w:val="00CF677B"/>
    <w:rsid w:val="00CF6930"/>
    <w:rsid w:val="00CF6A7A"/>
    <w:rsid w:val="00CF6DD9"/>
    <w:rsid w:val="00CF6E96"/>
    <w:rsid w:val="00CF7351"/>
    <w:rsid w:val="00CF7482"/>
    <w:rsid w:val="00CF7A01"/>
    <w:rsid w:val="00CF7FEB"/>
    <w:rsid w:val="00D00478"/>
    <w:rsid w:val="00D00C10"/>
    <w:rsid w:val="00D0114A"/>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60F3"/>
    <w:rsid w:val="00D06117"/>
    <w:rsid w:val="00D066DF"/>
    <w:rsid w:val="00D06761"/>
    <w:rsid w:val="00D067E4"/>
    <w:rsid w:val="00D0698D"/>
    <w:rsid w:val="00D07464"/>
    <w:rsid w:val="00D07925"/>
    <w:rsid w:val="00D07F0B"/>
    <w:rsid w:val="00D10018"/>
    <w:rsid w:val="00D100F4"/>
    <w:rsid w:val="00D10AC4"/>
    <w:rsid w:val="00D10BA4"/>
    <w:rsid w:val="00D11455"/>
    <w:rsid w:val="00D11A80"/>
    <w:rsid w:val="00D11BB9"/>
    <w:rsid w:val="00D12016"/>
    <w:rsid w:val="00D1217B"/>
    <w:rsid w:val="00D125DB"/>
    <w:rsid w:val="00D12AC6"/>
    <w:rsid w:val="00D12D40"/>
    <w:rsid w:val="00D1309B"/>
    <w:rsid w:val="00D13782"/>
    <w:rsid w:val="00D1378E"/>
    <w:rsid w:val="00D13B4A"/>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1E3A"/>
    <w:rsid w:val="00D22484"/>
    <w:rsid w:val="00D225AF"/>
    <w:rsid w:val="00D229A0"/>
    <w:rsid w:val="00D22DB1"/>
    <w:rsid w:val="00D22EEC"/>
    <w:rsid w:val="00D2398D"/>
    <w:rsid w:val="00D23CD6"/>
    <w:rsid w:val="00D23CE4"/>
    <w:rsid w:val="00D24051"/>
    <w:rsid w:val="00D2423B"/>
    <w:rsid w:val="00D242D4"/>
    <w:rsid w:val="00D24550"/>
    <w:rsid w:val="00D24801"/>
    <w:rsid w:val="00D24F79"/>
    <w:rsid w:val="00D251E7"/>
    <w:rsid w:val="00D254C5"/>
    <w:rsid w:val="00D25B35"/>
    <w:rsid w:val="00D25BA5"/>
    <w:rsid w:val="00D25E8B"/>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4112"/>
    <w:rsid w:val="00D34254"/>
    <w:rsid w:val="00D34293"/>
    <w:rsid w:val="00D347E7"/>
    <w:rsid w:val="00D34C36"/>
    <w:rsid w:val="00D3513E"/>
    <w:rsid w:val="00D35685"/>
    <w:rsid w:val="00D35720"/>
    <w:rsid w:val="00D35A20"/>
    <w:rsid w:val="00D3645A"/>
    <w:rsid w:val="00D36538"/>
    <w:rsid w:val="00D3666A"/>
    <w:rsid w:val="00D379EC"/>
    <w:rsid w:val="00D37BEF"/>
    <w:rsid w:val="00D37F10"/>
    <w:rsid w:val="00D402DE"/>
    <w:rsid w:val="00D404AF"/>
    <w:rsid w:val="00D406CC"/>
    <w:rsid w:val="00D40A1C"/>
    <w:rsid w:val="00D40F22"/>
    <w:rsid w:val="00D4118A"/>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737B"/>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A31"/>
    <w:rsid w:val="00D61AED"/>
    <w:rsid w:val="00D62168"/>
    <w:rsid w:val="00D6220F"/>
    <w:rsid w:val="00D626FB"/>
    <w:rsid w:val="00D6276D"/>
    <w:rsid w:val="00D629C6"/>
    <w:rsid w:val="00D62D28"/>
    <w:rsid w:val="00D62EE8"/>
    <w:rsid w:val="00D64523"/>
    <w:rsid w:val="00D64A33"/>
    <w:rsid w:val="00D64EA5"/>
    <w:rsid w:val="00D65159"/>
    <w:rsid w:val="00D653A6"/>
    <w:rsid w:val="00D65C50"/>
    <w:rsid w:val="00D6614C"/>
    <w:rsid w:val="00D66186"/>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F45"/>
    <w:rsid w:val="00D720A3"/>
    <w:rsid w:val="00D72124"/>
    <w:rsid w:val="00D7239B"/>
    <w:rsid w:val="00D723CD"/>
    <w:rsid w:val="00D7255F"/>
    <w:rsid w:val="00D72689"/>
    <w:rsid w:val="00D728D2"/>
    <w:rsid w:val="00D72D78"/>
    <w:rsid w:val="00D72F3A"/>
    <w:rsid w:val="00D7332A"/>
    <w:rsid w:val="00D73F68"/>
    <w:rsid w:val="00D742BA"/>
    <w:rsid w:val="00D74BC9"/>
    <w:rsid w:val="00D74DB1"/>
    <w:rsid w:val="00D74ED9"/>
    <w:rsid w:val="00D7500A"/>
    <w:rsid w:val="00D75529"/>
    <w:rsid w:val="00D757CC"/>
    <w:rsid w:val="00D75810"/>
    <w:rsid w:val="00D75CB3"/>
    <w:rsid w:val="00D76003"/>
    <w:rsid w:val="00D7723F"/>
    <w:rsid w:val="00D77377"/>
    <w:rsid w:val="00D77BB9"/>
    <w:rsid w:val="00D77E9B"/>
    <w:rsid w:val="00D80323"/>
    <w:rsid w:val="00D816D8"/>
    <w:rsid w:val="00D81865"/>
    <w:rsid w:val="00D818A0"/>
    <w:rsid w:val="00D81F0F"/>
    <w:rsid w:val="00D8235F"/>
    <w:rsid w:val="00D8277A"/>
    <w:rsid w:val="00D82B90"/>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3004"/>
    <w:rsid w:val="00D934B6"/>
    <w:rsid w:val="00D93502"/>
    <w:rsid w:val="00D93A1C"/>
    <w:rsid w:val="00D93A81"/>
    <w:rsid w:val="00D93C46"/>
    <w:rsid w:val="00D94DAD"/>
    <w:rsid w:val="00D95084"/>
    <w:rsid w:val="00D950B4"/>
    <w:rsid w:val="00D95655"/>
    <w:rsid w:val="00D956EC"/>
    <w:rsid w:val="00D957E7"/>
    <w:rsid w:val="00D95B64"/>
    <w:rsid w:val="00D95F3A"/>
    <w:rsid w:val="00D95FAE"/>
    <w:rsid w:val="00D962C0"/>
    <w:rsid w:val="00D96328"/>
    <w:rsid w:val="00D967FB"/>
    <w:rsid w:val="00D96A88"/>
    <w:rsid w:val="00D96AB8"/>
    <w:rsid w:val="00D97916"/>
    <w:rsid w:val="00DA0193"/>
    <w:rsid w:val="00DA0B5C"/>
    <w:rsid w:val="00DA0C08"/>
    <w:rsid w:val="00DA12A7"/>
    <w:rsid w:val="00DA1729"/>
    <w:rsid w:val="00DA1837"/>
    <w:rsid w:val="00DA1BD7"/>
    <w:rsid w:val="00DA1E20"/>
    <w:rsid w:val="00DA1E2E"/>
    <w:rsid w:val="00DA1F0F"/>
    <w:rsid w:val="00DA2420"/>
    <w:rsid w:val="00DA25F1"/>
    <w:rsid w:val="00DA2925"/>
    <w:rsid w:val="00DA2A85"/>
    <w:rsid w:val="00DA2ABC"/>
    <w:rsid w:val="00DA2E8B"/>
    <w:rsid w:val="00DA32B6"/>
    <w:rsid w:val="00DA3334"/>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D03"/>
    <w:rsid w:val="00DB7551"/>
    <w:rsid w:val="00DB76B4"/>
    <w:rsid w:val="00DB7B6F"/>
    <w:rsid w:val="00DB7D43"/>
    <w:rsid w:val="00DC02AE"/>
    <w:rsid w:val="00DC02D8"/>
    <w:rsid w:val="00DC157C"/>
    <w:rsid w:val="00DC17C9"/>
    <w:rsid w:val="00DC1BCB"/>
    <w:rsid w:val="00DC1E84"/>
    <w:rsid w:val="00DC1EB0"/>
    <w:rsid w:val="00DC2363"/>
    <w:rsid w:val="00DC249D"/>
    <w:rsid w:val="00DC262A"/>
    <w:rsid w:val="00DC32EA"/>
    <w:rsid w:val="00DC3A99"/>
    <w:rsid w:val="00DC3EE1"/>
    <w:rsid w:val="00DC4334"/>
    <w:rsid w:val="00DC4382"/>
    <w:rsid w:val="00DC4862"/>
    <w:rsid w:val="00DC49DD"/>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A"/>
    <w:rsid w:val="00DD2492"/>
    <w:rsid w:val="00DD299D"/>
    <w:rsid w:val="00DD2CCA"/>
    <w:rsid w:val="00DD2DD9"/>
    <w:rsid w:val="00DD2F15"/>
    <w:rsid w:val="00DD3253"/>
    <w:rsid w:val="00DD3465"/>
    <w:rsid w:val="00DD3EE8"/>
    <w:rsid w:val="00DD416A"/>
    <w:rsid w:val="00DD4210"/>
    <w:rsid w:val="00DD4A8F"/>
    <w:rsid w:val="00DD4AF5"/>
    <w:rsid w:val="00DD4E2F"/>
    <w:rsid w:val="00DD5537"/>
    <w:rsid w:val="00DD6049"/>
    <w:rsid w:val="00DD643D"/>
    <w:rsid w:val="00DD6648"/>
    <w:rsid w:val="00DD6C46"/>
    <w:rsid w:val="00DD6D58"/>
    <w:rsid w:val="00DD6E12"/>
    <w:rsid w:val="00DD7675"/>
    <w:rsid w:val="00DD7ADC"/>
    <w:rsid w:val="00DE010E"/>
    <w:rsid w:val="00DE020F"/>
    <w:rsid w:val="00DE0260"/>
    <w:rsid w:val="00DE0537"/>
    <w:rsid w:val="00DE0921"/>
    <w:rsid w:val="00DE0C67"/>
    <w:rsid w:val="00DE0C94"/>
    <w:rsid w:val="00DE1010"/>
    <w:rsid w:val="00DE1686"/>
    <w:rsid w:val="00DE1AEF"/>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BB9"/>
    <w:rsid w:val="00DF0F57"/>
    <w:rsid w:val="00DF0F64"/>
    <w:rsid w:val="00DF14F4"/>
    <w:rsid w:val="00DF191C"/>
    <w:rsid w:val="00DF1AE1"/>
    <w:rsid w:val="00DF1DD9"/>
    <w:rsid w:val="00DF1DEC"/>
    <w:rsid w:val="00DF1EE3"/>
    <w:rsid w:val="00DF2105"/>
    <w:rsid w:val="00DF217E"/>
    <w:rsid w:val="00DF22A8"/>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F9A"/>
    <w:rsid w:val="00DF63DF"/>
    <w:rsid w:val="00DF6EC7"/>
    <w:rsid w:val="00DF71FA"/>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6186"/>
    <w:rsid w:val="00E168E1"/>
    <w:rsid w:val="00E16B19"/>
    <w:rsid w:val="00E16C0D"/>
    <w:rsid w:val="00E16C6D"/>
    <w:rsid w:val="00E1743C"/>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BCD"/>
    <w:rsid w:val="00E23FF1"/>
    <w:rsid w:val="00E240B0"/>
    <w:rsid w:val="00E2424E"/>
    <w:rsid w:val="00E2434D"/>
    <w:rsid w:val="00E2447F"/>
    <w:rsid w:val="00E249B3"/>
    <w:rsid w:val="00E24E7F"/>
    <w:rsid w:val="00E250F2"/>
    <w:rsid w:val="00E2513D"/>
    <w:rsid w:val="00E25E92"/>
    <w:rsid w:val="00E264A2"/>
    <w:rsid w:val="00E265DA"/>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21A8"/>
    <w:rsid w:val="00E422C9"/>
    <w:rsid w:val="00E42641"/>
    <w:rsid w:val="00E4272C"/>
    <w:rsid w:val="00E42AAA"/>
    <w:rsid w:val="00E42E70"/>
    <w:rsid w:val="00E4313B"/>
    <w:rsid w:val="00E432A0"/>
    <w:rsid w:val="00E43A6C"/>
    <w:rsid w:val="00E43CE8"/>
    <w:rsid w:val="00E45374"/>
    <w:rsid w:val="00E45A6F"/>
    <w:rsid w:val="00E46B76"/>
    <w:rsid w:val="00E471EF"/>
    <w:rsid w:val="00E47547"/>
    <w:rsid w:val="00E47EB4"/>
    <w:rsid w:val="00E47FC9"/>
    <w:rsid w:val="00E50314"/>
    <w:rsid w:val="00E507B8"/>
    <w:rsid w:val="00E50BE2"/>
    <w:rsid w:val="00E514D7"/>
    <w:rsid w:val="00E51E38"/>
    <w:rsid w:val="00E51EF6"/>
    <w:rsid w:val="00E5203F"/>
    <w:rsid w:val="00E52412"/>
    <w:rsid w:val="00E52641"/>
    <w:rsid w:val="00E52F1C"/>
    <w:rsid w:val="00E539A9"/>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EF5"/>
    <w:rsid w:val="00E641E2"/>
    <w:rsid w:val="00E644F0"/>
    <w:rsid w:val="00E6457A"/>
    <w:rsid w:val="00E64643"/>
    <w:rsid w:val="00E64D0C"/>
    <w:rsid w:val="00E64E15"/>
    <w:rsid w:val="00E6501E"/>
    <w:rsid w:val="00E65451"/>
    <w:rsid w:val="00E6587C"/>
    <w:rsid w:val="00E65E25"/>
    <w:rsid w:val="00E66488"/>
    <w:rsid w:val="00E66A84"/>
    <w:rsid w:val="00E66CF0"/>
    <w:rsid w:val="00E67C87"/>
    <w:rsid w:val="00E67C9A"/>
    <w:rsid w:val="00E70168"/>
    <w:rsid w:val="00E70D49"/>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48A"/>
    <w:rsid w:val="00E8362C"/>
    <w:rsid w:val="00E836B6"/>
    <w:rsid w:val="00E83CA2"/>
    <w:rsid w:val="00E8446C"/>
    <w:rsid w:val="00E84644"/>
    <w:rsid w:val="00E84748"/>
    <w:rsid w:val="00E84867"/>
    <w:rsid w:val="00E8488C"/>
    <w:rsid w:val="00E84900"/>
    <w:rsid w:val="00E84B63"/>
    <w:rsid w:val="00E85018"/>
    <w:rsid w:val="00E85152"/>
    <w:rsid w:val="00E8545E"/>
    <w:rsid w:val="00E85964"/>
    <w:rsid w:val="00E85D23"/>
    <w:rsid w:val="00E85DAA"/>
    <w:rsid w:val="00E85F0D"/>
    <w:rsid w:val="00E8633C"/>
    <w:rsid w:val="00E865F9"/>
    <w:rsid w:val="00E86ED2"/>
    <w:rsid w:val="00E8714B"/>
    <w:rsid w:val="00E87BF0"/>
    <w:rsid w:val="00E87F28"/>
    <w:rsid w:val="00E900A4"/>
    <w:rsid w:val="00E908B2"/>
    <w:rsid w:val="00E90D4F"/>
    <w:rsid w:val="00E91470"/>
    <w:rsid w:val="00E91C20"/>
    <w:rsid w:val="00E9260E"/>
    <w:rsid w:val="00E92ADD"/>
    <w:rsid w:val="00E92BA4"/>
    <w:rsid w:val="00E93649"/>
    <w:rsid w:val="00E940F7"/>
    <w:rsid w:val="00E9447C"/>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847"/>
    <w:rsid w:val="00EA0B3E"/>
    <w:rsid w:val="00EA0D2E"/>
    <w:rsid w:val="00EA0EB9"/>
    <w:rsid w:val="00EA1007"/>
    <w:rsid w:val="00EA12F6"/>
    <w:rsid w:val="00EA1E57"/>
    <w:rsid w:val="00EA24E0"/>
    <w:rsid w:val="00EA28DB"/>
    <w:rsid w:val="00EA2B40"/>
    <w:rsid w:val="00EA328A"/>
    <w:rsid w:val="00EA3E42"/>
    <w:rsid w:val="00EA4040"/>
    <w:rsid w:val="00EA4328"/>
    <w:rsid w:val="00EA4826"/>
    <w:rsid w:val="00EA51CE"/>
    <w:rsid w:val="00EA5255"/>
    <w:rsid w:val="00EA542C"/>
    <w:rsid w:val="00EA54A1"/>
    <w:rsid w:val="00EA54EE"/>
    <w:rsid w:val="00EA5949"/>
    <w:rsid w:val="00EA5952"/>
    <w:rsid w:val="00EA5A78"/>
    <w:rsid w:val="00EA5AFC"/>
    <w:rsid w:val="00EA5CD0"/>
    <w:rsid w:val="00EA5D5E"/>
    <w:rsid w:val="00EA5DB9"/>
    <w:rsid w:val="00EA69D1"/>
    <w:rsid w:val="00EB0264"/>
    <w:rsid w:val="00EB02D9"/>
    <w:rsid w:val="00EB093F"/>
    <w:rsid w:val="00EB0B4D"/>
    <w:rsid w:val="00EB17E3"/>
    <w:rsid w:val="00EB1AA7"/>
    <w:rsid w:val="00EB1E65"/>
    <w:rsid w:val="00EB23D2"/>
    <w:rsid w:val="00EB2792"/>
    <w:rsid w:val="00EB2A24"/>
    <w:rsid w:val="00EB3A8E"/>
    <w:rsid w:val="00EB3CC7"/>
    <w:rsid w:val="00EB410C"/>
    <w:rsid w:val="00EB413B"/>
    <w:rsid w:val="00EB4344"/>
    <w:rsid w:val="00EB449A"/>
    <w:rsid w:val="00EB45CB"/>
    <w:rsid w:val="00EB4A22"/>
    <w:rsid w:val="00EB5278"/>
    <w:rsid w:val="00EB5646"/>
    <w:rsid w:val="00EB5A26"/>
    <w:rsid w:val="00EB5E7E"/>
    <w:rsid w:val="00EB735B"/>
    <w:rsid w:val="00EB73C8"/>
    <w:rsid w:val="00EB78D1"/>
    <w:rsid w:val="00EB7973"/>
    <w:rsid w:val="00EB7A84"/>
    <w:rsid w:val="00EB7DEC"/>
    <w:rsid w:val="00EC05A9"/>
    <w:rsid w:val="00EC078D"/>
    <w:rsid w:val="00EC07A1"/>
    <w:rsid w:val="00EC0901"/>
    <w:rsid w:val="00EC0983"/>
    <w:rsid w:val="00EC172F"/>
    <w:rsid w:val="00EC25BB"/>
    <w:rsid w:val="00EC27BD"/>
    <w:rsid w:val="00EC2B59"/>
    <w:rsid w:val="00EC2E92"/>
    <w:rsid w:val="00EC37E4"/>
    <w:rsid w:val="00EC3CD5"/>
    <w:rsid w:val="00EC3EE5"/>
    <w:rsid w:val="00EC4A90"/>
    <w:rsid w:val="00EC5442"/>
    <w:rsid w:val="00EC5668"/>
    <w:rsid w:val="00EC5694"/>
    <w:rsid w:val="00EC5758"/>
    <w:rsid w:val="00EC5BC9"/>
    <w:rsid w:val="00EC60E0"/>
    <w:rsid w:val="00EC63FC"/>
    <w:rsid w:val="00EC648C"/>
    <w:rsid w:val="00EC669A"/>
    <w:rsid w:val="00EC6750"/>
    <w:rsid w:val="00EC6A41"/>
    <w:rsid w:val="00EC7183"/>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23A"/>
    <w:rsid w:val="00ED327E"/>
    <w:rsid w:val="00ED32EF"/>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ECC"/>
    <w:rsid w:val="00EF0183"/>
    <w:rsid w:val="00EF0257"/>
    <w:rsid w:val="00EF0740"/>
    <w:rsid w:val="00EF0E87"/>
    <w:rsid w:val="00EF1236"/>
    <w:rsid w:val="00EF1852"/>
    <w:rsid w:val="00EF2588"/>
    <w:rsid w:val="00EF2B2C"/>
    <w:rsid w:val="00EF3050"/>
    <w:rsid w:val="00EF30A0"/>
    <w:rsid w:val="00EF312E"/>
    <w:rsid w:val="00EF325B"/>
    <w:rsid w:val="00EF36E7"/>
    <w:rsid w:val="00EF3FAF"/>
    <w:rsid w:val="00EF4045"/>
    <w:rsid w:val="00EF446D"/>
    <w:rsid w:val="00EF49AD"/>
    <w:rsid w:val="00EF5596"/>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9C2"/>
    <w:rsid w:val="00F02B65"/>
    <w:rsid w:val="00F02F80"/>
    <w:rsid w:val="00F0375B"/>
    <w:rsid w:val="00F040C4"/>
    <w:rsid w:val="00F040D6"/>
    <w:rsid w:val="00F0430D"/>
    <w:rsid w:val="00F04B59"/>
    <w:rsid w:val="00F04CAC"/>
    <w:rsid w:val="00F04F47"/>
    <w:rsid w:val="00F051DB"/>
    <w:rsid w:val="00F05CEC"/>
    <w:rsid w:val="00F05F2F"/>
    <w:rsid w:val="00F05F7B"/>
    <w:rsid w:val="00F06450"/>
    <w:rsid w:val="00F06687"/>
    <w:rsid w:val="00F06B5A"/>
    <w:rsid w:val="00F07321"/>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CA"/>
    <w:rsid w:val="00F2104E"/>
    <w:rsid w:val="00F21396"/>
    <w:rsid w:val="00F21DA1"/>
    <w:rsid w:val="00F21FF5"/>
    <w:rsid w:val="00F222F3"/>
    <w:rsid w:val="00F225C3"/>
    <w:rsid w:val="00F225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BC"/>
    <w:rsid w:val="00F36779"/>
    <w:rsid w:val="00F36F5F"/>
    <w:rsid w:val="00F3704E"/>
    <w:rsid w:val="00F37099"/>
    <w:rsid w:val="00F373A7"/>
    <w:rsid w:val="00F378AF"/>
    <w:rsid w:val="00F378B8"/>
    <w:rsid w:val="00F40060"/>
    <w:rsid w:val="00F400E3"/>
    <w:rsid w:val="00F4010F"/>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DFF"/>
    <w:rsid w:val="00F5403C"/>
    <w:rsid w:val="00F54553"/>
    <w:rsid w:val="00F546B3"/>
    <w:rsid w:val="00F5506D"/>
    <w:rsid w:val="00F56883"/>
    <w:rsid w:val="00F56A4A"/>
    <w:rsid w:val="00F56C72"/>
    <w:rsid w:val="00F56D5B"/>
    <w:rsid w:val="00F56E22"/>
    <w:rsid w:val="00F573C8"/>
    <w:rsid w:val="00F574C0"/>
    <w:rsid w:val="00F574DE"/>
    <w:rsid w:val="00F578D8"/>
    <w:rsid w:val="00F578F6"/>
    <w:rsid w:val="00F57AE9"/>
    <w:rsid w:val="00F57D0E"/>
    <w:rsid w:val="00F57E0A"/>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5249"/>
    <w:rsid w:val="00F655AE"/>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AD8"/>
    <w:rsid w:val="00F70CF4"/>
    <w:rsid w:val="00F712DD"/>
    <w:rsid w:val="00F719B1"/>
    <w:rsid w:val="00F71A14"/>
    <w:rsid w:val="00F71D58"/>
    <w:rsid w:val="00F71E0E"/>
    <w:rsid w:val="00F71E11"/>
    <w:rsid w:val="00F72132"/>
    <w:rsid w:val="00F72E82"/>
    <w:rsid w:val="00F72E9B"/>
    <w:rsid w:val="00F72F82"/>
    <w:rsid w:val="00F73032"/>
    <w:rsid w:val="00F73459"/>
    <w:rsid w:val="00F73531"/>
    <w:rsid w:val="00F735CE"/>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9FC"/>
    <w:rsid w:val="00F820C6"/>
    <w:rsid w:val="00F820F9"/>
    <w:rsid w:val="00F822D4"/>
    <w:rsid w:val="00F823FF"/>
    <w:rsid w:val="00F82593"/>
    <w:rsid w:val="00F82796"/>
    <w:rsid w:val="00F8295A"/>
    <w:rsid w:val="00F83015"/>
    <w:rsid w:val="00F83229"/>
    <w:rsid w:val="00F8406B"/>
    <w:rsid w:val="00F84680"/>
    <w:rsid w:val="00F8470F"/>
    <w:rsid w:val="00F849AE"/>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C92"/>
    <w:rsid w:val="00F95E57"/>
    <w:rsid w:val="00F9628F"/>
    <w:rsid w:val="00F9629A"/>
    <w:rsid w:val="00F966E9"/>
    <w:rsid w:val="00F96CD0"/>
    <w:rsid w:val="00F9723F"/>
    <w:rsid w:val="00F97521"/>
    <w:rsid w:val="00F9761C"/>
    <w:rsid w:val="00F97832"/>
    <w:rsid w:val="00FA02D9"/>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56E0"/>
    <w:rsid w:val="00FA56F9"/>
    <w:rsid w:val="00FA59A6"/>
    <w:rsid w:val="00FA5A13"/>
    <w:rsid w:val="00FA5C02"/>
    <w:rsid w:val="00FA61AF"/>
    <w:rsid w:val="00FA6744"/>
    <w:rsid w:val="00FA6F82"/>
    <w:rsid w:val="00FA7365"/>
    <w:rsid w:val="00FA766B"/>
    <w:rsid w:val="00FA7819"/>
    <w:rsid w:val="00FA788D"/>
    <w:rsid w:val="00FA79AB"/>
    <w:rsid w:val="00FA7E21"/>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834"/>
    <w:rsid w:val="00FC19A7"/>
    <w:rsid w:val="00FC233F"/>
    <w:rsid w:val="00FC2370"/>
    <w:rsid w:val="00FC24F9"/>
    <w:rsid w:val="00FC257F"/>
    <w:rsid w:val="00FC27FB"/>
    <w:rsid w:val="00FC2A24"/>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338"/>
    <w:rsid w:val="00FD07E1"/>
    <w:rsid w:val="00FD093B"/>
    <w:rsid w:val="00FD0FFB"/>
    <w:rsid w:val="00FD1218"/>
    <w:rsid w:val="00FD1662"/>
    <w:rsid w:val="00FD1717"/>
    <w:rsid w:val="00FD19C1"/>
    <w:rsid w:val="00FD28C6"/>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ED4"/>
    <w:rsid w:val="00FD7559"/>
    <w:rsid w:val="00FD77E8"/>
    <w:rsid w:val="00FD7928"/>
    <w:rsid w:val="00FE02AE"/>
    <w:rsid w:val="00FE0A93"/>
    <w:rsid w:val="00FE168F"/>
    <w:rsid w:val="00FE1D68"/>
    <w:rsid w:val="00FE1F02"/>
    <w:rsid w:val="00FE1F93"/>
    <w:rsid w:val="00FE2369"/>
    <w:rsid w:val="00FE24D4"/>
    <w:rsid w:val="00FE2908"/>
    <w:rsid w:val="00FE2BCA"/>
    <w:rsid w:val="00FE2DA3"/>
    <w:rsid w:val="00FE3500"/>
    <w:rsid w:val="00FE3767"/>
    <w:rsid w:val="00FE3769"/>
    <w:rsid w:val="00FE3870"/>
    <w:rsid w:val="00FE398D"/>
    <w:rsid w:val="00FE41A4"/>
    <w:rsid w:val="00FE4476"/>
    <w:rsid w:val="00FE469A"/>
    <w:rsid w:val="00FE4E40"/>
    <w:rsid w:val="00FE51A1"/>
    <w:rsid w:val="00FE6094"/>
    <w:rsid w:val="00FE626A"/>
    <w:rsid w:val="00FE6886"/>
    <w:rsid w:val="00FE6AA9"/>
    <w:rsid w:val="00FE73A3"/>
    <w:rsid w:val="00FF0E03"/>
    <w:rsid w:val="00FF0FC1"/>
    <w:rsid w:val="00FF183E"/>
    <w:rsid w:val="00FF1B81"/>
    <w:rsid w:val="00FF1E7B"/>
    <w:rsid w:val="00FF1F30"/>
    <w:rsid w:val="00FF1FDF"/>
    <w:rsid w:val="00FF23CA"/>
    <w:rsid w:val="00FF23EF"/>
    <w:rsid w:val="00FF32AB"/>
    <w:rsid w:val="00FF3331"/>
    <w:rsid w:val="00FF3475"/>
    <w:rsid w:val="00FF382A"/>
    <w:rsid w:val="00FF3C88"/>
    <w:rsid w:val="00FF3CC1"/>
    <w:rsid w:val="00FF3D43"/>
    <w:rsid w:val="00FF3F20"/>
    <w:rsid w:val="00FF4262"/>
    <w:rsid w:val="00FF430F"/>
    <w:rsid w:val="00FF48A9"/>
    <w:rsid w:val="00FF50F4"/>
    <w:rsid w:val="00FF53BF"/>
    <w:rsid w:val="00FF593D"/>
    <w:rsid w:val="00FF59B2"/>
    <w:rsid w:val="00FF5E7B"/>
    <w:rsid w:val="00FF624D"/>
    <w:rsid w:val="00FF66F8"/>
    <w:rsid w:val="00FF6722"/>
    <w:rsid w:val="00FF680E"/>
    <w:rsid w:val="00FF68DB"/>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14:docId w14:val="5DFE918D"/>
  <w15:docId w15:val="{70B516EC-0408-4ED1-ADE8-10A8B37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1CDB"/>
    <w:rPr>
      <w:sz w:val="24"/>
      <w:szCs w:val="24"/>
    </w:rPr>
  </w:style>
  <w:style w:type="paragraph" w:styleId="Heading1">
    <w:name w:val="heading 1"/>
    <w:basedOn w:val="BodyText"/>
    <w:next w:val="BodyText"/>
    <w:link w:val="Heading1Char"/>
    <w:rsid w:val="00501CD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01CD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01CDB"/>
    <w:pPr>
      <w:spacing w:before="560" w:line="320" w:lineRule="exact"/>
      <w:ind w:left="0" w:firstLine="0"/>
      <w:outlineLvl w:val="2"/>
    </w:pPr>
    <w:rPr>
      <w:sz w:val="26"/>
    </w:rPr>
  </w:style>
  <w:style w:type="paragraph" w:styleId="Heading4">
    <w:name w:val="heading 4"/>
    <w:basedOn w:val="Heading3"/>
    <w:next w:val="BodyText"/>
    <w:link w:val="Heading4Char"/>
    <w:qFormat/>
    <w:rsid w:val="00501CDB"/>
    <w:pPr>
      <w:spacing w:before="480"/>
      <w:outlineLvl w:val="3"/>
    </w:pPr>
    <w:rPr>
      <w:b w:val="0"/>
      <w:sz w:val="24"/>
    </w:rPr>
  </w:style>
  <w:style w:type="paragraph" w:styleId="Heading5">
    <w:name w:val="heading 5"/>
    <w:basedOn w:val="Heading4"/>
    <w:next w:val="BodyText"/>
    <w:link w:val="Heading5Char"/>
    <w:qFormat/>
    <w:rsid w:val="00501CDB"/>
    <w:pPr>
      <w:outlineLvl w:val="4"/>
    </w:pPr>
    <w:rPr>
      <w:i/>
      <w:sz w:val="22"/>
    </w:rPr>
  </w:style>
  <w:style w:type="paragraph" w:styleId="Heading6">
    <w:name w:val="heading 6"/>
    <w:basedOn w:val="BodyText"/>
    <w:next w:val="BodyText"/>
    <w:rsid w:val="00501CDB"/>
    <w:pPr>
      <w:spacing w:after="60"/>
      <w:jc w:val="left"/>
      <w:outlineLvl w:val="5"/>
    </w:pPr>
    <w:rPr>
      <w:i/>
      <w:sz w:val="22"/>
    </w:rPr>
  </w:style>
  <w:style w:type="paragraph" w:styleId="Heading7">
    <w:name w:val="heading 7"/>
    <w:basedOn w:val="BodyText"/>
    <w:next w:val="BodyText"/>
    <w:rsid w:val="00501CDB"/>
    <w:pPr>
      <w:spacing w:after="60" w:line="240" w:lineRule="auto"/>
      <w:jc w:val="left"/>
      <w:outlineLvl w:val="6"/>
    </w:pPr>
    <w:rPr>
      <w:rFonts w:ascii="Arial" w:hAnsi="Arial"/>
      <w:sz w:val="20"/>
    </w:rPr>
  </w:style>
  <w:style w:type="paragraph" w:styleId="Heading8">
    <w:name w:val="heading 8"/>
    <w:basedOn w:val="BodyText"/>
    <w:next w:val="BodyText"/>
    <w:rsid w:val="00501CDB"/>
    <w:pPr>
      <w:spacing w:after="60" w:line="240" w:lineRule="auto"/>
      <w:jc w:val="left"/>
      <w:outlineLvl w:val="7"/>
    </w:pPr>
    <w:rPr>
      <w:rFonts w:ascii="Arial" w:hAnsi="Arial"/>
      <w:i/>
      <w:sz w:val="20"/>
    </w:rPr>
  </w:style>
  <w:style w:type="paragraph" w:styleId="Heading9">
    <w:name w:val="heading 9"/>
    <w:basedOn w:val="BodyText"/>
    <w:next w:val="BodyText"/>
    <w:rsid w:val="00501CD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01C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1CDB"/>
  </w:style>
  <w:style w:type="paragraph" w:styleId="BodyText">
    <w:name w:val="Body Text"/>
    <w:aliases w:val="new legislation style,Body Text Char1 Char,Body Text Char Char Char,Body Text Char1 Char Char Char,Body Text Char Char Char Char Char1,Body Text Char2 Char1 Char Char Char Char Char,Body Text Char1,new legislation style Char1"/>
    <w:link w:val="BodyTextChar"/>
    <w:qFormat/>
    <w:rsid w:val="00501CDB"/>
    <w:pPr>
      <w:spacing w:before="240" w:line="300" w:lineRule="atLeast"/>
      <w:jc w:val="both"/>
    </w:pPr>
    <w:rPr>
      <w:sz w:val="24"/>
    </w:rPr>
  </w:style>
  <w:style w:type="paragraph" w:customStyle="1" w:styleId="Chapter">
    <w:name w:val="Chapter"/>
    <w:basedOn w:val="Heading1"/>
    <w:next w:val="BodyText"/>
    <w:link w:val="ChapterChar"/>
    <w:semiHidden/>
    <w:rsid w:val="00501CDB"/>
    <w:pPr>
      <w:ind w:left="0" w:firstLine="0"/>
      <w:outlineLvl w:val="9"/>
    </w:pPr>
  </w:style>
  <w:style w:type="paragraph" w:customStyle="1" w:styleId="SequenceInfo">
    <w:name w:val="Sequence Info"/>
    <w:basedOn w:val="BodyText"/>
    <w:semiHidden/>
    <w:rsid w:val="00501CDB"/>
    <w:rPr>
      <w:vanish/>
      <w:sz w:val="16"/>
    </w:rPr>
  </w:style>
  <w:style w:type="character" w:styleId="CommentReference">
    <w:name w:val="annotation reference"/>
    <w:basedOn w:val="DefaultParagraphFont"/>
    <w:semiHidden/>
    <w:rsid w:val="00501CDB"/>
    <w:rPr>
      <w:b/>
      <w:vanish/>
      <w:color w:val="FF00FF"/>
      <w:sz w:val="20"/>
    </w:rPr>
  </w:style>
  <w:style w:type="paragraph" w:styleId="CommentText">
    <w:name w:val="annotation text"/>
    <w:basedOn w:val="Normal"/>
    <w:link w:val="CommentTextChar"/>
    <w:semiHidden/>
    <w:rsid w:val="00501CDB"/>
    <w:pPr>
      <w:spacing w:before="120" w:line="240" w:lineRule="atLeast"/>
      <w:ind w:left="567" w:hanging="567"/>
    </w:pPr>
    <w:rPr>
      <w:sz w:val="20"/>
    </w:rPr>
  </w:style>
  <w:style w:type="paragraph" w:customStyle="1" w:styleId="Abbreviation">
    <w:name w:val="Abbreviation"/>
    <w:basedOn w:val="BodyText"/>
    <w:rsid w:val="00501CDB"/>
    <w:pPr>
      <w:spacing w:before="120"/>
      <w:ind w:left="2381" w:hanging="2381"/>
      <w:jc w:val="left"/>
    </w:pPr>
  </w:style>
  <w:style w:type="paragraph" w:customStyle="1" w:styleId="Box">
    <w:name w:val="Box"/>
    <w:basedOn w:val="BodyText"/>
    <w:link w:val="BoxChar"/>
    <w:qFormat/>
    <w:rsid w:val="00501CDB"/>
    <w:pPr>
      <w:keepNext/>
      <w:spacing w:before="120" w:line="260" w:lineRule="atLeast"/>
    </w:pPr>
    <w:rPr>
      <w:rFonts w:ascii="Arial" w:hAnsi="Arial"/>
      <w:sz w:val="20"/>
    </w:rPr>
  </w:style>
  <w:style w:type="paragraph" w:customStyle="1" w:styleId="QuoteBullet">
    <w:name w:val="Quote Bullet"/>
    <w:basedOn w:val="Quote"/>
    <w:rsid w:val="00501CDB"/>
    <w:pPr>
      <w:numPr>
        <w:numId w:val="11"/>
      </w:numPr>
    </w:pPr>
  </w:style>
  <w:style w:type="paragraph" w:customStyle="1" w:styleId="BoxListBullet">
    <w:name w:val="Box List Bullet"/>
    <w:basedOn w:val="BodyText"/>
    <w:link w:val="BoxListBulletChar"/>
    <w:rsid w:val="00501CDB"/>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501CDB"/>
    <w:pPr>
      <w:numPr>
        <w:numId w:val="3"/>
      </w:numPr>
      <w:ind w:left="568" w:hanging="284"/>
    </w:pPr>
  </w:style>
  <w:style w:type="paragraph" w:customStyle="1" w:styleId="BoxListNumber">
    <w:name w:val="Box List Number"/>
    <w:basedOn w:val="BodyText"/>
    <w:rsid w:val="00501CDB"/>
    <w:pPr>
      <w:keepNext/>
      <w:numPr>
        <w:numId w:val="15"/>
      </w:numPr>
      <w:spacing w:before="100" w:line="260" w:lineRule="atLeast"/>
    </w:pPr>
    <w:rPr>
      <w:rFonts w:ascii="Arial" w:hAnsi="Arial"/>
      <w:sz w:val="20"/>
    </w:rPr>
  </w:style>
  <w:style w:type="paragraph" w:customStyle="1" w:styleId="BoxListNumber2">
    <w:name w:val="Box List Number 2"/>
    <w:basedOn w:val="BoxListNumber"/>
    <w:rsid w:val="00501CDB"/>
    <w:pPr>
      <w:numPr>
        <w:ilvl w:val="1"/>
      </w:numPr>
      <w:ind w:left="681" w:hanging="397"/>
    </w:pPr>
  </w:style>
  <w:style w:type="paragraph" w:customStyle="1" w:styleId="BoxQuote">
    <w:name w:val="Box Quote"/>
    <w:basedOn w:val="BodyText"/>
    <w:next w:val="Box"/>
    <w:qFormat/>
    <w:rsid w:val="00501CDB"/>
    <w:pPr>
      <w:keepNext/>
      <w:spacing w:before="60" w:line="240" w:lineRule="exact"/>
      <w:ind w:left="284"/>
    </w:pPr>
    <w:rPr>
      <w:rFonts w:ascii="Arial" w:hAnsi="Arial"/>
      <w:sz w:val="18"/>
    </w:rPr>
  </w:style>
  <w:style w:type="paragraph" w:customStyle="1" w:styleId="BoxSource">
    <w:name w:val="Box Source"/>
    <w:basedOn w:val="Source"/>
    <w:next w:val="BodyText"/>
    <w:rsid w:val="00501CDB"/>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501CDB"/>
    <w:pPr>
      <w:spacing w:after="80" w:line="200" w:lineRule="exact"/>
      <w:ind w:firstLine="0"/>
    </w:pPr>
    <w:rPr>
      <w:b w:val="0"/>
      <w:sz w:val="20"/>
    </w:rPr>
  </w:style>
  <w:style w:type="paragraph" w:customStyle="1" w:styleId="BoxTitle">
    <w:name w:val="Box Title"/>
    <w:basedOn w:val="Caption"/>
    <w:next w:val="BoxSubtitle"/>
    <w:link w:val="BoxTitleChar"/>
    <w:rsid w:val="00501CDB"/>
    <w:pPr>
      <w:spacing w:before="120" w:after="0"/>
    </w:pPr>
  </w:style>
  <w:style w:type="paragraph" w:styleId="Caption">
    <w:name w:val="caption"/>
    <w:basedOn w:val="Normal"/>
    <w:next w:val="BodyText"/>
    <w:rsid w:val="00501CDB"/>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501CDB"/>
    <w:pPr>
      <w:spacing w:line="280" w:lineRule="atLeast"/>
      <w:ind w:left="907"/>
    </w:pPr>
    <w:rPr>
      <w:rFonts w:ascii="Arial" w:hAnsi="Arial"/>
      <w:b/>
      <w:sz w:val="20"/>
    </w:rPr>
  </w:style>
  <w:style w:type="character" w:customStyle="1" w:styleId="DocumentInfo">
    <w:name w:val="Document Info"/>
    <w:basedOn w:val="DefaultParagraphFont"/>
    <w:semiHidden/>
    <w:rsid w:val="00501CDB"/>
    <w:rPr>
      <w:rFonts w:ascii="Arial" w:hAnsi="Arial"/>
      <w:sz w:val="14"/>
    </w:rPr>
  </w:style>
  <w:style w:type="paragraph" w:styleId="Footer">
    <w:name w:val="footer"/>
    <w:basedOn w:val="BodyText"/>
    <w:link w:val="FooterChar"/>
    <w:rsid w:val="00501CDB"/>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501CDB"/>
    <w:rPr>
      <w:b/>
      <w:color w:val="FF0000"/>
      <w:sz w:val="24"/>
      <w:u w:val="dotted"/>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1 Char1"/>
    <w:basedOn w:val="DefaultParagraphFont"/>
    <w:link w:val="BodyText"/>
    <w:rsid w:val="00501CDB"/>
    <w:rPr>
      <w:sz w:val="24"/>
    </w:rPr>
  </w:style>
  <w:style w:type="paragraph" w:customStyle="1" w:styleId="Figure">
    <w:name w:val="Figure"/>
    <w:basedOn w:val="BodyText"/>
    <w:rsid w:val="00501CDB"/>
    <w:pPr>
      <w:keepNext/>
      <w:spacing w:before="120" w:after="120" w:line="240" w:lineRule="atLeast"/>
      <w:jc w:val="center"/>
    </w:pPr>
  </w:style>
  <w:style w:type="paragraph" w:customStyle="1" w:styleId="FigureTitle">
    <w:name w:val="Figure Title"/>
    <w:basedOn w:val="Caption"/>
    <w:next w:val="Subtitle"/>
    <w:rsid w:val="00501CDB"/>
    <w:pPr>
      <w:spacing w:before="120"/>
    </w:pPr>
  </w:style>
  <w:style w:type="paragraph" w:styleId="Subtitle">
    <w:name w:val="Subtitle"/>
    <w:basedOn w:val="Caption"/>
    <w:link w:val="SubtitleChar"/>
    <w:qFormat/>
    <w:rsid w:val="00501CDB"/>
    <w:pPr>
      <w:spacing w:before="0" w:line="200" w:lineRule="exact"/>
      <w:ind w:firstLine="0"/>
    </w:pPr>
    <w:rPr>
      <w:b w:val="0"/>
      <w:sz w:val="20"/>
    </w:rPr>
  </w:style>
  <w:style w:type="paragraph" w:customStyle="1" w:styleId="Finding">
    <w:name w:val="Finding"/>
    <w:basedOn w:val="BodyText"/>
    <w:rsid w:val="00501CDB"/>
    <w:pPr>
      <w:keepLines/>
      <w:spacing w:before="120" w:line="280" w:lineRule="atLeast"/>
    </w:pPr>
    <w:rPr>
      <w:rFonts w:ascii="Arial" w:hAnsi="Arial"/>
      <w:sz w:val="22"/>
    </w:rPr>
  </w:style>
  <w:style w:type="paragraph" w:customStyle="1" w:styleId="FindingBullet">
    <w:name w:val="Finding Bullet"/>
    <w:basedOn w:val="Finding"/>
    <w:rsid w:val="00501CDB"/>
    <w:pPr>
      <w:numPr>
        <w:numId w:val="7"/>
      </w:numPr>
      <w:spacing w:before="80"/>
    </w:pPr>
  </w:style>
  <w:style w:type="paragraph" w:customStyle="1" w:styleId="FindingNoTitle">
    <w:name w:val="Finding NoTitle"/>
    <w:basedOn w:val="Finding"/>
    <w:rsid w:val="00501CDB"/>
    <w:pPr>
      <w:spacing w:before="240"/>
    </w:pPr>
  </w:style>
  <w:style w:type="paragraph" w:customStyle="1" w:styleId="FindingTitle">
    <w:name w:val="Finding Title"/>
    <w:basedOn w:val="RecTitle"/>
    <w:next w:val="Finding"/>
    <w:rsid w:val="00501CDB"/>
  </w:style>
  <w:style w:type="paragraph" w:customStyle="1" w:styleId="FooterEnd">
    <w:name w:val="Footer End"/>
    <w:basedOn w:val="Footer"/>
    <w:rsid w:val="00501CDB"/>
    <w:pPr>
      <w:spacing w:before="0" w:line="20" w:lineRule="exact"/>
    </w:pPr>
  </w:style>
  <w:style w:type="character" w:styleId="FootnoteReference">
    <w:name w:val="footnote reference"/>
    <w:basedOn w:val="DefaultParagraphFont"/>
    <w:semiHidden/>
    <w:rsid w:val="00501CDB"/>
    <w:rPr>
      <w:rFonts w:ascii="Times New Roman" w:hAnsi="Times New Roman"/>
      <w:position w:val="6"/>
      <w:sz w:val="20"/>
      <w:vertAlign w:val="baseline"/>
    </w:rPr>
  </w:style>
  <w:style w:type="paragraph" w:styleId="FootnoteText">
    <w:name w:val="footnote text"/>
    <w:basedOn w:val="BodyText"/>
    <w:rsid w:val="00501CDB"/>
    <w:pPr>
      <w:tabs>
        <w:tab w:val="left" w:pos="284"/>
      </w:tabs>
      <w:spacing w:before="80" w:line="240" w:lineRule="exact"/>
      <w:ind w:left="284" w:hanging="284"/>
    </w:pPr>
    <w:rPr>
      <w:sz w:val="20"/>
    </w:rPr>
  </w:style>
  <w:style w:type="paragraph" w:styleId="Header">
    <w:name w:val="header"/>
    <w:basedOn w:val="BodyText"/>
    <w:rsid w:val="00501CD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01CDB"/>
    <w:pPr>
      <w:spacing w:line="20" w:lineRule="exact"/>
    </w:pPr>
    <w:rPr>
      <w:sz w:val="16"/>
    </w:rPr>
  </w:style>
  <w:style w:type="paragraph" w:customStyle="1" w:styleId="HeaderEven">
    <w:name w:val="Header Even"/>
    <w:basedOn w:val="Header"/>
    <w:rsid w:val="00501CDB"/>
  </w:style>
  <w:style w:type="paragraph" w:customStyle="1" w:styleId="HeaderOdd">
    <w:name w:val="Header Odd"/>
    <w:basedOn w:val="Header"/>
    <w:rsid w:val="00501CDB"/>
  </w:style>
  <w:style w:type="paragraph" w:customStyle="1" w:styleId="InformationRequest">
    <w:name w:val="Information Request"/>
    <w:basedOn w:val="Finding"/>
    <w:next w:val="BodyText"/>
    <w:rsid w:val="00501CDB"/>
    <w:rPr>
      <w:i/>
    </w:rPr>
  </w:style>
  <w:style w:type="paragraph" w:styleId="ListBullet">
    <w:name w:val="List Bullet"/>
    <w:basedOn w:val="BodyText"/>
    <w:rsid w:val="00501CDB"/>
    <w:pPr>
      <w:numPr>
        <w:numId w:val="5"/>
      </w:numPr>
      <w:spacing w:before="120"/>
    </w:pPr>
  </w:style>
  <w:style w:type="paragraph" w:styleId="ListBullet2">
    <w:name w:val="List Bullet 2"/>
    <w:basedOn w:val="BodyText"/>
    <w:rsid w:val="00501CDB"/>
    <w:pPr>
      <w:numPr>
        <w:numId w:val="2"/>
      </w:numPr>
      <w:spacing w:before="120"/>
    </w:pPr>
  </w:style>
  <w:style w:type="paragraph" w:styleId="ListBullet3">
    <w:name w:val="List Bullet 3"/>
    <w:basedOn w:val="BodyText"/>
    <w:rsid w:val="00501CDB"/>
    <w:pPr>
      <w:numPr>
        <w:numId w:val="1"/>
      </w:numPr>
      <w:spacing w:before="120"/>
      <w:ind w:left="1020" w:hanging="340"/>
    </w:pPr>
  </w:style>
  <w:style w:type="paragraph" w:styleId="ListNumber">
    <w:name w:val="List Number"/>
    <w:basedOn w:val="BodyText"/>
    <w:rsid w:val="00501CDB"/>
    <w:pPr>
      <w:numPr>
        <w:numId w:val="14"/>
      </w:numPr>
      <w:spacing w:before="120"/>
    </w:pPr>
  </w:style>
  <w:style w:type="paragraph" w:styleId="ListNumber2">
    <w:name w:val="List Number 2"/>
    <w:basedOn w:val="ListNumber"/>
    <w:rsid w:val="00501CDB"/>
    <w:pPr>
      <w:numPr>
        <w:ilvl w:val="1"/>
      </w:numPr>
    </w:pPr>
  </w:style>
  <w:style w:type="paragraph" w:styleId="ListNumber3">
    <w:name w:val="List Number 3"/>
    <w:basedOn w:val="ListNumber2"/>
    <w:rsid w:val="00501CDB"/>
    <w:pPr>
      <w:numPr>
        <w:ilvl w:val="2"/>
      </w:numPr>
    </w:pPr>
  </w:style>
  <w:style w:type="paragraph" w:customStyle="1" w:styleId="Note">
    <w:name w:val="Note"/>
    <w:basedOn w:val="BodyText"/>
    <w:next w:val="BodyText"/>
    <w:link w:val="NoteChar"/>
    <w:rsid w:val="00501CDB"/>
    <w:pPr>
      <w:keepLines/>
      <w:spacing w:before="80" w:line="220" w:lineRule="exact"/>
    </w:pPr>
    <w:rPr>
      <w:rFonts w:ascii="Arial" w:hAnsi="Arial"/>
      <w:sz w:val="18"/>
    </w:rPr>
  </w:style>
  <w:style w:type="character" w:customStyle="1" w:styleId="NoteLabel">
    <w:name w:val="Note Label"/>
    <w:basedOn w:val="DefaultParagraphFont"/>
    <w:rsid w:val="00501CDB"/>
    <w:rPr>
      <w:rFonts w:ascii="Arial" w:hAnsi="Arial"/>
      <w:b/>
      <w:position w:val="6"/>
      <w:sz w:val="18"/>
    </w:rPr>
  </w:style>
  <w:style w:type="character" w:styleId="PageNumber">
    <w:name w:val="page number"/>
    <w:basedOn w:val="DefaultParagraphFont"/>
    <w:rsid w:val="00501CDB"/>
    <w:rPr>
      <w:rFonts w:ascii="Arial" w:hAnsi="Arial"/>
      <w:b/>
      <w:sz w:val="16"/>
    </w:rPr>
  </w:style>
  <w:style w:type="paragraph" w:customStyle="1" w:styleId="PartDivider">
    <w:name w:val="Part Divider"/>
    <w:basedOn w:val="BodyText"/>
    <w:next w:val="BodyText"/>
    <w:semiHidden/>
    <w:rsid w:val="00501CDB"/>
    <w:pPr>
      <w:spacing w:before="0" w:line="40" w:lineRule="exact"/>
      <w:jc w:val="right"/>
    </w:pPr>
    <w:rPr>
      <w:smallCaps/>
      <w:sz w:val="16"/>
    </w:rPr>
  </w:style>
  <w:style w:type="paragraph" w:customStyle="1" w:styleId="PartNumber">
    <w:name w:val="Part Number"/>
    <w:basedOn w:val="BodyText"/>
    <w:next w:val="BodyText"/>
    <w:semiHidden/>
    <w:rsid w:val="00501CDB"/>
    <w:pPr>
      <w:spacing w:before="4000" w:line="320" w:lineRule="exact"/>
      <w:ind w:left="6634"/>
      <w:jc w:val="right"/>
    </w:pPr>
    <w:rPr>
      <w:smallCaps/>
      <w:spacing w:val="60"/>
      <w:sz w:val="32"/>
    </w:rPr>
  </w:style>
  <w:style w:type="paragraph" w:customStyle="1" w:styleId="PartTitle">
    <w:name w:val="Part Title"/>
    <w:basedOn w:val="BodyText"/>
    <w:semiHidden/>
    <w:rsid w:val="00501CDB"/>
    <w:pPr>
      <w:spacing w:before="160" w:after="1360" w:line="520" w:lineRule="exact"/>
      <w:ind w:right="2381"/>
      <w:jc w:val="right"/>
    </w:pPr>
    <w:rPr>
      <w:smallCaps/>
      <w:sz w:val="52"/>
    </w:rPr>
  </w:style>
  <w:style w:type="paragraph" w:styleId="Quote">
    <w:name w:val="Quote"/>
    <w:basedOn w:val="BodyText"/>
    <w:next w:val="BodyText"/>
    <w:qFormat/>
    <w:rsid w:val="00501CDB"/>
    <w:pPr>
      <w:spacing w:before="120" w:line="280" w:lineRule="exact"/>
      <w:ind w:left="340"/>
    </w:pPr>
    <w:rPr>
      <w:sz w:val="22"/>
    </w:rPr>
  </w:style>
  <w:style w:type="paragraph" w:customStyle="1" w:styleId="Rec">
    <w:name w:val="Rec"/>
    <w:basedOn w:val="BodyText"/>
    <w:qFormat/>
    <w:rsid w:val="00501CDB"/>
    <w:pPr>
      <w:keepLines/>
      <w:spacing w:before="120" w:line="280" w:lineRule="atLeast"/>
    </w:pPr>
    <w:rPr>
      <w:rFonts w:ascii="Arial" w:hAnsi="Arial"/>
      <w:sz w:val="22"/>
    </w:rPr>
  </w:style>
  <w:style w:type="paragraph" w:customStyle="1" w:styleId="RecBullet">
    <w:name w:val="Rec Bullet"/>
    <w:basedOn w:val="Rec"/>
    <w:rsid w:val="00501CDB"/>
    <w:pPr>
      <w:numPr>
        <w:numId w:val="8"/>
      </w:numPr>
      <w:spacing w:before="80"/>
    </w:pPr>
  </w:style>
  <w:style w:type="paragraph" w:customStyle="1" w:styleId="RecTitle">
    <w:name w:val="Rec Title"/>
    <w:basedOn w:val="BodyText"/>
    <w:next w:val="Rec"/>
    <w:qFormat/>
    <w:rsid w:val="00501CDB"/>
    <w:pPr>
      <w:keepNext/>
      <w:keepLines/>
      <w:spacing w:line="280" w:lineRule="atLeast"/>
    </w:pPr>
    <w:rPr>
      <w:rFonts w:ascii="Arial" w:hAnsi="Arial"/>
      <w:caps/>
      <w:sz w:val="18"/>
    </w:rPr>
  </w:style>
  <w:style w:type="paragraph" w:customStyle="1" w:styleId="RecB">
    <w:name w:val="RecB"/>
    <w:basedOn w:val="Normal"/>
    <w:rsid w:val="00501CDB"/>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01CDB"/>
    <w:pPr>
      <w:numPr>
        <w:numId w:val="9"/>
      </w:numPr>
      <w:spacing w:before="80"/>
    </w:pPr>
  </w:style>
  <w:style w:type="paragraph" w:customStyle="1" w:styleId="RecBNoTitle">
    <w:name w:val="RecB NoTitle"/>
    <w:basedOn w:val="RecB"/>
    <w:rsid w:val="00501CDB"/>
    <w:pPr>
      <w:spacing w:before="240"/>
    </w:pPr>
  </w:style>
  <w:style w:type="paragraph" w:customStyle="1" w:styleId="Reference">
    <w:name w:val="Reference"/>
    <w:basedOn w:val="BodyText"/>
    <w:rsid w:val="00501CDB"/>
    <w:pPr>
      <w:spacing w:before="120"/>
      <w:ind w:left="340" w:hanging="340"/>
    </w:pPr>
  </w:style>
  <w:style w:type="paragraph" w:customStyle="1" w:styleId="SideNote">
    <w:name w:val="Side Note"/>
    <w:basedOn w:val="BodyText"/>
    <w:next w:val="BodyText"/>
    <w:semiHidden/>
    <w:rsid w:val="00501CD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01CDB"/>
    <w:pPr>
      <w:framePr w:wrap="around"/>
      <w:numPr>
        <w:numId w:val="4"/>
      </w:numPr>
      <w:tabs>
        <w:tab w:val="left" w:pos="227"/>
      </w:tabs>
    </w:pPr>
  </w:style>
  <w:style w:type="paragraph" w:customStyle="1" w:styleId="SideNoteGraphic">
    <w:name w:val="Side Note Graphic"/>
    <w:basedOn w:val="SideNote"/>
    <w:next w:val="BodyText"/>
    <w:semiHidden/>
    <w:rsid w:val="00501CDB"/>
    <w:pPr>
      <w:framePr w:wrap="around"/>
    </w:pPr>
  </w:style>
  <w:style w:type="paragraph" w:customStyle="1" w:styleId="Source">
    <w:name w:val="Source"/>
    <w:basedOn w:val="Normal"/>
    <w:next w:val="BodyText"/>
    <w:rsid w:val="00501CDB"/>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501CDB"/>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501CDB"/>
    <w:pPr>
      <w:numPr>
        <w:numId w:val="10"/>
      </w:numPr>
      <w:jc w:val="left"/>
    </w:pPr>
  </w:style>
  <w:style w:type="paragraph" w:customStyle="1" w:styleId="TableColumnHeading">
    <w:name w:val="Table Column Heading"/>
    <w:basedOn w:val="TableBodyText"/>
    <w:rsid w:val="00501CDB"/>
    <w:pPr>
      <w:spacing w:before="80" w:after="80"/>
    </w:pPr>
    <w:rPr>
      <w:i/>
    </w:rPr>
  </w:style>
  <w:style w:type="paragraph" w:styleId="TableofFigures">
    <w:name w:val="table of figures"/>
    <w:basedOn w:val="TOC3"/>
    <w:next w:val="BodyText"/>
    <w:semiHidden/>
    <w:rsid w:val="00501CDB"/>
    <w:pPr>
      <w:ind w:left="737" w:hanging="737"/>
    </w:pPr>
  </w:style>
  <w:style w:type="paragraph" w:styleId="TOC3">
    <w:name w:val="toc 3"/>
    <w:basedOn w:val="TOC2"/>
    <w:rsid w:val="00501CDB"/>
    <w:pPr>
      <w:spacing w:before="60"/>
      <w:ind w:left="1190" w:hanging="680"/>
    </w:pPr>
  </w:style>
  <w:style w:type="paragraph" w:customStyle="1" w:styleId="TableTitle">
    <w:name w:val="Table Title"/>
    <w:basedOn w:val="Caption"/>
    <w:next w:val="Subtitle"/>
    <w:qFormat/>
    <w:rsid w:val="00501CDB"/>
    <w:pPr>
      <w:spacing w:before="120"/>
    </w:pPr>
  </w:style>
  <w:style w:type="paragraph" w:customStyle="1" w:styleId="TableUnitsRow">
    <w:name w:val="Table Units Row"/>
    <w:basedOn w:val="TableBodyText"/>
    <w:rsid w:val="00501CDB"/>
    <w:pPr>
      <w:spacing w:before="40"/>
    </w:pPr>
  </w:style>
  <w:style w:type="paragraph" w:styleId="TOC1">
    <w:name w:val="toc 1"/>
    <w:basedOn w:val="Normal"/>
    <w:next w:val="TOC2"/>
    <w:link w:val="TOC1Char"/>
    <w:rsid w:val="00501CDB"/>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501CDB"/>
    <w:pPr>
      <w:ind w:left="1134" w:hanging="624"/>
    </w:pPr>
    <w:rPr>
      <w:b w:val="0"/>
    </w:rPr>
  </w:style>
  <w:style w:type="paragraph" w:styleId="TOC4">
    <w:name w:val="toc 4"/>
    <w:basedOn w:val="TOC3"/>
    <w:semiHidden/>
    <w:rsid w:val="00501CDB"/>
    <w:pPr>
      <w:ind w:left="1191" w:firstLine="0"/>
    </w:pPr>
  </w:style>
  <w:style w:type="paragraph" w:customStyle="1" w:styleId="BoxContinued">
    <w:name w:val="Box Continued"/>
    <w:basedOn w:val="BodyText"/>
    <w:next w:val="BodyText"/>
    <w:link w:val="BoxContinuedChar"/>
    <w:semiHidden/>
    <w:rsid w:val="00501CDB"/>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501CDB"/>
  </w:style>
  <w:style w:type="paragraph" w:customStyle="1" w:styleId="BoxHeading1">
    <w:name w:val="Box Heading 1"/>
    <w:basedOn w:val="BodyText"/>
    <w:next w:val="Box"/>
    <w:link w:val="BoxHeading1Char"/>
    <w:rsid w:val="00501CDB"/>
    <w:pPr>
      <w:keepNext/>
      <w:spacing w:before="200" w:line="280" w:lineRule="atLeast"/>
    </w:pPr>
    <w:rPr>
      <w:rFonts w:ascii="Arial" w:hAnsi="Arial"/>
      <w:b/>
      <w:sz w:val="22"/>
    </w:rPr>
  </w:style>
  <w:style w:type="paragraph" w:customStyle="1" w:styleId="BoxHeading2">
    <w:name w:val="Box Heading 2"/>
    <w:basedOn w:val="BoxHeading1"/>
    <w:next w:val="Normal"/>
    <w:link w:val="BoxHeading2Char"/>
    <w:rsid w:val="00501CDB"/>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501CDB"/>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501CDB"/>
    <w:pPr>
      <w:spacing w:after="140"/>
      <w:jc w:val="both"/>
    </w:pPr>
    <w:rPr>
      <w:rFonts w:ascii="Arial" w:hAnsi="Arial"/>
      <w:sz w:val="24"/>
      <w:lang w:eastAsia="en-US"/>
    </w:rPr>
  </w:style>
  <w:style w:type="paragraph" w:customStyle="1" w:styleId="Jurisdictioncommentsheading">
    <w:name w:val="Jurisdiction comments heading"/>
    <w:rsid w:val="00501CD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01CDB"/>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50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501CDB"/>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BodyText2">
    <w:name w:val="Body Text 2"/>
    <w:basedOn w:val="Normal"/>
    <w:link w:val="BodyText2Char"/>
    <w:uiPriority w:val="99"/>
    <w:rsid w:val="00FD0338"/>
    <w:pPr>
      <w:spacing w:after="120" w:line="480" w:lineRule="auto"/>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501CDB"/>
    <w:pPr>
      <w:keepNext/>
      <w:spacing w:before="360" w:line="80" w:lineRule="exact"/>
      <w:jc w:val="left"/>
    </w:pPr>
  </w:style>
  <w:style w:type="paragraph" w:customStyle="1" w:styleId="RecBBullet2">
    <w:name w:val="RecB Bullet 2"/>
    <w:basedOn w:val="ListBullet2"/>
    <w:semiHidden/>
    <w:rsid w:val="00501CDB"/>
    <w:pPr>
      <w:pBdr>
        <w:left w:val="single" w:sz="24" w:space="29" w:color="C0C0C0"/>
      </w:pBdr>
    </w:pPr>
    <w:rPr>
      <w:b/>
      <w:i/>
    </w:rPr>
  </w:style>
  <w:style w:type="character" w:customStyle="1" w:styleId="BalloonTextChar">
    <w:name w:val="Balloon Text Char"/>
    <w:basedOn w:val="DefaultParagraphFont"/>
    <w:link w:val="BalloonText"/>
    <w:rsid w:val="00501CDB"/>
    <w:rPr>
      <w:rFonts w:ascii="Tahoma" w:hAnsi="Tahoma" w:cs="Tahoma"/>
      <w:sz w:val="16"/>
      <w:szCs w:val="16"/>
    </w:rPr>
  </w:style>
  <w:style w:type="character" w:customStyle="1" w:styleId="SubtitleChar">
    <w:name w:val="Subtitle Char"/>
    <w:basedOn w:val="DefaultParagraphFont"/>
    <w:link w:val="Subtitle"/>
    <w:rsid w:val="00501CDB"/>
    <w:rPr>
      <w:rFonts w:ascii="Arial" w:hAnsi="Arial"/>
      <w:szCs w:val="24"/>
    </w:rPr>
  </w:style>
  <w:style w:type="paragraph" w:customStyle="1" w:styleId="BoxListBullet3">
    <w:name w:val="Box List Bullet 3"/>
    <w:basedOn w:val="ListBullet3"/>
    <w:rsid w:val="00501CDB"/>
    <w:pPr>
      <w:numPr>
        <w:numId w:val="20"/>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01CDB"/>
    <w:rPr>
      <w:i/>
      <w:iCs/>
    </w:rPr>
  </w:style>
  <w:style w:type="paragraph" w:customStyle="1" w:styleId="BoxQuoteBullet">
    <w:name w:val="Box Quote Bullet"/>
    <w:basedOn w:val="BoxQuote"/>
    <w:next w:val="Box"/>
    <w:rsid w:val="00501CDB"/>
    <w:pPr>
      <w:numPr>
        <w:numId w:val="18"/>
      </w:numPr>
      <w:ind w:left="568" w:hanging="284"/>
    </w:pPr>
  </w:style>
  <w:style w:type="paragraph" w:customStyle="1" w:styleId="InformationRequestBullet">
    <w:name w:val="Information Request Bullet"/>
    <w:basedOn w:val="ListBullet"/>
    <w:next w:val="BodyText"/>
    <w:rsid w:val="00501CDB"/>
    <w:pPr>
      <w:numPr>
        <w:numId w:val="19"/>
      </w:numPr>
      <w:spacing w:before="80" w:line="280" w:lineRule="atLeast"/>
      <w:ind w:left="357" w:hanging="357"/>
    </w:pPr>
    <w:rPr>
      <w:rFonts w:ascii="Arial" w:hAnsi="Arial"/>
      <w:i/>
      <w:sz w:val="22"/>
    </w:rPr>
  </w:style>
  <w:style w:type="paragraph" w:customStyle="1" w:styleId="BoxSpaceBelow">
    <w:name w:val="Box Space Below"/>
    <w:basedOn w:val="Box"/>
    <w:rsid w:val="00501CDB"/>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501CDB"/>
    <w:pPr>
      <w:keepNext/>
      <w:numPr>
        <w:numId w:val="5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01CDB"/>
    <w:pPr>
      <w:numPr>
        <w:numId w:val="60"/>
      </w:numPr>
      <w:ind w:left="568" w:hanging="284"/>
    </w:pPr>
  </w:style>
  <w:style w:type="paragraph" w:customStyle="1" w:styleId="InformationRequestTitle">
    <w:name w:val="Information Request Title"/>
    <w:basedOn w:val="FindingTitle"/>
    <w:next w:val="InformationRequest"/>
    <w:rsid w:val="00501CDB"/>
    <w:rPr>
      <w:i/>
    </w:rPr>
  </w:style>
  <w:style w:type="paragraph" w:customStyle="1" w:styleId="Space">
    <w:name w:val="Space"/>
    <w:basedOn w:val="Normal"/>
    <w:rsid w:val="00501CDB"/>
    <w:pPr>
      <w:keepNext/>
      <w:spacing w:line="120" w:lineRule="exact"/>
      <w:jc w:val="both"/>
    </w:pPr>
    <w:rPr>
      <w:rFonts w:ascii="Arial" w:hAnsi="Arial"/>
      <w:sz w:val="20"/>
      <w:szCs w:val="20"/>
    </w:rPr>
  </w:style>
  <w:style w:type="paragraph" w:customStyle="1" w:styleId="Heading1nochapterno">
    <w:name w:val="Heading 1 (no chapter no.)"/>
    <w:basedOn w:val="Heading1"/>
    <w:rsid w:val="00501CDB"/>
    <w:pPr>
      <w:spacing w:before="0"/>
      <w:ind w:left="0" w:firstLine="0"/>
    </w:pPr>
  </w:style>
  <w:style w:type="paragraph" w:customStyle="1" w:styleId="Heading2nosectionno">
    <w:name w:val="Heading 2 (no section no.)"/>
    <w:basedOn w:val="Heading2"/>
    <w:rsid w:val="00501CDB"/>
    <w:pPr>
      <w:ind w:left="0" w:firstLine="0"/>
    </w:pPr>
  </w:style>
  <w:style w:type="paragraph" w:customStyle="1" w:styleId="Figurespace">
    <w:name w:val="Figure space"/>
    <w:basedOn w:val="Box"/>
    <w:rsid w:val="00501CDB"/>
    <w:pPr>
      <w:spacing w:before="0" w:line="120" w:lineRule="exact"/>
    </w:pPr>
  </w:style>
  <w:style w:type="paragraph" w:customStyle="1" w:styleId="FooterDraftReport">
    <w:name w:val="FooterDraftReport"/>
    <w:basedOn w:val="Footer"/>
    <w:link w:val="FooterDraftReportChar"/>
    <w:rsid w:val="00501CD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01CDB"/>
    <w:rPr>
      <w:rFonts w:ascii="Arial" w:hAnsi="Arial"/>
      <w:caps/>
      <w:spacing w:val="-4"/>
      <w:sz w:val="16"/>
    </w:rPr>
  </w:style>
  <w:style w:type="character" w:customStyle="1" w:styleId="FooterDraftReportChar">
    <w:name w:val="FooterDraftReport Char"/>
    <w:basedOn w:val="FooterChar"/>
    <w:link w:val="FooterDraftReport"/>
    <w:rsid w:val="00501CD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01CDB"/>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character" w:customStyle="1" w:styleId="BodyText2Char">
    <w:name w:val="Body Text 2 Char"/>
    <w:basedOn w:val="DefaultParagraphFont"/>
    <w:link w:val="BodyText2"/>
    <w:uiPriority w:val="99"/>
    <w:rsid w:val="00235FC8"/>
    <w:rPr>
      <w:sz w:val="24"/>
      <w:szCs w:val="24"/>
    </w:rPr>
  </w:style>
  <w:style w:type="paragraph" w:customStyle="1" w:styleId="Tablebullet">
    <w:name w:val="Table bullet"/>
    <w:basedOn w:val="Normal"/>
    <w:qFormat/>
    <w:rsid w:val="00235FC8"/>
    <w:pPr>
      <w:numPr>
        <w:numId w:val="65"/>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501CDB"/>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751D-72D0-4084-89C4-71B4ADD3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50</TotalTime>
  <Pages>31</Pages>
  <Words>8647</Words>
  <Characters>47970</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Chapter 7 Courts - Report on Government Services 2018</vt:lpstr>
    </vt:vector>
  </TitlesOfParts>
  <Company>Productivity Commission</Company>
  <LinksUpToDate>false</LinksUpToDate>
  <CharactersWithSpaces>56504</CharactersWithSpaces>
  <SharedDoc>false</SharedDoc>
  <HLinks>
    <vt:vector size="48" baseType="variant">
      <vt:variant>
        <vt:i4>1048637</vt:i4>
      </vt:variant>
      <vt:variant>
        <vt:i4>44</vt:i4>
      </vt:variant>
      <vt:variant>
        <vt:i4>0</vt:i4>
      </vt:variant>
      <vt:variant>
        <vt:i4>5</vt:i4>
      </vt:variant>
      <vt:variant>
        <vt:lpwstr/>
      </vt:variant>
      <vt:variant>
        <vt:lpwstr>_Toc239740230</vt:lpwstr>
      </vt:variant>
      <vt:variant>
        <vt:i4>1114173</vt:i4>
      </vt:variant>
      <vt:variant>
        <vt:i4>38</vt:i4>
      </vt:variant>
      <vt:variant>
        <vt:i4>0</vt:i4>
      </vt:variant>
      <vt:variant>
        <vt:i4>5</vt:i4>
      </vt:variant>
      <vt:variant>
        <vt:lpwstr/>
      </vt:variant>
      <vt:variant>
        <vt:lpwstr>_Toc239740229</vt:lpwstr>
      </vt:variant>
      <vt:variant>
        <vt:i4>1114173</vt:i4>
      </vt:variant>
      <vt:variant>
        <vt:i4>32</vt:i4>
      </vt:variant>
      <vt:variant>
        <vt:i4>0</vt:i4>
      </vt:variant>
      <vt:variant>
        <vt:i4>5</vt:i4>
      </vt:variant>
      <vt:variant>
        <vt:lpwstr/>
      </vt:variant>
      <vt:variant>
        <vt:lpwstr>_Toc239740228</vt:lpwstr>
      </vt:variant>
      <vt:variant>
        <vt:i4>1114173</vt:i4>
      </vt:variant>
      <vt:variant>
        <vt:i4>26</vt:i4>
      </vt:variant>
      <vt:variant>
        <vt:i4>0</vt:i4>
      </vt:variant>
      <vt:variant>
        <vt:i4>5</vt:i4>
      </vt:variant>
      <vt:variant>
        <vt:lpwstr/>
      </vt:variant>
      <vt:variant>
        <vt:lpwstr>_Toc239740227</vt:lpwstr>
      </vt:variant>
      <vt:variant>
        <vt:i4>1114173</vt:i4>
      </vt:variant>
      <vt:variant>
        <vt:i4>20</vt:i4>
      </vt:variant>
      <vt:variant>
        <vt:i4>0</vt:i4>
      </vt:variant>
      <vt:variant>
        <vt:i4>5</vt:i4>
      </vt:variant>
      <vt:variant>
        <vt:lpwstr/>
      </vt:variant>
      <vt:variant>
        <vt:lpwstr>_Toc239740226</vt:lpwstr>
      </vt:variant>
      <vt:variant>
        <vt:i4>1114173</vt:i4>
      </vt:variant>
      <vt:variant>
        <vt:i4>14</vt:i4>
      </vt:variant>
      <vt:variant>
        <vt:i4>0</vt:i4>
      </vt:variant>
      <vt:variant>
        <vt:i4>5</vt:i4>
      </vt:variant>
      <vt:variant>
        <vt:lpwstr/>
      </vt:variant>
      <vt:variant>
        <vt:lpwstr>_Toc239740225</vt:lpwstr>
      </vt:variant>
      <vt:variant>
        <vt:i4>1114173</vt:i4>
      </vt:variant>
      <vt:variant>
        <vt:i4>8</vt:i4>
      </vt:variant>
      <vt:variant>
        <vt:i4>0</vt:i4>
      </vt:variant>
      <vt:variant>
        <vt:i4>5</vt:i4>
      </vt:variant>
      <vt:variant>
        <vt:lpwstr/>
      </vt:variant>
      <vt:variant>
        <vt:lpwstr>_Toc239740224</vt:lpwstr>
      </vt:variant>
      <vt:variant>
        <vt:i4>1114173</vt:i4>
      </vt:variant>
      <vt:variant>
        <vt:i4>2</vt:i4>
      </vt:variant>
      <vt:variant>
        <vt:i4>0</vt:i4>
      </vt:variant>
      <vt:variant>
        <vt:i4>5</vt:i4>
      </vt:variant>
      <vt:variant>
        <vt:lpwstr/>
      </vt:variant>
      <vt:variant>
        <vt:lpwstr>_Toc239740223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Courts - Report on Government Services 2018</dc:title>
  <dc:subject/>
  <dc:creator>Steering Committee for the Review of Government Service Provision</dc:creator>
  <cp:lastModifiedBy>Frech, Tanya</cp:lastModifiedBy>
  <cp:revision>15</cp:revision>
  <cp:lastPrinted>2018-01-02T04:02:00Z</cp:lastPrinted>
  <dcterms:created xsi:type="dcterms:W3CDTF">2018-01-02T03:25:00Z</dcterms:created>
  <dcterms:modified xsi:type="dcterms:W3CDTF">2018-01-15T04:13:00Z</dcterms:modified>
</cp:coreProperties>
</file>