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FD5C6" w14:textId="77777777" w:rsidR="00A33DFF" w:rsidRDefault="00D937AB" w:rsidP="00D937AB">
      <w:pPr>
        <w:pStyle w:val="Heading1"/>
        <w:spacing w:before="0"/>
      </w:pPr>
      <w:bookmarkStart w:id="0" w:name="ChapterNumber"/>
      <w:bookmarkStart w:id="1" w:name="_GoBack"/>
      <w:bookmarkEnd w:id="1"/>
      <w:r>
        <w:t>12</w:t>
      </w:r>
      <w:bookmarkEnd w:id="0"/>
      <w:r>
        <w:tab/>
      </w:r>
      <w:bookmarkStart w:id="2" w:name="ChapterTitle"/>
      <w:r>
        <w:t>Public hospitals</w:t>
      </w:r>
      <w:bookmarkEnd w:id="2"/>
    </w:p>
    <w:p w14:paraId="0338EB45" w14:textId="77777777" w:rsidR="00666E02" w:rsidRPr="00F220B8" w:rsidRDefault="005F522C" w:rsidP="008C0402">
      <w:pPr>
        <w:pStyle w:val="TOC1"/>
        <w:rPr>
          <w:b w:val="0"/>
        </w:rPr>
      </w:pPr>
      <w:bookmarkStart w:id="3" w:name="begin"/>
      <w:bookmarkEnd w:id="3"/>
      <w:r w:rsidRPr="00F220B8">
        <w:rPr>
          <w:b w:val="0"/>
        </w:rPr>
        <w:t>CONTENTS</w:t>
      </w:r>
    </w:p>
    <w:sdt>
      <w:sdtPr>
        <w:rPr>
          <w:rFonts w:ascii="Times New Roman" w:hAnsi="Times New Roman"/>
          <w:b w:val="0"/>
          <w:kern w:val="28"/>
          <w:sz w:val="52"/>
          <w:szCs w:val="20"/>
          <w:lang w:eastAsia="en-AU"/>
        </w:rPr>
        <w:id w:val="64224512"/>
        <w:docPartObj>
          <w:docPartGallery w:val="Table of Contents"/>
          <w:docPartUnique/>
        </w:docPartObj>
      </w:sdtPr>
      <w:sdtEndPr>
        <w:rPr>
          <w:kern w:val="0"/>
          <w:sz w:val="24"/>
        </w:rPr>
      </w:sdtEndPr>
      <w:sdtContent>
        <w:p w14:paraId="39A65D7B" w14:textId="100DB147" w:rsidR="00673B8D" w:rsidRDefault="00673B8D">
          <w:pPr>
            <w:pStyle w:val="TOC1"/>
            <w:rPr>
              <w:rFonts w:asciiTheme="minorHAnsi" w:eastAsiaTheme="minorEastAsia" w:hAnsiTheme="minorHAnsi" w:cstheme="minorBidi"/>
              <w:b w:val="0"/>
              <w:noProof/>
              <w:sz w:val="22"/>
              <w:szCs w:val="22"/>
              <w:lang w:eastAsia="en-AU"/>
            </w:rPr>
          </w:pPr>
        </w:p>
        <w:p w14:paraId="3E5CFFFE" w14:textId="4EDD76A7" w:rsidR="00673B8D" w:rsidRDefault="00673B8D">
          <w:pPr>
            <w:pStyle w:val="TOC2"/>
            <w:tabs>
              <w:tab w:val="left" w:pos="1320"/>
            </w:tabs>
            <w:rPr>
              <w:rFonts w:asciiTheme="minorHAnsi" w:eastAsiaTheme="minorEastAsia" w:hAnsiTheme="minorHAnsi" w:cstheme="minorBidi"/>
              <w:noProof/>
              <w:sz w:val="22"/>
              <w:szCs w:val="22"/>
              <w:lang w:eastAsia="en-AU"/>
            </w:rPr>
          </w:pPr>
          <w:r>
            <w:rPr>
              <w:noProof/>
            </w:rPr>
            <w:t>12.1</w:t>
          </w:r>
          <w:r>
            <w:rPr>
              <w:rFonts w:asciiTheme="minorHAnsi" w:eastAsiaTheme="minorEastAsia" w:hAnsiTheme="minorHAnsi" w:cstheme="minorBidi"/>
              <w:noProof/>
              <w:sz w:val="22"/>
              <w:szCs w:val="22"/>
              <w:lang w:eastAsia="en-AU"/>
            </w:rPr>
            <w:tab/>
          </w:r>
          <w:r>
            <w:rPr>
              <w:noProof/>
            </w:rPr>
            <w:t>Profile of public hospitals</w:t>
          </w:r>
          <w:r>
            <w:rPr>
              <w:noProof/>
            </w:rPr>
            <w:tab/>
            <w:t>12.</w:t>
          </w:r>
          <w:r w:rsidR="007F3144">
            <w:rPr>
              <w:noProof/>
            </w:rPr>
            <w:t>1</w:t>
          </w:r>
        </w:p>
        <w:p w14:paraId="10D5889F" w14:textId="655245BA" w:rsidR="00673B8D" w:rsidRDefault="00673B8D">
          <w:pPr>
            <w:pStyle w:val="TOC2"/>
            <w:tabs>
              <w:tab w:val="left" w:pos="1320"/>
            </w:tabs>
            <w:rPr>
              <w:rFonts w:asciiTheme="minorHAnsi" w:eastAsiaTheme="minorEastAsia" w:hAnsiTheme="minorHAnsi" w:cstheme="minorBidi"/>
              <w:noProof/>
              <w:sz w:val="22"/>
              <w:szCs w:val="22"/>
              <w:lang w:eastAsia="en-AU"/>
            </w:rPr>
          </w:pPr>
          <w:r>
            <w:rPr>
              <w:noProof/>
            </w:rPr>
            <w:t>12.2</w:t>
          </w:r>
          <w:r>
            <w:rPr>
              <w:rFonts w:asciiTheme="minorHAnsi" w:eastAsiaTheme="minorEastAsia" w:hAnsiTheme="minorHAnsi" w:cstheme="minorBidi"/>
              <w:noProof/>
              <w:sz w:val="22"/>
              <w:szCs w:val="22"/>
              <w:lang w:eastAsia="en-AU"/>
            </w:rPr>
            <w:tab/>
          </w:r>
          <w:r>
            <w:rPr>
              <w:noProof/>
            </w:rPr>
            <w:t>Framework of performance indicators for public hospitals</w:t>
          </w:r>
          <w:r>
            <w:rPr>
              <w:noProof/>
            </w:rPr>
            <w:tab/>
            <w:t>12.</w:t>
          </w:r>
          <w:r w:rsidR="007F3144">
            <w:rPr>
              <w:noProof/>
            </w:rPr>
            <w:t>5</w:t>
          </w:r>
        </w:p>
        <w:p w14:paraId="6AE6EAF7" w14:textId="55223BC5" w:rsidR="00673B8D" w:rsidRDefault="00673B8D">
          <w:pPr>
            <w:pStyle w:val="TOC2"/>
            <w:tabs>
              <w:tab w:val="left" w:pos="1320"/>
            </w:tabs>
            <w:rPr>
              <w:rFonts w:asciiTheme="minorHAnsi" w:eastAsiaTheme="minorEastAsia" w:hAnsiTheme="minorHAnsi" w:cstheme="minorBidi"/>
              <w:noProof/>
              <w:sz w:val="22"/>
              <w:szCs w:val="22"/>
              <w:lang w:eastAsia="en-AU"/>
            </w:rPr>
          </w:pPr>
          <w:r>
            <w:rPr>
              <w:noProof/>
            </w:rPr>
            <w:t>12.3</w:t>
          </w:r>
          <w:r>
            <w:rPr>
              <w:rFonts w:asciiTheme="minorHAnsi" w:eastAsiaTheme="minorEastAsia" w:hAnsiTheme="minorHAnsi" w:cstheme="minorBidi"/>
              <w:noProof/>
              <w:sz w:val="22"/>
              <w:szCs w:val="22"/>
              <w:lang w:eastAsia="en-AU"/>
            </w:rPr>
            <w:tab/>
          </w:r>
          <w:r>
            <w:rPr>
              <w:noProof/>
            </w:rPr>
            <w:t>Key performance indicator results for public hospitals</w:t>
          </w:r>
          <w:r>
            <w:rPr>
              <w:noProof/>
            </w:rPr>
            <w:tab/>
            <w:t>12.</w:t>
          </w:r>
          <w:r w:rsidR="007F3144">
            <w:rPr>
              <w:noProof/>
            </w:rPr>
            <w:t>7</w:t>
          </w:r>
        </w:p>
        <w:p w14:paraId="37D0F034" w14:textId="3A980F44" w:rsidR="00673B8D" w:rsidRDefault="00673B8D">
          <w:pPr>
            <w:pStyle w:val="TOC2"/>
            <w:tabs>
              <w:tab w:val="left" w:pos="1320"/>
            </w:tabs>
            <w:rPr>
              <w:rFonts w:asciiTheme="minorHAnsi" w:eastAsiaTheme="minorEastAsia" w:hAnsiTheme="minorHAnsi" w:cstheme="minorBidi"/>
              <w:noProof/>
              <w:sz w:val="22"/>
              <w:szCs w:val="22"/>
              <w:lang w:eastAsia="en-AU"/>
            </w:rPr>
          </w:pPr>
          <w:r>
            <w:rPr>
              <w:noProof/>
            </w:rPr>
            <w:t>12.4</w:t>
          </w:r>
          <w:r>
            <w:rPr>
              <w:rFonts w:asciiTheme="minorHAnsi" w:eastAsiaTheme="minorEastAsia" w:hAnsiTheme="minorHAnsi" w:cstheme="minorBidi"/>
              <w:noProof/>
              <w:sz w:val="22"/>
              <w:szCs w:val="22"/>
              <w:lang w:eastAsia="en-AU"/>
            </w:rPr>
            <w:tab/>
          </w:r>
          <w:r>
            <w:rPr>
              <w:noProof/>
            </w:rPr>
            <w:t>Definitions of key terms</w:t>
          </w:r>
          <w:r>
            <w:rPr>
              <w:noProof/>
            </w:rPr>
            <w:tab/>
            <w:t>12.</w:t>
          </w:r>
          <w:r w:rsidR="007F3144">
            <w:rPr>
              <w:noProof/>
            </w:rPr>
            <w:t>30</w:t>
          </w:r>
        </w:p>
        <w:p w14:paraId="659BD913" w14:textId="65605B21" w:rsidR="00673B8D" w:rsidRDefault="00673B8D">
          <w:pPr>
            <w:pStyle w:val="TOC2"/>
            <w:tabs>
              <w:tab w:val="left" w:pos="1320"/>
            </w:tabs>
            <w:rPr>
              <w:rFonts w:asciiTheme="minorHAnsi" w:eastAsiaTheme="minorEastAsia" w:hAnsiTheme="minorHAnsi" w:cstheme="minorBidi"/>
              <w:noProof/>
              <w:sz w:val="22"/>
              <w:szCs w:val="22"/>
              <w:lang w:eastAsia="en-AU"/>
            </w:rPr>
          </w:pPr>
          <w:r>
            <w:rPr>
              <w:noProof/>
            </w:rPr>
            <w:t>12.5</w:t>
          </w:r>
          <w:r>
            <w:rPr>
              <w:rFonts w:asciiTheme="minorHAnsi" w:eastAsiaTheme="minorEastAsia" w:hAnsiTheme="minorHAnsi" w:cstheme="minorBidi"/>
              <w:noProof/>
              <w:sz w:val="22"/>
              <w:szCs w:val="22"/>
              <w:lang w:eastAsia="en-AU"/>
            </w:rPr>
            <w:tab/>
          </w:r>
          <w:r>
            <w:rPr>
              <w:noProof/>
            </w:rPr>
            <w:t>References</w:t>
          </w:r>
          <w:r>
            <w:rPr>
              <w:noProof/>
            </w:rPr>
            <w:tab/>
            <w:t>12.</w:t>
          </w:r>
          <w:r w:rsidR="007F3144">
            <w:rPr>
              <w:noProof/>
            </w:rPr>
            <w:t>32</w:t>
          </w:r>
        </w:p>
        <w:p w14:paraId="26E3941B" w14:textId="211DD1FE" w:rsidR="005F522C" w:rsidRDefault="00065B12" w:rsidP="00120072">
          <w:pPr>
            <w:pStyle w:val="BodyText"/>
          </w:pPr>
        </w:p>
      </w:sdtContent>
    </w:sdt>
    <w:p w14:paraId="03B5A05C" w14:textId="0E168C15" w:rsidR="00033205" w:rsidRDefault="00033205">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033205" w14:paraId="447503C5" w14:textId="77777777" w:rsidTr="0056207E">
        <w:tc>
          <w:tcPr>
            <w:tcW w:w="8789" w:type="dxa"/>
            <w:tcBorders>
              <w:top w:val="single" w:sz="6" w:space="0" w:color="78A22F"/>
              <w:left w:val="nil"/>
              <w:bottom w:val="nil"/>
              <w:right w:val="nil"/>
            </w:tcBorders>
            <w:shd w:val="clear" w:color="auto" w:fill="F2F2F2"/>
          </w:tcPr>
          <w:p w14:paraId="69D5A703" w14:textId="77777777" w:rsidR="00033205" w:rsidRDefault="00033205" w:rsidP="008C0402">
            <w:pPr>
              <w:pStyle w:val="BoxTitle"/>
            </w:pPr>
            <w:r>
              <w:t>Attachment tables</w:t>
            </w:r>
          </w:p>
        </w:tc>
      </w:tr>
      <w:tr w:rsidR="00033205" w14:paraId="20BD4778" w14:textId="77777777" w:rsidTr="0056207E">
        <w:trPr>
          <w:cantSplit/>
        </w:trPr>
        <w:tc>
          <w:tcPr>
            <w:tcW w:w="8789" w:type="dxa"/>
            <w:tcBorders>
              <w:top w:val="nil"/>
              <w:left w:val="nil"/>
              <w:bottom w:val="nil"/>
              <w:right w:val="nil"/>
            </w:tcBorders>
            <w:shd w:val="clear" w:color="auto" w:fill="F2F2F2"/>
          </w:tcPr>
          <w:p w14:paraId="581E62B3" w14:textId="77777777" w:rsidR="00033205" w:rsidRPr="008C0402" w:rsidRDefault="00366418" w:rsidP="008D7B6F">
            <w:pPr>
              <w:pStyle w:val="Box"/>
            </w:pPr>
            <w:r w:rsidRPr="00366418">
              <w:t>Attachment tables are identified in references throughout this chapter by a ‘</w:t>
            </w:r>
            <w:proofErr w:type="spellStart"/>
            <w:r w:rsidRPr="00366418">
              <w:t>1</w:t>
            </w:r>
            <w:r>
              <w:t>2</w:t>
            </w:r>
            <w:r w:rsidRPr="00366418">
              <w:t>A</w:t>
            </w:r>
            <w:proofErr w:type="spellEnd"/>
            <w:r w:rsidRPr="00366418">
              <w:t>’ prefix (for example, table </w:t>
            </w:r>
            <w:proofErr w:type="spellStart"/>
            <w:r w:rsidRPr="00366418">
              <w:t>1</w:t>
            </w:r>
            <w:r>
              <w:t>2</w:t>
            </w:r>
            <w:r w:rsidRPr="00366418">
              <w:t>A.1</w:t>
            </w:r>
            <w:proofErr w:type="spellEnd"/>
            <w:r w:rsidRPr="00366418">
              <w:t xml:space="preserve">) and are available from the website at </w:t>
            </w:r>
            <w:proofErr w:type="spellStart"/>
            <w:r w:rsidRPr="00366418">
              <w:t>www.pc.gov.au</w:t>
            </w:r>
            <w:proofErr w:type="spellEnd"/>
            <w:r w:rsidRPr="00366418">
              <w:t>/</w:t>
            </w:r>
            <w:proofErr w:type="spellStart"/>
            <w:r w:rsidRPr="00366418">
              <w:t>rogs</w:t>
            </w:r>
            <w:proofErr w:type="spellEnd"/>
            <w:r w:rsidRPr="00366418">
              <w:t>/201</w:t>
            </w:r>
            <w:r w:rsidR="008D7B6F">
              <w:t>8</w:t>
            </w:r>
            <w:r w:rsidRPr="00366418">
              <w:t>.</w:t>
            </w:r>
          </w:p>
        </w:tc>
      </w:tr>
      <w:tr w:rsidR="00033205" w14:paraId="6F98664D" w14:textId="77777777" w:rsidTr="0056207E">
        <w:trPr>
          <w:cantSplit/>
        </w:trPr>
        <w:tc>
          <w:tcPr>
            <w:tcW w:w="8789" w:type="dxa"/>
            <w:tcBorders>
              <w:top w:val="nil"/>
              <w:left w:val="nil"/>
              <w:bottom w:val="single" w:sz="6" w:space="0" w:color="78A22F"/>
              <w:right w:val="nil"/>
            </w:tcBorders>
            <w:shd w:val="clear" w:color="auto" w:fill="F2F2F2"/>
          </w:tcPr>
          <w:p w14:paraId="186B834A" w14:textId="77777777" w:rsidR="00033205" w:rsidRDefault="00033205">
            <w:pPr>
              <w:pStyle w:val="Box"/>
              <w:spacing w:before="0" w:line="120" w:lineRule="exact"/>
            </w:pPr>
          </w:p>
        </w:tc>
      </w:tr>
      <w:tr w:rsidR="00033205" w:rsidRPr="000863A5" w14:paraId="522536E4" w14:textId="77777777" w:rsidTr="0056207E">
        <w:tc>
          <w:tcPr>
            <w:tcW w:w="8789" w:type="dxa"/>
            <w:tcBorders>
              <w:top w:val="single" w:sz="6" w:space="0" w:color="78A22F"/>
              <w:left w:val="nil"/>
              <w:bottom w:val="nil"/>
              <w:right w:val="nil"/>
            </w:tcBorders>
          </w:tcPr>
          <w:p w14:paraId="44998F8F" w14:textId="1208A79F" w:rsidR="00033205" w:rsidRPr="00626D32" w:rsidRDefault="00033205" w:rsidP="007F72D1">
            <w:pPr>
              <w:pStyle w:val="BoxSpaceBelow"/>
            </w:pPr>
          </w:p>
        </w:tc>
      </w:tr>
    </w:tbl>
    <w:p w14:paraId="78B7AFC7" w14:textId="04A26684" w:rsidR="00666E02" w:rsidRDefault="008C0402" w:rsidP="00120072">
      <w:pPr>
        <w:pStyle w:val="BodyText"/>
      </w:pPr>
      <w:r w:rsidRPr="008C0402">
        <w:t xml:space="preserve">This chapter reports on the performance of State and Territory public hospitals. </w:t>
      </w:r>
    </w:p>
    <w:p w14:paraId="39DF5529" w14:textId="77777777" w:rsidR="006F4A3E" w:rsidRPr="00340186" w:rsidRDefault="008A24BF" w:rsidP="006F4A3E">
      <w:pPr>
        <w:pStyle w:val="BodyText"/>
      </w:pPr>
      <w:r w:rsidRPr="008A24BF">
        <w:t xml:space="preserve">Further information on the Report on Government Services including other reported service areas, the glossary and list of abbreviations is available at </w:t>
      </w:r>
      <w:proofErr w:type="spellStart"/>
      <w:r w:rsidRPr="008A24BF">
        <w:t>www.pc.gov.au</w:t>
      </w:r>
      <w:proofErr w:type="spellEnd"/>
      <w:r w:rsidRPr="008A24BF">
        <w:t>/</w:t>
      </w:r>
      <w:proofErr w:type="spellStart"/>
      <w:r w:rsidRPr="008A24BF">
        <w:t>rogs</w:t>
      </w:r>
      <w:proofErr w:type="spellEnd"/>
      <w:r w:rsidRPr="008A24BF">
        <w:t>/2018.</w:t>
      </w:r>
    </w:p>
    <w:p w14:paraId="47D2E714" w14:textId="45C26860" w:rsidR="00D434A0" w:rsidRDefault="00D937AB" w:rsidP="00D8447A">
      <w:pPr>
        <w:pStyle w:val="Heading2"/>
      </w:pPr>
      <w:bookmarkStart w:id="4" w:name="_Toc465174686"/>
      <w:r>
        <w:t>12.</w:t>
      </w:r>
      <w:r w:rsidR="007F3144">
        <w:rPr>
          <w:noProof/>
        </w:rPr>
        <w:t>1</w:t>
      </w:r>
      <w:r w:rsidR="00D8447A">
        <w:tab/>
      </w:r>
      <w:r w:rsidR="00D8447A" w:rsidRPr="00D8447A">
        <w:t>Profile of public hospitals</w:t>
      </w:r>
      <w:bookmarkEnd w:id="4"/>
    </w:p>
    <w:p w14:paraId="00F7B44D" w14:textId="77777777" w:rsidR="00D8447A" w:rsidRPr="00D8447A" w:rsidRDefault="00D8447A" w:rsidP="00D8447A">
      <w:pPr>
        <w:pStyle w:val="BodyText"/>
      </w:pPr>
      <w:r w:rsidRPr="00D8447A">
        <w:t>Public hospitals provide a range of services, including:</w:t>
      </w:r>
    </w:p>
    <w:p w14:paraId="39CC8CC5" w14:textId="77777777" w:rsidR="00D8447A" w:rsidRDefault="00D8447A" w:rsidP="00D8447A">
      <w:pPr>
        <w:pStyle w:val="ListBullet"/>
      </w:pPr>
      <w:r>
        <w:t>acute care services to admitted patients</w:t>
      </w:r>
    </w:p>
    <w:p w14:paraId="77412E24" w14:textId="77777777" w:rsidR="00D8447A" w:rsidRDefault="00D8447A" w:rsidP="00D8447A">
      <w:pPr>
        <w:pStyle w:val="ListBullet"/>
      </w:pPr>
      <w:r>
        <w:t>subacute and non-acute services to admitted patients (for example, rehabilitation, palliative care and long stay maintenance care)</w:t>
      </w:r>
    </w:p>
    <w:p w14:paraId="1A9418CF" w14:textId="77777777" w:rsidR="00D8447A" w:rsidRDefault="00D8447A" w:rsidP="00D8447A">
      <w:pPr>
        <w:pStyle w:val="ListBullet"/>
      </w:pPr>
      <w:r>
        <w:t>emergency, outpatient and other services to non-admitted patients</w:t>
      </w:r>
    </w:p>
    <w:p w14:paraId="3E888F3F" w14:textId="77777777" w:rsidR="00D8447A" w:rsidRDefault="00D8447A" w:rsidP="00D8447A">
      <w:pPr>
        <w:pStyle w:val="ListBullet"/>
      </w:pPr>
      <w:r>
        <w:t>mental health services, including services provided to admitted patients by designated psychiatric/psychogeriatric units</w:t>
      </w:r>
    </w:p>
    <w:p w14:paraId="17EC39C2" w14:textId="77777777" w:rsidR="00D8447A" w:rsidRDefault="00D8447A" w:rsidP="00D8447A">
      <w:pPr>
        <w:pStyle w:val="ListBullet"/>
      </w:pPr>
      <w:r>
        <w:t>public health services</w:t>
      </w:r>
    </w:p>
    <w:p w14:paraId="5C708118" w14:textId="77777777" w:rsidR="00D8447A" w:rsidRDefault="00D8447A" w:rsidP="00D8447A">
      <w:pPr>
        <w:pStyle w:val="ListBullet"/>
      </w:pPr>
      <w:r>
        <w:t>teaching and research activities.</w:t>
      </w:r>
    </w:p>
    <w:p w14:paraId="631569B5" w14:textId="77777777" w:rsidR="00D8447A" w:rsidRDefault="00D8447A" w:rsidP="00D8447A">
      <w:pPr>
        <w:pStyle w:val="BodyText"/>
      </w:pPr>
      <w:r>
        <w:lastRenderedPageBreak/>
        <w:t xml:space="preserve">This chapter focuses on services </w:t>
      </w:r>
      <w:r w:rsidR="00291430">
        <w:t xml:space="preserve">(acute, subacute and non-acute) </w:t>
      </w:r>
      <w:r>
        <w:t xml:space="preserve">provided to admitted patients and services provided to non-admitted patients in public hospitals. These services comprise the bulk of public hospital activity. </w:t>
      </w:r>
    </w:p>
    <w:p w14:paraId="4785257C" w14:textId="77777777" w:rsidR="00D8447A" w:rsidRDefault="00D8447A" w:rsidP="00D8447A">
      <w:pPr>
        <w:pStyle w:val="BodyText"/>
      </w:pPr>
      <w:r>
        <w:t>In some instances, data for stand-alone psychiatric hospitals are included in this chapter. The performance of psychiatric hospitals and psychiatric units of public hospitals is examined more closely in the ‘Mental health management’ chapter of this Report (chapter</w:t>
      </w:r>
      <w:r w:rsidR="00E805BB">
        <w:t> </w:t>
      </w:r>
      <w:r>
        <w:t>1</w:t>
      </w:r>
      <w:r w:rsidR="00844892">
        <w:t>3</w:t>
      </w:r>
      <w:r>
        <w:t>).</w:t>
      </w:r>
    </w:p>
    <w:p w14:paraId="59FBF2FE" w14:textId="77777777" w:rsidR="00D8447A" w:rsidRDefault="00D8447A" w:rsidP="00D8447A">
      <w:pPr>
        <w:pStyle w:val="Heading3"/>
      </w:pPr>
      <w:r>
        <w:t>Funding</w:t>
      </w:r>
    </w:p>
    <w:p w14:paraId="33300C29" w14:textId="0930674F" w:rsidR="004A55B2" w:rsidRDefault="00D8447A" w:rsidP="001E380D">
      <w:pPr>
        <w:pStyle w:val="BodyText"/>
      </w:pPr>
      <w:r>
        <w:t>Total recurrent expenditure on public hospitals (excluding depreciation) was $</w:t>
      </w:r>
      <w:r w:rsidR="009D344A">
        <w:t>61.4</w:t>
      </w:r>
      <w:r w:rsidRPr="00524248">
        <w:rPr>
          <w:color w:val="FF0000"/>
        </w:rPr>
        <w:t xml:space="preserve"> </w:t>
      </w:r>
      <w:r>
        <w:t>billion in 201</w:t>
      </w:r>
      <w:r w:rsidR="009D344A">
        <w:t>5</w:t>
      </w:r>
      <w:r>
        <w:t>-1</w:t>
      </w:r>
      <w:r w:rsidR="009D344A">
        <w:t>6</w:t>
      </w:r>
      <w:r>
        <w:t xml:space="preserve"> (table </w:t>
      </w:r>
      <w:proofErr w:type="spellStart"/>
      <w:r w:rsidR="000F15E6">
        <w:t>12A</w:t>
      </w:r>
      <w:r>
        <w:t>.1</w:t>
      </w:r>
      <w:proofErr w:type="spellEnd"/>
      <w:r>
        <w:t>)</w:t>
      </w:r>
      <w:r w:rsidR="00291430">
        <w:t xml:space="preserve">, </w:t>
      </w:r>
      <w:r w:rsidR="00291430" w:rsidRPr="00A1611F">
        <w:t xml:space="preserve">with </w:t>
      </w:r>
      <w:r w:rsidR="00BE1887" w:rsidRPr="00BE1887">
        <w:t>91.8</w:t>
      </w:r>
      <w:r w:rsidR="00291430" w:rsidRPr="00BE1887">
        <w:t xml:space="preserve"> </w:t>
      </w:r>
      <w:r w:rsidR="00291430" w:rsidRPr="00A1611F">
        <w:t>per cent funded by t</w:t>
      </w:r>
      <w:r w:rsidRPr="00A1611F">
        <w:t xml:space="preserve">he Australian, State and Territory governments </w:t>
      </w:r>
      <w:r w:rsidR="00291430" w:rsidRPr="00A1611F">
        <w:t xml:space="preserve">and </w:t>
      </w:r>
      <w:r w:rsidR="00BE1887" w:rsidRPr="00BE1887">
        <w:t xml:space="preserve">8.2 </w:t>
      </w:r>
      <w:r w:rsidR="00291430" w:rsidRPr="00A1611F">
        <w:t xml:space="preserve">per cent </w:t>
      </w:r>
      <w:r w:rsidR="00291430">
        <w:t>funded by</w:t>
      </w:r>
      <w:r w:rsidR="00C53040">
        <w:t xml:space="preserve"> n</w:t>
      </w:r>
      <w:r w:rsidRPr="00D8447A">
        <w:t>on</w:t>
      </w:r>
      <w:r w:rsidR="00B81EBB">
        <w:t>-</w:t>
      </w:r>
      <w:r w:rsidRPr="00D8447A">
        <w:t>government sources (including depreciation) (</w:t>
      </w:r>
      <w:proofErr w:type="spellStart"/>
      <w:r w:rsidR="00E805BB">
        <w:t>AIHW</w:t>
      </w:r>
      <w:proofErr w:type="spellEnd"/>
      <w:r w:rsidR="00E805BB">
        <w:t xml:space="preserve"> </w:t>
      </w:r>
      <w:proofErr w:type="spellStart"/>
      <w:r w:rsidR="00E805BB">
        <w:t>201</w:t>
      </w:r>
      <w:r w:rsidR="009D344A">
        <w:t>7</w:t>
      </w:r>
      <w:r w:rsidR="007E3C02">
        <w:t>b</w:t>
      </w:r>
      <w:proofErr w:type="spellEnd"/>
      <w:r w:rsidRPr="00D8447A">
        <w:t xml:space="preserve">). </w:t>
      </w:r>
    </w:p>
    <w:p w14:paraId="31A5D829" w14:textId="516CBCEC" w:rsidR="00D8447A" w:rsidRDefault="00291430" w:rsidP="001E380D">
      <w:pPr>
        <w:pStyle w:val="BodyText"/>
      </w:pPr>
      <w:r>
        <w:t>G</w:t>
      </w:r>
      <w:r w:rsidR="00D8447A">
        <w:t>overnment real recurrent expend</w:t>
      </w:r>
      <w:r w:rsidR="00524248">
        <w:t xml:space="preserve">iture </w:t>
      </w:r>
      <w:r w:rsidR="004A55B2">
        <w:t xml:space="preserve">(all sources) </w:t>
      </w:r>
      <w:r w:rsidR="00524248">
        <w:t xml:space="preserve">on public hospitals </w:t>
      </w:r>
      <w:r>
        <w:t>per person</w:t>
      </w:r>
      <w:r w:rsidR="004A55B2">
        <w:t xml:space="preserve"> was $2550.9 in 2015-16; an increase from $2366.0 in 2014-15 (table </w:t>
      </w:r>
      <w:proofErr w:type="spellStart"/>
      <w:r w:rsidR="004A55B2">
        <w:t>12A.2</w:t>
      </w:r>
      <w:proofErr w:type="spellEnd"/>
      <w:r w:rsidR="004A55B2">
        <w:t>)</w:t>
      </w:r>
      <w:r w:rsidR="00D8447A">
        <w:t xml:space="preserve">. </w:t>
      </w:r>
    </w:p>
    <w:p w14:paraId="2A284CF5" w14:textId="77777777" w:rsidR="00320973" w:rsidRDefault="00320973" w:rsidP="00E805BB">
      <w:pPr>
        <w:pStyle w:val="Heading3"/>
      </w:pPr>
      <w:r>
        <w:t>Size and scope of sector</w:t>
      </w:r>
    </w:p>
    <w:p w14:paraId="671D15C3" w14:textId="77777777" w:rsidR="00320973" w:rsidRDefault="00320973" w:rsidP="00320973">
      <w:pPr>
        <w:pStyle w:val="Heading4"/>
      </w:pPr>
      <w:bookmarkStart w:id="5" w:name="TableTitle"/>
      <w:bookmarkEnd w:id="5"/>
      <w:r>
        <w:t>Hospitals</w:t>
      </w:r>
    </w:p>
    <w:p w14:paraId="61D8D3F9" w14:textId="69F39E87" w:rsidR="00320973" w:rsidRDefault="00320973" w:rsidP="00320973">
      <w:pPr>
        <w:pStyle w:val="BodyText"/>
      </w:pPr>
      <w:r w:rsidRPr="00AA02CA">
        <w:t>In 201</w:t>
      </w:r>
      <w:r w:rsidR="008769E5">
        <w:t>5</w:t>
      </w:r>
      <w:r w:rsidRPr="00AA02CA">
        <w:t>-1</w:t>
      </w:r>
      <w:r w:rsidR="008769E5">
        <w:t>6</w:t>
      </w:r>
      <w:r w:rsidRPr="00AA02CA">
        <w:t xml:space="preserve">, Australia had </w:t>
      </w:r>
      <w:r w:rsidR="008769E5">
        <w:t>701</w:t>
      </w:r>
      <w:r w:rsidRPr="00AA02CA">
        <w:t xml:space="preserve"> public hospitals</w:t>
      </w:r>
      <w:r w:rsidR="000F119C">
        <w:t xml:space="preserve"> – 3 more than 2014-15</w:t>
      </w:r>
      <w:r w:rsidRPr="00AA02CA">
        <w:t xml:space="preserve"> </w:t>
      </w:r>
      <w:r w:rsidR="001475E3" w:rsidRPr="00AA02CA">
        <w:t>(table </w:t>
      </w:r>
      <w:proofErr w:type="spellStart"/>
      <w:r w:rsidR="000F15E6" w:rsidRPr="00AA02CA">
        <w:t>12A</w:t>
      </w:r>
      <w:r w:rsidRPr="00AA02CA">
        <w:t>.</w:t>
      </w:r>
      <w:r w:rsidR="004663E8">
        <w:t>3</w:t>
      </w:r>
      <w:proofErr w:type="spellEnd"/>
      <w:r w:rsidRPr="00AA02CA">
        <w:t xml:space="preserve">). Although </w:t>
      </w:r>
      <w:r w:rsidR="00AA02CA" w:rsidRPr="00AA02CA">
        <w:t>68.</w:t>
      </w:r>
      <w:r w:rsidR="008769E5">
        <w:t>8</w:t>
      </w:r>
      <w:r w:rsidRPr="00AA02CA">
        <w:t xml:space="preserve"> per cent of hospitals had 50 or fewer beds</w:t>
      </w:r>
      <w:r w:rsidR="00DE34DB" w:rsidRPr="00AA02CA">
        <w:t xml:space="preserve"> (figure </w:t>
      </w:r>
      <w:r w:rsidR="000F15E6" w:rsidRPr="00AA02CA">
        <w:t>12.</w:t>
      </w:r>
      <w:r w:rsidR="003251E4">
        <w:t>1</w:t>
      </w:r>
      <w:r w:rsidR="00DE34DB" w:rsidRPr="00AA02CA">
        <w:t>)</w:t>
      </w:r>
      <w:r w:rsidRPr="00AA02CA">
        <w:t>, these smalle</w:t>
      </w:r>
      <w:r w:rsidR="002B2DF3" w:rsidRPr="00AA02CA">
        <w:t xml:space="preserve">r hospitals represented only </w:t>
      </w:r>
      <w:r w:rsidR="00AA02CA" w:rsidRPr="00AA02CA">
        <w:t>14.</w:t>
      </w:r>
      <w:r w:rsidR="008769E5">
        <w:t>0</w:t>
      </w:r>
      <w:r w:rsidR="002B2DF3" w:rsidRPr="00AA02CA">
        <w:t> </w:t>
      </w:r>
      <w:r w:rsidRPr="00AA02CA">
        <w:t xml:space="preserve">per cent of total available </w:t>
      </w:r>
      <w:r>
        <w:t xml:space="preserve">beds (table </w:t>
      </w:r>
      <w:proofErr w:type="spellStart"/>
      <w:r w:rsidR="000F15E6">
        <w:t>12A</w:t>
      </w:r>
      <w:r>
        <w:t>.</w:t>
      </w:r>
      <w:r w:rsidR="004663E8">
        <w:t>3</w:t>
      </w:r>
      <w:proofErr w:type="spellEnd"/>
      <w:r>
        <w:t>).</w:t>
      </w:r>
    </w:p>
    <w:p w14:paraId="5648D424" w14:textId="711335C2" w:rsidR="00320973" w:rsidRDefault="00320973" w:rsidP="00EB796A">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20973" w14:paraId="59ADB564" w14:textId="77777777" w:rsidTr="0056207E">
        <w:tc>
          <w:tcPr>
            <w:tcW w:w="8789" w:type="dxa"/>
            <w:tcBorders>
              <w:top w:val="single" w:sz="6" w:space="0" w:color="78A22F"/>
              <w:left w:val="nil"/>
              <w:bottom w:val="nil"/>
              <w:right w:val="nil"/>
            </w:tcBorders>
            <w:shd w:val="clear" w:color="auto" w:fill="auto"/>
          </w:tcPr>
          <w:p w14:paraId="42FF5D5E" w14:textId="3C0DF3B7" w:rsidR="00320973" w:rsidRPr="00176D3F" w:rsidRDefault="00320973" w:rsidP="00864A27">
            <w:pPr>
              <w:pStyle w:val="FigureTitle"/>
            </w:pPr>
            <w:r w:rsidRPr="00784A05">
              <w:rPr>
                <w:b w:val="0"/>
              </w:rPr>
              <w:t xml:space="preserve">Figure </w:t>
            </w:r>
            <w:r w:rsidR="003251E4">
              <w:rPr>
                <w:b w:val="0"/>
              </w:rPr>
              <w:t>12.</w:t>
            </w:r>
            <w:r w:rsidR="007F3144">
              <w:rPr>
                <w:b w:val="0"/>
                <w:noProof/>
              </w:rPr>
              <w:t>1</w:t>
            </w:r>
            <w:r>
              <w:tab/>
            </w:r>
            <w:r w:rsidR="00E30F6D" w:rsidRPr="00E30F6D">
              <w:t>Public hospitals, by size, 201</w:t>
            </w:r>
            <w:r w:rsidR="00864A27">
              <w:t>5</w:t>
            </w:r>
            <w:r w:rsidR="00E30F6D" w:rsidRPr="00E30F6D">
              <w:t>-</w:t>
            </w:r>
            <w:r w:rsidR="00E30F6D">
              <w:t>1</w:t>
            </w:r>
            <w:r w:rsidR="00864A27">
              <w:t>6</w:t>
            </w:r>
            <w:r w:rsidR="00293123">
              <w:rPr>
                <w:rStyle w:val="NoteLabel"/>
                <w:b/>
                <w:szCs w:val="20"/>
              </w:rPr>
              <w:t>a, b</w:t>
            </w:r>
          </w:p>
        </w:tc>
      </w:tr>
      <w:tr w:rsidR="00320973" w14:paraId="54909E68" w14:textId="77777777" w:rsidTr="0056207E">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1A72BC" w14:paraId="495CB9C4" w14:textId="77777777" w:rsidTr="00EB796A">
              <w:trPr>
                <w:jc w:val="center"/>
              </w:trPr>
              <w:tc>
                <w:tcPr>
                  <w:tcW w:w="5000" w:type="pct"/>
                  <w:tcBorders>
                    <w:top w:val="nil"/>
                    <w:bottom w:val="nil"/>
                  </w:tcBorders>
                </w:tcPr>
                <w:p w14:paraId="781499C9" w14:textId="4B8A4287" w:rsidR="001A72BC" w:rsidRDefault="00FD711B" w:rsidP="00EB796A">
                  <w:pPr>
                    <w:pStyle w:val="Figure"/>
                    <w:spacing w:before="60" w:after="60"/>
                  </w:pPr>
                  <w:r>
                    <w:rPr>
                      <w:noProof/>
                    </w:rPr>
                    <w:drawing>
                      <wp:inline distT="0" distB="0" distL="0" distR="0" wp14:anchorId="1371A27A" wp14:editId="3DBE03F4">
                        <wp:extent cx="5335905" cy="2743200"/>
                        <wp:effectExtent l="0" t="0" r="0" b="0"/>
                        <wp:docPr id="2" name="Picture 2" descr="More details can be found within the text surrounding this image." title="Figure 12.1 Public hospitals, by size,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5905" cy="2743200"/>
                                </a:xfrm>
                                <a:prstGeom prst="rect">
                                  <a:avLst/>
                                </a:prstGeom>
                                <a:noFill/>
                                <a:ln>
                                  <a:noFill/>
                                </a:ln>
                              </pic:spPr>
                            </pic:pic>
                          </a:graphicData>
                        </a:graphic>
                      </wp:inline>
                    </w:drawing>
                  </w:r>
                </w:p>
              </w:tc>
            </w:tr>
          </w:tbl>
          <w:p w14:paraId="054F76E3" w14:textId="77777777" w:rsidR="00320973" w:rsidRDefault="00320973" w:rsidP="00EB796A">
            <w:pPr>
              <w:pStyle w:val="Figure"/>
            </w:pPr>
          </w:p>
        </w:tc>
      </w:tr>
      <w:tr w:rsidR="00320973" w:rsidRPr="00176D3F" w14:paraId="3AF0F1BE" w14:textId="77777777" w:rsidTr="0056207E">
        <w:tc>
          <w:tcPr>
            <w:tcW w:w="8789" w:type="dxa"/>
            <w:tcBorders>
              <w:top w:val="nil"/>
              <w:left w:val="nil"/>
              <w:bottom w:val="nil"/>
              <w:right w:val="nil"/>
            </w:tcBorders>
            <w:shd w:val="clear" w:color="auto" w:fill="auto"/>
          </w:tcPr>
          <w:p w14:paraId="4B19E19C" w14:textId="6913FBCE" w:rsidR="00320973" w:rsidRPr="00176D3F" w:rsidRDefault="006F4A3E" w:rsidP="00651907">
            <w:pPr>
              <w:pStyle w:val="Note"/>
            </w:pPr>
            <w:r>
              <w:rPr>
                <w:rStyle w:val="NoteLabel"/>
              </w:rPr>
              <w:t xml:space="preserve">a </w:t>
            </w:r>
            <w:r w:rsidRPr="006F4A3E">
              <w:t xml:space="preserve">See table </w:t>
            </w:r>
            <w:proofErr w:type="spellStart"/>
            <w:r w:rsidR="000F15E6">
              <w:t>12A</w:t>
            </w:r>
            <w:r w:rsidRPr="006F4A3E">
              <w:t>.</w:t>
            </w:r>
            <w:r w:rsidR="004663E8">
              <w:t>3</w:t>
            </w:r>
            <w:proofErr w:type="spellEnd"/>
            <w:r w:rsidRPr="006F4A3E">
              <w:t xml:space="preserve"> for detailed </w:t>
            </w:r>
            <w:r w:rsidR="00536DD1" w:rsidRPr="00536DD1">
              <w:t xml:space="preserve">footnotes and </w:t>
            </w:r>
            <w:r w:rsidRPr="006F4A3E">
              <w:t>caveats</w:t>
            </w:r>
            <w:r w:rsidRPr="00320973">
              <w:t>.</w:t>
            </w:r>
            <w:r w:rsidR="00E30F6D" w:rsidRPr="00E30F6D">
              <w:t xml:space="preserve"> </w:t>
            </w:r>
            <w:r w:rsidR="00293123">
              <w:rPr>
                <w:rStyle w:val="NoteLabel"/>
              </w:rPr>
              <w:t>b</w:t>
            </w:r>
            <w:r w:rsidR="00E30F6D" w:rsidRPr="00E30F6D">
              <w:t xml:space="preserve"> The ACT did not have hospitals with 10</w:t>
            </w:r>
            <w:r w:rsidR="00651907">
              <w:t xml:space="preserve"> or fewer beds or more than</w:t>
            </w:r>
            <w:r w:rsidR="00E30F6D" w:rsidRPr="00E30F6D">
              <w:t xml:space="preserve"> 50 to 100 beds. The NT did not have hospitals with 10 or fewer beds.</w:t>
            </w:r>
          </w:p>
        </w:tc>
      </w:tr>
      <w:tr w:rsidR="00320973" w:rsidRPr="00176D3F" w14:paraId="1251C027" w14:textId="77777777" w:rsidTr="0056207E">
        <w:tc>
          <w:tcPr>
            <w:tcW w:w="8789" w:type="dxa"/>
            <w:tcBorders>
              <w:top w:val="nil"/>
              <w:left w:val="nil"/>
              <w:bottom w:val="nil"/>
              <w:right w:val="nil"/>
            </w:tcBorders>
            <w:shd w:val="clear" w:color="auto" w:fill="auto"/>
          </w:tcPr>
          <w:p w14:paraId="4876D838" w14:textId="5A9485F1" w:rsidR="00320973" w:rsidRPr="00176D3F" w:rsidRDefault="00E30F6D" w:rsidP="008423BA">
            <w:pPr>
              <w:pStyle w:val="Source"/>
            </w:pPr>
            <w:r>
              <w:rPr>
                <w:i/>
              </w:rPr>
              <w:t>S</w:t>
            </w:r>
            <w:r w:rsidR="00320973" w:rsidRPr="00784A05">
              <w:rPr>
                <w:i/>
              </w:rPr>
              <w:t>ource</w:t>
            </w:r>
            <w:r w:rsidR="00320973" w:rsidRPr="00176D3F">
              <w:t xml:space="preserve">: </w:t>
            </w:r>
            <w:r w:rsidRPr="00E30F6D">
              <w:t>AIHW (201</w:t>
            </w:r>
            <w:r w:rsidR="008769E5">
              <w:t>7</w:t>
            </w:r>
            <w:r w:rsidRPr="00E30F6D">
              <w:t xml:space="preserve">), </w:t>
            </w:r>
            <w:r w:rsidR="00B85ADF" w:rsidRPr="00B85ADF">
              <w:rPr>
                <w:i/>
              </w:rPr>
              <w:t>Hospital resources 201</w:t>
            </w:r>
            <w:r w:rsidR="008769E5">
              <w:rPr>
                <w:i/>
              </w:rPr>
              <w:t>5</w:t>
            </w:r>
            <w:r w:rsidR="00991BF7">
              <w:rPr>
                <w:i/>
              </w:rPr>
              <w:t>-</w:t>
            </w:r>
            <w:r w:rsidR="00B85ADF" w:rsidRPr="00B85ADF">
              <w:rPr>
                <w:i/>
              </w:rPr>
              <w:t>1</w:t>
            </w:r>
            <w:r w:rsidR="008769E5">
              <w:rPr>
                <w:i/>
              </w:rPr>
              <w:t>6</w:t>
            </w:r>
            <w:r w:rsidR="00B85ADF" w:rsidRPr="00B85ADF">
              <w:rPr>
                <w:i/>
              </w:rPr>
              <w:t>: Australian hospital statistics</w:t>
            </w:r>
            <w:r w:rsidR="00AE0361">
              <w:rPr>
                <w:i/>
              </w:rPr>
              <w:t>,</w:t>
            </w:r>
            <w:r w:rsidR="00B85ADF" w:rsidRPr="00B85ADF">
              <w:rPr>
                <w:i/>
              </w:rPr>
              <w:t xml:space="preserve"> </w:t>
            </w:r>
            <w:r w:rsidR="00B85ADF" w:rsidRPr="00B85ADF">
              <w:t>Health services series no.</w:t>
            </w:r>
            <w:r w:rsidR="008423BA">
              <w:t> </w:t>
            </w:r>
            <w:r w:rsidR="00CD7DC9">
              <w:t>7</w:t>
            </w:r>
            <w:r w:rsidR="008769E5">
              <w:t>8</w:t>
            </w:r>
            <w:r w:rsidR="00B85ADF" w:rsidRPr="00B85ADF">
              <w:t xml:space="preserve">. Cat. no. </w:t>
            </w:r>
            <w:proofErr w:type="spellStart"/>
            <w:r w:rsidR="00B85ADF" w:rsidRPr="00B85ADF">
              <w:t>HSE</w:t>
            </w:r>
            <w:proofErr w:type="spellEnd"/>
            <w:r w:rsidR="00B85ADF" w:rsidRPr="00B85ADF">
              <w:t xml:space="preserve"> 1</w:t>
            </w:r>
            <w:r w:rsidR="008769E5">
              <w:t>90</w:t>
            </w:r>
            <w:r w:rsidRPr="00E30F6D">
              <w:t xml:space="preserve">; table </w:t>
            </w:r>
            <w:proofErr w:type="spellStart"/>
            <w:r w:rsidR="000F15E6">
              <w:t>12A</w:t>
            </w:r>
            <w:r w:rsidRPr="00E30F6D">
              <w:t>.</w:t>
            </w:r>
            <w:r w:rsidR="004663E8">
              <w:t>3</w:t>
            </w:r>
            <w:proofErr w:type="spellEnd"/>
            <w:r w:rsidRPr="00E30F6D">
              <w:t>.</w:t>
            </w:r>
          </w:p>
        </w:tc>
      </w:tr>
      <w:tr w:rsidR="00320973" w14:paraId="2E234E3C" w14:textId="77777777" w:rsidTr="0056207E">
        <w:tc>
          <w:tcPr>
            <w:tcW w:w="8789" w:type="dxa"/>
            <w:tcBorders>
              <w:top w:val="nil"/>
              <w:left w:val="nil"/>
              <w:bottom w:val="single" w:sz="6" w:space="0" w:color="78A22F"/>
              <w:right w:val="nil"/>
            </w:tcBorders>
            <w:shd w:val="clear" w:color="auto" w:fill="auto"/>
          </w:tcPr>
          <w:p w14:paraId="6545498B" w14:textId="77777777" w:rsidR="00320973" w:rsidRDefault="00320973" w:rsidP="00EB796A">
            <w:pPr>
              <w:pStyle w:val="Figurespace"/>
            </w:pPr>
          </w:p>
        </w:tc>
      </w:tr>
      <w:tr w:rsidR="00320973" w:rsidRPr="000863A5" w14:paraId="2C46D826" w14:textId="77777777" w:rsidTr="0056207E">
        <w:tc>
          <w:tcPr>
            <w:tcW w:w="8789" w:type="dxa"/>
            <w:tcBorders>
              <w:top w:val="single" w:sz="6" w:space="0" w:color="78A22F"/>
              <w:left w:val="nil"/>
              <w:bottom w:val="nil"/>
              <w:right w:val="nil"/>
            </w:tcBorders>
          </w:tcPr>
          <w:p w14:paraId="1B7D2D7D" w14:textId="090239C2" w:rsidR="00320973" w:rsidRPr="00626D32" w:rsidRDefault="00320973" w:rsidP="00EB796A">
            <w:pPr>
              <w:pStyle w:val="BoxSpaceBelow"/>
            </w:pPr>
          </w:p>
        </w:tc>
      </w:tr>
    </w:tbl>
    <w:p w14:paraId="34DEE513" w14:textId="77777777" w:rsidR="00E30F6D" w:rsidRDefault="00E30F6D" w:rsidP="00E30F6D">
      <w:pPr>
        <w:pStyle w:val="Heading4"/>
      </w:pPr>
      <w:r>
        <w:t>Hospital beds</w:t>
      </w:r>
    </w:p>
    <w:p w14:paraId="6606D760" w14:textId="43608E3B" w:rsidR="00F441D3" w:rsidRDefault="00221BB8" w:rsidP="00E30F6D">
      <w:pPr>
        <w:pStyle w:val="BodyText"/>
      </w:pPr>
      <w:r>
        <w:t xml:space="preserve">There </w:t>
      </w:r>
      <w:r w:rsidRPr="00AA02CA">
        <w:t xml:space="preserve">were </w:t>
      </w:r>
      <w:r w:rsidR="00AA02CA" w:rsidRPr="00AA02CA">
        <w:t>60 </w:t>
      </w:r>
      <w:r w:rsidR="008769E5">
        <w:t>957</w:t>
      </w:r>
      <w:r w:rsidR="00E30F6D" w:rsidRPr="00AA02CA">
        <w:t xml:space="preserve"> available beds for admitted patients in public hospitals in 201</w:t>
      </w:r>
      <w:r w:rsidR="008769E5">
        <w:t>5</w:t>
      </w:r>
      <w:r w:rsidRPr="00AA02CA">
        <w:t>-</w:t>
      </w:r>
      <w:r w:rsidR="00E30F6D" w:rsidRPr="00AA02CA">
        <w:t>1</w:t>
      </w:r>
      <w:r w:rsidR="008769E5">
        <w:t>6</w:t>
      </w:r>
      <w:r w:rsidR="00E30F6D" w:rsidRPr="00AA02CA">
        <w:t xml:space="preserve">, equivalent to </w:t>
      </w:r>
      <w:r w:rsidR="00AA02CA" w:rsidRPr="00AA02CA">
        <w:t>2.6</w:t>
      </w:r>
      <w:r w:rsidR="00E30F6D" w:rsidRPr="00AA02CA">
        <w:t xml:space="preserve"> beds per </w:t>
      </w:r>
      <w:r w:rsidR="00E30F6D">
        <w:t>1000 people (</w:t>
      </w:r>
      <w:r w:rsidR="00C16585">
        <w:t>table</w:t>
      </w:r>
      <w:r w:rsidR="00BA39AF">
        <w:t>s</w:t>
      </w:r>
      <w:r w:rsidR="00C16585">
        <w:t xml:space="preserve"> </w:t>
      </w:r>
      <w:proofErr w:type="spellStart"/>
      <w:r w:rsidR="00C16585">
        <w:t>12A.</w:t>
      </w:r>
      <w:r w:rsidR="004663E8">
        <w:t>3</w:t>
      </w:r>
      <w:proofErr w:type="spellEnd"/>
      <w:r w:rsidR="00B21BC9">
        <w:t>–</w:t>
      </w:r>
      <w:r w:rsidR="004663E8">
        <w:t>4</w:t>
      </w:r>
      <w:r w:rsidR="00E30F6D">
        <w:t>). The concept of an available bed is becoming less important in the overall context of hospital activity, particularly given the increasing significance of same day hospitalisations</w:t>
      </w:r>
      <w:r w:rsidR="00651907">
        <w:t xml:space="preserve"> and hospital-in-the-home (AIHW </w:t>
      </w:r>
      <w:r w:rsidR="00E30F6D">
        <w:t xml:space="preserve">2011). </w:t>
      </w:r>
      <w:r w:rsidR="0042423A" w:rsidRPr="00F441D3">
        <w:t xml:space="preserve">Nationally, </w:t>
      </w:r>
      <w:r w:rsidR="0042423A">
        <w:t>the number of</w:t>
      </w:r>
      <w:r w:rsidR="0042423A" w:rsidRPr="00F441D3">
        <w:t xml:space="preserve"> beds available per 1000 people in</w:t>
      </w:r>
      <w:r w:rsidR="0042423A">
        <w:t>creased as</w:t>
      </w:r>
      <w:r w:rsidR="0042423A" w:rsidRPr="00F441D3">
        <w:t xml:space="preserve"> remote</w:t>
      </w:r>
      <w:r w:rsidR="0042423A">
        <w:t>ness increased</w:t>
      </w:r>
      <w:r w:rsidR="0042423A" w:rsidRPr="00F441D3">
        <w:t xml:space="preserve"> </w:t>
      </w:r>
      <w:r w:rsidR="00C16585" w:rsidRPr="00F441D3">
        <w:t>(</w:t>
      </w:r>
      <w:r w:rsidR="00CE2DCB">
        <w:t>table </w:t>
      </w:r>
      <w:proofErr w:type="spellStart"/>
      <w:r w:rsidR="00C16585">
        <w:t>12A.</w:t>
      </w:r>
      <w:r w:rsidR="004663E8">
        <w:t>4</w:t>
      </w:r>
      <w:proofErr w:type="spellEnd"/>
      <w:r w:rsidR="00C16585" w:rsidRPr="00F441D3">
        <w:t>).</w:t>
      </w:r>
      <w:r w:rsidR="00F12273">
        <w:t xml:space="preserve"> </w:t>
      </w:r>
    </w:p>
    <w:p w14:paraId="2F817709" w14:textId="77777777" w:rsidR="003F5D50" w:rsidRDefault="003F5D50" w:rsidP="003F5D50">
      <w:pPr>
        <w:pStyle w:val="Heading4"/>
      </w:pPr>
      <w:r>
        <w:t>Admitted patient care</w:t>
      </w:r>
    </w:p>
    <w:p w14:paraId="14C06319" w14:textId="6D97723D" w:rsidR="00320973" w:rsidRDefault="003F5D50" w:rsidP="003F5D50">
      <w:pPr>
        <w:pStyle w:val="BodyText"/>
      </w:pPr>
      <w:r>
        <w:t xml:space="preserve">There were </w:t>
      </w:r>
      <w:r w:rsidRPr="00AA02CA">
        <w:t xml:space="preserve">approximately </w:t>
      </w:r>
      <w:r w:rsidR="00AA02CA" w:rsidRPr="00AA02CA">
        <w:t>6.</w:t>
      </w:r>
      <w:r w:rsidR="008769E5">
        <w:t>3</w:t>
      </w:r>
      <w:r w:rsidRPr="00AA02CA">
        <w:t xml:space="preserve"> million separations</w:t>
      </w:r>
      <w:r w:rsidR="00724D8E" w:rsidRPr="00AA02CA">
        <w:t xml:space="preserve"> </w:t>
      </w:r>
      <w:r w:rsidRPr="00AA02CA">
        <w:t>from public (non</w:t>
      </w:r>
      <w:r w:rsidR="00B81EBB" w:rsidRPr="00AA02CA">
        <w:t>-</w:t>
      </w:r>
      <w:r w:rsidRPr="00AA02CA">
        <w:t>psychiatric) hospitals in 201</w:t>
      </w:r>
      <w:r w:rsidR="008769E5">
        <w:t>5</w:t>
      </w:r>
      <w:r w:rsidRPr="00AA02CA">
        <w:t>-1</w:t>
      </w:r>
      <w:r w:rsidR="008769E5">
        <w:t>6</w:t>
      </w:r>
      <w:r w:rsidR="00724D8E" w:rsidRPr="00AA02CA">
        <w:t>, of which just over half were same day patients</w:t>
      </w:r>
      <w:r w:rsidRPr="00AA02CA">
        <w:t xml:space="preserve"> (table </w:t>
      </w:r>
      <w:proofErr w:type="spellStart"/>
      <w:r w:rsidR="000F15E6" w:rsidRPr="00AA02CA">
        <w:t>12A</w:t>
      </w:r>
      <w:r w:rsidRPr="00AA02CA">
        <w:t>.</w:t>
      </w:r>
      <w:r w:rsidR="004663E8">
        <w:t>5</w:t>
      </w:r>
      <w:proofErr w:type="spellEnd"/>
      <w:r w:rsidRPr="00AA02CA">
        <w:t xml:space="preserve">). Nationally, this translates into </w:t>
      </w:r>
      <w:r w:rsidR="008769E5">
        <w:t>246.9</w:t>
      </w:r>
      <w:r w:rsidRPr="00AA02CA">
        <w:t xml:space="preserve"> separations </w:t>
      </w:r>
      <w:r>
        <w:t xml:space="preserve">per 1000 people (figure </w:t>
      </w:r>
      <w:r w:rsidR="000F15E6">
        <w:t>12.</w:t>
      </w:r>
      <w:r w:rsidR="003251E4">
        <w:t>2</w:t>
      </w:r>
      <w:r>
        <w:t xml:space="preserve">). Acute </w:t>
      </w:r>
      <w:r w:rsidR="0042423A">
        <w:t xml:space="preserve">care </w:t>
      </w:r>
      <w:r>
        <w:t xml:space="preserve">separations accounted for </w:t>
      </w:r>
      <w:r w:rsidR="00921D02">
        <w:t>the majority</w:t>
      </w:r>
      <w:r>
        <w:t xml:space="preserve"> of separations from public hospitals </w:t>
      </w:r>
      <w:r w:rsidR="00240D83">
        <w:t xml:space="preserve">(table </w:t>
      </w:r>
      <w:proofErr w:type="spellStart"/>
      <w:r w:rsidR="000F15E6">
        <w:t>12A</w:t>
      </w:r>
      <w:r w:rsidR="00240D83">
        <w:t>.1</w:t>
      </w:r>
      <w:r w:rsidR="004663E8">
        <w:t>0</w:t>
      </w:r>
      <w:proofErr w:type="spellEnd"/>
      <w:r w:rsidR="00240D83">
        <w:t>)</w:t>
      </w:r>
      <w:r>
        <w:t xml:space="preserve">. </w:t>
      </w:r>
    </w:p>
    <w:p w14:paraId="33A66CDB" w14:textId="356E78B5" w:rsidR="003F5D50" w:rsidRDefault="003F5D50" w:rsidP="00EB796A">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F5D50" w14:paraId="40373457" w14:textId="77777777" w:rsidTr="0056207E">
        <w:tc>
          <w:tcPr>
            <w:tcW w:w="8789" w:type="dxa"/>
            <w:tcBorders>
              <w:top w:val="single" w:sz="6" w:space="0" w:color="78A22F"/>
              <w:left w:val="nil"/>
              <w:bottom w:val="nil"/>
              <w:right w:val="nil"/>
            </w:tcBorders>
            <w:shd w:val="clear" w:color="auto" w:fill="auto"/>
          </w:tcPr>
          <w:p w14:paraId="12AADEEF" w14:textId="71164886" w:rsidR="003F5D50" w:rsidRPr="00176D3F" w:rsidRDefault="003F5D50" w:rsidP="003F5D50">
            <w:pPr>
              <w:pStyle w:val="FigureTitle"/>
            </w:pPr>
            <w:r w:rsidRPr="00784A05">
              <w:rPr>
                <w:b w:val="0"/>
              </w:rPr>
              <w:t xml:space="preserve">Figure </w:t>
            </w:r>
            <w:r w:rsidR="00D937AB">
              <w:rPr>
                <w:b w:val="0"/>
              </w:rPr>
              <w:t>12.</w:t>
            </w:r>
            <w:r w:rsidR="007F3144">
              <w:rPr>
                <w:b w:val="0"/>
                <w:noProof/>
              </w:rPr>
              <w:t>2</w:t>
            </w:r>
            <w:r>
              <w:tab/>
            </w:r>
            <w:r w:rsidRPr="003F5D50">
              <w:t>Separation rates in public (non-psychiatric) hospitals</w:t>
            </w:r>
            <w:r w:rsidR="00293123">
              <w:rPr>
                <w:rStyle w:val="NoteLabel"/>
                <w:b/>
                <w:szCs w:val="20"/>
              </w:rPr>
              <w:t>a</w:t>
            </w:r>
          </w:p>
        </w:tc>
      </w:tr>
      <w:tr w:rsidR="003F5D50" w14:paraId="5FB38E01" w14:textId="77777777" w:rsidTr="0056207E">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1A72BC" w14:paraId="44AE09AE" w14:textId="77777777" w:rsidTr="00EB796A">
              <w:trPr>
                <w:jc w:val="center"/>
              </w:trPr>
              <w:tc>
                <w:tcPr>
                  <w:tcW w:w="5000" w:type="pct"/>
                  <w:tcBorders>
                    <w:top w:val="nil"/>
                    <w:bottom w:val="nil"/>
                  </w:tcBorders>
                </w:tcPr>
                <w:p w14:paraId="20DFCC51" w14:textId="193F273E" w:rsidR="001A72BC" w:rsidRDefault="00FD711B" w:rsidP="00EB796A">
                  <w:pPr>
                    <w:pStyle w:val="Figure"/>
                    <w:spacing w:before="60" w:after="60"/>
                  </w:pPr>
                  <w:r>
                    <w:rPr>
                      <w:noProof/>
                    </w:rPr>
                    <w:drawing>
                      <wp:inline distT="0" distB="0" distL="0" distR="0" wp14:anchorId="2B725BCF" wp14:editId="1EE9C8B0">
                        <wp:extent cx="5335905" cy="2821305"/>
                        <wp:effectExtent l="0" t="0" r="0" b="0"/>
                        <wp:docPr id="3" name="Picture 3" descr="More details can be found within the text surrounding this image." title="Figure 12.2 Separation rates in public (non-psychiatric) hospit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5905" cy="2821305"/>
                                </a:xfrm>
                                <a:prstGeom prst="rect">
                                  <a:avLst/>
                                </a:prstGeom>
                                <a:noFill/>
                                <a:ln>
                                  <a:noFill/>
                                </a:ln>
                              </pic:spPr>
                            </pic:pic>
                          </a:graphicData>
                        </a:graphic>
                      </wp:inline>
                    </w:drawing>
                  </w:r>
                </w:p>
              </w:tc>
            </w:tr>
          </w:tbl>
          <w:p w14:paraId="63B63246" w14:textId="77777777" w:rsidR="003F5D50" w:rsidRDefault="003F5D50" w:rsidP="00EB796A">
            <w:pPr>
              <w:pStyle w:val="Figure"/>
            </w:pPr>
          </w:p>
        </w:tc>
      </w:tr>
      <w:tr w:rsidR="003F5D50" w:rsidRPr="00176D3F" w14:paraId="06724E77" w14:textId="77777777" w:rsidTr="0056207E">
        <w:tc>
          <w:tcPr>
            <w:tcW w:w="8789" w:type="dxa"/>
            <w:tcBorders>
              <w:top w:val="nil"/>
              <w:left w:val="nil"/>
              <w:bottom w:val="nil"/>
              <w:right w:val="nil"/>
            </w:tcBorders>
            <w:shd w:val="clear" w:color="auto" w:fill="auto"/>
          </w:tcPr>
          <w:p w14:paraId="065BAFC2" w14:textId="77777777" w:rsidR="003F5D50" w:rsidRPr="00176D3F" w:rsidRDefault="0029597B" w:rsidP="004663E8">
            <w:pPr>
              <w:pStyle w:val="Note"/>
            </w:pPr>
            <w:r>
              <w:rPr>
                <w:rStyle w:val="NoteLabel"/>
              </w:rPr>
              <w:t xml:space="preserve">a </w:t>
            </w:r>
            <w:r w:rsidRPr="006F4A3E">
              <w:t xml:space="preserve">See table </w:t>
            </w:r>
            <w:proofErr w:type="spellStart"/>
            <w:r w:rsidR="000F15E6">
              <w:t>12A</w:t>
            </w:r>
            <w:r w:rsidRPr="006F4A3E">
              <w:t>.</w:t>
            </w:r>
            <w:r w:rsidR="004663E8">
              <w:t>6</w:t>
            </w:r>
            <w:proofErr w:type="spellEnd"/>
            <w:r w:rsidRPr="006F4A3E">
              <w:t xml:space="preserve"> for detailed </w:t>
            </w:r>
            <w:r w:rsidR="00536DD1" w:rsidRPr="00536DD1">
              <w:t xml:space="preserve">footnotes and </w:t>
            </w:r>
            <w:r w:rsidRPr="006F4A3E">
              <w:t>caveats</w:t>
            </w:r>
            <w:r w:rsidRPr="00320973">
              <w:t>.</w:t>
            </w:r>
          </w:p>
        </w:tc>
      </w:tr>
      <w:tr w:rsidR="003F5D50" w:rsidRPr="00176D3F" w14:paraId="24D29FC3" w14:textId="77777777" w:rsidTr="0056207E">
        <w:tc>
          <w:tcPr>
            <w:tcW w:w="8789" w:type="dxa"/>
            <w:tcBorders>
              <w:top w:val="nil"/>
              <w:left w:val="nil"/>
              <w:bottom w:val="nil"/>
              <w:right w:val="nil"/>
            </w:tcBorders>
            <w:shd w:val="clear" w:color="auto" w:fill="auto"/>
          </w:tcPr>
          <w:p w14:paraId="6A38EC6A" w14:textId="27071ADA" w:rsidR="003F5D50" w:rsidRPr="00176D3F" w:rsidRDefault="003F5D50" w:rsidP="008423BA">
            <w:pPr>
              <w:pStyle w:val="Source"/>
            </w:pPr>
            <w:r w:rsidRPr="0034608D">
              <w:rPr>
                <w:i/>
              </w:rPr>
              <w:t>Source</w:t>
            </w:r>
            <w:r w:rsidRPr="0034608D">
              <w:t xml:space="preserve">: AIHW (various years), </w:t>
            </w:r>
            <w:r w:rsidRPr="0034608D">
              <w:rPr>
                <w:i/>
              </w:rPr>
              <w:t>Australian Hospital Statistics</w:t>
            </w:r>
            <w:r w:rsidRPr="0034608D">
              <w:t xml:space="preserve">, Health Services Series, Cat. </w:t>
            </w:r>
            <w:proofErr w:type="spellStart"/>
            <w:r w:rsidRPr="0034608D">
              <w:t>nos</w:t>
            </w:r>
            <w:proofErr w:type="spellEnd"/>
            <w:r w:rsidRPr="0034608D">
              <w:t xml:space="preserve"> </w:t>
            </w:r>
            <w:proofErr w:type="spellStart"/>
            <w:r w:rsidR="00C75A0E" w:rsidRPr="0034608D">
              <w:t>HSE</w:t>
            </w:r>
            <w:proofErr w:type="spellEnd"/>
            <w:r w:rsidR="0034608D" w:rsidRPr="0034608D">
              <w:t xml:space="preserve"> </w:t>
            </w:r>
            <w:r w:rsidR="00C75A0E" w:rsidRPr="0034608D">
              <w:t>134 and 145</w:t>
            </w:r>
            <w:r w:rsidRPr="0034608D">
              <w:t xml:space="preserve">; </w:t>
            </w:r>
            <w:r w:rsidR="003030A8" w:rsidRPr="0034608D">
              <w:t>AIHW (</w:t>
            </w:r>
            <w:r w:rsidR="00AE0361" w:rsidRPr="0034608D">
              <w:t>various years</w:t>
            </w:r>
            <w:r w:rsidR="003030A8" w:rsidRPr="0034608D">
              <w:t xml:space="preserve">), </w:t>
            </w:r>
            <w:r w:rsidR="003030A8" w:rsidRPr="0034608D">
              <w:rPr>
                <w:i/>
              </w:rPr>
              <w:t>Admitted patient care: Australian hospital statistics</w:t>
            </w:r>
            <w:r w:rsidR="00AE0361" w:rsidRPr="0034608D">
              <w:rPr>
                <w:i/>
              </w:rPr>
              <w:t>,</w:t>
            </w:r>
            <w:r w:rsidR="003030A8" w:rsidRPr="0034608D">
              <w:t xml:space="preserve"> Health services series Cat.</w:t>
            </w:r>
            <w:r w:rsidR="008423BA">
              <w:t> </w:t>
            </w:r>
            <w:r w:rsidR="003030A8" w:rsidRPr="0034608D">
              <w:t>no</w:t>
            </w:r>
            <w:r w:rsidR="007F3144">
              <w:t>s</w:t>
            </w:r>
            <w:r w:rsidR="003030A8" w:rsidRPr="0034608D">
              <w:t xml:space="preserve">. </w:t>
            </w:r>
            <w:proofErr w:type="spellStart"/>
            <w:r w:rsidR="003030A8" w:rsidRPr="0034608D">
              <w:t>HSE</w:t>
            </w:r>
            <w:proofErr w:type="spellEnd"/>
            <w:r w:rsidR="003030A8" w:rsidRPr="0034608D">
              <w:t xml:space="preserve"> 156</w:t>
            </w:r>
            <w:r w:rsidR="0034608D" w:rsidRPr="0034608D">
              <w:t>,</w:t>
            </w:r>
            <w:r w:rsidR="00AE0361" w:rsidRPr="0034608D">
              <w:t xml:space="preserve"> 172</w:t>
            </w:r>
            <w:r w:rsidR="0034608D" w:rsidRPr="0034608D">
              <w:t xml:space="preserve"> and 185</w:t>
            </w:r>
            <w:r w:rsidR="003030A8" w:rsidRPr="0034608D">
              <w:t xml:space="preserve">; </w:t>
            </w:r>
            <w:r w:rsidRPr="0034608D">
              <w:t xml:space="preserve">table </w:t>
            </w:r>
            <w:proofErr w:type="spellStart"/>
            <w:r w:rsidR="000F15E6" w:rsidRPr="0034608D">
              <w:t>12A</w:t>
            </w:r>
            <w:r w:rsidRPr="0034608D">
              <w:t>.</w:t>
            </w:r>
            <w:r w:rsidR="004663E8" w:rsidRPr="0034608D">
              <w:t>6</w:t>
            </w:r>
            <w:proofErr w:type="spellEnd"/>
            <w:r w:rsidRPr="0034608D">
              <w:t>.</w:t>
            </w:r>
          </w:p>
        </w:tc>
      </w:tr>
      <w:tr w:rsidR="003F5D50" w14:paraId="3E03523E" w14:textId="77777777" w:rsidTr="0056207E">
        <w:tc>
          <w:tcPr>
            <w:tcW w:w="8789" w:type="dxa"/>
            <w:tcBorders>
              <w:top w:val="nil"/>
              <w:left w:val="nil"/>
              <w:bottom w:val="single" w:sz="6" w:space="0" w:color="78A22F"/>
              <w:right w:val="nil"/>
            </w:tcBorders>
            <w:shd w:val="clear" w:color="auto" w:fill="auto"/>
          </w:tcPr>
          <w:p w14:paraId="3F47BBFB" w14:textId="77777777" w:rsidR="003F5D50" w:rsidRDefault="003F5D50" w:rsidP="00EB796A">
            <w:pPr>
              <w:pStyle w:val="Figurespace"/>
            </w:pPr>
          </w:p>
        </w:tc>
      </w:tr>
      <w:tr w:rsidR="003F5D50" w:rsidRPr="000863A5" w14:paraId="0CAEE274" w14:textId="77777777" w:rsidTr="0056207E">
        <w:tc>
          <w:tcPr>
            <w:tcW w:w="8789" w:type="dxa"/>
            <w:tcBorders>
              <w:top w:val="single" w:sz="6" w:space="0" w:color="78A22F"/>
              <w:left w:val="nil"/>
              <w:bottom w:val="nil"/>
              <w:right w:val="nil"/>
            </w:tcBorders>
          </w:tcPr>
          <w:p w14:paraId="2076E7FF" w14:textId="6A197831" w:rsidR="003F5D50" w:rsidRPr="00626D32" w:rsidRDefault="003F5D50" w:rsidP="00EB796A">
            <w:pPr>
              <w:pStyle w:val="BoxSpaceBelow"/>
            </w:pPr>
          </w:p>
        </w:tc>
      </w:tr>
    </w:tbl>
    <w:p w14:paraId="2C323430" w14:textId="5EED2215" w:rsidR="00320973" w:rsidRDefault="003F5D50" w:rsidP="003F5D50">
      <w:pPr>
        <w:pStyle w:val="BodyText"/>
      </w:pPr>
      <w:r>
        <w:t xml:space="preserve">Variations in admission rates can reflect different practices in classifying patients as either admitted same day patients or </w:t>
      </w:r>
      <w:r w:rsidR="00CB65FD">
        <w:t xml:space="preserve">non-admitted </w:t>
      </w:r>
      <w:r>
        <w:t>outpatients. The extent of differences in classification practices can be inferred from the variation in the proportion of same day separations across jurisdictions for certain conditions or treatments. This is particularly true of medical separations</w:t>
      </w:r>
      <w:r w:rsidR="00BA39AF">
        <w:t>, where there was s</w:t>
      </w:r>
      <w:r>
        <w:t>ignificant variation across jurisdictions in the proportion of same day medical separations in 201</w:t>
      </w:r>
      <w:r w:rsidR="008769E5">
        <w:t>5</w:t>
      </w:r>
      <w:r>
        <w:t>-1</w:t>
      </w:r>
      <w:r w:rsidR="008769E5">
        <w:t>6</w:t>
      </w:r>
      <w:r>
        <w:t xml:space="preserve"> (</w:t>
      </w:r>
      <w:r w:rsidR="00DE34DB">
        <w:t xml:space="preserve">table </w:t>
      </w:r>
      <w:proofErr w:type="spellStart"/>
      <w:r w:rsidR="000F15E6">
        <w:t>12A</w:t>
      </w:r>
      <w:r w:rsidR="00DE34DB">
        <w:t>.</w:t>
      </w:r>
      <w:r w:rsidR="004663E8">
        <w:t>7</w:t>
      </w:r>
      <w:proofErr w:type="spellEnd"/>
      <w:r>
        <w:t xml:space="preserve">). </w:t>
      </w:r>
    </w:p>
    <w:p w14:paraId="1D08EA2F" w14:textId="79B603CC" w:rsidR="00320973" w:rsidRDefault="003F5D50" w:rsidP="00320973">
      <w:pPr>
        <w:pStyle w:val="BodyText"/>
      </w:pPr>
      <w:r>
        <w:t>In 201</w:t>
      </w:r>
      <w:r w:rsidR="00FC0C04">
        <w:t>5</w:t>
      </w:r>
      <w:r>
        <w:t>-1</w:t>
      </w:r>
      <w:r w:rsidR="00FC0C04">
        <w:t>6</w:t>
      </w:r>
      <w:r>
        <w:t>, on an age</w:t>
      </w:r>
      <w:r w:rsidR="00BA39AF">
        <w:t>-</w:t>
      </w:r>
      <w:r>
        <w:t>standardised basis, public hospital separation</w:t>
      </w:r>
      <w:r w:rsidR="008233A2">
        <w:t xml:space="preserve"> rates</w:t>
      </w:r>
      <w:r>
        <w:t xml:space="preserve"> for </w:t>
      </w:r>
      <w:r w:rsidR="00CC4A84" w:rsidRPr="00CC4A84">
        <w:t xml:space="preserve">Aboriginal and Torres Strait Islander </w:t>
      </w:r>
      <w:r>
        <w:t xml:space="preserve">Australians were </w:t>
      </w:r>
      <w:r w:rsidRPr="003F5D50">
        <w:t xml:space="preserve">markedly higher than the corresponding </w:t>
      </w:r>
      <w:r w:rsidR="00925DA4">
        <w:t>rate</w:t>
      </w:r>
      <w:r w:rsidR="008233A2">
        <w:t>s</w:t>
      </w:r>
      <w:r w:rsidR="00925DA4">
        <w:t xml:space="preserve"> </w:t>
      </w:r>
      <w:r w:rsidRPr="003F5D50">
        <w:t>for all Australians.</w:t>
      </w:r>
      <w:r w:rsidR="002E1C13" w:rsidRPr="002E1C13">
        <w:t xml:space="preserve"> </w:t>
      </w:r>
      <w:r w:rsidR="008233A2">
        <w:t xml:space="preserve">For private hospital separations, rates were higher for all Australians compared to Aboriginal and Torres Strait Islander Australians (though separations are lower for private hospitals compared to public hospitals) </w:t>
      </w:r>
      <w:r w:rsidR="008233A2" w:rsidRPr="003F5D50">
        <w:t>(</w:t>
      </w:r>
      <w:r w:rsidR="008423BA">
        <w:t xml:space="preserve">table </w:t>
      </w:r>
      <w:proofErr w:type="spellStart"/>
      <w:r w:rsidR="008233A2">
        <w:t>12A.8</w:t>
      </w:r>
      <w:proofErr w:type="spellEnd"/>
      <w:r w:rsidR="008233A2" w:rsidRPr="003F5D50">
        <w:t>)</w:t>
      </w:r>
      <w:r w:rsidR="008233A2">
        <w:t>.</w:t>
      </w:r>
    </w:p>
    <w:p w14:paraId="7A0CD141" w14:textId="77777777" w:rsidR="007A6EC9" w:rsidRDefault="007A6EC9" w:rsidP="007A6EC9">
      <w:pPr>
        <w:pStyle w:val="Heading4"/>
      </w:pPr>
      <w:r>
        <w:t>Non-admitted patient services</w:t>
      </w:r>
    </w:p>
    <w:p w14:paraId="58C4B60E" w14:textId="1219127C" w:rsidR="00320973" w:rsidRPr="000D3453" w:rsidRDefault="00A00DA1" w:rsidP="007A6EC9">
      <w:pPr>
        <w:pStyle w:val="BodyText"/>
      </w:pPr>
      <w:r w:rsidRPr="00B3446C">
        <w:t>Non-admitted patient services include outpatient services, which may be provided on an individual or group basis, and emergency department services.</w:t>
      </w:r>
      <w:r>
        <w:t xml:space="preserve"> </w:t>
      </w:r>
      <w:r w:rsidR="007A6EC9" w:rsidRPr="000D3453">
        <w:t xml:space="preserve">A total of </w:t>
      </w:r>
      <w:r w:rsidR="00FC0C04">
        <w:t>32.</w:t>
      </w:r>
      <w:r w:rsidR="005E6230">
        <w:t>3</w:t>
      </w:r>
      <w:r w:rsidR="007A6EC9" w:rsidRPr="000D3453">
        <w:t xml:space="preserve"> million individual service </w:t>
      </w:r>
      <w:r w:rsidR="000D3453" w:rsidRPr="000D3453">
        <w:t xml:space="preserve">events </w:t>
      </w:r>
      <w:r w:rsidR="007A6EC9" w:rsidRPr="000D3453">
        <w:t xml:space="preserve">were provided to </w:t>
      </w:r>
      <w:r w:rsidRPr="00B3446C">
        <w:t>outpatients</w:t>
      </w:r>
      <w:r w:rsidR="007A6EC9" w:rsidRPr="00B3446C">
        <w:t xml:space="preserve"> </w:t>
      </w:r>
      <w:r w:rsidR="007A6EC9" w:rsidRPr="000D3453">
        <w:t>in public hospitals in 201</w:t>
      </w:r>
      <w:r w:rsidR="00FC0C04">
        <w:t>5</w:t>
      </w:r>
      <w:r w:rsidR="009572F2">
        <w:noBreakHyphen/>
      </w:r>
      <w:r w:rsidR="007A6EC9" w:rsidRPr="000D3453">
        <w:t>1</w:t>
      </w:r>
      <w:r w:rsidR="00FC0C04">
        <w:t>6</w:t>
      </w:r>
      <w:r w:rsidR="00E43F3D" w:rsidRPr="000D3453">
        <w:t xml:space="preserve"> </w:t>
      </w:r>
      <w:r w:rsidR="000D3453" w:rsidRPr="000D3453">
        <w:t xml:space="preserve">and around </w:t>
      </w:r>
      <w:r w:rsidR="00FC0C04">
        <w:t>1.1</w:t>
      </w:r>
      <w:r w:rsidR="000D3453" w:rsidRPr="000D3453">
        <w:t xml:space="preserve"> million group service events </w:t>
      </w:r>
      <w:r w:rsidR="007A6EC9" w:rsidRPr="000D3453">
        <w:t>(table</w:t>
      </w:r>
      <w:r w:rsidR="000D3453" w:rsidRPr="000D3453">
        <w:t> </w:t>
      </w:r>
      <w:proofErr w:type="spellStart"/>
      <w:r w:rsidR="000F15E6" w:rsidRPr="000D3453">
        <w:t>12</w:t>
      </w:r>
      <w:r w:rsidR="00FE41E8" w:rsidRPr="000D3453">
        <w:t>A</w:t>
      </w:r>
      <w:r w:rsidR="000F15E6" w:rsidRPr="000D3453">
        <w:t>.</w:t>
      </w:r>
      <w:r w:rsidR="007A6EC9" w:rsidRPr="000D3453">
        <w:t>1</w:t>
      </w:r>
      <w:r w:rsidR="004663E8" w:rsidRPr="000D3453">
        <w:t>1</w:t>
      </w:r>
      <w:proofErr w:type="spellEnd"/>
      <w:r w:rsidR="007A6EC9" w:rsidRPr="000D3453">
        <w:t xml:space="preserve">). </w:t>
      </w:r>
      <w:r w:rsidR="002678C7" w:rsidRPr="002678C7">
        <w:t>Differing admission practices across states and territories lead to variation among jurisdictions</w:t>
      </w:r>
      <w:r w:rsidR="00D3297D">
        <w:t xml:space="preserve"> in the services reported </w:t>
      </w:r>
      <w:r w:rsidR="00D3297D">
        <w:lastRenderedPageBreak/>
        <w:t>(</w:t>
      </w:r>
      <w:proofErr w:type="spellStart"/>
      <w:r w:rsidR="00D3297D">
        <w:t>AIHW</w:t>
      </w:r>
      <w:proofErr w:type="spellEnd"/>
      <w:r w:rsidR="00D3297D">
        <w:t> </w:t>
      </w:r>
      <w:proofErr w:type="spellStart"/>
      <w:r w:rsidR="002678C7" w:rsidRPr="002678C7">
        <w:t>201</w:t>
      </w:r>
      <w:r w:rsidR="00FC0C04">
        <w:t>7</w:t>
      </w:r>
      <w:r w:rsidR="002678C7" w:rsidRPr="002678C7">
        <w:t>c</w:t>
      </w:r>
      <w:proofErr w:type="spellEnd"/>
      <w:r w:rsidR="002678C7" w:rsidRPr="002678C7">
        <w:t>).</w:t>
      </w:r>
      <w:r w:rsidR="002678C7">
        <w:t xml:space="preserve"> T</w:t>
      </w:r>
      <w:r w:rsidR="000D3453" w:rsidRPr="000D3453">
        <w:t>here were 7.</w:t>
      </w:r>
      <w:r w:rsidR="00FC0C04">
        <w:t>5</w:t>
      </w:r>
      <w:r w:rsidR="000D3453" w:rsidRPr="000D3453">
        <w:t xml:space="preserve"> million presentations to em</w:t>
      </w:r>
      <w:r w:rsidR="000D3453">
        <w:t>ergency departments in 201</w:t>
      </w:r>
      <w:r w:rsidR="003251E4">
        <w:t>5</w:t>
      </w:r>
      <w:r w:rsidR="000522AD">
        <w:t>-</w:t>
      </w:r>
      <w:r w:rsidR="000D3453">
        <w:t>1</w:t>
      </w:r>
      <w:r w:rsidR="003251E4">
        <w:t>6</w:t>
      </w:r>
      <w:r w:rsidR="002678C7">
        <w:t xml:space="preserve"> </w:t>
      </w:r>
      <w:r w:rsidR="00D3297D">
        <w:t>(table </w:t>
      </w:r>
      <w:proofErr w:type="spellStart"/>
      <w:r w:rsidR="002678C7" w:rsidRPr="002678C7">
        <w:t>12A.1</w:t>
      </w:r>
      <w:r w:rsidR="002678C7">
        <w:t>2</w:t>
      </w:r>
      <w:proofErr w:type="spellEnd"/>
      <w:r w:rsidR="002678C7" w:rsidRPr="002678C7">
        <w:t>).</w:t>
      </w:r>
    </w:p>
    <w:p w14:paraId="0D891247" w14:textId="77777777" w:rsidR="00F81BE4" w:rsidRDefault="00F81BE4" w:rsidP="00F81BE4">
      <w:pPr>
        <w:pStyle w:val="Heading4"/>
      </w:pPr>
      <w:r>
        <w:t>Staff</w:t>
      </w:r>
    </w:p>
    <w:p w14:paraId="5E8EE371" w14:textId="390E2239" w:rsidR="00320973" w:rsidRDefault="00F81BE4" w:rsidP="00F81BE4">
      <w:pPr>
        <w:pStyle w:val="BodyText"/>
      </w:pPr>
      <w:r>
        <w:t>In 201</w:t>
      </w:r>
      <w:r w:rsidR="00085308">
        <w:t>5</w:t>
      </w:r>
      <w:r>
        <w:t>-1</w:t>
      </w:r>
      <w:r w:rsidR="00085308">
        <w:t>6</w:t>
      </w:r>
      <w:r>
        <w:t>, nurses comprised the single largest group of full time equivalent (FTE) staff employed in public hospitals</w:t>
      </w:r>
      <w:r w:rsidR="00590D39">
        <w:t xml:space="preserve"> (figure </w:t>
      </w:r>
      <w:r w:rsidR="000F15E6">
        <w:t>12.</w:t>
      </w:r>
      <w:r w:rsidR="003251E4">
        <w:t>3</w:t>
      </w:r>
      <w:r>
        <w:t>).</w:t>
      </w:r>
      <w:r w:rsidR="00E20530" w:rsidRPr="00E20530">
        <w:t xml:space="preserve"> Comparing data on FTE staff across jurisdictions should be undertaken with care, </w:t>
      </w:r>
      <w:r w:rsidR="00CB65FD">
        <w:t>as these</w:t>
      </w:r>
      <w:r w:rsidR="00E20530" w:rsidRPr="00E20530">
        <w:t xml:space="preserve"> data are affected by </w:t>
      </w:r>
      <w:r w:rsidR="00CB65FD">
        <w:t xml:space="preserve">jurisdictional </w:t>
      </w:r>
      <w:r w:rsidR="00E20530" w:rsidRPr="00E20530">
        <w:t>differences in the recording and classification of staff.</w:t>
      </w:r>
    </w:p>
    <w:p w14:paraId="2AB841FD" w14:textId="6E24D1BB" w:rsidR="00F81BE4" w:rsidRDefault="00F81BE4" w:rsidP="00EB796A">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F81BE4" w14:paraId="16799FD5" w14:textId="77777777" w:rsidTr="0056207E">
        <w:tc>
          <w:tcPr>
            <w:tcW w:w="8789" w:type="dxa"/>
            <w:tcBorders>
              <w:top w:val="single" w:sz="6" w:space="0" w:color="78A22F"/>
              <w:left w:val="nil"/>
              <w:bottom w:val="nil"/>
              <w:right w:val="nil"/>
            </w:tcBorders>
            <w:shd w:val="clear" w:color="auto" w:fill="auto"/>
          </w:tcPr>
          <w:p w14:paraId="79C85BE0" w14:textId="44D5CF32" w:rsidR="00F81BE4" w:rsidRPr="00176D3F" w:rsidRDefault="00F81BE4" w:rsidP="00085308">
            <w:pPr>
              <w:pStyle w:val="FigureTitle"/>
            </w:pPr>
            <w:r w:rsidRPr="00784A05">
              <w:rPr>
                <w:b w:val="0"/>
              </w:rPr>
              <w:t xml:space="preserve">Figure </w:t>
            </w:r>
            <w:r w:rsidR="00D937AB">
              <w:rPr>
                <w:b w:val="0"/>
              </w:rPr>
              <w:t>12.</w:t>
            </w:r>
            <w:r w:rsidR="007F3144">
              <w:rPr>
                <w:b w:val="0"/>
                <w:noProof/>
              </w:rPr>
              <w:t>3</w:t>
            </w:r>
            <w:r>
              <w:tab/>
            </w:r>
            <w:r w:rsidR="00853D5A">
              <w:t>Average FTE staff per 1000 people, public hospital</w:t>
            </w:r>
            <w:r w:rsidR="004F0674">
              <w:t xml:space="preserve"> </w:t>
            </w:r>
            <w:r w:rsidR="00853D5A" w:rsidRPr="00B3446C">
              <w:t>s</w:t>
            </w:r>
            <w:r w:rsidR="004F0674" w:rsidRPr="00B3446C">
              <w:t>ervices</w:t>
            </w:r>
            <w:r w:rsidR="00853D5A">
              <w:t>, 201</w:t>
            </w:r>
            <w:r w:rsidR="00085308">
              <w:t>5</w:t>
            </w:r>
            <w:r w:rsidR="00853D5A">
              <w:t>-1</w:t>
            </w:r>
            <w:r w:rsidR="00085308">
              <w:t>6</w:t>
            </w:r>
            <w:r w:rsidR="00293123">
              <w:rPr>
                <w:rStyle w:val="NoteLabel"/>
                <w:b/>
                <w:szCs w:val="20"/>
              </w:rPr>
              <w:t>a</w:t>
            </w:r>
          </w:p>
        </w:tc>
      </w:tr>
      <w:tr w:rsidR="00F81BE4" w14:paraId="66BFDA09" w14:textId="77777777" w:rsidTr="0056207E">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F81BE4" w14:paraId="2A8FA20B" w14:textId="77777777" w:rsidTr="00EB796A">
              <w:trPr>
                <w:jc w:val="center"/>
              </w:trPr>
              <w:tc>
                <w:tcPr>
                  <w:tcW w:w="5000" w:type="pct"/>
                  <w:tcBorders>
                    <w:top w:val="nil"/>
                    <w:bottom w:val="nil"/>
                  </w:tcBorders>
                </w:tcPr>
                <w:p w14:paraId="52F560CE" w14:textId="33F2FAA8" w:rsidR="00F81BE4" w:rsidRDefault="00FD711B" w:rsidP="00EB796A">
                  <w:pPr>
                    <w:pStyle w:val="Figure"/>
                    <w:spacing w:before="60" w:after="60"/>
                  </w:pPr>
                  <w:r>
                    <w:rPr>
                      <w:noProof/>
                    </w:rPr>
                    <w:drawing>
                      <wp:inline distT="0" distB="0" distL="0" distR="0" wp14:anchorId="21F4A18E" wp14:editId="485D29B4">
                        <wp:extent cx="5335905" cy="2821305"/>
                        <wp:effectExtent l="0" t="0" r="0" b="0"/>
                        <wp:docPr id="4" name="Picture 4" descr="More details can be found within the text surrounding this image." title="Figure 12.3 Average FTE staff per 1000 people, public hospital services,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5905" cy="2821305"/>
                                </a:xfrm>
                                <a:prstGeom prst="rect">
                                  <a:avLst/>
                                </a:prstGeom>
                                <a:noFill/>
                                <a:ln>
                                  <a:noFill/>
                                </a:ln>
                              </pic:spPr>
                            </pic:pic>
                          </a:graphicData>
                        </a:graphic>
                      </wp:inline>
                    </w:drawing>
                  </w:r>
                </w:p>
              </w:tc>
            </w:tr>
          </w:tbl>
          <w:p w14:paraId="6348465A" w14:textId="77777777" w:rsidR="00F81BE4" w:rsidRDefault="00F81BE4" w:rsidP="00EB796A">
            <w:pPr>
              <w:pStyle w:val="Figure"/>
            </w:pPr>
          </w:p>
        </w:tc>
      </w:tr>
      <w:tr w:rsidR="00F81BE4" w:rsidRPr="00176D3F" w14:paraId="06A6B810" w14:textId="77777777" w:rsidTr="0056207E">
        <w:tc>
          <w:tcPr>
            <w:tcW w:w="8789" w:type="dxa"/>
            <w:tcBorders>
              <w:top w:val="nil"/>
              <w:left w:val="nil"/>
              <w:bottom w:val="nil"/>
              <w:right w:val="nil"/>
            </w:tcBorders>
            <w:shd w:val="clear" w:color="auto" w:fill="auto"/>
          </w:tcPr>
          <w:p w14:paraId="691C8853" w14:textId="77777777" w:rsidR="00F81BE4" w:rsidRPr="00176D3F" w:rsidRDefault="0029597B" w:rsidP="004663E8">
            <w:pPr>
              <w:pStyle w:val="Note"/>
            </w:pPr>
            <w:r>
              <w:rPr>
                <w:rStyle w:val="NoteLabel"/>
              </w:rPr>
              <w:t xml:space="preserve">a </w:t>
            </w:r>
            <w:r w:rsidRPr="006F4A3E">
              <w:t xml:space="preserve">See table </w:t>
            </w:r>
            <w:proofErr w:type="spellStart"/>
            <w:r w:rsidR="000F15E6">
              <w:t>12A</w:t>
            </w:r>
            <w:r w:rsidRPr="006F4A3E">
              <w:t>.</w:t>
            </w:r>
            <w:r w:rsidR="004663E8">
              <w:t>9</w:t>
            </w:r>
            <w:proofErr w:type="spellEnd"/>
            <w:r w:rsidRPr="006F4A3E">
              <w:t xml:space="preserve"> for detailed </w:t>
            </w:r>
            <w:r w:rsidR="00536DD1" w:rsidRPr="00536DD1">
              <w:t xml:space="preserve">footnotes and </w:t>
            </w:r>
            <w:r w:rsidRPr="006F4A3E">
              <w:t>caveats</w:t>
            </w:r>
            <w:r w:rsidRPr="00320973">
              <w:t>.</w:t>
            </w:r>
          </w:p>
        </w:tc>
      </w:tr>
      <w:tr w:rsidR="00F81BE4" w:rsidRPr="00176D3F" w14:paraId="46E85472" w14:textId="77777777" w:rsidTr="0056207E">
        <w:tc>
          <w:tcPr>
            <w:tcW w:w="8789" w:type="dxa"/>
            <w:tcBorders>
              <w:top w:val="nil"/>
              <w:left w:val="nil"/>
              <w:bottom w:val="nil"/>
              <w:right w:val="nil"/>
            </w:tcBorders>
            <w:shd w:val="clear" w:color="auto" w:fill="auto"/>
          </w:tcPr>
          <w:p w14:paraId="44F00478" w14:textId="2FAFAC90" w:rsidR="00F81BE4" w:rsidRPr="00176D3F" w:rsidRDefault="00F81BE4" w:rsidP="00ED2727">
            <w:pPr>
              <w:pStyle w:val="Source"/>
            </w:pPr>
            <w:r>
              <w:rPr>
                <w:i/>
              </w:rPr>
              <w:t>S</w:t>
            </w:r>
            <w:r w:rsidRPr="00784A05">
              <w:rPr>
                <w:i/>
              </w:rPr>
              <w:t>ource</w:t>
            </w:r>
            <w:r w:rsidRPr="00176D3F">
              <w:t xml:space="preserve">: </w:t>
            </w:r>
            <w:r w:rsidR="00B80EDE" w:rsidRPr="00B80EDE">
              <w:t>AIHW (201</w:t>
            </w:r>
            <w:r w:rsidR="00085308">
              <w:t>7</w:t>
            </w:r>
            <w:r w:rsidR="00B80EDE" w:rsidRPr="00B80EDE">
              <w:t xml:space="preserve">), </w:t>
            </w:r>
            <w:r w:rsidR="00B80EDE" w:rsidRPr="00B80EDE">
              <w:rPr>
                <w:i/>
              </w:rPr>
              <w:t>Hospital resources 201</w:t>
            </w:r>
            <w:r w:rsidR="00085308">
              <w:rPr>
                <w:i/>
              </w:rPr>
              <w:t>5</w:t>
            </w:r>
            <w:r w:rsidR="00991BF7">
              <w:rPr>
                <w:i/>
              </w:rPr>
              <w:t>-</w:t>
            </w:r>
            <w:r w:rsidR="00B80EDE" w:rsidRPr="00B80EDE">
              <w:rPr>
                <w:i/>
              </w:rPr>
              <w:t>1</w:t>
            </w:r>
            <w:r w:rsidR="00085308">
              <w:rPr>
                <w:i/>
              </w:rPr>
              <w:t>6</w:t>
            </w:r>
            <w:r w:rsidR="00B80EDE" w:rsidRPr="00B80EDE">
              <w:rPr>
                <w:i/>
              </w:rPr>
              <w:t>: Australian hospital statistics</w:t>
            </w:r>
            <w:r w:rsidR="00B80EDE" w:rsidRPr="00B80EDE">
              <w:t>. Health services series no.</w:t>
            </w:r>
            <w:r w:rsidR="00ED2727">
              <w:t> </w:t>
            </w:r>
            <w:r w:rsidR="006437E4">
              <w:t>7</w:t>
            </w:r>
            <w:r w:rsidR="00085308">
              <w:t>8</w:t>
            </w:r>
            <w:r w:rsidR="00B80EDE" w:rsidRPr="00B80EDE">
              <w:t xml:space="preserve">. Cat. no. </w:t>
            </w:r>
            <w:proofErr w:type="spellStart"/>
            <w:r w:rsidR="00B80EDE" w:rsidRPr="00B80EDE">
              <w:t>HSE</w:t>
            </w:r>
            <w:proofErr w:type="spellEnd"/>
            <w:r w:rsidR="00B80EDE" w:rsidRPr="00B80EDE">
              <w:t xml:space="preserve"> 1</w:t>
            </w:r>
            <w:r w:rsidR="00085308">
              <w:t>90</w:t>
            </w:r>
            <w:r w:rsidR="005739A0" w:rsidRPr="005739A0">
              <w:t xml:space="preserve">; ABS (unpublished), Australian Demographic Statistics, December </w:t>
            </w:r>
            <w:r w:rsidR="005739A0" w:rsidRPr="000A750A">
              <w:t>Quarter 201</w:t>
            </w:r>
            <w:r w:rsidR="00085308">
              <w:t>5</w:t>
            </w:r>
            <w:r w:rsidR="005739A0" w:rsidRPr="005739A0">
              <w:t xml:space="preserve">, Cat. no. 3101.0; table </w:t>
            </w:r>
            <w:proofErr w:type="spellStart"/>
            <w:r w:rsidR="000F15E6">
              <w:t>12A</w:t>
            </w:r>
            <w:r w:rsidR="005739A0" w:rsidRPr="005739A0">
              <w:t>.</w:t>
            </w:r>
            <w:r w:rsidR="004663E8">
              <w:t>9</w:t>
            </w:r>
            <w:proofErr w:type="spellEnd"/>
            <w:r w:rsidR="00124BB9">
              <w:t>.</w:t>
            </w:r>
          </w:p>
        </w:tc>
      </w:tr>
      <w:tr w:rsidR="00F81BE4" w14:paraId="47ACF5F4" w14:textId="77777777" w:rsidTr="0056207E">
        <w:tc>
          <w:tcPr>
            <w:tcW w:w="8789" w:type="dxa"/>
            <w:tcBorders>
              <w:top w:val="nil"/>
              <w:left w:val="nil"/>
              <w:bottom w:val="single" w:sz="6" w:space="0" w:color="78A22F"/>
              <w:right w:val="nil"/>
            </w:tcBorders>
            <w:shd w:val="clear" w:color="auto" w:fill="auto"/>
          </w:tcPr>
          <w:p w14:paraId="59FC85FC" w14:textId="77777777" w:rsidR="00F81BE4" w:rsidRDefault="00F81BE4" w:rsidP="00EB796A">
            <w:pPr>
              <w:pStyle w:val="Figurespace"/>
            </w:pPr>
          </w:p>
        </w:tc>
      </w:tr>
      <w:tr w:rsidR="00F81BE4" w:rsidRPr="000863A5" w14:paraId="153F9690" w14:textId="77777777" w:rsidTr="0056207E">
        <w:tc>
          <w:tcPr>
            <w:tcW w:w="8789" w:type="dxa"/>
            <w:tcBorders>
              <w:top w:val="single" w:sz="6" w:space="0" w:color="78A22F"/>
              <w:left w:val="nil"/>
              <w:bottom w:val="nil"/>
              <w:right w:val="nil"/>
            </w:tcBorders>
          </w:tcPr>
          <w:p w14:paraId="51647093" w14:textId="158EDC49" w:rsidR="00F81BE4" w:rsidRPr="00626D32" w:rsidRDefault="00F81BE4" w:rsidP="00EB796A">
            <w:pPr>
              <w:pStyle w:val="BoxSpaceBelow"/>
            </w:pPr>
          </w:p>
        </w:tc>
      </w:tr>
    </w:tbl>
    <w:p w14:paraId="437FE003" w14:textId="3643246A" w:rsidR="00320973" w:rsidRDefault="00D937AB" w:rsidP="00F81BE4">
      <w:pPr>
        <w:pStyle w:val="Heading2"/>
      </w:pPr>
      <w:bookmarkStart w:id="6" w:name="_Toc465174687"/>
      <w:r>
        <w:t>12.</w:t>
      </w:r>
      <w:r w:rsidR="007F3144">
        <w:rPr>
          <w:noProof/>
        </w:rPr>
        <w:t>2</w:t>
      </w:r>
      <w:r w:rsidR="00F81BE4">
        <w:tab/>
      </w:r>
      <w:r w:rsidR="00F81BE4" w:rsidRPr="00F81BE4">
        <w:t>Framework of performance indicators for public hospitals</w:t>
      </w:r>
      <w:bookmarkEnd w:id="6"/>
    </w:p>
    <w:p w14:paraId="1BC1BACB" w14:textId="77777777" w:rsidR="00F81BE4" w:rsidRDefault="00F81BE4" w:rsidP="00F81BE4">
      <w:pPr>
        <w:pStyle w:val="BodyText"/>
      </w:pPr>
      <w:r>
        <w:t xml:space="preserve">Performance is reported against objectives that are common to public hospitals in all jurisdictions (box </w:t>
      </w:r>
      <w:r w:rsidR="000F15E6">
        <w:t>12.</w:t>
      </w:r>
      <w:r>
        <w:t xml:space="preserve">1). </w:t>
      </w:r>
    </w:p>
    <w:p w14:paraId="7227C034" w14:textId="24A59EFC" w:rsidR="008F1E67" w:rsidRDefault="008F1E67">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F1E67" w14:paraId="425F81E9" w14:textId="77777777" w:rsidTr="0056207E">
        <w:tc>
          <w:tcPr>
            <w:tcW w:w="8789" w:type="dxa"/>
            <w:tcBorders>
              <w:top w:val="single" w:sz="6" w:space="0" w:color="78A22F"/>
              <w:left w:val="nil"/>
              <w:bottom w:val="nil"/>
              <w:right w:val="nil"/>
            </w:tcBorders>
            <w:shd w:val="clear" w:color="auto" w:fill="F2F2F2"/>
          </w:tcPr>
          <w:p w14:paraId="7A058F83" w14:textId="2379CBB6" w:rsidR="008F1E67" w:rsidRDefault="008F1E67">
            <w:pPr>
              <w:pStyle w:val="BoxTitle"/>
            </w:pPr>
            <w:r>
              <w:rPr>
                <w:b w:val="0"/>
              </w:rPr>
              <w:t xml:space="preserve">Box </w:t>
            </w:r>
            <w:r w:rsidR="00D937AB">
              <w:rPr>
                <w:b w:val="0"/>
              </w:rPr>
              <w:t>12.</w:t>
            </w:r>
            <w:r w:rsidR="007F3144">
              <w:rPr>
                <w:b w:val="0"/>
                <w:noProof/>
              </w:rPr>
              <w:t>1</w:t>
            </w:r>
            <w:r>
              <w:tab/>
            </w:r>
            <w:r w:rsidRPr="008F1E67">
              <w:t>Objectives for public hospitals</w:t>
            </w:r>
          </w:p>
        </w:tc>
      </w:tr>
      <w:tr w:rsidR="008F1E67" w14:paraId="7786CF46" w14:textId="77777777" w:rsidTr="0056207E">
        <w:trPr>
          <w:cantSplit/>
        </w:trPr>
        <w:tc>
          <w:tcPr>
            <w:tcW w:w="8789" w:type="dxa"/>
            <w:tcBorders>
              <w:top w:val="nil"/>
              <w:left w:val="nil"/>
              <w:bottom w:val="nil"/>
              <w:right w:val="nil"/>
            </w:tcBorders>
            <w:shd w:val="clear" w:color="auto" w:fill="F2F2F2"/>
          </w:tcPr>
          <w:p w14:paraId="6507A215" w14:textId="0CD3CF65" w:rsidR="008F1E67" w:rsidRPr="00D921EC" w:rsidRDefault="00AC202F" w:rsidP="008F1E67">
            <w:pPr>
              <w:pStyle w:val="Box"/>
              <w:rPr>
                <w:color w:val="000000" w:themeColor="text1"/>
              </w:rPr>
            </w:pPr>
            <w:r>
              <w:t>Public hospitals aim to alleviate or manage illness and the effects of injury by providing acute, non and sub-acute care along with emergency</w:t>
            </w:r>
            <w:r w:rsidR="00284E97">
              <w:t xml:space="preserve"> and</w:t>
            </w:r>
            <w:r>
              <w:t xml:space="preserve"> outpatient care that is:</w:t>
            </w:r>
          </w:p>
          <w:p w14:paraId="70E1E2AE" w14:textId="77777777" w:rsidR="008F1E67" w:rsidRPr="00D921EC" w:rsidRDefault="00AC202F" w:rsidP="00D921EC">
            <w:pPr>
              <w:pStyle w:val="BoxListBullet"/>
              <w:rPr>
                <w:color w:val="000000" w:themeColor="text1"/>
              </w:rPr>
            </w:pPr>
            <w:r>
              <w:t>timely and accessible to all</w:t>
            </w:r>
          </w:p>
          <w:p w14:paraId="24C2325C" w14:textId="77777777" w:rsidR="008F1E67" w:rsidRPr="00D921EC" w:rsidRDefault="00AC202F" w:rsidP="00D921EC">
            <w:pPr>
              <w:pStyle w:val="BoxListBullet"/>
              <w:rPr>
                <w:color w:val="000000" w:themeColor="text1"/>
              </w:rPr>
            </w:pPr>
            <w:r>
              <w:t xml:space="preserve">appropriate and responsive to the needs of individuals </w:t>
            </w:r>
            <w:r w:rsidRPr="00AC202F">
              <w:t>throughout their lifespan</w:t>
            </w:r>
            <w:r>
              <w:rPr>
                <w:color w:val="FF0000"/>
              </w:rPr>
              <w:t xml:space="preserve"> </w:t>
            </w:r>
            <w:r>
              <w:t>and communities</w:t>
            </w:r>
          </w:p>
          <w:p w14:paraId="4912C4B8" w14:textId="77777777" w:rsidR="008F1E67" w:rsidRPr="00D921EC" w:rsidRDefault="00D921EC" w:rsidP="00D921EC">
            <w:pPr>
              <w:pStyle w:val="BoxListBullet"/>
              <w:rPr>
                <w:color w:val="000000" w:themeColor="text1"/>
              </w:rPr>
            </w:pPr>
            <w:r w:rsidRPr="00D921EC">
              <w:rPr>
                <w:color w:val="000000" w:themeColor="text1"/>
              </w:rPr>
              <w:t>high quality and safe</w:t>
            </w:r>
          </w:p>
          <w:p w14:paraId="7011A3C1" w14:textId="77777777" w:rsidR="00D921EC" w:rsidRPr="00D921EC" w:rsidRDefault="00AC202F" w:rsidP="00D921EC">
            <w:pPr>
              <w:pStyle w:val="BoxListBullet"/>
              <w:rPr>
                <w:color w:val="000000" w:themeColor="text1"/>
              </w:rPr>
            </w:pPr>
            <w:proofErr w:type="spellStart"/>
            <w:r>
              <w:t>well co-ordinated</w:t>
            </w:r>
            <w:proofErr w:type="spellEnd"/>
            <w:r>
              <w:t xml:space="preserve"> to ensure continuity of care where more than one service type, and/or ongoing service provision is required</w:t>
            </w:r>
          </w:p>
          <w:p w14:paraId="6FC405F1" w14:textId="77777777" w:rsidR="008F1E67" w:rsidRPr="00D921EC" w:rsidRDefault="00D921EC" w:rsidP="00D921EC">
            <w:pPr>
              <w:pStyle w:val="BoxListBullet"/>
              <w:rPr>
                <w:color w:val="000000" w:themeColor="text1"/>
              </w:rPr>
            </w:pPr>
            <w:r w:rsidRPr="00D921EC">
              <w:rPr>
                <w:color w:val="000000" w:themeColor="text1"/>
              </w:rPr>
              <w:t>sustainable</w:t>
            </w:r>
            <w:r w:rsidR="008F1E67" w:rsidRPr="00D921EC">
              <w:rPr>
                <w:color w:val="000000" w:themeColor="text1"/>
              </w:rPr>
              <w:t>.</w:t>
            </w:r>
          </w:p>
          <w:p w14:paraId="4E24DEDE" w14:textId="77777777" w:rsidR="00D921EC" w:rsidRDefault="00D921EC" w:rsidP="00D921EC">
            <w:pPr>
              <w:pStyle w:val="Box"/>
            </w:pPr>
            <w:r w:rsidRPr="00D921EC">
              <w:rPr>
                <w:color w:val="000000" w:themeColor="text1"/>
              </w:rPr>
              <w:t>Governments aim for public hospital services to meet these objectives in an equitable and efficient manner.</w:t>
            </w:r>
          </w:p>
        </w:tc>
      </w:tr>
      <w:tr w:rsidR="008F1E67" w14:paraId="3F93AC6D" w14:textId="77777777" w:rsidTr="0056207E">
        <w:trPr>
          <w:cantSplit/>
        </w:trPr>
        <w:tc>
          <w:tcPr>
            <w:tcW w:w="8789" w:type="dxa"/>
            <w:tcBorders>
              <w:top w:val="nil"/>
              <w:left w:val="nil"/>
              <w:bottom w:val="single" w:sz="6" w:space="0" w:color="78A22F"/>
              <w:right w:val="nil"/>
            </w:tcBorders>
            <w:shd w:val="clear" w:color="auto" w:fill="F2F2F2"/>
          </w:tcPr>
          <w:p w14:paraId="09CAAE76" w14:textId="77777777" w:rsidR="008F1E67" w:rsidRDefault="008F1E67">
            <w:pPr>
              <w:pStyle w:val="Box"/>
              <w:spacing w:before="0" w:line="120" w:lineRule="exact"/>
            </w:pPr>
          </w:p>
        </w:tc>
      </w:tr>
      <w:tr w:rsidR="008F1E67" w:rsidRPr="000863A5" w14:paraId="0B8EFCAB" w14:textId="77777777" w:rsidTr="0056207E">
        <w:tc>
          <w:tcPr>
            <w:tcW w:w="8789" w:type="dxa"/>
            <w:tcBorders>
              <w:top w:val="single" w:sz="6" w:space="0" w:color="78A22F"/>
              <w:left w:val="nil"/>
              <w:bottom w:val="nil"/>
              <w:right w:val="nil"/>
            </w:tcBorders>
          </w:tcPr>
          <w:p w14:paraId="1F4A96FC" w14:textId="00D0E173" w:rsidR="008F1E67" w:rsidRPr="00626D32" w:rsidRDefault="008F1E67" w:rsidP="00EB796A">
            <w:pPr>
              <w:pStyle w:val="BoxSpaceBelow"/>
            </w:pPr>
          </w:p>
        </w:tc>
      </w:tr>
    </w:tbl>
    <w:p w14:paraId="077FEBAA" w14:textId="16A30F9C" w:rsidR="00512075" w:rsidRDefault="003542AE" w:rsidP="008F1E67">
      <w:pPr>
        <w:pStyle w:val="BodyText"/>
      </w:pPr>
      <w:r w:rsidRPr="003542AE">
        <w:t xml:space="preserve">The performance indicator framework provides information on equity, efficiency and effectiveness, and distinguishes the outputs and outcomes of </w:t>
      </w:r>
      <w:r>
        <w:t>public hospital</w:t>
      </w:r>
      <w:r w:rsidR="003E3F6E">
        <w:t xml:space="preserve"> services (figure </w:t>
      </w:r>
      <w:r w:rsidR="000F15E6">
        <w:t>12.</w:t>
      </w:r>
      <w:r w:rsidR="003251E4">
        <w:t>4</w:t>
      </w:r>
      <w:r w:rsidRPr="003542AE">
        <w:t xml:space="preserve">). </w:t>
      </w:r>
    </w:p>
    <w:p w14:paraId="51808D6F" w14:textId="77777777" w:rsidR="003542AE" w:rsidRDefault="00512075" w:rsidP="008F1E67">
      <w:pPr>
        <w:pStyle w:val="BodyText"/>
      </w:pPr>
      <w:r w:rsidRPr="003542AE">
        <w:t xml:space="preserve">The performance indicator framework shows which data are </w:t>
      </w:r>
      <w:r>
        <w:t xml:space="preserve">complete and </w:t>
      </w:r>
      <w:r w:rsidRPr="003542AE">
        <w:t>comparable in the 201</w:t>
      </w:r>
      <w:r w:rsidR="00DA5B6D">
        <w:t>8</w:t>
      </w:r>
      <w:r w:rsidRPr="003542AE">
        <w:t xml:space="preserve"> Report.</w:t>
      </w:r>
      <w:r w:rsidRPr="003F5121">
        <w:t xml:space="preserve"> </w:t>
      </w:r>
      <w:r w:rsidRPr="003542AE">
        <w:t xml:space="preserve">For data that are not considered directly comparable, text includes relevant caveats and supporting commentary. Chapter 1 discusses data </w:t>
      </w:r>
      <w:r w:rsidRPr="00E919A3">
        <w:t>comparability</w:t>
      </w:r>
      <w:r w:rsidR="00620CFD">
        <w:t>,</w:t>
      </w:r>
      <w:r w:rsidRPr="00E919A3">
        <w:t xml:space="preserve"> data completeness </w:t>
      </w:r>
      <w:r w:rsidR="00620CFD">
        <w:t xml:space="preserve">and information on data quality </w:t>
      </w:r>
      <w:r w:rsidRPr="00E919A3">
        <w:t>from</w:t>
      </w:r>
      <w:r w:rsidRPr="003542AE">
        <w:t xml:space="preserve"> a Report-wide perspective.</w:t>
      </w:r>
      <w:r>
        <w:t xml:space="preserve"> </w:t>
      </w:r>
      <w:r w:rsidR="007C382D">
        <w:t xml:space="preserve">In addition to section </w:t>
      </w:r>
      <w:r w:rsidR="000F15E6">
        <w:t>12.</w:t>
      </w:r>
      <w:r w:rsidR="007C382D">
        <w:t xml:space="preserve">1, the Report’s Statistical context chapter </w:t>
      </w:r>
      <w:r>
        <w:t xml:space="preserve">(chapter 2) </w:t>
      </w:r>
      <w:r w:rsidR="007C382D">
        <w:t xml:space="preserve">contains data that may assist in interpreting the performance indicators presented in this chapter. </w:t>
      </w:r>
      <w:r w:rsidR="00DA5B6D" w:rsidRPr="00DA5B6D">
        <w:t xml:space="preserve">Chapters 1 and 2 are available from the website at </w:t>
      </w:r>
      <w:proofErr w:type="spellStart"/>
      <w:r w:rsidR="00DA5B6D" w:rsidRPr="00DA5B6D">
        <w:t>www.pc.gov.au</w:t>
      </w:r>
      <w:proofErr w:type="spellEnd"/>
      <w:r w:rsidR="00DA5B6D" w:rsidRPr="00DA5B6D">
        <w:t>/</w:t>
      </w:r>
      <w:proofErr w:type="spellStart"/>
      <w:r w:rsidR="00DA5B6D" w:rsidRPr="00DA5B6D">
        <w:t>rogs</w:t>
      </w:r>
      <w:proofErr w:type="spellEnd"/>
      <w:r w:rsidR="00DA5B6D" w:rsidRPr="00DA5B6D">
        <w:t>/2018</w:t>
      </w:r>
      <w:r w:rsidR="00DA5B6D">
        <w:t>.</w:t>
      </w:r>
    </w:p>
    <w:p w14:paraId="4BBEA966" w14:textId="77777777" w:rsidR="00966B26" w:rsidRDefault="00107AC1" w:rsidP="008F1E67">
      <w:pPr>
        <w:pStyle w:val="BodyText"/>
      </w:pPr>
      <w:r w:rsidRPr="00107AC1">
        <w:t xml:space="preserve">Improvements to performance reporting for </w:t>
      </w:r>
      <w:r>
        <w:t>public hospital</w:t>
      </w:r>
      <w:r w:rsidRPr="00107AC1">
        <w:t xml:space="preserve"> services are ongoing and include identifying data sources to fill gaps in reporting for performance indicators and measures, and improving the comparability and completeness of data</w:t>
      </w:r>
      <w:r>
        <w:t>.</w:t>
      </w:r>
    </w:p>
    <w:p w14:paraId="6C75923B" w14:textId="1CB3EC23" w:rsidR="008F1E67" w:rsidRDefault="008F1E67" w:rsidP="00EB796A">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F1E67" w:rsidRPr="0009667F" w14:paraId="12406597" w14:textId="77777777" w:rsidTr="0056207E">
        <w:tc>
          <w:tcPr>
            <w:tcW w:w="8789" w:type="dxa"/>
            <w:tcBorders>
              <w:top w:val="single" w:sz="6" w:space="0" w:color="78A22F"/>
              <w:left w:val="nil"/>
              <w:bottom w:val="nil"/>
              <w:right w:val="nil"/>
            </w:tcBorders>
            <w:shd w:val="clear" w:color="auto" w:fill="auto"/>
          </w:tcPr>
          <w:p w14:paraId="7577DC03" w14:textId="7A8ECB26" w:rsidR="008F1E67" w:rsidRPr="0009667F" w:rsidRDefault="008F1E67" w:rsidP="008F1E67">
            <w:pPr>
              <w:pStyle w:val="FigureTitle"/>
              <w:rPr>
                <w:color w:val="000000" w:themeColor="text1"/>
              </w:rPr>
            </w:pPr>
            <w:r w:rsidRPr="0009667F">
              <w:rPr>
                <w:b w:val="0"/>
                <w:color w:val="000000" w:themeColor="text1"/>
              </w:rPr>
              <w:t xml:space="preserve">Figure </w:t>
            </w:r>
            <w:r w:rsidR="00D937AB">
              <w:rPr>
                <w:b w:val="0"/>
                <w:color w:val="000000" w:themeColor="text1"/>
              </w:rPr>
              <w:t>12.</w:t>
            </w:r>
            <w:r w:rsidR="007F3144">
              <w:rPr>
                <w:b w:val="0"/>
                <w:noProof/>
                <w:color w:val="000000" w:themeColor="text1"/>
              </w:rPr>
              <w:t>4</w:t>
            </w:r>
            <w:r w:rsidRPr="0009667F">
              <w:rPr>
                <w:color w:val="000000" w:themeColor="text1"/>
              </w:rPr>
              <w:tab/>
              <w:t>Public hospitals performance indicator framework</w:t>
            </w:r>
          </w:p>
        </w:tc>
      </w:tr>
      <w:tr w:rsidR="008F1E67" w14:paraId="342C4334" w14:textId="77777777" w:rsidTr="0056207E">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8F1E67" w14:paraId="6FCC5C72" w14:textId="77777777" w:rsidTr="00EB796A">
              <w:trPr>
                <w:jc w:val="center"/>
              </w:trPr>
              <w:tc>
                <w:tcPr>
                  <w:tcW w:w="5000" w:type="pct"/>
                  <w:tcBorders>
                    <w:top w:val="nil"/>
                    <w:bottom w:val="nil"/>
                  </w:tcBorders>
                </w:tcPr>
                <w:p w14:paraId="4B860721" w14:textId="4C381F42" w:rsidR="008F1E67" w:rsidRDefault="001923D8" w:rsidP="00EB796A">
                  <w:pPr>
                    <w:pStyle w:val="Figure"/>
                    <w:spacing w:before="60" w:after="60"/>
                  </w:pPr>
                  <w:r w:rsidRPr="001923D8">
                    <w:rPr>
                      <w:noProof/>
                    </w:rPr>
                    <w:drawing>
                      <wp:inline distT="0" distB="0" distL="0" distR="0" wp14:anchorId="073CBF0B" wp14:editId="63005A6F">
                        <wp:extent cx="5396230" cy="5715000"/>
                        <wp:effectExtent l="0" t="0" r="0" b="0"/>
                        <wp:docPr id="14" name="Picture 14" descr="More details can be found within the text surrounding this image." title="Figure 12.4 Public hospitals performance indicator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6230" cy="5715000"/>
                                </a:xfrm>
                                <a:prstGeom prst="rect">
                                  <a:avLst/>
                                </a:prstGeom>
                                <a:noFill/>
                                <a:ln>
                                  <a:noFill/>
                                </a:ln>
                              </pic:spPr>
                            </pic:pic>
                          </a:graphicData>
                        </a:graphic>
                      </wp:inline>
                    </w:drawing>
                  </w:r>
                </w:p>
              </w:tc>
            </w:tr>
          </w:tbl>
          <w:p w14:paraId="0E036AFE" w14:textId="77777777" w:rsidR="008F1E67" w:rsidRDefault="008F1E67" w:rsidP="00EB796A">
            <w:pPr>
              <w:pStyle w:val="Figure"/>
            </w:pPr>
          </w:p>
        </w:tc>
      </w:tr>
      <w:tr w:rsidR="008F1E67" w14:paraId="20FC0058" w14:textId="77777777" w:rsidTr="0056207E">
        <w:tc>
          <w:tcPr>
            <w:tcW w:w="8789" w:type="dxa"/>
            <w:tcBorders>
              <w:top w:val="nil"/>
              <w:left w:val="nil"/>
              <w:bottom w:val="single" w:sz="6" w:space="0" w:color="78A22F"/>
              <w:right w:val="nil"/>
            </w:tcBorders>
            <w:shd w:val="clear" w:color="auto" w:fill="auto"/>
          </w:tcPr>
          <w:p w14:paraId="211AECD2" w14:textId="77777777" w:rsidR="008F1E67" w:rsidRDefault="008F1E67" w:rsidP="00EB796A">
            <w:pPr>
              <w:pStyle w:val="Figurespace"/>
            </w:pPr>
          </w:p>
        </w:tc>
      </w:tr>
      <w:tr w:rsidR="008F1E67" w:rsidRPr="000863A5" w14:paraId="3F2CE5E7" w14:textId="77777777" w:rsidTr="0056207E">
        <w:tc>
          <w:tcPr>
            <w:tcW w:w="8789" w:type="dxa"/>
            <w:tcBorders>
              <w:top w:val="single" w:sz="6" w:space="0" w:color="78A22F"/>
              <w:left w:val="nil"/>
              <w:bottom w:val="nil"/>
              <w:right w:val="nil"/>
            </w:tcBorders>
          </w:tcPr>
          <w:p w14:paraId="7EA5F174" w14:textId="3D76C425" w:rsidR="008F1E67" w:rsidRPr="00626D32" w:rsidRDefault="008F1E67" w:rsidP="00EB796A">
            <w:pPr>
              <w:pStyle w:val="BoxSpaceBelow"/>
            </w:pPr>
          </w:p>
        </w:tc>
      </w:tr>
    </w:tbl>
    <w:p w14:paraId="387CA503" w14:textId="2C7F3CF0" w:rsidR="007A6EC9" w:rsidRDefault="00D937AB" w:rsidP="008F1E67">
      <w:pPr>
        <w:pStyle w:val="Heading2"/>
      </w:pPr>
      <w:bookmarkStart w:id="7" w:name="_Toc465174688"/>
      <w:r>
        <w:t>12.</w:t>
      </w:r>
      <w:r w:rsidR="007F3144">
        <w:rPr>
          <w:noProof/>
        </w:rPr>
        <w:t>3</w:t>
      </w:r>
      <w:r w:rsidR="008F1E67">
        <w:tab/>
      </w:r>
      <w:r w:rsidR="008F1E67" w:rsidRPr="008F1E67">
        <w:t>Key performance indicator results for public hospitals</w:t>
      </w:r>
      <w:bookmarkEnd w:id="7"/>
    </w:p>
    <w:p w14:paraId="20D3329E" w14:textId="77777777" w:rsidR="008F1E67" w:rsidRDefault="008F1E67" w:rsidP="008F1E67">
      <w:pPr>
        <w:pStyle w:val="BodyText"/>
      </w:pPr>
      <w:r>
        <w:t xml:space="preserve">Different delivery contexts, locations and types of client can affect the equity, effectiveness and efficiency of health services. </w:t>
      </w:r>
    </w:p>
    <w:p w14:paraId="614998A9" w14:textId="77777777" w:rsidR="008F1E67" w:rsidRDefault="008F1E67" w:rsidP="008F1E67">
      <w:pPr>
        <w:pStyle w:val="Heading3"/>
      </w:pPr>
      <w:r>
        <w:lastRenderedPageBreak/>
        <w:t>Outputs</w:t>
      </w:r>
    </w:p>
    <w:p w14:paraId="5F726D40" w14:textId="77777777" w:rsidR="008F1E67" w:rsidRDefault="008F1E67" w:rsidP="008F1E67">
      <w:pPr>
        <w:pStyle w:val="BodyText"/>
      </w:pPr>
      <w:r>
        <w:t>Outputs are the services delivered (while outcomes are the impact of these services on the status of an individual or group) (see chapter 1).</w:t>
      </w:r>
      <w:r w:rsidR="008C5C45">
        <w:t xml:space="preserve"> Output information is also critical for equitable, efficient and effective management of government services.</w:t>
      </w:r>
    </w:p>
    <w:p w14:paraId="43D612A2" w14:textId="77777777" w:rsidR="008F1E67" w:rsidRDefault="008F1E67" w:rsidP="0056207E">
      <w:pPr>
        <w:pStyle w:val="Heading3"/>
        <w:spacing w:before="500"/>
      </w:pPr>
      <w:r>
        <w:t>Equity</w:t>
      </w:r>
    </w:p>
    <w:p w14:paraId="0695974A" w14:textId="77777777" w:rsidR="008F1E67" w:rsidRDefault="007E3064" w:rsidP="008F1E67">
      <w:pPr>
        <w:pStyle w:val="Heading4"/>
      </w:pPr>
      <w:r>
        <w:t xml:space="preserve">Access — </w:t>
      </w:r>
      <w:r w:rsidR="008F1E67">
        <w:t>Equity of access by special needs groups</w:t>
      </w:r>
    </w:p>
    <w:p w14:paraId="33D99B78" w14:textId="77777777" w:rsidR="008F1E67" w:rsidRPr="008F1E67" w:rsidRDefault="008F1E67" w:rsidP="008F1E67">
      <w:pPr>
        <w:pStyle w:val="BodyText"/>
      </w:pPr>
      <w:r>
        <w:t xml:space="preserve">‘Equity of access by special needs groups’ is an indicator of governments’ objective to provide </w:t>
      </w:r>
      <w:r w:rsidR="008D57FE">
        <w:t xml:space="preserve">hospital </w:t>
      </w:r>
      <w:r>
        <w:t>services</w:t>
      </w:r>
      <w:r w:rsidR="008D57FE">
        <w:t xml:space="preserve"> in an equitable manner</w:t>
      </w:r>
      <w:r>
        <w:t xml:space="preserve"> (box </w:t>
      </w:r>
      <w:r w:rsidR="000F15E6">
        <w:t>12.</w:t>
      </w:r>
      <w:r>
        <w:t>2).</w:t>
      </w:r>
    </w:p>
    <w:p w14:paraId="3E2E1D2A" w14:textId="104F9995" w:rsidR="008F1E67" w:rsidRDefault="008F1E67">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F1E67" w14:paraId="4A17FBA2" w14:textId="77777777" w:rsidTr="0056207E">
        <w:tc>
          <w:tcPr>
            <w:tcW w:w="8789" w:type="dxa"/>
            <w:tcBorders>
              <w:top w:val="single" w:sz="6" w:space="0" w:color="78A22F"/>
              <w:left w:val="nil"/>
              <w:bottom w:val="nil"/>
              <w:right w:val="nil"/>
            </w:tcBorders>
            <w:shd w:val="clear" w:color="auto" w:fill="F2F2F2"/>
          </w:tcPr>
          <w:p w14:paraId="0A21B48B" w14:textId="1340FF0D" w:rsidR="008F1E67" w:rsidRDefault="008F1E67">
            <w:pPr>
              <w:pStyle w:val="BoxTitle"/>
            </w:pPr>
            <w:r>
              <w:rPr>
                <w:b w:val="0"/>
              </w:rPr>
              <w:t xml:space="preserve">Box </w:t>
            </w:r>
            <w:r w:rsidR="00D937AB">
              <w:rPr>
                <w:b w:val="0"/>
              </w:rPr>
              <w:t>12.</w:t>
            </w:r>
            <w:r w:rsidR="007F3144">
              <w:rPr>
                <w:b w:val="0"/>
                <w:noProof/>
              </w:rPr>
              <w:t>2</w:t>
            </w:r>
            <w:r>
              <w:tab/>
            </w:r>
            <w:r w:rsidRPr="008F1E67">
              <w:t>Equity of access by special needs groups</w:t>
            </w:r>
          </w:p>
        </w:tc>
      </w:tr>
      <w:tr w:rsidR="008F1E67" w14:paraId="7ABCF81A" w14:textId="77777777" w:rsidTr="0056207E">
        <w:trPr>
          <w:cantSplit/>
        </w:trPr>
        <w:tc>
          <w:tcPr>
            <w:tcW w:w="8789" w:type="dxa"/>
            <w:tcBorders>
              <w:top w:val="nil"/>
              <w:left w:val="nil"/>
              <w:bottom w:val="nil"/>
              <w:right w:val="nil"/>
            </w:tcBorders>
            <w:shd w:val="clear" w:color="auto" w:fill="F2F2F2"/>
          </w:tcPr>
          <w:p w14:paraId="151D461A" w14:textId="77777777" w:rsidR="00E57B97" w:rsidRDefault="00E57B97" w:rsidP="00E57B97">
            <w:pPr>
              <w:pStyle w:val="Box"/>
            </w:pPr>
            <w:r>
              <w:t>‘Equity of access by special needs groups’ is measured for the special needs group of people living in remote and very remote areas and is defined as the percentage of people who delayed going to hospital due to distance from hospital, by region.</w:t>
            </w:r>
          </w:p>
          <w:p w14:paraId="1F171B87" w14:textId="77777777" w:rsidR="00E57B97" w:rsidRDefault="00E57B97" w:rsidP="00E57B97">
            <w:pPr>
              <w:pStyle w:val="Box"/>
            </w:pPr>
            <w:r>
              <w:t>Similar rates across regions can indicate equity of access to hospital services across regions.</w:t>
            </w:r>
          </w:p>
          <w:p w14:paraId="5487D9D7" w14:textId="3850E299" w:rsidR="008F1E67" w:rsidRDefault="00E57B97" w:rsidP="00BA6495">
            <w:pPr>
              <w:pStyle w:val="Box"/>
            </w:pPr>
            <w:r>
              <w:t xml:space="preserve">Data are not yet available for reporting against this </w:t>
            </w:r>
            <w:r w:rsidR="00BA6495">
              <w:t>measure</w:t>
            </w:r>
            <w:r>
              <w:t>.</w:t>
            </w:r>
          </w:p>
        </w:tc>
      </w:tr>
      <w:tr w:rsidR="008F1E67" w14:paraId="583143EB" w14:textId="77777777" w:rsidTr="0056207E">
        <w:trPr>
          <w:cantSplit/>
        </w:trPr>
        <w:tc>
          <w:tcPr>
            <w:tcW w:w="8789" w:type="dxa"/>
            <w:tcBorders>
              <w:top w:val="nil"/>
              <w:left w:val="nil"/>
              <w:bottom w:val="single" w:sz="6" w:space="0" w:color="78A22F"/>
              <w:right w:val="nil"/>
            </w:tcBorders>
            <w:shd w:val="clear" w:color="auto" w:fill="F2F2F2"/>
          </w:tcPr>
          <w:p w14:paraId="3E86E5F8" w14:textId="77777777" w:rsidR="008F1E67" w:rsidRDefault="008F1E67">
            <w:pPr>
              <w:pStyle w:val="Box"/>
              <w:spacing w:before="0" w:line="120" w:lineRule="exact"/>
            </w:pPr>
          </w:p>
        </w:tc>
      </w:tr>
      <w:tr w:rsidR="008F1E67" w:rsidRPr="000863A5" w14:paraId="38DF49A9" w14:textId="77777777" w:rsidTr="0056207E">
        <w:tc>
          <w:tcPr>
            <w:tcW w:w="8789" w:type="dxa"/>
            <w:tcBorders>
              <w:top w:val="single" w:sz="6" w:space="0" w:color="78A22F"/>
              <w:left w:val="nil"/>
              <w:bottom w:val="nil"/>
              <w:right w:val="nil"/>
            </w:tcBorders>
          </w:tcPr>
          <w:p w14:paraId="75076CA1" w14:textId="58C3B04F" w:rsidR="008F1E67" w:rsidRPr="00626D32" w:rsidRDefault="008F1E67" w:rsidP="00EB796A">
            <w:pPr>
              <w:pStyle w:val="BoxSpaceBelow"/>
            </w:pPr>
          </w:p>
        </w:tc>
      </w:tr>
    </w:tbl>
    <w:p w14:paraId="6919A4E5" w14:textId="77777777" w:rsidR="008F1E67" w:rsidRDefault="008F1E67" w:rsidP="0056207E">
      <w:pPr>
        <w:pStyle w:val="Heading3"/>
        <w:spacing w:before="500"/>
      </w:pPr>
      <w:r>
        <w:t xml:space="preserve">Effectiveness </w:t>
      </w:r>
    </w:p>
    <w:p w14:paraId="17D7D07E" w14:textId="77777777" w:rsidR="008F1E67" w:rsidRDefault="00057279" w:rsidP="0056207E">
      <w:pPr>
        <w:pStyle w:val="Heading4"/>
        <w:spacing w:before="420"/>
      </w:pPr>
      <w:r>
        <w:t xml:space="preserve">Access — </w:t>
      </w:r>
      <w:r w:rsidR="008F1E67">
        <w:t>Emergency department waiting times</w:t>
      </w:r>
    </w:p>
    <w:p w14:paraId="4D662972" w14:textId="77777777" w:rsidR="007A6EC9" w:rsidRDefault="008F1E67" w:rsidP="008F1E67">
      <w:pPr>
        <w:pStyle w:val="BodyText"/>
      </w:pPr>
      <w:r>
        <w:t xml:space="preserve">‘Emergency department waiting times’ is an indicator of governments’ objective to provide </w:t>
      </w:r>
      <w:r w:rsidR="008D57FE">
        <w:t xml:space="preserve">timely and </w:t>
      </w:r>
      <w:r>
        <w:t>accessible services</w:t>
      </w:r>
      <w:r w:rsidR="0072631D">
        <w:t xml:space="preserve"> to all</w:t>
      </w:r>
      <w:r>
        <w:t xml:space="preserve"> (box </w:t>
      </w:r>
      <w:r w:rsidR="000F15E6">
        <w:t>12.</w:t>
      </w:r>
      <w:r>
        <w:t>3).</w:t>
      </w:r>
    </w:p>
    <w:p w14:paraId="1AA5B002" w14:textId="664FB5F7" w:rsidR="0056207E" w:rsidRDefault="0056207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6207E" w14:paraId="6DFCB3BB" w14:textId="77777777" w:rsidTr="003D6386">
        <w:trPr>
          <w:tblHeader/>
        </w:trPr>
        <w:tc>
          <w:tcPr>
            <w:tcW w:w="5000" w:type="pct"/>
            <w:tcBorders>
              <w:top w:val="single" w:sz="6" w:space="0" w:color="78A22F"/>
              <w:left w:val="nil"/>
              <w:bottom w:val="nil"/>
              <w:right w:val="nil"/>
            </w:tcBorders>
            <w:shd w:val="clear" w:color="auto" w:fill="F2F2F2"/>
          </w:tcPr>
          <w:p w14:paraId="615DFE96" w14:textId="7CEE7E25" w:rsidR="0056207E" w:rsidRDefault="0056207E">
            <w:pPr>
              <w:pStyle w:val="BoxTitle"/>
            </w:pPr>
            <w:r>
              <w:rPr>
                <w:b w:val="0"/>
              </w:rPr>
              <w:t>Box 12.</w:t>
            </w:r>
            <w:r w:rsidR="007F3144">
              <w:rPr>
                <w:b w:val="0"/>
                <w:noProof/>
              </w:rPr>
              <w:t>3</w:t>
            </w:r>
            <w:r>
              <w:tab/>
            </w:r>
            <w:r w:rsidRPr="008F1E67">
              <w:t>Emergency department waiting times</w:t>
            </w:r>
          </w:p>
        </w:tc>
      </w:tr>
      <w:tr w:rsidR="0056207E" w14:paraId="04C3B3A0" w14:textId="77777777" w:rsidTr="003D6386">
        <w:tc>
          <w:tcPr>
            <w:tcW w:w="5000" w:type="pct"/>
            <w:tcBorders>
              <w:top w:val="nil"/>
              <w:left w:val="nil"/>
              <w:bottom w:val="nil"/>
              <w:right w:val="nil"/>
            </w:tcBorders>
            <w:shd w:val="clear" w:color="auto" w:fill="F2F2F2"/>
          </w:tcPr>
          <w:p w14:paraId="60B1783B" w14:textId="77777777" w:rsidR="0056207E" w:rsidRDefault="0056207E" w:rsidP="0056207E">
            <w:pPr>
              <w:pStyle w:val="Box"/>
            </w:pPr>
            <w:r w:rsidRPr="009A67FB">
              <w:t>‘</w:t>
            </w:r>
            <w:r>
              <w:t>Emergency department waiting times</w:t>
            </w:r>
            <w:r w:rsidRPr="009A67FB">
              <w:t xml:space="preserve">’ is defined by the following </w:t>
            </w:r>
            <w:r>
              <w:t>two</w:t>
            </w:r>
            <w:r w:rsidRPr="009A67FB">
              <w:t xml:space="preserve"> measures:</w:t>
            </w:r>
          </w:p>
          <w:p w14:paraId="0740CCAF" w14:textId="77777777" w:rsidR="0056207E" w:rsidRDefault="0056207E" w:rsidP="003D6386">
            <w:pPr>
              <w:pStyle w:val="BoxListBullet"/>
            </w:pPr>
            <w:r w:rsidRPr="009A67FB">
              <w:t>Emergency department waiting times by triage category</w:t>
            </w:r>
            <w:r>
              <w:t>, defined as the proportion of patients seen within the benchmarks set by the Australasian Triage Scale. The Australasian Triage Scale is a scale for rating clinical urgency, designed for use in hospital-based emergency services in Australia and New Zealand. The benchmarks, set according to triage category, are as follows:</w:t>
            </w:r>
          </w:p>
          <w:p w14:paraId="434398C6" w14:textId="77777777" w:rsidR="0056207E" w:rsidRDefault="0056207E" w:rsidP="0056207E">
            <w:pPr>
              <w:pStyle w:val="BoxListBullet2"/>
            </w:pPr>
            <w:r>
              <w:t>triage category 1: need for resuscitation — patients seen immediately</w:t>
            </w:r>
          </w:p>
          <w:p w14:paraId="008A47F5" w14:textId="77777777" w:rsidR="0056207E" w:rsidRDefault="0056207E" w:rsidP="0056207E">
            <w:pPr>
              <w:pStyle w:val="BoxListBullet2"/>
            </w:pPr>
            <w:r>
              <w:t>triage category 2: emergency — patients seen within 10 minutes</w:t>
            </w:r>
          </w:p>
          <w:p w14:paraId="1287F4B6" w14:textId="172DFD92" w:rsidR="0056207E" w:rsidRDefault="0056207E" w:rsidP="0056207E">
            <w:pPr>
              <w:pStyle w:val="BoxListBullet2"/>
            </w:pPr>
            <w:r>
              <w:t>triage category 3: urgent — patients seen within 30 minutes</w:t>
            </w:r>
          </w:p>
        </w:tc>
      </w:tr>
      <w:tr w:rsidR="0056207E" w14:paraId="300A1D13" w14:textId="77777777" w:rsidTr="003D6386">
        <w:tc>
          <w:tcPr>
            <w:tcW w:w="5000" w:type="pct"/>
            <w:tcBorders>
              <w:top w:val="nil"/>
              <w:left w:val="nil"/>
              <w:bottom w:val="nil"/>
              <w:right w:val="nil"/>
            </w:tcBorders>
            <w:shd w:val="clear" w:color="auto" w:fill="F2F2F2"/>
          </w:tcPr>
          <w:p w14:paraId="62CEBBDE" w14:textId="412569AE" w:rsidR="0056207E" w:rsidRDefault="0056207E" w:rsidP="0056207E">
            <w:pPr>
              <w:pStyle w:val="BoxSource"/>
              <w:spacing w:before="60"/>
              <w:jc w:val="right"/>
            </w:pPr>
            <w:r>
              <w:t>(continued next page)</w:t>
            </w:r>
          </w:p>
        </w:tc>
      </w:tr>
      <w:tr w:rsidR="0056207E" w14:paraId="14277647" w14:textId="77777777" w:rsidTr="003D6386">
        <w:tc>
          <w:tcPr>
            <w:tcW w:w="5000" w:type="pct"/>
            <w:tcBorders>
              <w:top w:val="nil"/>
              <w:left w:val="nil"/>
              <w:bottom w:val="single" w:sz="6" w:space="0" w:color="78A22F"/>
              <w:right w:val="nil"/>
            </w:tcBorders>
            <w:shd w:val="clear" w:color="auto" w:fill="F2F2F2"/>
          </w:tcPr>
          <w:p w14:paraId="0F0A2B2F" w14:textId="77777777" w:rsidR="0056207E" w:rsidRDefault="0056207E">
            <w:pPr>
              <w:pStyle w:val="Box"/>
              <w:spacing w:before="0" w:line="120" w:lineRule="exact"/>
            </w:pPr>
          </w:p>
        </w:tc>
      </w:tr>
      <w:tr w:rsidR="0056207E" w:rsidRPr="000863A5" w14:paraId="6CC5997F" w14:textId="77777777" w:rsidTr="003D6386">
        <w:tc>
          <w:tcPr>
            <w:tcW w:w="5000" w:type="pct"/>
            <w:tcBorders>
              <w:top w:val="single" w:sz="6" w:space="0" w:color="78A22F"/>
              <w:left w:val="nil"/>
              <w:bottom w:val="nil"/>
              <w:right w:val="nil"/>
            </w:tcBorders>
          </w:tcPr>
          <w:p w14:paraId="48F15137" w14:textId="1B04BAD2" w:rsidR="0056207E" w:rsidRPr="00626D32" w:rsidRDefault="0056207E" w:rsidP="003D6386">
            <w:pPr>
              <w:pStyle w:val="BoxSpaceBelow"/>
            </w:pPr>
          </w:p>
        </w:tc>
      </w:tr>
    </w:tbl>
    <w:p w14:paraId="6350D2AE" w14:textId="0426C84A" w:rsidR="008F1E67" w:rsidRDefault="008F1E67">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F1E67" w14:paraId="12B78135" w14:textId="77777777" w:rsidTr="0056207E">
        <w:tc>
          <w:tcPr>
            <w:tcW w:w="8789" w:type="dxa"/>
            <w:tcBorders>
              <w:top w:val="single" w:sz="6" w:space="0" w:color="78A22F"/>
              <w:left w:val="nil"/>
              <w:bottom w:val="nil"/>
              <w:right w:val="nil"/>
            </w:tcBorders>
            <w:shd w:val="clear" w:color="auto" w:fill="F2F2F2"/>
          </w:tcPr>
          <w:p w14:paraId="2EAF3601" w14:textId="270CA29A" w:rsidR="008F1E67" w:rsidRDefault="008F1E67" w:rsidP="0056207E">
            <w:pPr>
              <w:pStyle w:val="BoxTitle"/>
            </w:pPr>
            <w:r>
              <w:rPr>
                <w:b w:val="0"/>
              </w:rPr>
              <w:t xml:space="preserve">Box </w:t>
            </w:r>
            <w:r w:rsidR="0056207E">
              <w:rPr>
                <w:b w:val="0"/>
              </w:rPr>
              <w:t>12.3</w:t>
            </w:r>
            <w:r>
              <w:tab/>
            </w:r>
            <w:r w:rsidR="0056207E" w:rsidRPr="0056207E">
              <w:rPr>
                <w:b w:val="0"/>
                <w:sz w:val="18"/>
                <w:szCs w:val="18"/>
              </w:rPr>
              <w:t>(continued)</w:t>
            </w:r>
          </w:p>
        </w:tc>
      </w:tr>
      <w:tr w:rsidR="008F1E67" w14:paraId="127A2402" w14:textId="77777777" w:rsidTr="0056207E">
        <w:trPr>
          <w:cantSplit/>
        </w:trPr>
        <w:tc>
          <w:tcPr>
            <w:tcW w:w="8789" w:type="dxa"/>
            <w:tcBorders>
              <w:top w:val="nil"/>
              <w:left w:val="nil"/>
              <w:bottom w:val="nil"/>
              <w:right w:val="nil"/>
            </w:tcBorders>
            <w:shd w:val="clear" w:color="auto" w:fill="F2F2F2"/>
          </w:tcPr>
          <w:p w14:paraId="2F3A8950" w14:textId="77777777" w:rsidR="00955F76" w:rsidRDefault="00955F76" w:rsidP="009D567B">
            <w:pPr>
              <w:pStyle w:val="BoxListBullet2"/>
            </w:pPr>
            <w:r>
              <w:t>triage category 4: semi-urgent — patients seen within 60 minutes</w:t>
            </w:r>
          </w:p>
          <w:p w14:paraId="73B28485" w14:textId="77777777" w:rsidR="009A67FB" w:rsidRDefault="00955F76" w:rsidP="009D567B">
            <w:pPr>
              <w:pStyle w:val="BoxListBullet2"/>
            </w:pPr>
            <w:r>
              <w:t>triage category 5: non-urgent — patients seen within 120 minutes.</w:t>
            </w:r>
          </w:p>
          <w:p w14:paraId="2292E6F1" w14:textId="44E7D7B4" w:rsidR="009A67FB" w:rsidRDefault="00275CD5" w:rsidP="00955F76">
            <w:pPr>
              <w:pStyle w:val="BoxListBullet"/>
            </w:pPr>
            <w:r>
              <w:t>P</w:t>
            </w:r>
            <w:r w:rsidR="00231326" w:rsidRPr="000A750A">
              <w:t>roportion of patients staying for four hours or less</w:t>
            </w:r>
            <w:r w:rsidR="00955F76">
              <w:t xml:space="preserve">, is defined as the </w:t>
            </w:r>
            <w:r w:rsidR="00955F76" w:rsidRPr="001076E0">
              <w:t xml:space="preserve">percentage of presentations to public hospital emergency departments where the time from presentation </w:t>
            </w:r>
            <w:r w:rsidR="00955F76" w:rsidRPr="000A750A">
              <w:t>to admission, transfer or discharge</w:t>
            </w:r>
            <w:r w:rsidR="00955F76" w:rsidRPr="001076E0">
              <w:t xml:space="preserve"> is less than or equal to four hours.</w:t>
            </w:r>
            <w:r w:rsidR="00955F76">
              <w:t xml:space="preserve"> </w:t>
            </w:r>
            <w:r w:rsidR="00955F76" w:rsidRPr="00E919A3">
              <w:t>It is a measure of the duration of the emergency department service rather than a waiting time for emergency department care</w:t>
            </w:r>
            <w:r w:rsidR="00955F76">
              <w:t>.</w:t>
            </w:r>
          </w:p>
          <w:p w14:paraId="78B27281" w14:textId="77777777" w:rsidR="00955F76" w:rsidRDefault="00227F99" w:rsidP="003D6386">
            <w:pPr>
              <w:pStyle w:val="Box"/>
              <w:spacing w:before="100"/>
            </w:pPr>
            <w:r>
              <w:t>H</w:t>
            </w:r>
            <w:r w:rsidR="00955F76">
              <w:t>igh or increasing proportion</w:t>
            </w:r>
            <w:r>
              <w:t>s</w:t>
            </w:r>
            <w:r w:rsidR="00955F76">
              <w:t xml:space="preserve"> for both measures is desirable.</w:t>
            </w:r>
          </w:p>
          <w:p w14:paraId="70DFBF96" w14:textId="77777777" w:rsidR="00057279" w:rsidRDefault="00057279" w:rsidP="003D6386">
            <w:pPr>
              <w:pStyle w:val="Box"/>
              <w:spacing w:before="100"/>
            </w:pPr>
            <w:r>
              <w:t xml:space="preserve">Data reported for </w:t>
            </w:r>
            <w:r w:rsidR="00D86DD7">
              <w:t>both</w:t>
            </w:r>
            <w:r>
              <w:t xml:space="preserve"> measures are:</w:t>
            </w:r>
          </w:p>
          <w:p w14:paraId="52C5E017" w14:textId="77777777" w:rsidR="00057279" w:rsidRDefault="00057279" w:rsidP="00057279">
            <w:pPr>
              <w:pStyle w:val="BoxListBullet"/>
            </w:pPr>
            <w:r>
              <w:t>comparable (subject to caveats) within jurisdictions over time but are not comparable across jurisdictions</w:t>
            </w:r>
          </w:p>
          <w:p w14:paraId="0C32C347" w14:textId="77777777" w:rsidR="007E68BD" w:rsidRDefault="009D1E8A" w:rsidP="009D1E8A">
            <w:pPr>
              <w:pStyle w:val="BoxListBullet"/>
            </w:pPr>
            <w:r w:rsidRPr="009D1E8A">
              <w:t>complete (subject to caveats) for the current reporting period. All required 2016-17 data are available for all jurisdictions.</w:t>
            </w:r>
          </w:p>
        </w:tc>
      </w:tr>
      <w:tr w:rsidR="008F1E67" w14:paraId="66B82707" w14:textId="77777777" w:rsidTr="0056207E">
        <w:trPr>
          <w:cantSplit/>
        </w:trPr>
        <w:tc>
          <w:tcPr>
            <w:tcW w:w="8789" w:type="dxa"/>
            <w:tcBorders>
              <w:top w:val="nil"/>
              <w:left w:val="nil"/>
              <w:bottom w:val="single" w:sz="6" w:space="0" w:color="78A22F"/>
              <w:right w:val="nil"/>
            </w:tcBorders>
            <w:shd w:val="clear" w:color="auto" w:fill="F2F2F2"/>
          </w:tcPr>
          <w:p w14:paraId="72C41074" w14:textId="77777777" w:rsidR="008F1E67" w:rsidRPr="003D6386" w:rsidRDefault="008F1E67" w:rsidP="003D6386">
            <w:pPr>
              <w:pStyle w:val="Box"/>
              <w:spacing w:before="0" w:line="120" w:lineRule="exact"/>
              <w:rPr>
                <w:sz w:val="4"/>
                <w:szCs w:val="4"/>
              </w:rPr>
            </w:pPr>
          </w:p>
        </w:tc>
      </w:tr>
      <w:tr w:rsidR="008F1E67" w:rsidRPr="000863A5" w14:paraId="35BE967A" w14:textId="77777777" w:rsidTr="0056207E">
        <w:tc>
          <w:tcPr>
            <w:tcW w:w="8789" w:type="dxa"/>
            <w:tcBorders>
              <w:top w:val="single" w:sz="6" w:space="0" w:color="78A22F"/>
              <w:left w:val="nil"/>
              <w:bottom w:val="nil"/>
              <w:right w:val="nil"/>
            </w:tcBorders>
          </w:tcPr>
          <w:p w14:paraId="41BE1F2B" w14:textId="5EDE80E5" w:rsidR="008F1E67" w:rsidRPr="00626D32" w:rsidRDefault="008F1E67" w:rsidP="007F72D1">
            <w:pPr>
              <w:pStyle w:val="BoxSpaceBelow"/>
            </w:pPr>
          </w:p>
        </w:tc>
      </w:tr>
    </w:tbl>
    <w:p w14:paraId="6B9FA8B3" w14:textId="77777777" w:rsidR="000D26EC" w:rsidRDefault="000D26EC" w:rsidP="003D6386">
      <w:pPr>
        <w:pStyle w:val="Heading5"/>
        <w:spacing w:before="360"/>
      </w:pPr>
      <w:r>
        <w:t>Emergency department waiting times by triage category</w:t>
      </w:r>
    </w:p>
    <w:p w14:paraId="1659B99B" w14:textId="2D832E85" w:rsidR="00227F99" w:rsidRDefault="008F1E67" w:rsidP="003D6386">
      <w:pPr>
        <w:pStyle w:val="BodyText"/>
        <w:spacing w:before="200"/>
      </w:pPr>
      <w:r w:rsidRPr="00461BB1">
        <w:t>Nationally in 201</w:t>
      </w:r>
      <w:r w:rsidR="00085308" w:rsidRPr="00461BB1">
        <w:t>6</w:t>
      </w:r>
      <w:r w:rsidRPr="00461BB1">
        <w:t>-1</w:t>
      </w:r>
      <w:r w:rsidR="00085308" w:rsidRPr="00461BB1">
        <w:t>7</w:t>
      </w:r>
      <w:r w:rsidR="00BC6128" w:rsidRPr="00461BB1">
        <w:t>,</w:t>
      </w:r>
      <w:r w:rsidRPr="00461BB1">
        <w:t xml:space="preserve"> </w:t>
      </w:r>
      <w:r w:rsidR="00663A0B" w:rsidRPr="00461BB1">
        <w:t>all</w:t>
      </w:r>
      <w:r w:rsidRPr="00461BB1">
        <w:t xml:space="preserve"> patients in triage category 1 were seen within the c</w:t>
      </w:r>
      <w:r w:rsidR="00663A0B" w:rsidRPr="00461BB1">
        <w:t>linically appropriate timeframe</w:t>
      </w:r>
      <w:r w:rsidRPr="00461BB1">
        <w:t xml:space="preserve">. For all triage categories combined, </w:t>
      </w:r>
      <w:r w:rsidR="006D437B" w:rsidRPr="00461BB1">
        <w:t>around</w:t>
      </w:r>
      <w:r w:rsidR="00663A0B" w:rsidRPr="00461BB1">
        <w:t xml:space="preserve"> three</w:t>
      </w:r>
      <w:r w:rsidR="00227F99" w:rsidRPr="00461BB1">
        <w:t>-</w:t>
      </w:r>
      <w:r w:rsidR="00663A0B" w:rsidRPr="00461BB1">
        <w:t xml:space="preserve">quarters </w:t>
      </w:r>
      <w:r w:rsidRPr="00461BB1">
        <w:t xml:space="preserve">of patients were seen within triage category timeframes (table </w:t>
      </w:r>
      <w:r w:rsidR="000F15E6" w:rsidRPr="00461BB1">
        <w:t>12.</w:t>
      </w:r>
      <w:r w:rsidR="00706EB0" w:rsidRPr="00461BB1">
        <w:t>1</w:t>
      </w:r>
      <w:r w:rsidRPr="00461BB1">
        <w:t xml:space="preserve">). </w:t>
      </w:r>
      <w:r w:rsidR="00552C4E" w:rsidRPr="00461BB1">
        <w:t>The</w:t>
      </w:r>
      <w:r w:rsidR="00552C4E">
        <w:t xml:space="preserve"> comparability of emergency department waiting times data across jurisdictions can be influenced by differences in data coverage and clinical practices — in particular, the allocation of cases to urgency categories. The proportion of patients in each triage category who were subsequently admitted can indicate the comparability of triage categorisations across jurisdictions and thus the comparability of the waiting times data (table </w:t>
      </w:r>
      <w:proofErr w:type="spellStart"/>
      <w:r w:rsidR="000F15E6">
        <w:t>12A</w:t>
      </w:r>
      <w:r w:rsidR="00552C4E">
        <w:t>.1</w:t>
      </w:r>
      <w:r w:rsidR="004663E8">
        <w:t>3</w:t>
      </w:r>
      <w:proofErr w:type="spellEnd"/>
      <w:r w:rsidR="00552C4E">
        <w:t>).</w:t>
      </w:r>
      <w:r w:rsidR="00663A0B" w:rsidRPr="00663A0B">
        <w:t xml:space="preserve"> </w:t>
      </w:r>
    </w:p>
    <w:p w14:paraId="0B321B85" w14:textId="65010314" w:rsidR="00663A0B" w:rsidRDefault="00663A0B" w:rsidP="003D6386">
      <w:pPr>
        <w:pStyle w:val="BodyText"/>
        <w:spacing w:before="200"/>
      </w:pPr>
      <w:r>
        <w:t xml:space="preserve">Emergency department waiting times by </w:t>
      </w:r>
      <w:r w:rsidR="00227F99">
        <w:t xml:space="preserve">hospital peer group, </w:t>
      </w:r>
      <w:r>
        <w:t xml:space="preserve">Indigenous status, remoteness and socioeconomic status </w:t>
      </w:r>
      <w:r w:rsidRPr="00D2691D">
        <w:t>for public</w:t>
      </w:r>
      <w:r>
        <w:t xml:space="preserve"> hospitals are reported in the attachment </w:t>
      </w:r>
      <w:r w:rsidR="003E3F6E">
        <w:br/>
      </w:r>
      <w:r>
        <w:t xml:space="preserve">(tables </w:t>
      </w:r>
      <w:proofErr w:type="spellStart"/>
      <w:r>
        <w:t>12A.1</w:t>
      </w:r>
      <w:r w:rsidR="004663E8">
        <w:t>4</w:t>
      </w:r>
      <w:proofErr w:type="spellEnd"/>
      <w:r>
        <w:t>–1</w:t>
      </w:r>
      <w:r w:rsidR="004663E8">
        <w:t>7</w:t>
      </w:r>
      <w:r>
        <w:t xml:space="preserve">). </w:t>
      </w:r>
    </w:p>
    <w:p w14:paraId="1C56773D" w14:textId="1903AC02" w:rsidR="00EB796A" w:rsidRDefault="00EB796A" w:rsidP="003D6386">
      <w:pPr>
        <w:pStyle w:val="BoxSpaceAbove"/>
        <w:spacing w:before="300"/>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EB796A" w14:paraId="11158DDC" w14:textId="77777777" w:rsidTr="003D6386">
        <w:tc>
          <w:tcPr>
            <w:tcW w:w="8789" w:type="dxa"/>
            <w:tcBorders>
              <w:top w:val="single" w:sz="6" w:space="0" w:color="78A22F"/>
              <w:left w:val="nil"/>
              <w:bottom w:val="nil"/>
              <w:right w:val="nil"/>
            </w:tcBorders>
            <w:shd w:val="clear" w:color="auto" w:fill="auto"/>
          </w:tcPr>
          <w:p w14:paraId="3C29224C" w14:textId="391D425C" w:rsidR="00EB796A" w:rsidRPr="00784A05" w:rsidRDefault="00EB796A" w:rsidP="003D6386">
            <w:pPr>
              <w:pStyle w:val="TableTitle"/>
              <w:spacing w:before="80"/>
            </w:pPr>
            <w:r>
              <w:rPr>
                <w:b w:val="0"/>
              </w:rPr>
              <w:t xml:space="preserve">Table </w:t>
            </w:r>
            <w:r w:rsidR="00D937AB">
              <w:rPr>
                <w:b w:val="0"/>
              </w:rPr>
              <w:t>12.</w:t>
            </w:r>
            <w:r w:rsidR="007F3144">
              <w:rPr>
                <w:b w:val="0"/>
                <w:noProof/>
              </w:rPr>
              <w:t>1</w:t>
            </w:r>
            <w:r>
              <w:tab/>
            </w:r>
            <w:r w:rsidR="00227F99">
              <w:t>Proportion of e</w:t>
            </w:r>
            <w:r w:rsidRPr="00EB796A">
              <w:t>mergency department patients seen within triage category timeframes, public hospitals</w:t>
            </w:r>
            <w:r w:rsidR="00DF1FE9">
              <w:t>, 201</w:t>
            </w:r>
            <w:r w:rsidR="00085308">
              <w:t>6</w:t>
            </w:r>
            <w:r w:rsidR="00DF1FE9">
              <w:t>-1</w:t>
            </w:r>
            <w:r w:rsidR="00085308">
              <w:t>7</w:t>
            </w:r>
            <w:r w:rsidRPr="00164049">
              <w:rPr>
                <w:rStyle w:val="NoteLabel"/>
                <w:b/>
                <w:szCs w:val="20"/>
              </w:rPr>
              <w:t>a</w:t>
            </w:r>
          </w:p>
        </w:tc>
      </w:tr>
      <w:tr w:rsidR="00EB796A" w14:paraId="6D0524F9" w14:textId="77777777" w:rsidTr="003D6386">
        <w:trPr>
          <w:cantSplit/>
        </w:trPr>
        <w:tc>
          <w:tcPr>
            <w:tcW w:w="878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10"/>
              <w:gridCol w:w="710"/>
              <w:gridCol w:w="712"/>
              <w:gridCol w:w="710"/>
              <w:gridCol w:w="709"/>
              <w:gridCol w:w="711"/>
              <w:gridCol w:w="709"/>
              <w:gridCol w:w="711"/>
              <w:gridCol w:w="714"/>
              <w:gridCol w:w="709"/>
            </w:tblGrid>
            <w:tr w:rsidR="00164049" w14:paraId="49E69AAF" w14:textId="77777777" w:rsidTr="00590710">
              <w:tc>
                <w:tcPr>
                  <w:tcW w:w="1240" w:type="pct"/>
                  <w:tcBorders>
                    <w:top w:val="single" w:sz="6" w:space="0" w:color="BFBFBF"/>
                    <w:bottom w:val="single" w:sz="6" w:space="0" w:color="BFBFBF"/>
                  </w:tcBorders>
                  <w:shd w:val="clear" w:color="auto" w:fill="auto"/>
                  <w:tcMar>
                    <w:top w:w="28" w:type="dxa"/>
                  </w:tcMar>
                </w:tcPr>
                <w:p w14:paraId="02EFF902" w14:textId="77777777" w:rsidR="00E37AEC" w:rsidRDefault="0025128B" w:rsidP="00EB796A">
                  <w:pPr>
                    <w:pStyle w:val="TableColumnHeading"/>
                    <w:jc w:val="left"/>
                  </w:pPr>
                  <w:r>
                    <w:t>Triage category</w:t>
                  </w:r>
                </w:p>
              </w:tc>
              <w:tc>
                <w:tcPr>
                  <w:tcW w:w="417" w:type="pct"/>
                  <w:tcBorders>
                    <w:top w:val="single" w:sz="6" w:space="0" w:color="BFBFBF"/>
                    <w:bottom w:val="single" w:sz="6" w:space="0" w:color="BFBFBF"/>
                  </w:tcBorders>
                  <w:vAlign w:val="bottom"/>
                </w:tcPr>
                <w:p w14:paraId="4B306B29" w14:textId="77777777" w:rsidR="00E37AEC" w:rsidRDefault="00E37AEC" w:rsidP="00590710">
                  <w:pPr>
                    <w:pStyle w:val="TableColumnHeading"/>
                  </w:pPr>
                  <w:r>
                    <w:t>NSW</w:t>
                  </w:r>
                </w:p>
              </w:tc>
              <w:tc>
                <w:tcPr>
                  <w:tcW w:w="418" w:type="pct"/>
                  <w:tcBorders>
                    <w:top w:val="single" w:sz="6" w:space="0" w:color="BFBFBF"/>
                    <w:bottom w:val="single" w:sz="6" w:space="0" w:color="BFBFBF"/>
                  </w:tcBorders>
                  <w:vAlign w:val="bottom"/>
                </w:tcPr>
                <w:p w14:paraId="1B8BEEE6" w14:textId="77777777" w:rsidR="00E37AEC" w:rsidRDefault="00E37AEC" w:rsidP="00590710">
                  <w:pPr>
                    <w:pStyle w:val="TableColumnHeading"/>
                  </w:pPr>
                  <w:r>
                    <w:t>Vic</w:t>
                  </w:r>
                </w:p>
              </w:tc>
              <w:tc>
                <w:tcPr>
                  <w:tcW w:w="417" w:type="pct"/>
                  <w:tcBorders>
                    <w:top w:val="single" w:sz="6" w:space="0" w:color="BFBFBF"/>
                    <w:bottom w:val="single" w:sz="6" w:space="0" w:color="BFBFBF"/>
                  </w:tcBorders>
                  <w:vAlign w:val="bottom"/>
                </w:tcPr>
                <w:p w14:paraId="6258A05B" w14:textId="77777777" w:rsidR="00E37AEC" w:rsidRDefault="00E37AEC" w:rsidP="00590710">
                  <w:pPr>
                    <w:pStyle w:val="TableColumnHeading"/>
                  </w:pPr>
                  <w:r>
                    <w:t>Qld</w:t>
                  </w:r>
                </w:p>
              </w:tc>
              <w:tc>
                <w:tcPr>
                  <w:tcW w:w="417" w:type="pct"/>
                  <w:tcBorders>
                    <w:top w:val="single" w:sz="6" w:space="0" w:color="BFBFBF"/>
                    <w:bottom w:val="single" w:sz="6" w:space="0" w:color="BFBFBF"/>
                  </w:tcBorders>
                  <w:vAlign w:val="bottom"/>
                </w:tcPr>
                <w:p w14:paraId="7D0CA2BD" w14:textId="77777777" w:rsidR="00E37AEC" w:rsidRDefault="00E37AEC" w:rsidP="00590710">
                  <w:pPr>
                    <w:pStyle w:val="TableColumnHeading"/>
                  </w:pPr>
                  <w:r>
                    <w:t>WA</w:t>
                  </w:r>
                </w:p>
              </w:tc>
              <w:tc>
                <w:tcPr>
                  <w:tcW w:w="418" w:type="pct"/>
                  <w:tcBorders>
                    <w:top w:val="single" w:sz="6" w:space="0" w:color="BFBFBF"/>
                    <w:bottom w:val="single" w:sz="6" w:space="0" w:color="BFBFBF"/>
                  </w:tcBorders>
                  <w:vAlign w:val="bottom"/>
                </w:tcPr>
                <w:p w14:paraId="68CC2B23" w14:textId="77777777" w:rsidR="00E37AEC" w:rsidRDefault="00E37AEC" w:rsidP="00590710">
                  <w:pPr>
                    <w:pStyle w:val="TableColumnHeading"/>
                  </w:pPr>
                  <w:r>
                    <w:t>SA</w:t>
                  </w:r>
                </w:p>
              </w:tc>
              <w:tc>
                <w:tcPr>
                  <w:tcW w:w="417" w:type="pct"/>
                  <w:tcBorders>
                    <w:top w:val="single" w:sz="6" w:space="0" w:color="BFBFBF"/>
                    <w:bottom w:val="single" w:sz="6" w:space="0" w:color="BFBFBF"/>
                  </w:tcBorders>
                  <w:vAlign w:val="bottom"/>
                </w:tcPr>
                <w:p w14:paraId="7B9FCEEE" w14:textId="77777777" w:rsidR="00E37AEC" w:rsidRDefault="00E37AEC" w:rsidP="00590710">
                  <w:pPr>
                    <w:pStyle w:val="TableColumnHeading"/>
                  </w:pPr>
                  <w:proofErr w:type="spellStart"/>
                  <w:r>
                    <w:t>Tas</w:t>
                  </w:r>
                  <w:proofErr w:type="spellEnd"/>
                </w:p>
              </w:tc>
              <w:tc>
                <w:tcPr>
                  <w:tcW w:w="418" w:type="pct"/>
                  <w:tcBorders>
                    <w:top w:val="single" w:sz="6" w:space="0" w:color="BFBFBF"/>
                    <w:bottom w:val="single" w:sz="6" w:space="0" w:color="BFBFBF"/>
                  </w:tcBorders>
                  <w:vAlign w:val="bottom"/>
                </w:tcPr>
                <w:p w14:paraId="3CD26BE9" w14:textId="77777777" w:rsidR="00E37AEC" w:rsidRDefault="00E37AEC" w:rsidP="008E4258">
                  <w:pPr>
                    <w:pStyle w:val="TableColumnHeading"/>
                  </w:pPr>
                  <w:r>
                    <w:t>ACT</w:t>
                  </w:r>
                </w:p>
              </w:tc>
              <w:tc>
                <w:tcPr>
                  <w:tcW w:w="420" w:type="pct"/>
                  <w:tcBorders>
                    <w:top w:val="single" w:sz="6" w:space="0" w:color="BFBFBF"/>
                    <w:bottom w:val="single" w:sz="6" w:space="0" w:color="BFBFBF"/>
                  </w:tcBorders>
                  <w:shd w:val="clear" w:color="auto" w:fill="auto"/>
                  <w:tcMar>
                    <w:top w:w="28" w:type="dxa"/>
                  </w:tcMar>
                  <w:vAlign w:val="bottom"/>
                </w:tcPr>
                <w:p w14:paraId="6F828F66" w14:textId="77777777" w:rsidR="00E37AEC" w:rsidRDefault="00E37AEC" w:rsidP="00590710">
                  <w:pPr>
                    <w:pStyle w:val="TableColumnHeading"/>
                  </w:pPr>
                  <w:r>
                    <w:t>NT</w:t>
                  </w:r>
                </w:p>
              </w:tc>
              <w:tc>
                <w:tcPr>
                  <w:tcW w:w="417" w:type="pct"/>
                  <w:tcBorders>
                    <w:top w:val="single" w:sz="6" w:space="0" w:color="BFBFBF"/>
                    <w:bottom w:val="single" w:sz="6" w:space="0" w:color="BFBFBF"/>
                  </w:tcBorders>
                  <w:shd w:val="clear" w:color="auto" w:fill="auto"/>
                  <w:tcMar>
                    <w:top w:w="28" w:type="dxa"/>
                  </w:tcMar>
                  <w:vAlign w:val="bottom"/>
                </w:tcPr>
                <w:p w14:paraId="7EC44060" w14:textId="77777777" w:rsidR="00E37AEC" w:rsidRDefault="00E37AEC" w:rsidP="008E4258">
                  <w:pPr>
                    <w:pStyle w:val="TableColumnHeading"/>
                  </w:pPr>
                  <w:proofErr w:type="spellStart"/>
                  <w:r>
                    <w:t>Aust</w:t>
                  </w:r>
                  <w:proofErr w:type="spellEnd"/>
                </w:p>
              </w:tc>
            </w:tr>
            <w:tr w:rsidR="00247122" w14:paraId="7222BEC9" w14:textId="77777777" w:rsidTr="006359F8">
              <w:tc>
                <w:tcPr>
                  <w:tcW w:w="1240" w:type="pct"/>
                  <w:shd w:val="clear" w:color="auto" w:fill="auto"/>
                </w:tcPr>
                <w:p w14:paraId="2EC91680" w14:textId="77777777" w:rsidR="00247122" w:rsidRDefault="00247122" w:rsidP="003D6386">
                  <w:pPr>
                    <w:pStyle w:val="TableBodyText"/>
                    <w:spacing w:before="40" w:after="0"/>
                    <w:jc w:val="left"/>
                  </w:pPr>
                  <w:r>
                    <w:t xml:space="preserve">  1 — Resuscitation</w:t>
                  </w:r>
                </w:p>
              </w:tc>
              <w:tc>
                <w:tcPr>
                  <w:tcW w:w="417" w:type="pct"/>
                  <w:shd w:val="clear" w:color="auto" w:fill="auto"/>
                </w:tcPr>
                <w:p w14:paraId="7370E7B1" w14:textId="75BAA856" w:rsidR="00247122" w:rsidRPr="00590710" w:rsidRDefault="00247122" w:rsidP="003D6386">
                  <w:pPr>
                    <w:pStyle w:val="TableUnitsRow"/>
                    <w:spacing w:after="0"/>
                    <w:rPr>
                      <w:szCs w:val="18"/>
                    </w:rPr>
                  </w:pPr>
                  <w:r w:rsidRPr="002E1BB9">
                    <w:t>100</w:t>
                  </w:r>
                </w:p>
              </w:tc>
              <w:tc>
                <w:tcPr>
                  <w:tcW w:w="418" w:type="pct"/>
                  <w:shd w:val="clear" w:color="auto" w:fill="auto"/>
                </w:tcPr>
                <w:p w14:paraId="4D755E2C" w14:textId="14D8D738" w:rsidR="00247122" w:rsidRPr="00590710" w:rsidRDefault="00247122" w:rsidP="003D6386">
                  <w:pPr>
                    <w:pStyle w:val="TableUnitsRow"/>
                    <w:spacing w:after="0"/>
                    <w:rPr>
                      <w:szCs w:val="18"/>
                    </w:rPr>
                  </w:pPr>
                  <w:r w:rsidRPr="002E1BB9">
                    <w:t>100</w:t>
                  </w:r>
                </w:p>
              </w:tc>
              <w:tc>
                <w:tcPr>
                  <w:tcW w:w="417" w:type="pct"/>
                  <w:shd w:val="clear" w:color="auto" w:fill="auto"/>
                </w:tcPr>
                <w:p w14:paraId="2AAA94FA" w14:textId="5DC52914" w:rsidR="00247122" w:rsidRPr="00590710" w:rsidRDefault="00247122" w:rsidP="003D6386">
                  <w:pPr>
                    <w:pStyle w:val="TableUnitsRow"/>
                    <w:spacing w:after="0"/>
                    <w:rPr>
                      <w:szCs w:val="18"/>
                    </w:rPr>
                  </w:pPr>
                  <w:r w:rsidRPr="002E1BB9">
                    <w:t>100</w:t>
                  </w:r>
                </w:p>
              </w:tc>
              <w:tc>
                <w:tcPr>
                  <w:tcW w:w="417" w:type="pct"/>
                  <w:shd w:val="clear" w:color="auto" w:fill="auto"/>
                </w:tcPr>
                <w:p w14:paraId="6D22103C" w14:textId="6FC5C4C5" w:rsidR="00247122" w:rsidRPr="00590710" w:rsidRDefault="00247122" w:rsidP="003D6386">
                  <w:pPr>
                    <w:pStyle w:val="TableUnitsRow"/>
                    <w:spacing w:after="0"/>
                    <w:rPr>
                      <w:szCs w:val="18"/>
                    </w:rPr>
                  </w:pPr>
                  <w:r w:rsidRPr="002E1BB9">
                    <w:t>100</w:t>
                  </w:r>
                </w:p>
              </w:tc>
              <w:tc>
                <w:tcPr>
                  <w:tcW w:w="418" w:type="pct"/>
                  <w:shd w:val="clear" w:color="auto" w:fill="auto"/>
                </w:tcPr>
                <w:p w14:paraId="4ED5D0B2" w14:textId="111AB7F9" w:rsidR="00247122" w:rsidRPr="00590710" w:rsidRDefault="00247122" w:rsidP="003D6386">
                  <w:pPr>
                    <w:pStyle w:val="TableUnitsRow"/>
                    <w:spacing w:after="0"/>
                    <w:rPr>
                      <w:szCs w:val="18"/>
                    </w:rPr>
                  </w:pPr>
                  <w:r w:rsidRPr="002E1BB9">
                    <w:t>100</w:t>
                  </w:r>
                </w:p>
              </w:tc>
              <w:tc>
                <w:tcPr>
                  <w:tcW w:w="417" w:type="pct"/>
                  <w:shd w:val="clear" w:color="auto" w:fill="auto"/>
                </w:tcPr>
                <w:p w14:paraId="7BB42316" w14:textId="49108F6B" w:rsidR="00247122" w:rsidRPr="00590710" w:rsidRDefault="00247122" w:rsidP="003D6386">
                  <w:pPr>
                    <w:pStyle w:val="TableUnitsRow"/>
                    <w:spacing w:after="0"/>
                    <w:rPr>
                      <w:szCs w:val="18"/>
                    </w:rPr>
                  </w:pPr>
                  <w:r w:rsidRPr="002E1BB9">
                    <w:t>100</w:t>
                  </w:r>
                </w:p>
              </w:tc>
              <w:tc>
                <w:tcPr>
                  <w:tcW w:w="418" w:type="pct"/>
                  <w:shd w:val="clear" w:color="auto" w:fill="auto"/>
                </w:tcPr>
                <w:p w14:paraId="48B30ECF" w14:textId="1B5ACC0C" w:rsidR="00247122" w:rsidRPr="00590710" w:rsidRDefault="00247122" w:rsidP="003D6386">
                  <w:pPr>
                    <w:pStyle w:val="TableUnitsRow"/>
                    <w:spacing w:after="0"/>
                    <w:rPr>
                      <w:szCs w:val="18"/>
                    </w:rPr>
                  </w:pPr>
                  <w:r w:rsidRPr="002E1BB9">
                    <w:t>99</w:t>
                  </w:r>
                </w:p>
              </w:tc>
              <w:tc>
                <w:tcPr>
                  <w:tcW w:w="420" w:type="pct"/>
                  <w:shd w:val="clear" w:color="auto" w:fill="auto"/>
                </w:tcPr>
                <w:p w14:paraId="184BF2F1" w14:textId="0552A97A" w:rsidR="00247122" w:rsidRPr="00590710" w:rsidRDefault="00247122" w:rsidP="003D6386">
                  <w:pPr>
                    <w:pStyle w:val="TableUnitsRow"/>
                    <w:spacing w:after="0"/>
                    <w:rPr>
                      <w:szCs w:val="18"/>
                    </w:rPr>
                  </w:pPr>
                  <w:r w:rsidRPr="002E1BB9">
                    <w:t>100</w:t>
                  </w:r>
                </w:p>
              </w:tc>
              <w:tc>
                <w:tcPr>
                  <w:tcW w:w="417" w:type="pct"/>
                  <w:shd w:val="clear" w:color="auto" w:fill="auto"/>
                </w:tcPr>
                <w:p w14:paraId="34B3D5ED" w14:textId="4F3C5AE0" w:rsidR="00247122" w:rsidRPr="00590710" w:rsidRDefault="00247122" w:rsidP="003D6386">
                  <w:pPr>
                    <w:pStyle w:val="TableUnitsRow"/>
                    <w:spacing w:after="0"/>
                    <w:rPr>
                      <w:szCs w:val="18"/>
                    </w:rPr>
                  </w:pPr>
                  <w:r w:rsidRPr="002E1BB9">
                    <w:t>100</w:t>
                  </w:r>
                </w:p>
              </w:tc>
            </w:tr>
            <w:tr w:rsidR="00247122" w14:paraId="0FE21968" w14:textId="77777777" w:rsidTr="006359F8">
              <w:tc>
                <w:tcPr>
                  <w:tcW w:w="1240" w:type="pct"/>
                  <w:shd w:val="clear" w:color="auto" w:fill="auto"/>
                </w:tcPr>
                <w:p w14:paraId="39FE0F1E" w14:textId="77777777" w:rsidR="00247122" w:rsidRDefault="00247122" w:rsidP="003D6386">
                  <w:pPr>
                    <w:pStyle w:val="TableBodyText"/>
                    <w:spacing w:before="40" w:after="0"/>
                    <w:jc w:val="left"/>
                  </w:pPr>
                  <w:r>
                    <w:t xml:space="preserve">  2 — Emergency</w:t>
                  </w:r>
                </w:p>
              </w:tc>
              <w:tc>
                <w:tcPr>
                  <w:tcW w:w="417" w:type="pct"/>
                  <w:shd w:val="clear" w:color="auto" w:fill="auto"/>
                </w:tcPr>
                <w:p w14:paraId="6296D387" w14:textId="59772DFF" w:rsidR="00247122" w:rsidRPr="00590710" w:rsidRDefault="00247122" w:rsidP="003D6386">
                  <w:pPr>
                    <w:pStyle w:val="TableUnitsRow"/>
                    <w:spacing w:after="0"/>
                    <w:rPr>
                      <w:szCs w:val="18"/>
                    </w:rPr>
                  </w:pPr>
                  <w:r w:rsidRPr="002E1BB9">
                    <w:t>81</w:t>
                  </w:r>
                </w:p>
              </w:tc>
              <w:tc>
                <w:tcPr>
                  <w:tcW w:w="418" w:type="pct"/>
                  <w:shd w:val="clear" w:color="auto" w:fill="auto"/>
                </w:tcPr>
                <w:p w14:paraId="4F3DD5E2" w14:textId="4C2C7BAF" w:rsidR="00247122" w:rsidRPr="00590710" w:rsidRDefault="00247122" w:rsidP="003D6386">
                  <w:pPr>
                    <w:pStyle w:val="TableUnitsRow"/>
                    <w:spacing w:after="0"/>
                    <w:rPr>
                      <w:szCs w:val="18"/>
                    </w:rPr>
                  </w:pPr>
                  <w:r w:rsidRPr="002E1BB9">
                    <w:t>77</w:t>
                  </w:r>
                </w:p>
              </w:tc>
              <w:tc>
                <w:tcPr>
                  <w:tcW w:w="417" w:type="pct"/>
                  <w:shd w:val="clear" w:color="auto" w:fill="auto"/>
                </w:tcPr>
                <w:p w14:paraId="124311E7" w14:textId="6191BF90" w:rsidR="00247122" w:rsidRPr="00590710" w:rsidRDefault="00247122" w:rsidP="003D6386">
                  <w:pPr>
                    <w:pStyle w:val="TableUnitsRow"/>
                    <w:spacing w:after="0"/>
                    <w:rPr>
                      <w:szCs w:val="18"/>
                    </w:rPr>
                  </w:pPr>
                  <w:r w:rsidRPr="002E1BB9">
                    <w:t>72</w:t>
                  </w:r>
                </w:p>
              </w:tc>
              <w:tc>
                <w:tcPr>
                  <w:tcW w:w="417" w:type="pct"/>
                  <w:shd w:val="clear" w:color="auto" w:fill="auto"/>
                </w:tcPr>
                <w:p w14:paraId="32127361" w14:textId="2F6EF318" w:rsidR="00247122" w:rsidRPr="00590710" w:rsidRDefault="00247122" w:rsidP="003D6386">
                  <w:pPr>
                    <w:pStyle w:val="TableUnitsRow"/>
                    <w:spacing w:after="0"/>
                    <w:rPr>
                      <w:szCs w:val="18"/>
                    </w:rPr>
                  </w:pPr>
                  <w:r w:rsidRPr="002E1BB9">
                    <w:t>80</w:t>
                  </w:r>
                </w:p>
              </w:tc>
              <w:tc>
                <w:tcPr>
                  <w:tcW w:w="418" w:type="pct"/>
                  <w:shd w:val="clear" w:color="auto" w:fill="auto"/>
                </w:tcPr>
                <w:p w14:paraId="08E12D61" w14:textId="4E70BC41" w:rsidR="00247122" w:rsidRPr="00590710" w:rsidRDefault="00247122" w:rsidP="003D6386">
                  <w:pPr>
                    <w:pStyle w:val="TableUnitsRow"/>
                    <w:spacing w:after="0"/>
                    <w:rPr>
                      <w:szCs w:val="18"/>
                    </w:rPr>
                  </w:pPr>
                  <w:r w:rsidRPr="002E1BB9">
                    <w:t>67</w:t>
                  </w:r>
                </w:p>
              </w:tc>
              <w:tc>
                <w:tcPr>
                  <w:tcW w:w="417" w:type="pct"/>
                  <w:shd w:val="clear" w:color="auto" w:fill="auto"/>
                </w:tcPr>
                <w:p w14:paraId="41968D3F" w14:textId="55F2EFF7" w:rsidR="00247122" w:rsidRPr="00590710" w:rsidRDefault="00247122" w:rsidP="003D6386">
                  <w:pPr>
                    <w:pStyle w:val="TableUnitsRow"/>
                    <w:spacing w:after="0"/>
                    <w:rPr>
                      <w:szCs w:val="18"/>
                    </w:rPr>
                  </w:pPr>
                  <w:r w:rsidRPr="002E1BB9">
                    <w:t>75</w:t>
                  </w:r>
                </w:p>
              </w:tc>
              <w:tc>
                <w:tcPr>
                  <w:tcW w:w="418" w:type="pct"/>
                  <w:shd w:val="clear" w:color="auto" w:fill="auto"/>
                </w:tcPr>
                <w:p w14:paraId="47B58DC4" w14:textId="63ECB537" w:rsidR="00247122" w:rsidRPr="00590710" w:rsidRDefault="00247122" w:rsidP="003D6386">
                  <w:pPr>
                    <w:pStyle w:val="TableUnitsRow"/>
                    <w:spacing w:after="0"/>
                    <w:rPr>
                      <w:szCs w:val="18"/>
                    </w:rPr>
                  </w:pPr>
                  <w:r w:rsidRPr="002E1BB9">
                    <w:t>77</w:t>
                  </w:r>
                </w:p>
              </w:tc>
              <w:tc>
                <w:tcPr>
                  <w:tcW w:w="420" w:type="pct"/>
                  <w:shd w:val="clear" w:color="auto" w:fill="auto"/>
                </w:tcPr>
                <w:p w14:paraId="1B0C76EA" w14:textId="0AF0DAB2" w:rsidR="00247122" w:rsidRPr="00590710" w:rsidRDefault="00247122" w:rsidP="003D6386">
                  <w:pPr>
                    <w:pStyle w:val="TableUnitsRow"/>
                    <w:spacing w:after="0"/>
                    <w:rPr>
                      <w:szCs w:val="18"/>
                    </w:rPr>
                  </w:pPr>
                  <w:r w:rsidRPr="002E1BB9">
                    <w:t>66</w:t>
                  </w:r>
                </w:p>
              </w:tc>
              <w:tc>
                <w:tcPr>
                  <w:tcW w:w="417" w:type="pct"/>
                  <w:shd w:val="clear" w:color="auto" w:fill="auto"/>
                </w:tcPr>
                <w:p w14:paraId="483AB943" w14:textId="55029EBA" w:rsidR="00247122" w:rsidRPr="00590710" w:rsidRDefault="00247122" w:rsidP="003D6386">
                  <w:pPr>
                    <w:pStyle w:val="TableUnitsRow"/>
                    <w:spacing w:after="0"/>
                    <w:rPr>
                      <w:szCs w:val="18"/>
                    </w:rPr>
                  </w:pPr>
                  <w:r w:rsidRPr="002E1BB9">
                    <w:t>77</w:t>
                  </w:r>
                </w:p>
              </w:tc>
            </w:tr>
            <w:tr w:rsidR="00247122" w14:paraId="5E08B4F3" w14:textId="77777777" w:rsidTr="006359F8">
              <w:tc>
                <w:tcPr>
                  <w:tcW w:w="1240" w:type="pct"/>
                  <w:shd w:val="clear" w:color="auto" w:fill="auto"/>
                </w:tcPr>
                <w:p w14:paraId="6FF56AFE" w14:textId="77777777" w:rsidR="00247122" w:rsidRDefault="00247122" w:rsidP="003D6386">
                  <w:pPr>
                    <w:pStyle w:val="TableBodyText"/>
                    <w:spacing w:before="40" w:after="0"/>
                    <w:jc w:val="left"/>
                  </w:pPr>
                  <w:r>
                    <w:t xml:space="preserve">  3 — Urgent</w:t>
                  </w:r>
                </w:p>
              </w:tc>
              <w:tc>
                <w:tcPr>
                  <w:tcW w:w="417" w:type="pct"/>
                  <w:shd w:val="clear" w:color="auto" w:fill="auto"/>
                </w:tcPr>
                <w:p w14:paraId="351685AA" w14:textId="60902B06" w:rsidR="00247122" w:rsidRPr="00590710" w:rsidRDefault="00247122" w:rsidP="003D6386">
                  <w:pPr>
                    <w:pStyle w:val="TableUnitsRow"/>
                    <w:spacing w:after="0"/>
                    <w:rPr>
                      <w:szCs w:val="18"/>
                    </w:rPr>
                  </w:pPr>
                  <w:r w:rsidRPr="002E1BB9">
                    <w:t>76</w:t>
                  </w:r>
                </w:p>
              </w:tc>
              <w:tc>
                <w:tcPr>
                  <w:tcW w:w="418" w:type="pct"/>
                  <w:shd w:val="clear" w:color="auto" w:fill="auto"/>
                </w:tcPr>
                <w:p w14:paraId="3C129A1C" w14:textId="15CF5CC6" w:rsidR="00247122" w:rsidRPr="00590710" w:rsidRDefault="00247122" w:rsidP="003D6386">
                  <w:pPr>
                    <w:pStyle w:val="TableUnitsRow"/>
                    <w:spacing w:after="0"/>
                    <w:rPr>
                      <w:szCs w:val="18"/>
                    </w:rPr>
                  </w:pPr>
                  <w:r w:rsidRPr="002E1BB9">
                    <w:t>70</w:t>
                  </w:r>
                </w:p>
              </w:tc>
              <w:tc>
                <w:tcPr>
                  <w:tcW w:w="417" w:type="pct"/>
                  <w:shd w:val="clear" w:color="auto" w:fill="auto"/>
                </w:tcPr>
                <w:p w14:paraId="30AEE55C" w14:textId="4F26D85E" w:rsidR="00247122" w:rsidRPr="00590710" w:rsidRDefault="00247122" w:rsidP="003D6386">
                  <w:pPr>
                    <w:pStyle w:val="TableUnitsRow"/>
                    <w:spacing w:after="0"/>
                    <w:rPr>
                      <w:szCs w:val="18"/>
                    </w:rPr>
                  </w:pPr>
                  <w:r w:rsidRPr="002E1BB9">
                    <w:t>60</w:t>
                  </w:r>
                </w:p>
              </w:tc>
              <w:tc>
                <w:tcPr>
                  <w:tcW w:w="417" w:type="pct"/>
                  <w:shd w:val="clear" w:color="auto" w:fill="auto"/>
                </w:tcPr>
                <w:p w14:paraId="40A1D54F" w14:textId="20477015" w:rsidR="00247122" w:rsidRPr="00590710" w:rsidRDefault="00247122" w:rsidP="003D6386">
                  <w:pPr>
                    <w:pStyle w:val="TableUnitsRow"/>
                    <w:spacing w:after="0"/>
                    <w:rPr>
                      <w:szCs w:val="18"/>
                    </w:rPr>
                  </w:pPr>
                  <w:r w:rsidRPr="002E1BB9">
                    <w:t>50</w:t>
                  </w:r>
                </w:p>
              </w:tc>
              <w:tc>
                <w:tcPr>
                  <w:tcW w:w="418" w:type="pct"/>
                  <w:shd w:val="clear" w:color="auto" w:fill="auto"/>
                </w:tcPr>
                <w:p w14:paraId="1B811E34" w14:textId="6FA3989D" w:rsidR="00247122" w:rsidRPr="00590710" w:rsidRDefault="00247122" w:rsidP="003D6386">
                  <w:pPr>
                    <w:pStyle w:val="TableUnitsRow"/>
                    <w:spacing w:after="0"/>
                    <w:rPr>
                      <w:szCs w:val="18"/>
                    </w:rPr>
                  </w:pPr>
                  <w:r w:rsidRPr="002E1BB9">
                    <w:t>52</w:t>
                  </w:r>
                </w:p>
              </w:tc>
              <w:tc>
                <w:tcPr>
                  <w:tcW w:w="417" w:type="pct"/>
                  <w:shd w:val="clear" w:color="auto" w:fill="auto"/>
                </w:tcPr>
                <w:p w14:paraId="437076F3" w14:textId="7222A7B5" w:rsidR="00247122" w:rsidRPr="00590710" w:rsidRDefault="00247122" w:rsidP="003D6386">
                  <w:pPr>
                    <w:pStyle w:val="TableUnitsRow"/>
                    <w:spacing w:after="0"/>
                    <w:rPr>
                      <w:szCs w:val="18"/>
                    </w:rPr>
                  </w:pPr>
                  <w:r w:rsidRPr="002E1BB9">
                    <w:t>57</w:t>
                  </w:r>
                </w:p>
              </w:tc>
              <w:tc>
                <w:tcPr>
                  <w:tcW w:w="418" w:type="pct"/>
                  <w:shd w:val="clear" w:color="auto" w:fill="auto"/>
                </w:tcPr>
                <w:p w14:paraId="4C901BBF" w14:textId="3688C184" w:rsidR="00247122" w:rsidRPr="00590710" w:rsidRDefault="00247122" w:rsidP="003D6386">
                  <w:pPr>
                    <w:pStyle w:val="TableUnitsRow"/>
                    <w:spacing w:after="0"/>
                    <w:rPr>
                      <w:szCs w:val="18"/>
                    </w:rPr>
                  </w:pPr>
                  <w:r w:rsidRPr="002E1BB9">
                    <w:t>50</w:t>
                  </w:r>
                </w:p>
              </w:tc>
              <w:tc>
                <w:tcPr>
                  <w:tcW w:w="420" w:type="pct"/>
                  <w:shd w:val="clear" w:color="auto" w:fill="auto"/>
                </w:tcPr>
                <w:p w14:paraId="4F855590" w14:textId="3774BB0C" w:rsidR="00247122" w:rsidRPr="00590710" w:rsidRDefault="00247122" w:rsidP="003D6386">
                  <w:pPr>
                    <w:pStyle w:val="TableUnitsRow"/>
                    <w:spacing w:after="0"/>
                    <w:rPr>
                      <w:szCs w:val="18"/>
                    </w:rPr>
                  </w:pPr>
                  <w:r w:rsidRPr="002E1BB9">
                    <w:t>55</w:t>
                  </w:r>
                </w:p>
              </w:tc>
              <w:tc>
                <w:tcPr>
                  <w:tcW w:w="417" w:type="pct"/>
                  <w:shd w:val="clear" w:color="auto" w:fill="auto"/>
                </w:tcPr>
                <w:p w14:paraId="493053B9" w14:textId="143889E3" w:rsidR="00247122" w:rsidRPr="00590710" w:rsidRDefault="00247122" w:rsidP="003D6386">
                  <w:pPr>
                    <w:pStyle w:val="TableUnitsRow"/>
                    <w:spacing w:after="0"/>
                    <w:rPr>
                      <w:szCs w:val="18"/>
                    </w:rPr>
                  </w:pPr>
                  <w:r w:rsidRPr="002E1BB9">
                    <w:t>66</w:t>
                  </w:r>
                </w:p>
              </w:tc>
            </w:tr>
            <w:tr w:rsidR="00247122" w14:paraId="2A694196" w14:textId="77777777" w:rsidTr="006359F8">
              <w:tc>
                <w:tcPr>
                  <w:tcW w:w="1240" w:type="pct"/>
                  <w:shd w:val="clear" w:color="auto" w:fill="auto"/>
                </w:tcPr>
                <w:p w14:paraId="0F12B8D4" w14:textId="77777777" w:rsidR="00247122" w:rsidRDefault="00247122" w:rsidP="003D6386">
                  <w:pPr>
                    <w:pStyle w:val="TableBodyText"/>
                    <w:spacing w:before="40" w:after="0"/>
                    <w:jc w:val="left"/>
                  </w:pPr>
                  <w:r>
                    <w:t xml:space="preserve">  4 — Semi-urgent</w:t>
                  </w:r>
                </w:p>
              </w:tc>
              <w:tc>
                <w:tcPr>
                  <w:tcW w:w="417" w:type="pct"/>
                  <w:shd w:val="clear" w:color="auto" w:fill="auto"/>
                </w:tcPr>
                <w:p w14:paraId="5C495BBB" w14:textId="580E8ABA" w:rsidR="00247122" w:rsidRPr="00590710" w:rsidRDefault="00247122" w:rsidP="003D6386">
                  <w:pPr>
                    <w:pStyle w:val="TableUnitsRow"/>
                    <w:spacing w:after="0"/>
                    <w:rPr>
                      <w:szCs w:val="18"/>
                    </w:rPr>
                  </w:pPr>
                  <w:r w:rsidRPr="002E1BB9">
                    <w:t>81</w:t>
                  </w:r>
                </w:p>
              </w:tc>
              <w:tc>
                <w:tcPr>
                  <w:tcW w:w="418" w:type="pct"/>
                  <w:shd w:val="clear" w:color="auto" w:fill="auto"/>
                </w:tcPr>
                <w:p w14:paraId="0550F00D" w14:textId="40ECE36D" w:rsidR="00247122" w:rsidRPr="00590710" w:rsidRDefault="00247122" w:rsidP="003D6386">
                  <w:pPr>
                    <w:pStyle w:val="TableUnitsRow"/>
                    <w:spacing w:after="0"/>
                    <w:rPr>
                      <w:szCs w:val="18"/>
                    </w:rPr>
                  </w:pPr>
                  <w:r w:rsidRPr="002E1BB9">
                    <w:t>73</w:t>
                  </w:r>
                </w:p>
              </w:tc>
              <w:tc>
                <w:tcPr>
                  <w:tcW w:w="417" w:type="pct"/>
                  <w:shd w:val="clear" w:color="auto" w:fill="auto"/>
                </w:tcPr>
                <w:p w14:paraId="0D15D168" w14:textId="5ADDAEFA" w:rsidR="00247122" w:rsidRPr="00590710" w:rsidRDefault="00247122" w:rsidP="003D6386">
                  <w:pPr>
                    <w:pStyle w:val="TableUnitsRow"/>
                    <w:spacing w:after="0"/>
                    <w:rPr>
                      <w:szCs w:val="18"/>
                    </w:rPr>
                  </w:pPr>
                  <w:r w:rsidRPr="002E1BB9">
                    <w:t>74</w:t>
                  </w:r>
                </w:p>
              </w:tc>
              <w:tc>
                <w:tcPr>
                  <w:tcW w:w="417" w:type="pct"/>
                  <w:shd w:val="clear" w:color="auto" w:fill="auto"/>
                </w:tcPr>
                <w:p w14:paraId="190F3C7B" w14:textId="058E999F" w:rsidR="00247122" w:rsidRPr="00590710" w:rsidRDefault="00247122" w:rsidP="003D6386">
                  <w:pPr>
                    <w:pStyle w:val="TableUnitsRow"/>
                    <w:spacing w:after="0"/>
                    <w:rPr>
                      <w:szCs w:val="18"/>
                    </w:rPr>
                  </w:pPr>
                  <w:r w:rsidRPr="002E1BB9">
                    <w:t>65</w:t>
                  </w:r>
                </w:p>
              </w:tc>
              <w:tc>
                <w:tcPr>
                  <w:tcW w:w="418" w:type="pct"/>
                  <w:shd w:val="clear" w:color="auto" w:fill="auto"/>
                </w:tcPr>
                <w:p w14:paraId="788FE8E9" w14:textId="4AA81259" w:rsidR="00247122" w:rsidRPr="00590710" w:rsidRDefault="00247122" w:rsidP="003D6386">
                  <w:pPr>
                    <w:pStyle w:val="TableUnitsRow"/>
                    <w:spacing w:after="0"/>
                    <w:rPr>
                      <w:szCs w:val="18"/>
                    </w:rPr>
                  </w:pPr>
                  <w:r w:rsidRPr="002E1BB9">
                    <w:t>69</w:t>
                  </w:r>
                </w:p>
              </w:tc>
              <w:tc>
                <w:tcPr>
                  <w:tcW w:w="417" w:type="pct"/>
                  <w:shd w:val="clear" w:color="auto" w:fill="auto"/>
                </w:tcPr>
                <w:p w14:paraId="43E7359F" w14:textId="2CD4B2E8" w:rsidR="00247122" w:rsidRPr="00590710" w:rsidRDefault="00247122" w:rsidP="003D6386">
                  <w:pPr>
                    <w:pStyle w:val="TableUnitsRow"/>
                    <w:spacing w:after="0"/>
                    <w:rPr>
                      <w:szCs w:val="18"/>
                    </w:rPr>
                  </w:pPr>
                  <w:r w:rsidRPr="002E1BB9">
                    <w:t>65</w:t>
                  </w:r>
                </w:p>
              </w:tc>
              <w:tc>
                <w:tcPr>
                  <w:tcW w:w="418" w:type="pct"/>
                  <w:shd w:val="clear" w:color="auto" w:fill="auto"/>
                </w:tcPr>
                <w:p w14:paraId="1800DBB9" w14:textId="76E02833" w:rsidR="00247122" w:rsidRPr="00590710" w:rsidRDefault="00247122" w:rsidP="003D6386">
                  <w:pPr>
                    <w:pStyle w:val="TableUnitsRow"/>
                    <w:spacing w:after="0"/>
                    <w:rPr>
                      <w:szCs w:val="18"/>
                    </w:rPr>
                  </w:pPr>
                  <w:r w:rsidRPr="002E1BB9">
                    <w:t>63</w:t>
                  </w:r>
                </w:p>
              </w:tc>
              <w:tc>
                <w:tcPr>
                  <w:tcW w:w="420" w:type="pct"/>
                  <w:shd w:val="clear" w:color="auto" w:fill="auto"/>
                </w:tcPr>
                <w:p w14:paraId="73F9FC34" w14:textId="10731608" w:rsidR="00247122" w:rsidRPr="00590710" w:rsidRDefault="00247122" w:rsidP="003D6386">
                  <w:pPr>
                    <w:pStyle w:val="TableUnitsRow"/>
                    <w:spacing w:after="0"/>
                    <w:rPr>
                      <w:szCs w:val="18"/>
                    </w:rPr>
                  </w:pPr>
                  <w:r w:rsidRPr="002E1BB9">
                    <w:t>58</w:t>
                  </w:r>
                </w:p>
              </w:tc>
              <w:tc>
                <w:tcPr>
                  <w:tcW w:w="417" w:type="pct"/>
                  <w:shd w:val="clear" w:color="auto" w:fill="auto"/>
                </w:tcPr>
                <w:p w14:paraId="584D5957" w14:textId="2A20DACB" w:rsidR="00247122" w:rsidRPr="00590710" w:rsidRDefault="00247122" w:rsidP="003D6386">
                  <w:pPr>
                    <w:pStyle w:val="TableUnitsRow"/>
                    <w:spacing w:after="0"/>
                    <w:rPr>
                      <w:szCs w:val="18"/>
                    </w:rPr>
                  </w:pPr>
                  <w:r w:rsidRPr="002E1BB9">
                    <w:t>74</w:t>
                  </w:r>
                </w:p>
              </w:tc>
            </w:tr>
            <w:tr w:rsidR="00247122" w14:paraId="49349289" w14:textId="77777777" w:rsidTr="006359F8">
              <w:tc>
                <w:tcPr>
                  <w:tcW w:w="1240" w:type="pct"/>
                  <w:shd w:val="clear" w:color="auto" w:fill="auto"/>
                </w:tcPr>
                <w:p w14:paraId="2305EF4F" w14:textId="77777777" w:rsidR="00247122" w:rsidRDefault="00247122" w:rsidP="003D6386">
                  <w:pPr>
                    <w:pStyle w:val="TableBodyText"/>
                    <w:spacing w:before="40" w:after="0"/>
                    <w:jc w:val="left"/>
                  </w:pPr>
                  <w:r>
                    <w:t xml:space="preserve">  5 — Non-urgent</w:t>
                  </w:r>
                </w:p>
              </w:tc>
              <w:tc>
                <w:tcPr>
                  <w:tcW w:w="417" w:type="pct"/>
                  <w:shd w:val="clear" w:color="auto" w:fill="auto"/>
                </w:tcPr>
                <w:p w14:paraId="35BA7F0B" w14:textId="497665D4" w:rsidR="00247122" w:rsidRPr="00590710" w:rsidRDefault="00247122" w:rsidP="003D6386">
                  <w:pPr>
                    <w:pStyle w:val="TableUnitsRow"/>
                    <w:spacing w:after="0"/>
                    <w:rPr>
                      <w:szCs w:val="18"/>
                    </w:rPr>
                  </w:pPr>
                  <w:r w:rsidRPr="002E1BB9">
                    <w:t>94</w:t>
                  </w:r>
                </w:p>
              </w:tc>
              <w:tc>
                <w:tcPr>
                  <w:tcW w:w="418" w:type="pct"/>
                  <w:shd w:val="clear" w:color="auto" w:fill="auto"/>
                </w:tcPr>
                <w:p w14:paraId="4EA89E90" w14:textId="5E2D45D0" w:rsidR="00247122" w:rsidRPr="00590710" w:rsidRDefault="00247122" w:rsidP="003D6386">
                  <w:pPr>
                    <w:pStyle w:val="TableUnitsRow"/>
                    <w:spacing w:after="0"/>
                    <w:rPr>
                      <w:szCs w:val="18"/>
                    </w:rPr>
                  </w:pPr>
                  <w:r w:rsidRPr="002E1BB9">
                    <w:t>89</w:t>
                  </w:r>
                </w:p>
              </w:tc>
              <w:tc>
                <w:tcPr>
                  <w:tcW w:w="417" w:type="pct"/>
                  <w:shd w:val="clear" w:color="auto" w:fill="auto"/>
                </w:tcPr>
                <w:p w14:paraId="35D7E4C9" w14:textId="09DC2790" w:rsidR="00247122" w:rsidRPr="00590710" w:rsidRDefault="00247122" w:rsidP="003D6386">
                  <w:pPr>
                    <w:pStyle w:val="TableUnitsRow"/>
                    <w:spacing w:after="0"/>
                    <w:rPr>
                      <w:szCs w:val="18"/>
                    </w:rPr>
                  </w:pPr>
                  <w:r w:rsidRPr="002E1BB9">
                    <w:t>94</w:t>
                  </w:r>
                </w:p>
              </w:tc>
              <w:tc>
                <w:tcPr>
                  <w:tcW w:w="417" w:type="pct"/>
                  <w:shd w:val="clear" w:color="auto" w:fill="auto"/>
                </w:tcPr>
                <w:p w14:paraId="3670D121" w14:textId="5DE68179" w:rsidR="00247122" w:rsidRPr="00590710" w:rsidRDefault="00247122" w:rsidP="003D6386">
                  <w:pPr>
                    <w:pStyle w:val="TableUnitsRow"/>
                    <w:spacing w:after="0"/>
                    <w:rPr>
                      <w:szCs w:val="18"/>
                    </w:rPr>
                  </w:pPr>
                  <w:r w:rsidRPr="002E1BB9">
                    <w:t>92</w:t>
                  </w:r>
                </w:p>
              </w:tc>
              <w:tc>
                <w:tcPr>
                  <w:tcW w:w="418" w:type="pct"/>
                  <w:shd w:val="clear" w:color="auto" w:fill="auto"/>
                </w:tcPr>
                <w:p w14:paraId="2113BE39" w14:textId="6F01E7B4" w:rsidR="00247122" w:rsidRPr="00590710" w:rsidRDefault="00247122" w:rsidP="003D6386">
                  <w:pPr>
                    <w:pStyle w:val="TableUnitsRow"/>
                    <w:spacing w:after="0"/>
                    <w:rPr>
                      <w:szCs w:val="18"/>
                    </w:rPr>
                  </w:pPr>
                  <w:r w:rsidRPr="002E1BB9">
                    <w:t>92</w:t>
                  </w:r>
                </w:p>
              </w:tc>
              <w:tc>
                <w:tcPr>
                  <w:tcW w:w="417" w:type="pct"/>
                  <w:shd w:val="clear" w:color="auto" w:fill="auto"/>
                </w:tcPr>
                <w:p w14:paraId="0D756561" w14:textId="3722E20C" w:rsidR="00247122" w:rsidRPr="00590710" w:rsidRDefault="00247122" w:rsidP="003D6386">
                  <w:pPr>
                    <w:pStyle w:val="TableUnitsRow"/>
                    <w:spacing w:after="0"/>
                    <w:rPr>
                      <w:szCs w:val="18"/>
                    </w:rPr>
                  </w:pPr>
                  <w:r w:rsidRPr="002E1BB9">
                    <w:t>89</w:t>
                  </w:r>
                </w:p>
              </w:tc>
              <w:tc>
                <w:tcPr>
                  <w:tcW w:w="418" w:type="pct"/>
                  <w:shd w:val="clear" w:color="auto" w:fill="auto"/>
                </w:tcPr>
                <w:p w14:paraId="6BBEF774" w14:textId="5046B15D" w:rsidR="00247122" w:rsidRPr="00590710" w:rsidRDefault="00247122" w:rsidP="003D6386">
                  <w:pPr>
                    <w:pStyle w:val="TableUnitsRow"/>
                    <w:spacing w:after="0"/>
                    <w:rPr>
                      <w:szCs w:val="18"/>
                    </w:rPr>
                  </w:pPr>
                  <w:r w:rsidRPr="002E1BB9">
                    <w:t>91</w:t>
                  </w:r>
                </w:p>
              </w:tc>
              <w:tc>
                <w:tcPr>
                  <w:tcW w:w="420" w:type="pct"/>
                  <w:shd w:val="clear" w:color="auto" w:fill="auto"/>
                </w:tcPr>
                <w:p w14:paraId="18280658" w14:textId="430F0FCE" w:rsidR="00247122" w:rsidRPr="00590710" w:rsidRDefault="00247122" w:rsidP="003D6386">
                  <w:pPr>
                    <w:pStyle w:val="TableUnitsRow"/>
                    <w:spacing w:after="0"/>
                    <w:rPr>
                      <w:szCs w:val="18"/>
                    </w:rPr>
                  </w:pPr>
                  <w:r w:rsidRPr="002E1BB9">
                    <w:t>88</w:t>
                  </w:r>
                </w:p>
              </w:tc>
              <w:tc>
                <w:tcPr>
                  <w:tcW w:w="417" w:type="pct"/>
                  <w:shd w:val="clear" w:color="auto" w:fill="auto"/>
                </w:tcPr>
                <w:p w14:paraId="52881258" w14:textId="33DE3591" w:rsidR="00247122" w:rsidRPr="00590710" w:rsidRDefault="00247122" w:rsidP="003D6386">
                  <w:pPr>
                    <w:pStyle w:val="TableUnitsRow"/>
                    <w:spacing w:after="0"/>
                    <w:rPr>
                      <w:szCs w:val="18"/>
                    </w:rPr>
                  </w:pPr>
                  <w:r w:rsidRPr="002E1BB9">
                    <w:t>92</w:t>
                  </w:r>
                </w:p>
              </w:tc>
            </w:tr>
            <w:tr w:rsidR="00247122" w:rsidRPr="008B196C" w14:paraId="3A61F6C3" w14:textId="77777777" w:rsidTr="00DC04EF">
              <w:tc>
                <w:tcPr>
                  <w:tcW w:w="1240" w:type="pct"/>
                  <w:tcBorders>
                    <w:bottom w:val="single" w:sz="6" w:space="0" w:color="BFBFBF"/>
                  </w:tcBorders>
                  <w:shd w:val="clear" w:color="auto" w:fill="auto"/>
                </w:tcPr>
                <w:p w14:paraId="00E66013" w14:textId="77777777" w:rsidR="00247122" w:rsidRPr="00B76090" w:rsidRDefault="00247122" w:rsidP="003D6386">
                  <w:pPr>
                    <w:pStyle w:val="TableBodyText"/>
                    <w:spacing w:before="40"/>
                    <w:jc w:val="left"/>
                    <w:rPr>
                      <w:b/>
                    </w:rPr>
                  </w:pPr>
                  <w:r w:rsidRPr="00B76090">
                    <w:rPr>
                      <w:b/>
                    </w:rPr>
                    <w:t xml:space="preserve">  Total</w:t>
                  </w:r>
                </w:p>
              </w:tc>
              <w:tc>
                <w:tcPr>
                  <w:tcW w:w="417" w:type="pct"/>
                  <w:tcBorders>
                    <w:bottom w:val="single" w:sz="6" w:space="0" w:color="BFBFBF"/>
                  </w:tcBorders>
                  <w:shd w:val="clear" w:color="auto" w:fill="auto"/>
                </w:tcPr>
                <w:p w14:paraId="21006543" w14:textId="6EB9CC72" w:rsidR="00247122" w:rsidRPr="00303180" w:rsidRDefault="00247122" w:rsidP="003D6386">
                  <w:pPr>
                    <w:pStyle w:val="TableUnitsRow"/>
                    <w:spacing w:after="0"/>
                    <w:rPr>
                      <w:b/>
                      <w:szCs w:val="18"/>
                    </w:rPr>
                  </w:pPr>
                  <w:r w:rsidRPr="00303180">
                    <w:rPr>
                      <w:b/>
                    </w:rPr>
                    <w:t>81</w:t>
                  </w:r>
                </w:p>
              </w:tc>
              <w:tc>
                <w:tcPr>
                  <w:tcW w:w="418" w:type="pct"/>
                  <w:tcBorders>
                    <w:bottom w:val="single" w:sz="6" w:space="0" w:color="BFBFBF"/>
                  </w:tcBorders>
                  <w:shd w:val="clear" w:color="auto" w:fill="auto"/>
                </w:tcPr>
                <w:p w14:paraId="27398333" w14:textId="68E52A45" w:rsidR="00247122" w:rsidRPr="00303180" w:rsidRDefault="00247122" w:rsidP="003D6386">
                  <w:pPr>
                    <w:pStyle w:val="TableUnitsRow"/>
                    <w:spacing w:after="0"/>
                    <w:rPr>
                      <w:b/>
                      <w:szCs w:val="18"/>
                    </w:rPr>
                  </w:pPr>
                  <w:r w:rsidRPr="00303180">
                    <w:rPr>
                      <w:b/>
                    </w:rPr>
                    <w:t>73</w:t>
                  </w:r>
                </w:p>
              </w:tc>
              <w:tc>
                <w:tcPr>
                  <w:tcW w:w="417" w:type="pct"/>
                  <w:tcBorders>
                    <w:bottom w:val="single" w:sz="6" w:space="0" w:color="BFBFBF"/>
                  </w:tcBorders>
                  <w:shd w:val="clear" w:color="auto" w:fill="auto"/>
                </w:tcPr>
                <w:p w14:paraId="646B01EC" w14:textId="3A9398D2" w:rsidR="00247122" w:rsidRPr="00303180" w:rsidRDefault="00247122" w:rsidP="003D6386">
                  <w:pPr>
                    <w:pStyle w:val="TableUnitsRow"/>
                    <w:spacing w:after="0"/>
                    <w:rPr>
                      <w:b/>
                      <w:szCs w:val="18"/>
                    </w:rPr>
                  </w:pPr>
                  <w:r w:rsidRPr="00303180">
                    <w:rPr>
                      <w:b/>
                    </w:rPr>
                    <w:t>69</w:t>
                  </w:r>
                </w:p>
              </w:tc>
              <w:tc>
                <w:tcPr>
                  <w:tcW w:w="417" w:type="pct"/>
                  <w:tcBorders>
                    <w:bottom w:val="single" w:sz="6" w:space="0" w:color="BFBFBF"/>
                  </w:tcBorders>
                  <w:shd w:val="clear" w:color="auto" w:fill="auto"/>
                </w:tcPr>
                <w:p w14:paraId="78359A61" w14:textId="4B5A7E84" w:rsidR="00247122" w:rsidRPr="00303180" w:rsidRDefault="00247122" w:rsidP="003D6386">
                  <w:pPr>
                    <w:pStyle w:val="TableUnitsRow"/>
                    <w:spacing w:after="0"/>
                    <w:rPr>
                      <w:b/>
                      <w:szCs w:val="18"/>
                    </w:rPr>
                  </w:pPr>
                  <w:r w:rsidRPr="00303180">
                    <w:rPr>
                      <w:b/>
                    </w:rPr>
                    <w:t>64</w:t>
                  </w:r>
                </w:p>
              </w:tc>
              <w:tc>
                <w:tcPr>
                  <w:tcW w:w="418" w:type="pct"/>
                  <w:tcBorders>
                    <w:bottom w:val="single" w:sz="6" w:space="0" w:color="BFBFBF"/>
                  </w:tcBorders>
                  <w:shd w:val="clear" w:color="auto" w:fill="auto"/>
                </w:tcPr>
                <w:p w14:paraId="3B706317" w14:textId="69B459B4" w:rsidR="00247122" w:rsidRPr="00303180" w:rsidRDefault="00247122" w:rsidP="003D6386">
                  <w:pPr>
                    <w:pStyle w:val="TableUnitsRow"/>
                    <w:spacing w:after="0"/>
                    <w:rPr>
                      <w:b/>
                      <w:szCs w:val="18"/>
                    </w:rPr>
                  </w:pPr>
                  <w:r w:rsidRPr="00303180">
                    <w:rPr>
                      <w:b/>
                    </w:rPr>
                    <w:t>64</w:t>
                  </w:r>
                </w:p>
              </w:tc>
              <w:tc>
                <w:tcPr>
                  <w:tcW w:w="417" w:type="pct"/>
                  <w:tcBorders>
                    <w:bottom w:val="single" w:sz="6" w:space="0" w:color="BFBFBF"/>
                  </w:tcBorders>
                  <w:shd w:val="clear" w:color="auto" w:fill="auto"/>
                </w:tcPr>
                <w:p w14:paraId="619639E7" w14:textId="46E240BB" w:rsidR="00247122" w:rsidRPr="00303180" w:rsidRDefault="00247122" w:rsidP="003D6386">
                  <w:pPr>
                    <w:pStyle w:val="TableUnitsRow"/>
                    <w:spacing w:after="0"/>
                    <w:rPr>
                      <w:b/>
                      <w:szCs w:val="18"/>
                    </w:rPr>
                  </w:pPr>
                  <w:r w:rsidRPr="00303180">
                    <w:rPr>
                      <w:b/>
                    </w:rPr>
                    <w:t>65</w:t>
                  </w:r>
                </w:p>
              </w:tc>
              <w:tc>
                <w:tcPr>
                  <w:tcW w:w="418" w:type="pct"/>
                  <w:tcBorders>
                    <w:bottom w:val="single" w:sz="6" w:space="0" w:color="BFBFBF"/>
                  </w:tcBorders>
                  <w:shd w:val="clear" w:color="auto" w:fill="auto"/>
                </w:tcPr>
                <w:p w14:paraId="5B3836DF" w14:textId="70DA26D0" w:rsidR="00247122" w:rsidRPr="00303180" w:rsidRDefault="00247122" w:rsidP="003D6386">
                  <w:pPr>
                    <w:pStyle w:val="TableUnitsRow"/>
                    <w:spacing w:after="0"/>
                    <w:rPr>
                      <w:b/>
                      <w:szCs w:val="18"/>
                    </w:rPr>
                  </w:pPr>
                  <w:r w:rsidRPr="00303180">
                    <w:rPr>
                      <w:b/>
                    </w:rPr>
                    <w:t>62</w:t>
                  </w:r>
                </w:p>
              </w:tc>
              <w:tc>
                <w:tcPr>
                  <w:tcW w:w="420" w:type="pct"/>
                  <w:tcBorders>
                    <w:bottom w:val="single" w:sz="6" w:space="0" w:color="BFBFBF"/>
                  </w:tcBorders>
                  <w:shd w:val="clear" w:color="auto" w:fill="auto"/>
                </w:tcPr>
                <w:p w14:paraId="169DEEB1" w14:textId="7C0FF471" w:rsidR="00247122" w:rsidRPr="00303180" w:rsidRDefault="00247122" w:rsidP="003D6386">
                  <w:pPr>
                    <w:pStyle w:val="TableUnitsRow"/>
                    <w:spacing w:after="0"/>
                    <w:rPr>
                      <w:b/>
                      <w:szCs w:val="18"/>
                    </w:rPr>
                  </w:pPr>
                  <w:r w:rsidRPr="00303180">
                    <w:rPr>
                      <w:b/>
                    </w:rPr>
                    <w:t>61</w:t>
                  </w:r>
                </w:p>
              </w:tc>
              <w:tc>
                <w:tcPr>
                  <w:tcW w:w="417" w:type="pct"/>
                  <w:tcBorders>
                    <w:bottom w:val="single" w:sz="6" w:space="0" w:color="BFBFBF"/>
                  </w:tcBorders>
                  <w:shd w:val="clear" w:color="auto" w:fill="auto"/>
                </w:tcPr>
                <w:p w14:paraId="43DAC26F" w14:textId="0B218F10" w:rsidR="00247122" w:rsidRPr="00303180" w:rsidRDefault="00247122" w:rsidP="003D6386">
                  <w:pPr>
                    <w:pStyle w:val="TableUnitsRow"/>
                    <w:spacing w:after="0"/>
                    <w:rPr>
                      <w:b/>
                      <w:szCs w:val="18"/>
                    </w:rPr>
                  </w:pPr>
                  <w:r w:rsidRPr="00303180">
                    <w:rPr>
                      <w:b/>
                    </w:rPr>
                    <w:t>73</w:t>
                  </w:r>
                </w:p>
              </w:tc>
            </w:tr>
          </w:tbl>
          <w:p w14:paraId="5B4479E5" w14:textId="77777777" w:rsidR="00EB796A" w:rsidRDefault="00EB796A" w:rsidP="00EB796A">
            <w:pPr>
              <w:pStyle w:val="Box"/>
            </w:pPr>
          </w:p>
        </w:tc>
      </w:tr>
      <w:tr w:rsidR="00EB796A" w14:paraId="339FE7F1" w14:textId="77777777" w:rsidTr="003D6386">
        <w:trPr>
          <w:cantSplit/>
        </w:trPr>
        <w:tc>
          <w:tcPr>
            <w:tcW w:w="8789" w:type="dxa"/>
            <w:tcBorders>
              <w:top w:val="nil"/>
              <w:left w:val="nil"/>
              <w:bottom w:val="nil"/>
              <w:right w:val="nil"/>
            </w:tcBorders>
            <w:shd w:val="clear" w:color="auto" w:fill="auto"/>
          </w:tcPr>
          <w:p w14:paraId="79685C0A" w14:textId="1365DF37" w:rsidR="00EB796A" w:rsidRDefault="00EB796A" w:rsidP="003D6386">
            <w:pPr>
              <w:pStyle w:val="Note"/>
              <w:spacing w:before="40"/>
              <w:rPr>
                <w:i/>
              </w:rPr>
            </w:pPr>
            <w:r w:rsidRPr="008E77FE">
              <w:rPr>
                <w:rStyle w:val="NoteLabel"/>
              </w:rPr>
              <w:t>a</w:t>
            </w:r>
            <w:r>
              <w:t xml:space="preserve"> </w:t>
            </w:r>
            <w:r w:rsidR="00513EA6" w:rsidRPr="006F4A3E">
              <w:t xml:space="preserve">See </w:t>
            </w:r>
            <w:r w:rsidR="00CB3FA6">
              <w:t xml:space="preserve">box </w:t>
            </w:r>
            <w:r w:rsidR="000F15E6">
              <w:t>12.</w:t>
            </w:r>
            <w:r w:rsidR="00513EA6">
              <w:t xml:space="preserve">3 and </w:t>
            </w:r>
            <w:r w:rsidR="00513EA6" w:rsidRPr="006F4A3E">
              <w:t xml:space="preserve">table </w:t>
            </w:r>
            <w:proofErr w:type="spellStart"/>
            <w:r w:rsidR="000F15E6">
              <w:t>12A</w:t>
            </w:r>
            <w:r w:rsidR="00513EA6" w:rsidRPr="006F4A3E">
              <w:t>.</w:t>
            </w:r>
            <w:r w:rsidR="00477C9C">
              <w:t>1</w:t>
            </w:r>
            <w:r w:rsidR="004663E8">
              <w:t>3</w:t>
            </w:r>
            <w:proofErr w:type="spellEnd"/>
            <w:r w:rsidR="00513EA6" w:rsidRPr="006F4A3E">
              <w:t xml:space="preserve"> for detailed </w:t>
            </w:r>
            <w:r w:rsidR="00536DD1">
              <w:t xml:space="preserve">definitions, footnotes and </w:t>
            </w:r>
            <w:r w:rsidR="00513EA6" w:rsidRPr="006F4A3E">
              <w:t>caveats</w:t>
            </w:r>
            <w:r w:rsidR="00513EA6" w:rsidRPr="00320973">
              <w:t>.</w:t>
            </w:r>
            <w:r w:rsidR="00590710" w:rsidRPr="00B3446C">
              <w:t xml:space="preserve"> </w:t>
            </w:r>
          </w:p>
        </w:tc>
      </w:tr>
      <w:tr w:rsidR="00EB796A" w14:paraId="2BE11374" w14:textId="77777777" w:rsidTr="003D6386">
        <w:trPr>
          <w:cantSplit/>
        </w:trPr>
        <w:tc>
          <w:tcPr>
            <w:tcW w:w="8789" w:type="dxa"/>
            <w:tcBorders>
              <w:top w:val="nil"/>
              <w:left w:val="nil"/>
              <w:bottom w:val="nil"/>
              <w:right w:val="nil"/>
            </w:tcBorders>
            <w:shd w:val="clear" w:color="auto" w:fill="auto"/>
          </w:tcPr>
          <w:p w14:paraId="1891C937" w14:textId="0AC4FE98" w:rsidR="00EB796A" w:rsidRDefault="00164049" w:rsidP="003D6386">
            <w:pPr>
              <w:pStyle w:val="Source"/>
              <w:spacing w:before="40"/>
            </w:pPr>
            <w:r>
              <w:rPr>
                <w:i/>
              </w:rPr>
              <w:t>Source</w:t>
            </w:r>
            <w:r>
              <w:t xml:space="preserve">: </w:t>
            </w:r>
            <w:r w:rsidR="001A73C2" w:rsidRPr="001A73C2">
              <w:t>AIHW (201</w:t>
            </w:r>
            <w:r w:rsidR="00085308">
              <w:t>7</w:t>
            </w:r>
            <w:r w:rsidR="001A73C2" w:rsidRPr="001A73C2">
              <w:t xml:space="preserve">), </w:t>
            </w:r>
            <w:r w:rsidR="001A73C2" w:rsidRPr="001A73C2">
              <w:rPr>
                <w:i/>
              </w:rPr>
              <w:t>Emergency department care 201</w:t>
            </w:r>
            <w:r w:rsidR="00085308">
              <w:rPr>
                <w:i/>
              </w:rPr>
              <w:t>6</w:t>
            </w:r>
            <w:r w:rsidR="00991BF7">
              <w:rPr>
                <w:i/>
              </w:rPr>
              <w:t>-</w:t>
            </w:r>
            <w:r w:rsidR="001A73C2" w:rsidRPr="001A73C2">
              <w:rPr>
                <w:i/>
              </w:rPr>
              <w:t>1</w:t>
            </w:r>
            <w:r w:rsidR="00085308">
              <w:rPr>
                <w:i/>
              </w:rPr>
              <w:t>7</w:t>
            </w:r>
            <w:r w:rsidR="001A73C2" w:rsidRPr="001A73C2">
              <w:rPr>
                <w:i/>
              </w:rPr>
              <w:t>: Australian hospital statistics</w:t>
            </w:r>
            <w:r w:rsidR="001A73C2" w:rsidRPr="001A73C2">
              <w:t xml:space="preserve">. Health services series no. </w:t>
            </w:r>
            <w:r w:rsidR="00247122" w:rsidRPr="00247122">
              <w:t>80</w:t>
            </w:r>
            <w:r w:rsidR="001A73C2" w:rsidRPr="001A73C2">
              <w:t xml:space="preserve">. Cat. no. </w:t>
            </w:r>
            <w:proofErr w:type="spellStart"/>
            <w:r w:rsidR="001A73C2" w:rsidRPr="001A73C2">
              <w:t>HSE</w:t>
            </w:r>
            <w:proofErr w:type="spellEnd"/>
            <w:r w:rsidR="001A73C2" w:rsidRPr="001A73C2">
              <w:t xml:space="preserve"> </w:t>
            </w:r>
            <w:r w:rsidR="00247122" w:rsidRPr="00247122">
              <w:t>194</w:t>
            </w:r>
            <w:r w:rsidRPr="00164049">
              <w:t xml:space="preserve">; table </w:t>
            </w:r>
            <w:proofErr w:type="spellStart"/>
            <w:r w:rsidR="000F15E6">
              <w:t>12A</w:t>
            </w:r>
            <w:r w:rsidRPr="00164049">
              <w:t>.</w:t>
            </w:r>
            <w:r w:rsidR="005F0C33">
              <w:t>1</w:t>
            </w:r>
            <w:r w:rsidR="004663E8">
              <w:t>3</w:t>
            </w:r>
            <w:proofErr w:type="spellEnd"/>
            <w:r w:rsidRPr="00164049">
              <w:t>.</w:t>
            </w:r>
          </w:p>
        </w:tc>
      </w:tr>
      <w:tr w:rsidR="00EB796A" w14:paraId="3E27836D" w14:textId="77777777" w:rsidTr="003D6386">
        <w:trPr>
          <w:cantSplit/>
        </w:trPr>
        <w:tc>
          <w:tcPr>
            <w:tcW w:w="8789" w:type="dxa"/>
            <w:tcBorders>
              <w:top w:val="nil"/>
              <w:left w:val="nil"/>
              <w:bottom w:val="single" w:sz="6" w:space="0" w:color="78A22F"/>
              <w:right w:val="nil"/>
            </w:tcBorders>
            <w:shd w:val="clear" w:color="auto" w:fill="auto"/>
          </w:tcPr>
          <w:p w14:paraId="74B42620" w14:textId="77777777" w:rsidR="00EB796A" w:rsidRDefault="00EB796A" w:rsidP="003D6386">
            <w:pPr>
              <w:pStyle w:val="Box"/>
              <w:spacing w:before="0" w:line="120" w:lineRule="exact"/>
            </w:pPr>
          </w:p>
        </w:tc>
      </w:tr>
      <w:tr w:rsidR="00EB796A" w:rsidRPr="000863A5" w14:paraId="7C6C2B04" w14:textId="77777777" w:rsidTr="003D6386">
        <w:tc>
          <w:tcPr>
            <w:tcW w:w="8789" w:type="dxa"/>
            <w:tcBorders>
              <w:top w:val="single" w:sz="6" w:space="0" w:color="78A22F"/>
              <w:left w:val="nil"/>
              <w:bottom w:val="nil"/>
              <w:right w:val="nil"/>
            </w:tcBorders>
          </w:tcPr>
          <w:p w14:paraId="0CE9B25C" w14:textId="3CEA81E6" w:rsidR="00EB796A" w:rsidRPr="00626D32" w:rsidRDefault="00EB796A" w:rsidP="003D6386">
            <w:pPr>
              <w:pStyle w:val="BoxSpaceBelow"/>
              <w:spacing w:before="0" w:after="0"/>
            </w:pPr>
          </w:p>
        </w:tc>
      </w:tr>
    </w:tbl>
    <w:p w14:paraId="5CBB301D" w14:textId="77777777" w:rsidR="000D26EC" w:rsidRDefault="00A9177A" w:rsidP="000A750A">
      <w:pPr>
        <w:pStyle w:val="Heading5"/>
      </w:pPr>
      <w:r>
        <w:lastRenderedPageBreak/>
        <w:t>P</w:t>
      </w:r>
      <w:r w:rsidR="000B076A" w:rsidRPr="000B076A">
        <w:t>roportion of patients staying for four hours or less</w:t>
      </w:r>
    </w:p>
    <w:p w14:paraId="4FA7C91D" w14:textId="0E7D2B7B" w:rsidR="001076E0" w:rsidRDefault="0054245A" w:rsidP="001B73E8">
      <w:pPr>
        <w:pStyle w:val="BodyText"/>
      </w:pPr>
      <w:r>
        <w:t xml:space="preserve">The </w:t>
      </w:r>
      <w:r w:rsidR="000B076A" w:rsidRPr="000A750A">
        <w:t xml:space="preserve">proportion of patients staying for </w:t>
      </w:r>
      <w:r w:rsidR="000B076A" w:rsidRPr="006359F8">
        <w:t>four hours or less in an emergency department</w:t>
      </w:r>
      <w:r w:rsidR="001076E0" w:rsidRPr="006359F8">
        <w:t xml:space="preserve"> has increased from </w:t>
      </w:r>
      <w:r w:rsidR="0091511B" w:rsidRPr="006359F8">
        <w:t>6</w:t>
      </w:r>
      <w:r w:rsidR="008E4258" w:rsidRPr="006359F8">
        <w:t>7</w:t>
      </w:r>
      <w:r w:rsidR="0091511B" w:rsidRPr="006359F8">
        <w:t>.3</w:t>
      </w:r>
      <w:r w:rsidR="001076E0" w:rsidRPr="006359F8">
        <w:t xml:space="preserve"> per cent in 201</w:t>
      </w:r>
      <w:r w:rsidR="008E4258" w:rsidRPr="006359F8">
        <w:t>2</w:t>
      </w:r>
      <w:r w:rsidR="001076E0" w:rsidRPr="006359F8">
        <w:t>-1</w:t>
      </w:r>
      <w:r w:rsidR="008E4258" w:rsidRPr="006359F8">
        <w:t>3</w:t>
      </w:r>
      <w:r w:rsidR="001076E0" w:rsidRPr="006359F8">
        <w:t xml:space="preserve"> </w:t>
      </w:r>
      <w:r w:rsidRPr="006359F8">
        <w:t xml:space="preserve">to </w:t>
      </w:r>
      <w:r w:rsidR="00EA3F81" w:rsidRPr="006359F8">
        <w:t>72.</w:t>
      </w:r>
      <w:r w:rsidR="00B44B44">
        <w:t>0</w:t>
      </w:r>
      <w:r w:rsidRPr="006359F8">
        <w:t xml:space="preserve"> per cent</w:t>
      </w:r>
      <w:r w:rsidRPr="00B3446C">
        <w:t xml:space="preserve"> in</w:t>
      </w:r>
      <w:r>
        <w:t xml:space="preserve"> 201</w:t>
      </w:r>
      <w:r w:rsidR="008E4258">
        <w:t>6</w:t>
      </w:r>
      <w:r>
        <w:t>-1</w:t>
      </w:r>
      <w:r w:rsidR="008E4258">
        <w:t>7</w:t>
      </w:r>
      <w:r>
        <w:t xml:space="preserve"> (figure </w:t>
      </w:r>
      <w:r w:rsidR="000F15E6">
        <w:t>12.</w:t>
      </w:r>
      <w:r w:rsidR="00275CD5">
        <w:t>5</w:t>
      </w:r>
      <w:r>
        <w:t xml:space="preserve">). </w:t>
      </w:r>
    </w:p>
    <w:p w14:paraId="72DB49A7" w14:textId="0B861EBD" w:rsidR="000D26EC" w:rsidRDefault="000D26EC" w:rsidP="009A67FB">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0D26EC" w14:paraId="2791D4B9" w14:textId="77777777" w:rsidTr="003D6386">
        <w:tc>
          <w:tcPr>
            <w:tcW w:w="8789" w:type="dxa"/>
            <w:tcBorders>
              <w:top w:val="single" w:sz="6" w:space="0" w:color="78A22F"/>
              <w:left w:val="nil"/>
              <w:bottom w:val="nil"/>
              <w:right w:val="nil"/>
            </w:tcBorders>
            <w:shd w:val="clear" w:color="auto" w:fill="auto"/>
          </w:tcPr>
          <w:p w14:paraId="61A58FFD" w14:textId="6C08A535" w:rsidR="000D26EC" w:rsidRPr="00176D3F" w:rsidRDefault="000D26EC" w:rsidP="008E4258">
            <w:pPr>
              <w:pStyle w:val="FigureTitle"/>
            </w:pPr>
            <w:r w:rsidRPr="00784A05">
              <w:rPr>
                <w:b w:val="0"/>
              </w:rPr>
              <w:t xml:space="preserve">Figure </w:t>
            </w:r>
            <w:r w:rsidR="00D937AB">
              <w:rPr>
                <w:b w:val="0"/>
              </w:rPr>
              <w:t>12.</w:t>
            </w:r>
            <w:r w:rsidR="007F3144">
              <w:rPr>
                <w:b w:val="0"/>
                <w:noProof/>
              </w:rPr>
              <w:t>5</w:t>
            </w:r>
            <w:r>
              <w:tab/>
            </w:r>
            <w:r w:rsidR="000B076A" w:rsidRPr="000A750A">
              <w:t>Length of stay for emergency department care, proportion of patients staying for four hours or less</w:t>
            </w:r>
            <w:r w:rsidR="00513EA6" w:rsidRPr="000A750A">
              <w:rPr>
                <w:rStyle w:val="NoteLabel"/>
                <w:b/>
                <w:szCs w:val="20"/>
              </w:rPr>
              <w:t>a</w:t>
            </w:r>
            <w:r w:rsidR="00EC6520">
              <w:rPr>
                <w:rStyle w:val="NoteLabel"/>
                <w:b/>
                <w:szCs w:val="20"/>
              </w:rPr>
              <w:t>, b</w:t>
            </w:r>
          </w:p>
        </w:tc>
      </w:tr>
      <w:tr w:rsidR="000D26EC" w14:paraId="2222450C" w14:textId="77777777" w:rsidTr="003D6386">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0D26EC" w14:paraId="626E3DE3" w14:textId="77777777" w:rsidTr="005105FF">
              <w:trPr>
                <w:jc w:val="center"/>
              </w:trPr>
              <w:tc>
                <w:tcPr>
                  <w:tcW w:w="5000" w:type="pct"/>
                  <w:tcBorders>
                    <w:top w:val="nil"/>
                    <w:left w:val="nil"/>
                    <w:bottom w:val="nil"/>
                  </w:tcBorders>
                </w:tcPr>
                <w:p w14:paraId="209A81B2" w14:textId="1FA29ED2" w:rsidR="000D26EC" w:rsidRDefault="00FD711B" w:rsidP="00807705">
                  <w:pPr>
                    <w:pStyle w:val="Figure"/>
                    <w:keepLines/>
                    <w:spacing w:before="60" w:after="60"/>
                  </w:pPr>
                  <w:r>
                    <w:rPr>
                      <w:noProof/>
                    </w:rPr>
                    <w:drawing>
                      <wp:inline distT="0" distB="0" distL="0" distR="0" wp14:anchorId="1DF40F22" wp14:editId="3AAE4822">
                        <wp:extent cx="5335905" cy="2821305"/>
                        <wp:effectExtent l="0" t="0" r="0" b="0"/>
                        <wp:docPr id="5" name="Picture 5" descr="More details can be found within the text surrounding this image." title="Figure 12.5 Length of stay for emergency department care, proportion of patients staying for four hours or l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5905" cy="2821305"/>
                                </a:xfrm>
                                <a:prstGeom prst="rect">
                                  <a:avLst/>
                                </a:prstGeom>
                                <a:noFill/>
                                <a:ln>
                                  <a:noFill/>
                                </a:ln>
                              </pic:spPr>
                            </pic:pic>
                          </a:graphicData>
                        </a:graphic>
                      </wp:inline>
                    </w:drawing>
                  </w:r>
                </w:p>
              </w:tc>
            </w:tr>
          </w:tbl>
          <w:p w14:paraId="3A491E75" w14:textId="77777777" w:rsidR="000D26EC" w:rsidRDefault="000D26EC" w:rsidP="00807705">
            <w:pPr>
              <w:pStyle w:val="Figure"/>
              <w:keepLines/>
            </w:pPr>
          </w:p>
        </w:tc>
      </w:tr>
      <w:tr w:rsidR="000D26EC" w:rsidRPr="00176D3F" w14:paraId="2FB61EC8" w14:textId="77777777" w:rsidTr="003D6386">
        <w:tc>
          <w:tcPr>
            <w:tcW w:w="8789" w:type="dxa"/>
            <w:tcBorders>
              <w:top w:val="nil"/>
              <w:left w:val="nil"/>
              <w:bottom w:val="nil"/>
              <w:right w:val="nil"/>
            </w:tcBorders>
            <w:shd w:val="clear" w:color="auto" w:fill="auto"/>
          </w:tcPr>
          <w:p w14:paraId="17BFAF55" w14:textId="2171504B" w:rsidR="000D26EC" w:rsidRPr="00176D3F" w:rsidRDefault="000D26EC" w:rsidP="008E4258">
            <w:pPr>
              <w:pStyle w:val="Note"/>
              <w:keepNext/>
            </w:pPr>
            <w:r>
              <w:rPr>
                <w:rStyle w:val="NoteLabel"/>
              </w:rPr>
              <w:t>a</w:t>
            </w:r>
            <w:r>
              <w:t xml:space="preserve"> </w:t>
            </w:r>
            <w:r w:rsidR="00513EA6" w:rsidRPr="006F4A3E">
              <w:t xml:space="preserve">See </w:t>
            </w:r>
            <w:r w:rsidR="00CB3FA6">
              <w:t xml:space="preserve">box </w:t>
            </w:r>
            <w:r w:rsidR="000F15E6">
              <w:t>12.</w:t>
            </w:r>
            <w:r w:rsidR="00513EA6">
              <w:t xml:space="preserve">3 and </w:t>
            </w:r>
            <w:r w:rsidR="00513EA6" w:rsidRPr="006F4A3E">
              <w:t xml:space="preserve">table </w:t>
            </w:r>
            <w:proofErr w:type="spellStart"/>
            <w:r w:rsidR="000F15E6">
              <w:t>12A</w:t>
            </w:r>
            <w:r w:rsidR="00513EA6" w:rsidRPr="006F4A3E">
              <w:t>.</w:t>
            </w:r>
            <w:r w:rsidR="000D4A1A">
              <w:t>1</w:t>
            </w:r>
            <w:r w:rsidR="004663E8">
              <w:t>8</w:t>
            </w:r>
            <w:proofErr w:type="spellEnd"/>
            <w:r w:rsidR="00513EA6" w:rsidRPr="006F4A3E">
              <w:t xml:space="preserve"> for detailed </w:t>
            </w:r>
            <w:r w:rsidR="00536DD1" w:rsidRPr="00536DD1">
              <w:t xml:space="preserve">definitions, footnotes and </w:t>
            </w:r>
            <w:r w:rsidR="00513EA6" w:rsidRPr="006F4A3E">
              <w:t>caveats</w:t>
            </w:r>
            <w:r w:rsidR="00513EA6" w:rsidRPr="00320973">
              <w:t>.</w:t>
            </w:r>
            <w:r w:rsidR="00590710">
              <w:t xml:space="preserve"> </w:t>
            </w:r>
            <w:r w:rsidR="00EC6520" w:rsidRPr="00EC6520">
              <w:rPr>
                <w:rStyle w:val="NoteLabel"/>
              </w:rPr>
              <w:t>b</w:t>
            </w:r>
            <w:r w:rsidR="00EC6520">
              <w:rPr>
                <w:rStyle w:val="NoteLabel"/>
              </w:rPr>
              <w:t xml:space="preserve"> </w:t>
            </w:r>
            <w:r w:rsidR="00EC6520" w:rsidRPr="00EC6520">
              <w:t xml:space="preserve">Data were not available for the ACT </w:t>
            </w:r>
            <w:r w:rsidR="00EC6520">
              <w:t xml:space="preserve">for 2015-16 </w:t>
            </w:r>
            <w:r w:rsidR="00EC6520" w:rsidRPr="00EC6520">
              <w:t xml:space="preserve">and have </w:t>
            </w:r>
            <w:r w:rsidR="00EC6520">
              <w:t>not been included in the Australian total</w:t>
            </w:r>
            <w:r w:rsidR="00AD6D55">
              <w:t xml:space="preserve"> for that year</w:t>
            </w:r>
            <w:r w:rsidR="00EC6520">
              <w:t>.</w:t>
            </w:r>
          </w:p>
        </w:tc>
      </w:tr>
      <w:tr w:rsidR="000D26EC" w:rsidRPr="00176D3F" w14:paraId="1CC7C24F" w14:textId="77777777" w:rsidTr="003D6386">
        <w:tc>
          <w:tcPr>
            <w:tcW w:w="8789" w:type="dxa"/>
            <w:tcBorders>
              <w:top w:val="nil"/>
              <w:left w:val="nil"/>
              <w:bottom w:val="nil"/>
              <w:right w:val="nil"/>
            </w:tcBorders>
            <w:shd w:val="clear" w:color="auto" w:fill="auto"/>
          </w:tcPr>
          <w:p w14:paraId="78C79C65" w14:textId="7F6E431D" w:rsidR="000D26EC" w:rsidRPr="00176D3F" w:rsidRDefault="000D26EC" w:rsidP="00C97D34">
            <w:pPr>
              <w:pStyle w:val="Source"/>
              <w:keepNext/>
            </w:pPr>
            <w:r>
              <w:rPr>
                <w:i/>
              </w:rPr>
              <w:t>S</w:t>
            </w:r>
            <w:r w:rsidRPr="00784A05">
              <w:rPr>
                <w:i/>
              </w:rPr>
              <w:t>ource</w:t>
            </w:r>
            <w:r w:rsidRPr="00176D3F">
              <w:t xml:space="preserve">: </w:t>
            </w:r>
            <w:r w:rsidR="001A73C2" w:rsidRPr="001A73C2">
              <w:t>AIHW (</w:t>
            </w:r>
            <w:r w:rsidR="00C36D49">
              <w:t>various years</w:t>
            </w:r>
            <w:r w:rsidR="001A73C2" w:rsidRPr="001A73C2">
              <w:t xml:space="preserve">), </w:t>
            </w:r>
            <w:r w:rsidR="00C36D49">
              <w:rPr>
                <w:i/>
              </w:rPr>
              <w:t>Emergency department care</w:t>
            </w:r>
            <w:r w:rsidR="001A73C2" w:rsidRPr="001A73C2">
              <w:rPr>
                <w:i/>
              </w:rPr>
              <w:t>: Australian hospital statistics</w:t>
            </w:r>
            <w:r w:rsidR="001A73C2" w:rsidRPr="001A73C2">
              <w:t xml:space="preserve">. Health services series no. </w:t>
            </w:r>
            <w:r w:rsidR="00C36D49">
              <w:t>52, 58</w:t>
            </w:r>
            <w:r w:rsidR="00CD7DC9">
              <w:t>,</w:t>
            </w:r>
            <w:r w:rsidR="00C36D49">
              <w:t xml:space="preserve"> </w:t>
            </w:r>
            <w:r w:rsidR="001A73C2" w:rsidRPr="001A73C2">
              <w:t>65</w:t>
            </w:r>
            <w:r w:rsidR="008E4258">
              <w:t>,</w:t>
            </w:r>
            <w:r w:rsidR="00CD7DC9">
              <w:t xml:space="preserve"> 72</w:t>
            </w:r>
            <w:r w:rsidR="00C36D49">
              <w:t xml:space="preserve"> </w:t>
            </w:r>
            <w:r w:rsidR="008E4258">
              <w:t xml:space="preserve">and </w:t>
            </w:r>
            <w:r w:rsidR="00C97D34" w:rsidRPr="00C97D34">
              <w:t>80</w:t>
            </w:r>
            <w:r w:rsidR="008E4258">
              <w:t xml:space="preserve"> </w:t>
            </w:r>
            <w:r w:rsidR="001A73C2" w:rsidRPr="001A73C2">
              <w:t xml:space="preserve">Cat. no. </w:t>
            </w:r>
            <w:proofErr w:type="spellStart"/>
            <w:r w:rsidR="001A73C2" w:rsidRPr="001A73C2">
              <w:t>HSE</w:t>
            </w:r>
            <w:proofErr w:type="spellEnd"/>
            <w:r w:rsidR="001A73C2" w:rsidRPr="001A73C2">
              <w:t xml:space="preserve"> </w:t>
            </w:r>
            <w:r w:rsidR="00C36D49">
              <w:t>1</w:t>
            </w:r>
            <w:r w:rsidR="008B196C">
              <w:t>4</w:t>
            </w:r>
            <w:r w:rsidR="00C36D49">
              <w:t>2, 153</w:t>
            </w:r>
            <w:r w:rsidR="00CD7DC9">
              <w:t>,</w:t>
            </w:r>
            <w:r w:rsidR="00C36D49">
              <w:t xml:space="preserve"> </w:t>
            </w:r>
            <w:r w:rsidR="001A73C2" w:rsidRPr="001A73C2">
              <w:t>168</w:t>
            </w:r>
            <w:r w:rsidR="008E4258">
              <w:t>,</w:t>
            </w:r>
            <w:r w:rsidR="00CD7DC9">
              <w:t xml:space="preserve"> 182</w:t>
            </w:r>
            <w:r w:rsidR="008E4258">
              <w:t xml:space="preserve"> and </w:t>
            </w:r>
            <w:r w:rsidR="00C97D34" w:rsidRPr="00C97D34">
              <w:t>194</w:t>
            </w:r>
            <w:r w:rsidR="00267442">
              <w:t>; table</w:t>
            </w:r>
            <w:r w:rsidR="00BC7D36">
              <w:t> </w:t>
            </w:r>
            <w:proofErr w:type="spellStart"/>
            <w:r w:rsidR="000F15E6">
              <w:t>12A</w:t>
            </w:r>
            <w:r w:rsidR="00BA1573">
              <w:t>.</w:t>
            </w:r>
            <w:r w:rsidR="000D4A1A">
              <w:t>1</w:t>
            </w:r>
            <w:r w:rsidR="004663E8">
              <w:t>8</w:t>
            </w:r>
            <w:proofErr w:type="spellEnd"/>
            <w:r w:rsidR="00A70042">
              <w:t>.</w:t>
            </w:r>
          </w:p>
        </w:tc>
      </w:tr>
      <w:tr w:rsidR="000D26EC" w14:paraId="6A1D71E9" w14:textId="77777777" w:rsidTr="003D6386">
        <w:tc>
          <w:tcPr>
            <w:tcW w:w="8789" w:type="dxa"/>
            <w:tcBorders>
              <w:top w:val="nil"/>
              <w:left w:val="nil"/>
              <w:bottom w:val="single" w:sz="6" w:space="0" w:color="78A22F"/>
              <w:right w:val="nil"/>
            </w:tcBorders>
            <w:shd w:val="clear" w:color="auto" w:fill="auto"/>
          </w:tcPr>
          <w:p w14:paraId="36760EAA" w14:textId="77777777" w:rsidR="000D26EC" w:rsidRDefault="000D26EC" w:rsidP="00807705">
            <w:pPr>
              <w:pStyle w:val="Figurespace"/>
              <w:keepLines/>
            </w:pPr>
          </w:p>
        </w:tc>
      </w:tr>
      <w:tr w:rsidR="000D26EC" w:rsidRPr="000863A5" w14:paraId="749154DD" w14:textId="77777777" w:rsidTr="003D6386">
        <w:tc>
          <w:tcPr>
            <w:tcW w:w="8789" w:type="dxa"/>
            <w:tcBorders>
              <w:top w:val="single" w:sz="6" w:space="0" w:color="78A22F"/>
              <w:left w:val="nil"/>
              <w:bottom w:val="nil"/>
              <w:right w:val="nil"/>
            </w:tcBorders>
          </w:tcPr>
          <w:p w14:paraId="06A7F5E7" w14:textId="3355E565" w:rsidR="000D26EC" w:rsidRPr="00626D32" w:rsidRDefault="000D26EC" w:rsidP="002A29DE">
            <w:pPr>
              <w:pStyle w:val="BoxSpaceBelow"/>
            </w:pPr>
          </w:p>
        </w:tc>
      </w:tr>
    </w:tbl>
    <w:p w14:paraId="06719A19" w14:textId="77777777" w:rsidR="00B76090" w:rsidRDefault="003D3C97" w:rsidP="00B76090">
      <w:pPr>
        <w:pStyle w:val="Heading4"/>
      </w:pPr>
      <w:r w:rsidRPr="003D3C97">
        <w:t>Access —</w:t>
      </w:r>
      <w:r>
        <w:t xml:space="preserve"> </w:t>
      </w:r>
      <w:r w:rsidR="00B76090">
        <w:t>Waiting times for admitted patient services</w:t>
      </w:r>
    </w:p>
    <w:p w14:paraId="4F3175A4" w14:textId="77777777" w:rsidR="007A6EC9" w:rsidRDefault="00B76090" w:rsidP="00B76090">
      <w:pPr>
        <w:pStyle w:val="BodyText"/>
      </w:pPr>
      <w:r>
        <w:t xml:space="preserve">‘Waiting times for admitted patient services’ is an indicator of governments’ objective to provide </w:t>
      </w:r>
      <w:r w:rsidR="008D57FE">
        <w:t xml:space="preserve">timely and </w:t>
      </w:r>
      <w:r>
        <w:t>accessible services</w:t>
      </w:r>
      <w:r w:rsidR="0072631D">
        <w:t xml:space="preserve"> to all</w:t>
      </w:r>
      <w:r>
        <w:t xml:space="preserve"> (box </w:t>
      </w:r>
      <w:r w:rsidR="000F15E6">
        <w:t>12.</w:t>
      </w:r>
      <w:r>
        <w:t xml:space="preserve">4). </w:t>
      </w:r>
    </w:p>
    <w:p w14:paraId="7E275820" w14:textId="2BFC9132" w:rsidR="003D6386" w:rsidRDefault="003D638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D6386" w14:paraId="567BE3EF" w14:textId="77777777" w:rsidTr="003D6386">
        <w:trPr>
          <w:tblHeader/>
        </w:trPr>
        <w:tc>
          <w:tcPr>
            <w:tcW w:w="5000" w:type="pct"/>
            <w:tcBorders>
              <w:top w:val="single" w:sz="6" w:space="0" w:color="78A22F"/>
              <w:left w:val="nil"/>
              <w:bottom w:val="nil"/>
              <w:right w:val="nil"/>
            </w:tcBorders>
            <w:shd w:val="clear" w:color="auto" w:fill="F2F2F2"/>
          </w:tcPr>
          <w:p w14:paraId="466CC986" w14:textId="4D4E91B0" w:rsidR="003D6386" w:rsidRDefault="003D6386">
            <w:pPr>
              <w:pStyle w:val="BoxTitle"/>
            </w:pPr>
            <w:r>
              <w:rPr>
                <w:b w:val="0"/>
              </w:rPr>
              <w:t>Box 12.</w:t>
            </w:r>
            <w:r w:rsidR="007F3144">
              <w:rPr>
                <w:b w:val="0"/>
                <w:noProof/>
              </w:rPr>
              <w:t>4</w:t>
            </w:r>
            <w:r>
              <w:tab/>
            </w:r>
            <w:r w:rsidR="0062512C" w:rsidRPr="00B02B12">
              <w:t>Waiting times for admitted patient services</w:t>
            </w:r>
          </w:p>
        </w:tc>
      </w:tr>
      <w:tr w:rsidR="003D6386" w14:paraId="6FF4E80A" w14:textId="77777777" w:rsidTr="003D6386">
        <w:tc>
          <w:tcPr>
            <w:tcW w:w="5000" w:type="pct"/>
            <w:tcBorders>
              <w:top w:val="nil"/>
              <w:left w:val="nil"/>
              <w:bottom w:val="nil"/>
              <w:right w:val="nil"/>
            </w:tcBorders>
            <w:shd w:val="clear" w:color="auto" w:fill="F2F2F2"/>
          </w:tcPr>
          <w:p w14:paraId="0E9E72CC" w14:textId="77777777" w:rsidR="0062512C" w:rsidRDefault="0062512C" w:rsidP="0062512C">
            <w:pPr>
              <w:pStyle w:val="Box"/>
            </w:pPr>
            <w:r>
              <w:t>‘Waiting times for admitted patient services’ is defined by the following three measures:</w:t>
            </w:r>
          </w:p>
          <w:p w14:paraId="6FA6BB6C" w14:textId="77777777" w:rsidR="0062512C" w:rsidRDefault="0062512C" w:rsidP="0062512C">
            <w:pPr>
              <w:pStyle w:val="BoxListBullet"/>
            </w:pPr>
            <w:r>
              <w:t>Overall elective surgery waiting times</w:t>
            </w:r>
          </w:p>
          <w:p w14:paraId="6A7121BB" w14:textId="77777777" w:rsidR="0062512C" w:rsidRDefault="0062512C" w:rsidP="0062512C">
            <w:pPr>
              <w:pStyle w:val="BoxListBullet"/>
            </w:pPr>
            <w:r>
              <w:t>Elective surgery waiting times by clinical urgency category</w:t>
            </w:r>
          </w:p>
          <w:p w14:paraId="69E421E3" w14:textId="1127FABF" w:rsidR="003D6386" w:rsidRDefault="0062512C" w:rsidP="0062512C">
            <w:pPr>
              <w:pStyle w:val="BoxListBullet"/>
            </w:pPr>
            <w:r>
              <w:t>Presentations to emergency departments with a length of stay of 4 hours or less ending in admission.</w:t>
            </w:r>
          </w:p>
        </w:tc>
      </w:tr>
      <w:tr w:rsidR="003D6386" w14:paraId="62F1A487" w14:textId="77777777" w:rsidTr="003D6386">
        <w:tc>
          <w:tcPr>
            <w:tcW w:w="5000" w:type="pct"/>
            <w:tcBorders>
              <w:top w:val="nil"/>
              <w:left w:val="nil"/>
              <w:bottom w:val="nil"/>
              <w:right w:val="nil"/>
            </w:tcBorders>
            <w:shd w:val="clear" w:color="auto" w:fill="F2F2F2"/>
          </w:tcPr>
          <w:p w14:paraId="2176BB06" w14:textId="53951B3D" w:rsidR="003D6386" w:rsidRDefault="003D6386" w:rsidP="0062512C">
            <w:pPr>
              <w:pStyle w:val="BoxSource"/>
              <w:jc w:val="right"/>
            </w:pPr>
            <w:r>
              <w:t>(</w:t>
            </w:r>
            <w:r w:rsidR="0062512C">
              <w:t>continued next page</w:t>
            </w:r>
            <w:r>
              <w:t>)</w:t>
            </w:r>
          </w:p>
        </w:tc>
      </w:tr>
      <w:tr w:rsidR="003D6386" w14:paraId="5306C01B" w14:textId="77777777" w:rsidTr="003D6386">
        <w:tc>
          <w:tcPr>
            <w:tcW w:w="5000" w:type="pct"/>
            <w:tcBorders>
              <w:top w:val="nil"/>
              <w:left w:val="nil"/>
              <w:bottom w:val="single" w:sz="6" w:space="0" w:color="78A22F"/>
              <w:right w:val="nil"/>
            </w:tcBorders>
            <w:shd w:val="clear" w:color="auto" w:fill="F2F2F2"/>
          </w:tcPr>
          <w:p w14:paraId="6B41B697" w14:textId="77777777" w:rsidR="003D6386" w:rsidRDefault="003D6386">
            <w:pPr>
              <w:pStyle w:val="Box"/>
              <w:spacing w:before="0" w:line="120" w:lineRule="exact"/>
            </w:pPr>
          </w:p>
        </w:tc>
      </w:tr>
      <w:tr w:rsidR="003D6386" w:rsidRPr="000863A5" w14:paraId="603C4CFD" w14:textId="77777777" w:rsidTr="003D6386">
        <w:tc>
          <w:tcPr>
            <w:tcW w:w="5000" w:type="pct"/>
            <w:tcBorders>
              <w:top w:val="single" w:sz="6" w:space="0" w:color="78A22F"/>
              <w:left w:val="nil"/>
              <w:bottom w:val="nil"/>
              <w:right w:val="nil"/>
            </w:tcBorders>
          </w:tcPr>
          <w:p w14:paraId="4504B263" w14:textId="135AFE0A" w:rsidR="003D6386" w:rsidRPr="00626D32" w:rsidRDefault="003D6386" w:rsidP="003D6386">
            <w:pPr>
              <w:pStyle w:val="BoxSpaceBelow"/>
            </w:pPr>
          </w:p>
        </w:tc>
      </w:tr>
    </w:tbl>
    <w:p w14:paraId="377AF623" w14:textId="6DE0FBF9" w:rsidR="00B02B12" w:rsidRDefault="00B02B12">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B02B12" w14:paraId="7E88589F" w14:textId="77777777" w:rsidTr="0062512C">
        <w:tc>
          <w:tcPr>
            <w:tcW w:w="8789" w:type="dxa"/>
            <w:tcBorders>
              <w:top w:val="single" w:sz="6" w:space="0" w:color="78A22F"/>
              <w:left w:val="nil"/>
              <w:bottom w:val="nil"/>
              <w:right w:val="nil"/>
            </w:tcBorders>
            <w:shd w:val="clear" w:color="auto" w:fill="F2F2F2"/>
          </w:tcPr>
          <w:p w14:paraId="0341633A" w14:textId="76CE05A1" w:rsidR="00B02B12" w:rsidRDefault="00B02B12" w:rsidP="0062512C">
            <w:pPr>
              <w:pStyle w:val="BoxTitle"/>
              <w:spacing w:before="0"/>
            </w:pPr>
            <w:r>
              <w:rPr>
                <w:b w:val="0"/>
              </w:rPr>
              <w:t xml:space="preserve">Box </w:t>
            </w:r>
            <w:r w:rsidR="0062512C">
              <w:rPr>
                <w:b w:val="0"/>
              </w:rPr>
              <w:t>12.4</w:t>
            </w:r>
            <w:r>
              <w:tab/>
            </w:r>
            <w:r w:rsidR="0062512C" w:rsidRPr="0062512C">
              <w:rPr>
                <w:b w:val="0"/>
                <w:sz w:val="18"/>
                <w:szCs w:val="18"/>
              </w:rPr>
              <w:t>(continued)</w:t>
            </w:r>
          </w:p>
        </w:tc>
      </w:tr>
      <w:tr w:rsidR="00F21DE5" w14:paraId="643BE2E6" w14:textId="77777777" w:rsidTr="0062512C">
        <w:trPr>
          <w:cantSplit/>
        </w:trPr>
        <w:tc>
          <w:tcPr>
            <w:tcW w:w="8789" w:type="dxa"/>
            <w:tcBorders>
              <w:top w:val="nil"/>
              <w:left w:val="nil"/>
              <w:bottom w:val="nil"/>
              <w:right w:val="nil"/>
            </w:tcBorders>
            <w:shd w:val="clear" w:color="auto" w:fill="F2F2F2"/>
          </w:tcPr>
          <w:p w14:paraId="56EB8283" w14:textId="77777777" w:rsidR="0095394A" w:rsidRDefault="0095394A" w:rsidP="0095394A">
            <w:pPr>
              <w:pStyle w:val="Box"/>
            </w:pPr>
            <w:r>
              <w:t>Data reported for these three measures are:</w:t>
            </w:r>
          </w:p>
          <w:p w14:paraId="23FAB92D" w14:textId="77777777" w:rsidR="0095394A" w:rsidRDefault="0095394A" w:rsidP="0095394A">
            <w:pPr>
              <w:pStyle w:val="BoxListBullet"/>
            </w:pPr>
            <w:r>
              <w:t>comparable (subject to caveats) within jurisdictions over time but are not comparable across jurisdictions</w:t>
            </w:r>
          </w:p>
          <w:p w14:paraId="649EC82A" w14:textId="77777777" w:rsidR="0095394A" w:rsidRDefault="009D1E8A" w:rsidP="0062512C">
            <w:pPr>
              <w:pStyle w:val="BoxListBullet"/>
              <w:spacing w:before="80"/>
            </w:pPr>
            <w:r w:rsidRPr="009D1E8A">
              <w:t>complete (subject to caveats) for the current reporting period. All required 201</w:t>
            </w:r>
            <w:r>
              <w:t>6-17</w:t>
            </w:r>
            <w:r w:rsidRPr="009D1E8A">
              <w:t xml:space="preserve"> data are available for all jurisdictions</w:t>
            </w:r>
            <w:r>
              <w:t>.</w:t>
            </w:r>
          </w:p>
          <w:p w14:paraId="3A71E4C6" w14:textId="77777777" w:rsidR="0095394A" w:rsidRDefault="0095394A" w:rsidP="0062512C">
            <w:pPr>
              <w:pStyle w:val="BoxHeading2"/>
              <w:spacing w:before="160"/>
            </w:pPr>
            <w:r>
              <w:t>Overall elective surgery waiting times</w:t>
            </w:r>
          </w:p>
          <w:p w14:paraId="3E6260E3" w14:textId="77777777" w:rsidR="0095394A" w:rsidRDefault="0095394A" w:rsidP="0095394A">
            <w:pPr>
              <w:pStyle w:val="Box"/>
            </w:pPr>
            <w:r>
              <w:t xml:space="preserve">‘Overall elective surgery waiting times’ are calculated by comparing the date patients are added to a waiting list with the date </w:t>
            </w:r>
            <w:r w:rsidR="00236DBA">
              <w:t>they we</w:t>
            </w:r>
            <w:r>
              <w:t>re admitted. Days on which the patient was not ready for care are excluded.</w:t>
            </w:r>
            <w:r w:rsidR="00672433">
              <w:t xml:space="preserve"> </w:t>
            </w:r>
            <w:r>
              <w:t xml:space="preserve">‘Overall waiting times’ are presented as the number of days within which 50 per cent of patients are admitted and the number of days within which 90 per cent of patients are admitted. </w:t>
            </w:r>
            <w:r w:rsidR="00672433">
              <w:t>Patients on waiting lists who were not subsequently admitted to hospital are excluded.</w:t>
            </w:r>
          </w:p>
          <w:p w14:paraId="5F2BBFF3" w14:textId="4719B242" w:rsidR="0095394A" w:rsidRDefault="0095394A" w:rsidP="0095394A">
            <w:pPr>
              <w:pStyle w:val="Box"/>
            </w:pPr>
            <w:r>
              <w:t>For overall elective surgery waiting times, a low or decreasing number of days waited are desirable.</w:t>
            </w:r>
            <w:r w:rsidR="002F03AC">
              <w:t xml:space="preserve"> </w:t>
            </w:r>
            <w:r w:rsidR="002F03AC" w:rsidRPr="00C72F4B">
              <w:t>Comparisons across jurisdictions should be made with caution, due to differences in clinical practices and classification of patients across Australia. The measures are also affected by variations across jurisdictions in the method used to calculate waiting times for patients who transferred from a waiting list managed by one hospital to a waiting list managed by another hospital</w:t>
            </w:r>
            <w:r w:rsidR="002F03AC">
              <w:t>, with t</w:t>
            </w:r>
            <w:r w:rsidR="002F03AC" w:rsidRPr="00C72F4B">
              <w:t>he time waited on the first list included in the waiting time reported in NSW, WA, SA and the NT. This approach can have the effect of increasing the apparent waiting times for admissions in these jurisdictions compared with other jurisdictions (</w:t>
            </w:r>
            <w:proofErr w:type="spellStart"/>
            <w:r w:rsidR="002F03AC" w:rsidRPr="00C72F4B">
              <w:t>AIHW</w:t>
            </w:r>
            <w:proofErr w:type="spellEnd"/>
            <w:r w:rsidR="002F03AC" w:rsidRPr="00C72F4B">
              <w:t xml:space="preserve"> </w:t>
            </w:r>
            <w:proofErr w:type="spellStart"/>
            <w:r w:rsidR="002F03AC" w:rsidRPr="00C72F4B">
              <w:t>201</w:t>
            </w:r>
            <w:r w:rsidR="002F03AC">
              <w:t>7</w:t>
            </w:r>
            <w:r w:rsidR="002F03AC" w:rsidRPr="00C72F4B">
              <w:t>a</w:t>
            </w:r>
            <w:proofErr w:type="spellEnd"/>
            <w:r w:rsidR="002F03AC" w:rsidRPr="00C72F4B">
              <w:t>).</w:t>
            </w:r>
          </w:p>
          <w:p w14:paraId="2C6FC52A" w14:textId="77777777" w:rsidR="0095394A" w:rsidRDefault="0095394A" w:rsidP="0062512C">
            <w:pPr>
              <w:pStyle w:val="BoxHeading2"/>
              <w:spacing w:before="160"/>
            </w:pPr>
            <w:r>
              <w:t>Elective surgery waiting times by clinical urgency category</w:t>
            </w:r>
          </w:p>
          <w:p w14:paraId="56EBA7B6" w14:textId="77777777" w:rsidR="0026526A" w:rsidRPr="0026526A" w:rsidRDefault="0095394A" w:rsidP="0026526A">
            <w:pPr>
              <w:pStyle w:val="Box"/>
            </w:pPr>
            <w:r>
              <w:t xml:space="preserve">‘Elective surgery waiting times by clinical urgency category’ reports the proportion of patients who were admitted from waiting lists after an extended wait. </w:t>
            </w:r>
            <w:r w:rsidR="0026526A" w:rsidRPr="0026526A">
              <w:t xml:space="preserve">In general, at the time of being placed on the public hospital waiting list, a clinical assessment is made of the urgency with which the patient requires elective surgery. The clinical urgency categories are: </w:t>
            </w:r>
          </w:p>
          <w:p w14:paraId="298DC796" w14:textId="77777777" w:rsidR="0026526A" w:rsidRPr="0026526A" w:rsidRDefault="0026526A" w:rsidP="0026526A">
            <w:pPr>
              <w:pStyle w:val="BoxListBullet"/>
            </w:pPr>
            <w:r w:rsidRPr="0026526A">
              <w:t>Category 1</w:t>
            </w:r>
            <w:r w:rsidR="00456C23">
              <w:t xml:space="preserve"> </w:t>
            </w:r>
            <w:r w:rsidRPr="0026526A">
              <w:t>—</w:t>
            </w:r>
            <w:r w:rsidR="00456C23">
              <w:t xml:space="preserve"> </w:t>
            </w:r>
            <w:r w:rsidRPr="0026526A">
              <w:t xml:space="preserve">procedures that are clinically indicated within 30 days </w:t>
            </w:r>
          </w:p>
          <w:p w14:paraId="3F2E907F" w14:textId="77777777" w:rsidR="0026526A" w:rsidRPr="0026526A" w:rsidRDefault="0026526A" w:rsidP="0062512C">
            <w:pPr>
              <w:pStyle w:val="BoxListBullet"/>
              <w:spacing w:before="80"/>
            </w:pPr>
            <w:r w:rsidRPr="0026526A">
              <w:t>Category 2</w:t>
            </w:r>
            <w:r w:rsidR="00456C23">
              <w:t xml:space="preserve"> </w:t>
            </w:r>
            <w:r w:rsidRPr="0026526A">
              <w:t>—</w:t>
            </w:r>
            <w:r w:rsidR="00456C23">
              <w:t xml:space="preserve"> </w:t>
            </w:r>
            <w:r w:rsidRPr="0026526A">
              <w:t xml:space="preserve">procedures that are clinically indicated within 90 days </w:t>
            </w:r>
          </w:p>
          <w:p w14:paraId="786A2B27" w14:textId="77777777" w:rsidR="0026526A" w:rsidRPr="0026526A" w:rsidRDefault="0026526A" w:rsidP="0062512C">
            <w:pPr>
              <w:pStyle w:val="BoxListBullet"/>
              <w:spacing w:before="80"/>
            </w:pPr>
            <w:r w:rsidRPr="0026526A">
              <w:t>Category 3</w:t>
            </w:r>
            <w:r w:rsidR="00456C23">
              <w:t xml:space="preserve"> </w:t>
            </w:r>
            <w:r w:rsidRPr="0026526A">
              <w:t>—</w:t>
            </w:r>
            <w:r w:rsidR="00456C23">
              <w:t xml:space="preserve"> </w:t>
            </w:r>
            <w:r w:rsidRPr="0026526A">
              <w:t xml:space="preserve">procedures that are clinically indicated within 365 days. </w:t>
            </w:r>
          </w:p>
          <w:p w14:paraId="1C068143" w14:textId="77777777" w:rsidR="0095394A" w:rsidRDefault="0095394A" w:rsidP="009D567B">
            <w:pPr>
              <w:pStyle w:val="Box"/>
            </w:pPr>
            <w:r>
              <w:t xml:space="preserve">The term ‘extended wait’ is used for patients in the categories 1, 2 and 3 waiting longer than specified times (30 days, 90 days and </w:t>
            </w:r>
            <w:r w:rsidR="00236DBA">
              <w:t>365 days</w:t>
            </w:r>
            <w:r>
              <w:t xml:space="preserve"> respectively).</w:t>
            </w:r>
          </w:p>
          <w:p w14:paraId="5D4398B7" w14:textId="77777777" w:rsidR="00F21DE5" w:rsidRDefault="0062512C" w:rsidP="0062512C">
            <w:pPr>
              <w:pStyle w:val="Box"/>
            </w:pPr>
            <w:r>
              <w:t>For elective surgery waiting times by clinical urgency category, a low or decreasing proportion of patients who have experienced extended waits at admission is desirable. However, variation in the way patients are classified to urgency categories should be considered. Rather than comparing jurisdictions, the results for individual jurisdictions should be viewed in the context of the proportions of patients assigned to each of the three urgency categories.</w:t>
            </w:r>
          </w:p>
          <w:p w14:paraId="6D87B6B7" w14:textId="77777777" w:rsidR="0062512C" w:rsidRDefault="0062512C" w:rsidP="0062512C">
            <w:pPr>
              <w:pStyle w:val="BoxHeading2"/>
              <w:spacing w:before="160"/>
            </w:pPr>
            <w:r>
              <w:t>Presentations to emergency departments with a length of stay of 4 hours or less ending in admission</w:t>
            </w:r>
          </w:p>
          <w:p w14:paraId="28E738CC" w14:textId="77777777" w:rsidR="0062512C" w:rsidRDefault="0062512C" w:rsidP="0062512C">
            <w:pPr>
              <w:pStyle w:val="Box"/>
            </w:pPr>
            <w:r w:rsidRPr="00646051">
              <w:t>‘Presentations to emergency departments with a length of stay of 4 hours or less ending in admission’ is defined as the percentage of presentations to public hospital emergency departments where the time from presentation to admission to hospital is less than or equal to four hours.</w:t>
            </w:r>
          </w:p>
          <w:p w14:paraId="4099B830" w14:textId="497AA2FB" w:rsidR="0062512C" w:rsidRPr="0062512C" w:rsidRDefault="0062512C" w:rsidP="0062512C">
            <w:pPr>
              <w:pStyle w:val="Box"/>
            </w:pPr>
            <w:r>
              <w:t>A high or increasing proportion of presentations to emergency departments with a length of stay of 4 hours or less ending in admission is desirable.</w:t>
            </w:r>
          </w:p>
        </w:tc>
      </w:tr>
      <w:tr w:rsidR="00521B3E" w14:paraId="0D3E592C" w14:textId="77777777" w:rsidTr="0062512C">
        <w:trPr>
          <w:cantSplit/>
        </w:trPr>
        <w:tc>
          <w:tcPr>
            <w:tcW w:w="8789" w:type="dxa"/>
            <w:tcBorders>
              <w:top w:val="nil"/>
              <w:left w:val="nil"/>
              <w:bottom w:val="single" w:sz="6" w:space="0" w:color="78A22F"/>
              <w:right w:val="nil"/>
            </w:tcBorders>
            <w:shd w:val="clear" w:color="auto" w:fill="F2F2F2"/>
          </w:tcPr>
          <w:p w14:paraId="687C8D1C" w14:textId="77777777" w:rsidR="00521B3E" w:rsidRDefault="00521B3E" w:rsidP="00414E5C">
            <w:pPr>
              <w:pStyle w:val="Box"/>
              <w:spacing w:before="0" w:line="120" w:lineRule="exact"/>
            </w:pPr>
          </w:p>
        </w:tc>
      </w:tr>
      <w:tr w:rsidR="00521B3E" w:rsidRPr="000863A5" w14:paraId="20E637D2" w14:textId="77777777" w:rsidTr="0062512C">
        <w:tc>
          <w:tcPr>
            <w:tcW w:w="8789" w:type="dxa"/>
            <w:tcBorders>
              <w:top w:val="single" w:sz="6" w:space="0" w:color="78A22F"/>
              <w:left w:val="nil"/>
              <w:bottom w:val="nil"/>
              <w:right w:val="nil"/>
            </w:tcBorders>
          </w:tcPr>
          <w:p w14:paraId="2BEF92F9" w14:textId="6B2F77FA" w:rsidR="00521B3E" w:rsidRPr="00626D32" w:rsidRDefault="00521B3E" w:rsidP="0062512C">
            <w:pPr>
              <w:pStyle w:val="BoxSpaceBelow"/>
              <w:spacing w:before="0" w:after="0"/>
            </w:pPr>
          </w:p>
        </w:tc>
      </w:tr>
    </w:tbl>
    <w:p w14:paraId="250CF9D2" w14:textId="77777777" w:rsidR="00B76090" w:rsidRDefault="00B76090" w:rsidP="005574AD">
      <w:pPr>
        <w:pStyle w:val="Heading5"/>
      </w:pPr>
      <w:r>
        <w:lastRenderedPageBreak/>
        <w:t>Overall elective surgery waiting times</w:t>
      </w:r>
    </w:p>
    <w:p w14:paraId="7FE913D4" w14:textId="64AB20C8" w:rsidR="0058548F" w:rsidRDefault="00B76090" w:rsidP="001B73E8">
      <w:pPr>
        <w:pStyle w:val="BodyText"/>
      </w:pPr>
      <w:r w:rsidRPr="00B3446C">
        <w:t>Nationally in 201</w:t>
      </w:r>
      <w:r w:rsidR="00BC6128">
        <w:t>6</w:t>
      </w:r>
      <w:r w:rsidRPr="00B3446C">
        <w:t>-1</w:t>
      </w:r>
      <w:r w:rsidR="00BC6128">
        <w:t>7</w:t>
      </w:r>
      <w:r w:rsidR="00BC6128" w:rsidRPr="00720A93">
        <w:t>,</w:t>
      </w:r>
      <w:r w:rsidRPr="00720A93">
        <w:t xml:space="preserve"> </w:t>
      </w:r>
      <w:r w:rsidR="00023BBC" w:rsidRPr="00720A93">
        <w:t>50</w:t>
      </w:r>
      <w:r w:rsidRPr="00720A93">
        <w:t xml:space="preserve"> per cent of patients were admitted within </w:t>
      </w:r>
      <w:r w:rsidR="00B31D1B" w:rsidRPr="00720A93">
        <w:t>38</w:t>
      </w:r>
      <w:r w:rsidRPr="00720A93">
        <w:t xml:space="preserve"> days and 90 per cent of patients were admitted within </w:t>
      </w:r>
      <w:r w:rsidR="00EF2FDD" w:rsidRPr="00720A93">
        <w:t>258</w:t>
      </w:r>
      <w:r w:rsidRPr="00720A93">
        <w:t xml:space="preserve"> d</w:t>
      </w:r>
      <w:r w:rsidR="00926803" w:rsidRPr="00720A93">
        <w:t xml:space="preserve">ays </w:t>
      </w:r>
      <w:r w:rsidRPr="00720A93">
        <w:t xml:space="preserve">(figure </w:t>
      </w:r>
      <w:r w:rsidR="000F15E6" w:rsidRPr="00720A93">
        <w:t>12.</w:t>
      </w:r>
      <w:r w:rsidR="002F03AC" w:rsidRPr="00720A93">
        <w:t>6</w:t>
      </w:r>
      <w:r>
        <w:t xml:space="preserve"> and table</w:t>
      </w:r>
      <w:r w:rsidR="00926803">
        <w:t> </w:t>
      </w:r>
      <w:proofErr w:type="spellStart"/>
      <w:r w:rsidR="000F15E6">
        <w:t>12A</w:t>
      </w:r>
      <w:r>
        <w:t>.</w:t>
      </w:r>
      <w:r w:rsidR="004663E8">
        <w:t>19</w:t>
      </w:r>
      <w:proofErr w:type="spellEnd"/>
      <w:r>
        <w:t>).</w:t>
      </w:r>
      <w:r w:rsidR="00310622" w:rsidRPr="00023BBC">
        <w:t xml:space="preserve"> </w:t>
      </w:r>
      <w:r w:rsidR="002F03AC">
        <w:t>Data are available</w:t>
      </w:r>
      <w:r w:rsidR="00C72F4B" w:rsidRPr="00C72F4B">
        <w:t xml:space="preserve"> on elective surgery waiting times by hospital peer group and indicator procedure</w:t>
      </w:r>
      <w:r w:rsidR="002F03AC">
        <w:t xml:space="preserve">, </w:t>
      </w:r>
      <w:r w:rsidR="00C72F4B" w:rsidRPr="00C72F4B">
        <w:t xml:space="preserve">Indigenous status, remoteness and socioeconomic status (tables </w:t>
      </w:r>
      <w:proofErr w:type="spellStart"/>
      <w:r w:rsidR="00C72F4B" w:rsidRPr="00C72F4B">
        <w:t>12A</w:t>
      </w:r>
      <w:r w:rsidR="00C72F4B" w:rsidRPr="00926803">
        <w:t>.</w:t>
      </w:r>
      <w:r w:rsidR="004663E8" w:rsidRPr="00926803">
        <w:t>19</w:t>
      </w:r>
      <w:proofErr w:type="spellEnd"/>
      <w:r w:rsidR="00C72F4B" w:rsidRPr="00926803">
        <w:t>–2</w:t>
      </w:r>
      <w:r w:rsidR="00FB0674" w:rsidRPr="00926803">
        <w:t>2</w:t>
      </w:r>
      <w:r w:rsidR="00C72F4B" w:rsidRPr="00C72F4B">
        <w:t>).</w:t>
      </w:r>
    </w:p>
    <w:p w14:paraId="4F471EF3" w14:textId="744977A6" w:rsidR="007A48D1" w:rsidRDefault="007A48D1" w:rsidP="00604654">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7A48D1" w14:paraId="6F9B2097" w14:textId="77777777" w:rsidTr="0062512C">
        <w:tc>
          <w:tcPr>
            <w:tcW w:w="8789" w:type="dxa"/>
            <w:tcBorders>
              <w:top w:val="single" w:sz="6" w:space="0" w:color="78A22F"/>
              <w:left w:val="nil"/>
              <w:bottom w:val="nil"/>
              <w:right w:val="nil"/>
            </w:tcBorders>
            <w:shd w:val="clear" w:color="auto" w:fill="auto"/>
          </w:tcPr>
          <w:p w14:paraId="767B3487" w14:textId="620BAD65" w:rsidR="007A48D1" w:rsidRPr="000B10E7" w:rsidRDefault="007A48D1" w:rsidP="00DA52E8">
            <w:pPr>
              <w:pStyle w:val="FigureTitle"/>
              <w:rPr>
                <w:rStyle w:val="NoteLabel"/>
              </w:rPr>
            </w:pPr>
            <w:r w:rsidRPr="00784A05">
              <w:rPr>
                <w:b w:val="0"/>
              </w:rPr>
              <w:t xml:space="preserve">Figure </w:t>
            </w:r>
            <w:r w:rsidR="00D937AB">
              <w:rPr>
                <w:b w:val="0"/>
              </w:rPr>
              <w:t>12.</w:t>
            </w:r>
            <w:r w:rsidR="007F3144">
              <w:rPr>
                <w:b w:val="0"/>
                <w:noProof/>
              </w:rPr>
              <w:t>6</w:t>
            </w:r>
            <w:r>
              <w:tab/>
            </w:r>
            <w:r w:rsidRPr="007A48D1">
              <w:t>Waiting times for elective surgery, public hospitals</w:t>
            </w:r>
            <w:r w:rsidR="000B10E7" w:rsidRPr="000B10E7">
              <w:rPr>
                <w:rStyle w:val="NoteLabel"/>
                <w:b/>
              </w:rPr>
              <w:t>a</w:t>
            </w:r>
            <w:r w:rsidR="005961D0">
              <w:rPr>
                <w:rStyle w:val="NoteLabel"/>
                <w:b/>
              </w:rPr>
              <w:t>, b</w:t>
            </w:r>
          </w:p>
        </w:tc>
      </w:tr>
      <w:tr w:rsidR="007A48D1" w14:paraId="0193E29C" w14:textId="77777777" w:rsidTr="0062512C">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1A72BC" w14:paraId="48A8EA51" w14:textId="77777777" w:rsidTr="00B3446C">
              <w:trPr>
                <w:jc w:val="center"/>
              </w:trPr>
              <w:tc>
                <w:tcPr>
                  <w:tcW w:w="5000" w:type="pct"/>
                  <w:tcBorders>
                    <w:top w:val="nil"/>
                    <w:left w:val="nil"/>
                    <w:bottom w:val="nil"/>
                  </w:tcBorders>
                </w:tcPr>
                <w:p w14:paraId="2D3E434F" w14:textId="16706C91" w:rsidR="001A72BC" w:rsidRDefault="00FD711B" w:rsidP="00604654">
                  <w:pPr>
                    <w:pStyle w:val="Figure"/>
                    <w:spacing w:before="60" w:after="60"/>
                  </w:pPr>
                  <w:r>
                    <w:rPr>
                      <w:noProof/>
                    </w:rPr>
                    <w:drawing>
                      <wp:inline distT="0" distB="0" distL="0" distR="0" wp14:anchorId="2FC24A0D" wp14:editId="6C113254">
                        <wp:extent cx="5335905" cy="2286000"/>
                        <wp:effectExtent l="0" t="0" r="0" b="0"/>
                        <wp:docPr id="6" name="Picture 6" descr="Days waited at the 50th percentile&#10;&#10;More details can be found within the text surrounding this image." title="Figure 12.6 Waiting times for elective surgery, public hospit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5905" cy="2286000"/>
                                </a:xfrm>
                                <a:prstGeom prst="rect">
                                  <a:avLst/>
                                </a:prstGeom>
                                <a:noFill/>
                                <a:ln>
                                  <a:noFill/>
                                </a:ln>
                              </pic:spPr>
                            </pic:pic>
                          </a:graphicData>
                        </a:graphic>
                      </wp:inline>
                    </w:drawing>
                  </w:r>
                </w:p>
              </w:tc>
            </w:tr>
            <w:tr w:rsidR="001A72BC" w14:paraId="7FCD08DD" w14:textId="77777777" w:rsidTr="00B3446C">
              <w:trPr>
                <w:jc w:val="center"/>
              </w:trPr>
              <w:tc>
                <w:tcPr>
                  <w:tcW w:w="5000" w:type="pct"/>
                  <w:tcBorders>
                    <w:top w:val="nil"/>
                    <w:left w:val="nil"/>
                    <w:bottom w:val="nil"/>
                  </w:tcBorders>
                </w:tcPr>
                <w:p w14:paraId="1331FD3F" w14:textId="3EBE6DF5" w:rsidR="001A72BC" w:rsidRDefault="00FD711B" w:rsidP="00604654">
                  <w:pPr>
                    <w:pStyle w:val="Figure"/>
                    <w:spacing w:before="60" w:after="60"/>
                  </w:pPr>
                  <w:r>
                    <w:rPr>
                      <w:noProof/>
                    </w:rPr>
                    <w:drawing>
                      <wp:inline distT="0" distB="0" distL="0" distR="0" wp14:anchorId="3E764AF8" wp14:editId="19F57384">
                        <wp:extent cx="5257800" cy="2364105"/>
                        <wp:effectExtent l="0" t="0" r="0" b="0"/>
                        <wp:docPr id="7" name="Picture 7" descr="Days waited at the 90th percentile&#10;&#10;More details can be found within the text surrounding this image." title="Figure 12.6 Waiting times for elective surgery, public hospit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7800" cy="2364105"/>
                                </a:xfrm>
                                <a:prstGeom prst="rect">
                                  <a:avLst/>
                                </a:prstGeom>
                                <a:noFill/>
                                <a:ln>
                                  <a:noFill/>
                                </a:ln>
                              </pic:spPr>
                            </pic:pic>
                          </a:graphicData>
                        </a:graphic>
                      </wp:inline>
                    </w:drawing>
                  </w:r>
                </w:p>
              </w:tc>
            </w:tr>
          </w:tbl>
          <w:p w14:paraId="77DA0237" w14:textId="77777777" w:rsidR="007A48D1" w:rsidRDefault="007A48D1" w:rsidP="00604654">
            <w:pPr>
              <w:pStyle w:val="Figure"/>
            </w:pPr>
          </w:p>
        </w:tc>
      </w:tr>
      <w:tr w:rsidR="007A48D1" w:rsidRPr="00176D3F" w14:paraId="731F0783" w14:textId="77777777" w:rsidTr="0062512C">
        <w:tc>
          <w:tcPr>
            <w:tcW w:w="8789" w:type="dxa"/>
            <w:tcBorders>
              <w:top w:val="nil"/>
              <w:left w:val="nil"/>
              <w:bottom w:val="nil"/>
              <w:right w:val="nil"/>
            </w:tcBorders>
            <w:shd w:val="clear" w:color="auto" w:fill="auto"/>
          </w:tcPr>
          <w:p w14:paraId="21691A12" w14:textId="50B6EAE9" w:rsidR="000B10E7" w:rsidRPr="000B10E7" w:rsidRDefault="000B10E7" w:rsidP="000B10E7">
            <w:pPr>
              <w:pStyle w:val="Note"/>
            </w:pPr>
            <w:r>
              <w:rPr>
                <w:rStyle w:val="NoteLabel"/>
              </w:rPr>
              <w:t>a</w:t>
            </w:r>
            <w:r w:rsidRPr="001A73C2">
              <w:t xml:space="preserve"> </w:t>
            </w:r>
            <w:r>
              <w:t xml:space="preserve">See box </w:t>
            </w:r>
            <w:r w:rsidR="000F15E6">
              <w:t>12.</w:t>
            </w:r>
            <w:r>
              <w:t xml:space="preserve">4 and table </w:t>
            </w:r>
            <w:proofErr w:type="spellStart"/>
            <w:r w:rsidR="000F15E6">
              <w:t>12A</w:t>
            </w:r>
            <w:r>
              <w:t>.</w:t>
            </w:r>
            <w:r w:rsidR="004663E8">
              <w:t>19</w:t>
            </w:r>
            <w:proofErr w:type="spellEnd"/>
            <w:r>
              <w:t xml:space="preserve"> for </w:t>
            </w:r>
            <w:r w:rsidRPr="006F4A3E">
              <w:t xml:space="preserve">detailed </w:t>
            </w:r>
            <w:r w:rsidRPr="00536DD1">
              <w:t xml:space="preserve">definitions, footnotes and </w:t>
            </w:r>
            <w:r w:rsidRPr="006F4A3E">
              <w:t>caveats</w:t>
            </w:r>
            <w:r w:rsidRPr="00320973">
              <w:t>.</w:t>
            </w:r>
            <w:r w:rsidR="00622FFD">
              <w:t xml:space="preserve"> </w:t>
            </w:r>
            <w:r w:rsidR="005961D0" w:rsidRPr="00EC6520">
              <w:rPr>
                <w:rStyle w:val="NoteLabel"/>
              </w:rPr>
              <w:t>b</w:t>
            </w:r>
            <w:r w:rsidR="005961D0">
              <w:rPr>
                <w:rStyle w:val="NoteLabel"/>
              </w:rPr>
              <w:t xml:space="preserve"> </w:t>
            </w:r>
            <w:r w:rsidR="005961D0" w:rsidRPr="00EC6520">
              <w:t xml:space="preserve">Data were not available for the ACT </w:t>
            </w:r>
            <w:r w:rsidR="005961D0">
              <w:t xml:space="preserve">for 2015-16 </w:t>
            </w:r>
            <w:r w:rsidR="005961D0" w:rsidRPr="00EC6520">
              <w:t xml:space="preserve">and have </w:t>
            </w:r>
            <w:r w:rsidR="005961D0">
              <w:t>not been included in the Australian total</w:t>
            </w:r>
            <w:r w:rsidR="0017113C">
              <w:t xml:space="preserve"> for that year</w:t>
            </w:r>
            <w:r w:rsidR="005961D0">
              <w:t>.</w:t>
            </w:r>
          </w:p>
          <w:p w14:paraId="5819DC23" w14:textId="7BCD25CC" w:rsidR="007A48D1" w:rsidRPr="00176D3F" w:rsidRDefault="007A48D1" w:rsidP="00B44B44">
            <w:pPr>
              <w:pStyle w:val="Source"/>
            </w:pPr>
            <w:r>
              <w:rPr>
                <w:i/>
              </w:rPr>
              <w:t>S</w:t>
            </w:r>
            <w:r w:rsidRPr="00784A05">
              <w:rPr>
                <w:i/>
              </w:rPr>
              <w:t>ource</w:t>
            </w:r>
            <w:r w:rsidRPr="00176D3F">
              <w:t xml:space="preserve">: </w:t>
            </w:r>
            <w:r w:rsidRPr="007A48D1">
              <w:t xml:space="preserve">AIHW </w:t>
            </w:r>
            <w:r w:rsidR="00BD0373" w:rsidRPr="00BD0373">
              <w:t>(various years)</w:t>
            </w:r>
            <w:r w:rsidRPr="007A48D1">
              <w:t xml:space="preserve">, </w:t>
            </w:r>
            <w:r w:rsidR="00C36D49" w:rsidRPr="00C36D49">
              <w:rPr>
                <w:i/>
              </w:rPr>
              <w:t>Elective surgery waiting times: Australian hospital statistics</w:t>
            </w:r>
            <w:r w:rsidR="00BD0373">
              <w:rPr>
                <w:i/>
              </w:rPr>
              <w:t>,</w:t>
            </w:r>
            <w:r w:rsidRPr="007A48D1">
              <w:t xml:space="preserve"> Cat. no</w:t>
            </w:r>
            <w:r w:rsidR="00BD0373">
              <w:t>s</w:t>
            </w:r>
            <w:r w:rsidRPr="007A48D1">
              <w:t>.</w:t>
            </w:r>
            <w:r w:rsidR="009551A6">
              <w:t> </w:t>
            </w:r>
            <w:proofErr w:type="spellStart"/>
            <w:r w:rsidRPr="007A48D1">
              <w:t>HSE</w:t>
            </w:r>
            <w:proofErr w:type="spellEnd"/>
            <w:r w:rsidR="00BC7D36">
              <w:t> </w:t>
            </w:r>
            <w:r w:rsidR="00DA52E8">
              <w:t>1</w:t>
            </w:r>
            <w:r w:rsidRPr="007A48D1">
              <w:t>40</w:t>
            </w:r>
            <w:r w:rsidR="00C36D49">
              <w:t>,</w:t>
            </w:r>
            <w:r w:rsidR="00BD0373">
              <w:t xml:space="preserve"> </w:t>
            </w:r>
            <w:r w:rsidR="004C251D" w:rsidRPr="004C251D">
              <w:t>151</w:t>
            </w:r>
            <w:r w:rsidR="00951956">
              <w:t>,</w:t>
            </w:r>
            <w:r w:rsidR="00C36D49">
              <w:t xml:space="preserve"> 166</w:t>
            </w:r>
            <w:r w:rsidR="00DA52E8">
              <w:t>,</w:t>
            </w:r>
            <w:r w:rsidR="00951956">
              <w:t xml:space="preserve"> 183</w:t>
            </w:r>
            <w:r w:rsidR="009000C6">
              <w:t xml:space="preserve"> and </w:t>
            </w:r>
            <w:r w:rsidR="00B44B44" w:rsidRPr="00B44B44">
              <w:t>197</w:t>
            </w:r>
            <w:r w:rsidRPr="007A48D1">
              <w:t xml:space="preserve">; table </w:t>
            </w:r>
            <w:proofErr w:type="spellStart"/>
            <w:r w:rsidR="000F15E6">
              <w:t>12A</w:t>
            </w:r>
            <w:r w:rsidRPr="007A48D1">
              <w:t>.</w:t>
            </w:r>
            <w:r w:rsidR="004663E8">
              <w:t>19</w:t>
            </w:r>
            <w:proofErr w:type="spellEnd"/>
            <w:r w:rsidRPr="007A48D1">
              <w:t>.</w:t>
            </w:r>
          </w:p>
        </w:tc>
      </w:tr>
      <w:tr w:rsidR="007A48D1" w14:paraId="4F5CBCFB" w14:textId="77777777" w:rsidTr="0062512C">
        <w:tc>
          <w:tcPr>
            <w:tcW w:w="8789" w:type="dxa"/>
            <w:tcBorders>
              <w:top w:val="nil"/>
              <w:left w:val="nil"/>
              <w:bottom w:val="single" w:sz="6" w:space="0" w:color="78A22F"/>
              <w:right w:val="nil"/>
            </w:tcBorders>
            <w:shd w:val="clear" w:color="auto" w:fill="auto"/>
          </w:tcPr>
          <w:p w14:paraId="08701831" w14:textId="77777777" w:rsidR="007A48D1" w:rsidRDefault="007A48D1" w:rsidP="00604654">
            <w:pPr>
              <w:pStyle w:val="Figurespace"/>
            </w:pPr>
          </w:p>
        </w:tc>
      </w:tr>
      <w:tr w:rsidR="007A48D1" w:rsidRPr="000863A5" w14:paraId="07B38BCF" w14:textId="77777777" w:rsidTr="0062512C">
        <w:tc>
          <w:tcPr>
            <w:tcW w:w="8789" w:type="dxa"/>
            <w:tcBorders>
              <w:top w:val="single" w:sz="6" w:space="0" w:color="78A22F"/>
              <w:left w:val="nil"/>
              <w:bottom w:val="nil"/>
              <w:right w:val="nil"/>
            </w:tcBorders>
          </w:tcPr>
          <w:p w14:paraId="33CAD754" w14:textId="418023D3" w:rsidR="007A48D1" w:rsidRPr="00626D32" w:rsidRDefault="007A48D1" w:rsidP="00604654">
            <w:pPr>
              <w:pStyle w:val="BoxSpaceBelow"/>
            </w:pPr>
          </w:p>
        </w:tc>
      </w:tr>
    </w:tbl>
    <w:p w14:paraId="0E0732F5" w14:textId="77777777" w:rsidR="007A48D1" w:rsidRDefault="007A48D1" w:rsidP="005574AD">
      <w:pPr>
        <w:pStyle w:val="Heading5"/>
      </w:pPr>
      <w:r>
        <w:t>Elective surgery waiting times by clinical urgency category</w:t>
      </w:r>
    </w:p>
    <w:p w14:paraId="7558ED97" w14:textId="4A586E7D" w:rsidR="007A1843" w:rsidRDefault="007A48D1" w:rsidP="007A1843">
      <w:pPr>
        <w:pStyle w:val="BodyText"/>
      </w:pPr>
      <w:r>
        <w:t>Elective surgery waiting times by urgency category not only provide an indication of the extent to which patients are seen within a clinically desirable time</w:t>
      </w:r>
      <w:r w:rsidR="00B11A99">
        <w:t xml:space="preserve"> (table 12.2)</w:t>
      </w:r>
      <w:r>
        <w:t xml:space="preserve">, but also draw </w:t>
      </w:r>
      <w:r>
        <w:lastRenderedPageBreak/>
        <w:t>attention to the variation in the way in which patients are classified across jurisdictions. Jurisdictional differences in the classification of patients by urgency category in 201</w:t>
      </w:r>
      <w:r w:rsidR="00DA52E8">
        <w:t>6</w:t>
      </w:r>
      <w:r>
        <w:t>-1</w:t>
      </w:r>
      <w:r w:rsidR="00DA52E8">
        <w:t>7</w:t>
      </w:r>
      <w:r>
        <w:t xml:space="preserve"> are shown in </w:t>
      </w:r>
      <w:r w:rsidR="00B11A99" w:rsidRPr="00B11A99">
        <w:t xml:space="preserve">tables </w:t>
      </w:r>
      <w:proofErr w:type="spellStart"/>
      <w:r w:rsidR="00B11A99" w:rsidRPr="00B11A99">
        <w:t>12A.</w:t>
      </w:r>
      <w:r w:rsidR="00C84A88">
        <w:t>23</w:t>
      </w:r>
      <w:proofErr w:type="spellEnd"/>
      <w:r>
        <w:t xml:space="preserve">. </w:t>
      </w:r>
      <w:r w:rsidR="007A1843" w:rsidRPr="00325D05">
        <w:t>The proportion</w:t>
      </w:r>
      <w:r w:rsidR="00430C03">
        <w:t>s</w:t>
      </w:r>
      <w:r w:rsidR="007A1843" w:rsidRPr="00325D05">
        <w:t xml:space="preserve"> of patients on waiting lists who already had an extended wait at the date of assessment </w:t>
      </w:r>
      <w:r w:rsidR="007A1843">
        <w:t xml:space="preserve">are reported in tables </w:t>
      </w:r>
      <w:proofErr w:type="spellStart"/>
      <w:r w:rsidR="007A1843">
        <w:t>12A</w:t>
      </w:r>
      <w:r w:rsidR="007A1843" w:rsidRPr="005F0101">
        <w:t>.</w:t>
      </w:r>
      <w:r w:rsidR="007A1843">
        <w:t>2</w:t>
      </w:r>
      <w:r w:rsidR="00FB0674">
        <w:t>4</w:t>
      </w:r>
      <w:proofErr w:type="spellEnd"/>
      <w:r w:rsidR="00636986">
        <w:t>–</w:t>
      </w:r>
      <w:r w:rsidR="002F03AC">
        <w:t>31</w:t>
      </w:r>
      <w:r w:rsidR="007A1843" w:rsidRPr="00325D05">
        <w:t xml:space="preserve">. </w:t>
      </w:r>
    </w:p>
    <w:p w14:paraId="6F9FBD34" w14:textId="6BEB2DB1" w:rsidR="00F42A70" w:rsidRDefault="00F42A70" w:rsidP="00F42A70">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F42A70" w14:paraId="1A5BF502" w14:textId="77777777" w:rsidTr="00981B4A">
        <w:tc>
          <w:tcPr>
            <w:tcW w:w="8789" w:type="dxa"/>
            <w:tcBorders>
              <w:top w:val="single" w:sz="6" w:space="0" w:color="78A22F"/>
              <w:left w:val="nil"/>
              <w:bottom w:val="nil"/>
              <w:right w:val="nil"/>
            </w:tcBorders>
            <w:shd w:val="clear" w:color="auto" w:fill="auto"/>
          </w:tcPr>
          <w:p w14:paraId="5E2A5DC3" w14:textId="0057D24E" w:rsidR="00F42A70" w:rsidRPr="00784A05" w:rsidRDefault="00F42A70" w:rsidP="00142CAB">
            <w:pPr>
              <w:pStyle w:val="TableTitle"/>
            </w:pPr>
            <w:r>
              <w:rPr>
                <w:b w:val="0"/>
              </w:rPr>
              <w:t xml:space="preserve">Table </w:t>
            </w:r>
            <w:r w:rsidR="00D937AB">
              <w:rPr>
                <w:b w:val="0"/>
              </w:rPr>
              <w:t>12.</w:t>
            </w:r>
            <w:r w:rsidR="007F3144">
              <w:rPr>
                <w:b w:val="0"/>
                <w:noProof/>
              </w:rPr>
              <w:t>2</w:t>
            </w:r>
            <w:r>
              <w:tab/>
            </w:r>
            <w:r w:rsidR="00FE2697">
              <w:t>Patients admitted from waiting lists with extended waits,</w:t>
            </w:r>
            <w:r w:rsidR="00582F85">
              <w:t xml:space="preserve"> by clinical urgency category</w:t>
            </w:r>
            <w:r w:rsidRPr="00604654">
              <w:t>, 201</w:t>
            </w:r>
            <w:r w:rsidR="00DA52E8">
              <w:t>6</w:t>
            </w:r>
            <w:r w:rsidRPr="00604654">
              <w:t>-1</w:t>
            </w:r>
            <w:r w:rsidR="00DA52E8">
              <w:t>7</w:t>
            </w:r>
            <w:r w:rsidRPr="00604654">
              <w:t xml:space="preserve"> (per cent)</w:t>
            </w:r>
            <w:r w:rsidR="0021647B" w:rsidRPr="0021647B">
              <w:rPr>
                <w:rStyle w:val="NoteLabel"/>
                <w:b/>
              </w:rPr>
              <w:t>a</w:t>
            </w:r>
          </w:p>
        </w:tc>
      </w:tr>
      <w:tr w:rsidR="00F42A70" w:rsidRPr="009E3392" w14:paraId="0477B64E" w14:textId="77777777" w:rsidTr="00981B4A">
        <w:trPr>
          <w:cantSplit/>
        </w:trPr>
        <w:tc>
          <w:tcPr>
            <w:tcW w:w="878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290"/>
              <w:gridCol w:w="1590"/>
              <w:gridCol w:w="1553"/>
              <w:gridCol w:w="1538"/>
              <w:gridCol w:w="1534"/>
            </w:tblGrid>
            <w:tr w:rsidR="000A0FED" w14:paraId="4F027378" w14:textId="6CCBCF06" w:rsidTr="000A0FED">
              <w:tc>
                <w:tcPr>
                  <w:tcW w:w="1346" w:type="pct"/>
                  <w:tcBorders>
                    <w:top w:val="single" w:sz="6" w:space="0" w:color="BFBFBF"/>
                    <w:bottom w:val="single" w:sz="6" w:space="0" w:color="BFBFBF"/>
                  </w:tcBorders>
                  <w:shd w:val="clear" w:color="auto" w:fill="auto"/>
                  <w:tcMar>
                    <w:top w:w="28" w:type="dxa"/>
                  </w:tcMar>
                </w:tcPr>
                <w:p w14:paraId="54D3082B" w14:textId="77777777" w:rsidR="000A0FED" w:rsidRDefault="000A0FED" w:rsidP="001311FF">
                  <w:pPr>
                    <w:pStyle w:val="TableColumnHeading"/>
                    <w:jc w:val="left"/>
                  </w:pPr>
                </w:p>
              </w:tc>
              <w:tc>
                <w:tcPr>
                  <w:tcW w:w="935" w:type="pct"/>
                  <w:tcBorders>
                    <w:top w:val="single" w:sz="6" w:space="0" w:color="BFBFBF"/>
                    <w:bottom w:val="single" w:sz="6" w:space="0" w:color="BFBFBF"/>
                  </w:tcBorders>
                </w:tcPr>
                <w:p w14:paraId="3EED4D89" w14:textId="10ED2FE3" w:rsidR="000A0FED" w:rsidRDefault="000A0FED" w:rsidP="001311FF">
                  <w:pPr>
                    <w:pStyle w:val="TableColumnHeading"/>
                  </w:pPr>
                  <w:r>
                    <w:t>Category 1</w:t>
                  </w:r>
                </w:p>
              </w:tc>
              <w:tc>
                <w:tcPr>
                  <w:tcW w:w="913" w:type="pct"/>
                  <w:tcBorders>
                    <w:top w:val="single" w:sz="6" w:space="0" w:color="BFBFBF"/>
                    <w:bottom w:val="single" w:sz="6" w:space="0" w:color="BFBFBF"/>
                  </w:tcBorders>
                </w:tcPr>
                <w:p w14:paraId="30C45A89" w14:textId="2B296F8C" w:rsidR="000A0FED" w:rsidRDefault="000A0FED" w:rsidP="001311FF">
                  <w:pPr>
                    <w:pStyle w:val="TableColumnHeading"/>
                  </w:pPr>
                  <w:r>
                    <w:t>Category 2</w:t>
                  </w:r>
                </w:p>
              </w:tc>
              <w:tc>
                <w:tcPr>
                  <w:tcW w:w="904" w:type="pct"/>
                  <w:tcBorders>
                    <w:top w:val="single" w:sz="6" w:space="0" w:color="BFBFBF"/>
                    <w:bottom w:val="single" w:sz="6" w:space="0" w:color="BFBFBF"/>
                  </w:tcBorders>
                </w:tcPr>
                <w:p w14:paraId="77D20478" w14:textId="7132E5B6" w:rsidR="000A0FED" w:rsidRDefault="000A0FED" w:rsidP="00142CAB">
                  <w:pPr>
                    <w:pStyle w:val="TableColumnHeading"/>
                  </w:pPr>
                  <w:r>
                    <w:t>Category 3</w:t>
                  </w:r>
                </w:p>
              </w:tc>
              <w:tc>
                <w:tcPr>
                  <w:tcW w:w="902" w:type="pct"/>
                  <w:tcBorders>
                    <w:top w:val="single" w:sz="6" w:space="0" w:color="BFBFBF"/>
                    <w:bottom w:val="single" w:sz="6" w:space="0" w:color="BFBFBF"/>
                  </w:tcBorders>
                </w:tcPr>
                <w:p w14:paraId="61D21782" w14:textId="1DDE46C4" w:rsidR="000A0FED" w:rsidRDefault="000A0FED" w:rsidP="000A0FED">
                  <w:pPr>
                    <w:pStyle w:val="TableColumnHeading"/>
                  </w:pPr>
                  <w:r>
                    <w:t>Total</w:t>
                  </w:r>
                </w:p>
              </w:tc>
            </w:tr>
            <w:tr w:rsidR="000A0FED" w14:paraId="2BF634B1" w14:textId="53DCB9A8" w:rsidTr="006359F8">
              <w:tc>
                <w:tcPr>
                  <w:tcW w:w="4098" w:type="pct"/>
                  <w:gridSpan w:val="4"/>
                  <w:tcBorders>
                    <w:top w:val="single" w:sz="6" w:space="0" w:color="BFBFBF"/>
                  </w:tcBorders>
                  <w:shd w:val="clear" w:color="auto" w:fill="auto"/>
                </w:tcPr>
                <w:p w14:paraId="2C149072" w14:textId="77777777" w:rsidR="000A0FED" w:rsidRPr="006359F8" w:rsidRDefault="000A0FED" w:rsidP="006359F8">
                  <w:pPr>
                    <w:pStyle w:val="TableUnitsRow"/>
                    <w:jc w:val="left"/>
                    <w:rPr>
                      <w:b/>
                      <w:i/>
                      <w:szCs w:val="18"/>
                    </w:rPr>
                  </w:pPr>
                  <w:r w:rsidRPr="006359F8">
                    <w:t>New South Wales</w:t>
                  </w:r>
                </w:p>
              </w:tc>
              <w:tc>
                <w:tcPr>
                  <w:tcW w:w="902" w:type="pct"/>
                  <w:tcBorders>
                    <w:top w:val="single" w:sz="6" w:space="0" w:color="BFBFBF"/>
                  </w:tcBorders>
                  <w:shd w:val="clear" w:color="auto" w:fill="auto"/>
                </w:tcPr>
                <w:p w14:paraId="55CB3D4B" w14:textId="77777777" w:rsidR="000A0FED" w:rsidRPr="006359F8" w:rsidRDefault="000A0FED" w:rsidP="000A0FED">
                  <w:pPr>
                    <w:pStyle w:val="TableUnitsRow"/>
                    <w:ind w:right="28"/>
                    <w:rPr>
                      <w:b/>
                      <w:i/>
                      <w:szCs w:val="18"/>
                    </w:rPr>
                  </w:pPr>
                </w:p>
              </w:tc>
            </w:tr>
            <w:tr w:rsidR="000A0FED" w14:paraId="66107934" w14:textId="70FB4939" w:rsidTr="00720A93">
              <w:tc>
                <w:tcPr>
                  <w:tcW w:w="1346" w:type="pct"/>
                  <w:shd w:val="clear" w:color="auto" w:fill="auto"/>
                </w:tcPr>
                <w:p w14:paraId="2D551E3C" w14:textId="0839CE09" w:rsidR="000A0FED" w:rsidRPr="00582F85" w:rsidRDefault="006359F8" w:rsidP="006359F8">
                  <w:pPr>
                    <w:pStyle w:val="TableUnitsRow"/>
                    <w:jc w:val="left"/>
                    <w:rPr>
                      <w:b/>
                      <w:szCs w:val="18"/>
                    </w:rPr>
                  </w:pPr>
                  <w:r>
                    <w:t xml:space="preserve">   </w:t>
                  </w:r>
                  <w:r w:rsidR="000A0FED" w:rsidRPr="006359F8">
                    <w:t>Total</w:t>
                  </w:r>
                </w:p>
              </w:tc>
              <w:tc>
                <w:tcPr>
                  <w:tcW w:w="935" w:type="pct"/>
                  <w:shd w:val="clear" w:color="auto" w:fill="auto"/>
                  <w:vAlign w:val="center"/>
                </w:tcPr>
                <w:p w14:paraId="3575BE29" w14:textId="6FF1F7D0" w:rsidR="000A0FED" w:rsidRPr="006359F8" w:rsidRDefault="006359F8" w:rsidP="009C6FCB">
                  <w:pPr>
                    <w:pStyle w:val="TableUnitsRow"/>
                  </w:pPr>
                  <w:r w:rsidRPr="006359F8">
                    <w:t>0.2</w:t>
                  </w:r>
                </w:p>
              </w:tc>
              <w:tc>
                <w:tcPr>
                  <w:tcW w:w="913" w:type="pct"/>
                  <w:shd w:val="clear" w:color="auto" w:fill="auto"/>
                  <w:vAlign w:val="center"/>
                </w:tcPr>
                <w:p w14:paraId="010D06FC" w14:textId="30BCE651" w:rsidR="000A0FED" w:rsidRPr="006359F8" w:rsidRDefault="006359F8" w:rsidP="009C6FCB">
                  <w:pPr>
                    <w:pStyle w:val="TableUnitsRow"/>
                  </w:pPr>
                  <w:r w:rsidRPr="006359F8">
                    <w:t>2.4</w:t>
                  </w:r>
                </w:p>
              </w:tc>
              <w:tc>
                <w:tcPr>
                  <w:tcW w:w="904" w:type="pct"/>
                  <w:shd w:val="clear" w:color="auto" w:fill="auto"/>
                  <w:vAlign w:val="center"/>
                </w:tcPr>
                <w:p w14:paraId="6BD1AE16" w14:textId="59DC7FB9" w:rsidR="000A0FED" w:rsidRPr="006359F8" w:rsidRDefault="006359F8" w:rsidP="009C6FCB">
                  <w:pPr>
                    <w:pStyle w:val="TableUnitsRow"/>
                  </w:pPr>
                  <w:r w:rsidRPr="006359F8">
                    <w:t>3.6</w:t>
                  </w:r>
                </w:p>
              </w:tc>
              <w:tc>
                <w:tcPr>
                  <w:tcW w:w="902" w:type="pct"/>
                  <w:shd w:val="clear" w:color="auto" w:fill="auto"/>
                </w:tcPr>
                <w:p w14:paraId="73350DE2" w14:textId="7B1CD54A" w:rsidR="000A0FED" w:rsidRPr="006359F8" w:rsidRDefault="006359F8" w:rsidP="000A0FED">
                  <w:pPr>
                    <w:pStyle w:val="TableUnitsRow"/>
                  </w:pPr>
                  <w:r w:rsidRPr="006359F8">
                    <w:t>2.4</w:t>
                  </w:r>
                </w:p>
              </w:tc>
            </w:tr>
            <w:tr w:rsidR="000A0FED" w14:paraId="16F39936" w14:textId="556292CF" w:rsidTr="006359F8">
              <w:tc>
                <w:tcPr>
                  <w:tcW w:w="4098" w:type="pct"/>
                  <w:gridSpan w:val="4"/>
                  <w:shd w:val="clear" w:color="auto" w:fill="auto"/>
                </w:tcPr>
                <w:p w14:paraId="2106A4F9" w14:textId="77777777" w:rsidR="000A0FED" w:rsidRPr="006359F8" w:rsidRDefault="000A0FED" w:rsidP="006359F8">
                  <w:pPr>
                    <w:pStyle w:val="TableUnitsRow"/>
                    <w:jc w:val="left"/>
                  </w:pPr>
                  <w:r w:rsidRPr="006359F8">
                    <w:t>Victoria</w:t>
                  </w:r>
                </w:p>
              </w:tc>
              <w:tc>
                <w:tcPr>
                  <w:tcW w:w="902" w:type="pct"/>
                  <w:shd w:val="clear" w:color="auto" w:fill="auto"/>
                </w:tcPr>
                <w:p w14:paraId="41A6E4D8" w14:textId="77777777" w:rsidR="000A0FED" w:rsidRPr="006359F8" w:rsidRDefault="000A0FED" w:rsidP="006359F8">
                  <w:pPr>
                    <w:pStyle w:val="TableUnitsRow"/>
                  </w:pPr>
                </w:p>
              </w:tc>
            </w:tr>
            <w:tr w:rsidR="000A0FED" w14:paraId="1BCDF1B7" w14:textId="3AA5FD8C" w:rsidTr="00720A93">
              <w:tc>
                <w:tcPr>
                  <w:tcW w:w="1346" w:type="pct"/>
                  <w:shd w:val="clear" w:color="auto" w:fill="auto"/>
                </w:tcPr>
                <w:p w14:paraId="5F2721CF" w14:textId="2CA1E73E" w:rsidR="000A0FED" w:rsidRPr="00582F85" w:rsidRDefault="006359F8" w:rsidP="006359F8">
                  <w:pPr>
                    <w:pStyle w:val="TableUnitsRow"/>
                    <w:jc w:val="left"/>
                    <w:rPr>
                      <w:b/>
                      <w:szCs w:val="18"/>
                    </w:rPr>
                  </w:pPr>
                  <w:r>
                    <w:t xml:space="preserve">   </w:t>
                  </w:r>
                  <w:r w:rsidR="000A0FED" w:rsidRPr="006359F8">
                    <w:t>Total</w:t>
                  </w:r>
                </w:p>
              </w:tc>
              <w:tc>
                <w:tcPr>
                  <w:tcW w:w="935" w:type="pct"/>
                  <w:shd w:val="clear" w:color="auto" w:fill="auto"/>
                  <w:vAlign w:val="center"/>
                </w:tcPr>
                <w:p w14:paraId="7B48D9C9" w14:textId="616CD4C7" w:rsidR="000A0FED" w:rsidRPr="006359F8" w:rsidRDefault="006359F8" w:rsidP="009C6FCB">
                  <w:pPr>
                    <w:pStyle w:val="TableUnitsRow"/>
                  </w:pPr>
                  <w:r w:rsidRPr="00325D05">
                    <w:t>–</w:t>
                  </w:r>
                </w:p>
              </w:tc>
              <w:tc>
                <w:tcPr>
                  <w:tcW w:w="913" w:type="pct"/>
                  <w:shd w:val="clear" w:color="auto" w:fill="auto"/>
                  <w:vAlign w:val="center"/>
                </w:tcPr>
                <w:p w14:paraId="34D8012F" w14:textId="2EC1099C" w:rsidR="000A0FED" w:rsidRPr="006359F8" w:rsidRDefault="006359F8" w:rsidP="009C6FCB">
                  <w:pPr>
                    <w:pStyle w:val="TableUnitsRow"/>
                  </w:pPr>
                  <w:r w:rsidRPr="006359F8">
                    <w:t>19.8</w:t>
                  </w:r>
                </w:p>
              </w:tc>
              <w:tc>
                <w:tcPr>
                  <w:tcW w:w="904" w:type="pct"/>
                  <w:shd w:val="clear" w:color="auto" w:fill="auto"/>
                  <w:vAlign w:val="center"/>
                </w:tcPr>
                <w:p w14:paraId="5DB24A01" w14:textId="46BEC5E9" w:rsidR="000A0FED" w:rsidRPr="006359F8" w:rsidRDefault="006359F8" w:rsidP="006359F8">
                  <w:pPr>
                    <w:pStyle w:val="TableUnitsRow"/>
                  </w:pPr>
                  <w:r w:rsidRPr="006359F8">
                    <w:t>5.7</w:t>
                  </w:r>
                </w:p>
              </w:tc>
              <w:tc>
                <w:tcPr>
                  <w:tcW w:w="902" w:type="pct"/>
                  <w:shd w:val="clear" w:color="auto" w:fill="auto"/>
                </w:tcPr>
                <w:p w14:paraId="0CFCBDDA" w14:textId="3D9E5200" w:rsidR="000A0FED" w:rsidRPr="006359F8" w:rsidRDefault="006359F8" w:rsidP="000A0FED">
                  <w:pPr>
                    <w:pStyle w:val="TableUnitsRow"/>
                  </w:pPr>
                  <w:r w:rsidRPr="006359F8">
                    <w:t>10.6</w:t>
                  </w:r>
                </w:p>
              </w:tc>
            </w:tr>
            <w:tr w:rsidR="000A0FED" w14:paraId="1E372B12" w14:textId="570C0D70" w:rsidTr="006359F8">
              <w:tc>
                <w:tcPr>
                  <w:tcW w:w="4098" w:type="pct"/>
                  <w:gridSpan w:val="4"/>
                  <w:shd w:val="clear" w:color="auto" w:fill="auto"/>
                </w:tcPr>
                <w:p w14:paraId="46BEBBCB" w14:textId="77777777" w:rsidR="000A0FED" w:rsidRPr="006359F8" w:rsidRDefault="000A0FED" w:rsidP="006359F8">
                  <w:pPr>
                    <w:pStyle w:val="TableUnitsRow"/>
                    <w:jc w:val="left"/>
                  </w:pPr>
                  <w:r w:rsidRPr="006359F8">
                    <w:t>Queensland</w:t>
                  </w:r>
                </w:p>
              </w:tc>
              <w:tc>
                <w:tcPr>
                  <w:tcW w:w="902" w:type="pct"/>
                  <w:shd w:val="clear" w:color="auto" w:fill="auto"/>
                </w:tcPr>
                <w:p w14:paraId="046C7934" w14:textId="77777777" w:rsidR="000A0FED" w:rsidRPr="006359F8" w:rsidRDefault="000A0FED" w:rsidP="006359F8">
                  <w:pPr>
                    <w:pStyle w:val="TableUnitsRow"/>
                  </w:pPr>
                </w:p>
              </w:tc>
            </w:tr>
            <w:tr w:rsidR="000A0FED" w14:paraId="54DC541D" w14:textId="50726880" w:rsidTr="00720A93">
              <w:tc>
                <w:tcPr>
                  <w:tcW w:w="1346" w:type="pct"/>
                  <w:shd w:val="clear" w:color="auto" w:fill="auto"/>
                </w:tcPr>
                <w:p w14:paraId="78EDF899" w14:textId="5A31034C" w:rsidR="000A0FED" w:rsidRPr="00582F85" w:rsidRDefault="006359F8" w:rsidP="006359F8">
                  <w:pPr>
                    <w:pStyle w:val="TableUnitsRow"/>
                    <w:jc w:val="left"/>
                    <w:rPr>
                      <w:b/>
                      <w:szCs w:val="18"/>
                    </w:rPr>
                  </w:pPr>
                  <w:r>
                    <w:t xml:space="preserve">   </w:t>
                  </w:r>
                  <w:r w:rsidR="000A0FED" w:rsidRPr="006359F8">
                    <w:t>Total</w:t>
                  </w:r>
                </w:p>
              </w:tc>
              <w:tc>
                <w:tcPr>
                  <w:tcW w:w="935" w:type="pct"/>
                  <w:shd w:val="clear" w:color="auto" w:fill="auto"/>
                  <w:vAlign w:val="center"/>
                </w:tcPr>
                <w:p w14:paraId="5C66FD8A" w14:textId="12D617B5" w:rsidR="000A0FED" w:rsidRPr="006359F8" w:rsidRDefault="006359F8" w:rsidP="009C6FCB">
                  <w:pPr>
                    <w:pStyle w:val="TableUnitsRow"/>
                  </w:pPr>
                  <w:r w:rsidRPr="006359F8">
                    <w:t>2.2</w:t>
                  </w:r>
                </w:p>
              </w:tc>
              <w:tc>
                <w:tcPr>
                  <w:tcW w:w="913" w:type="pct"/>
                  <w:shd w:val="clear" w:color="auto" w:fill="auto"/>
                  <w:vAlign w:val="center"/>
                </w:tcPr>
                <w:p w14:paraId="76198FFD" w14:textId="3A583B1E" w:rsidR="000A0FED" w:rsidRPr="006359F8" w:rsidRDefault="006359F8" w:rsidP="009C6FCB">
                  <w:pPr>
                    <w:pStyle w:val="TableUnitsRow"/>
                  </w:pPr>
                  <w:r w:rsidRPr="006359F8">
                    <w:t>3.9</w:t>
                  </w:r>
                </w:p>
              </w:tc>
              <w:tc>
                <w:tcPr>
                  <w:tcW w:w="904" w:type="pct"/>
                  <w:shd w:val="clear" w:color="auto" w:fill="auto"/>
                  <w:vAlign w:val="center"/>
                </w:tcPr>
                <w:p w14:paraId="4DB5DC96" w14:textId="65E0C8DC" w:rsidR="000A0FED" w:rsidRPr="006359F8" w:rsidRDefault="006359F8" w:rsidP="009C6FCB">
                  <w:pPr>
                    <w:pStyle w:val="TableUnitsRow"/>
                  </w:pPr>
                  <w:r w:rsidRPr="006359F8">
                    <w:t>1.5</w:t>
                  </w:r>
                </w:p>
              </w:tc>
              <w:tc>
                <w:tcPr>
                  <w:tcW w:w="902" w:type="pct"/>
                  <w:shd w:val="clear" w:color="auto" w:fill="auto"/>
                </w:tcPr>
                <w:p w14:paraId="501FE192" w14:textId="7B868D64" w:rsidR="000A0FED" w:rsidRPr="006359F8" w:rsidRDefault="006359F8" w:rsidP="000A0FED">
                  <w:pPr>
                    <w:pStyle w:val="TableUnitsRow"/>
                  </w:pPr>
                  <w:r w:rsidRPr="006359F8">
                    <w:t>2.7</w:t>
                  </w:r>
                </w:p>
              </w:tc>
            </w:tr>
            <w:tr w:rsidR="000A0FED" w:rsidRPr="00DE180A" w14:paraId="2AF2AA23" w14:textId="721D8D88" w:rsidTr="006359F8">
              <w:tc>
                <w:tcPr>
                  <w:tcW w:w="1346" w:type="pct"/>
                  <w:shd w:val="clear" w:color="auto" w:fill="auto"/>
                </w:tcPr>
                <w:p w14:paraId="065639FF" w14:textId="09010CD2" w:rsidR="000A0FED" w:rsidRPr="00ED4AB2" w:rsidRDefault="000A0FED" w:rsidP="006359F8">
                  <w:pPr>
                    <w:pStyle w:val="TableUnitsRow"/>
                    <w:jc w:val="left"/>
                    <w:rPr>
                      <w:b/>
                      <w:i/>
                      <w:szCs w:val="18"/>
                    </w:rPr>
                  </w:pPr>
                  <w:r w:rsidRPr="006359F8">
                    <w:t>Western Australia</w:t>
                  </w:r>
                </w:p>
              </w:tc>
              <w:tc>
                <w:tcPr>
                  <w:tcW w:w="935" w:type="pct"/>
                  <w:shd w:val="clear" w:color="auto" w:fill="auto"/>
                  <w:vAlign w:val="center"/>
                </w:tcPr>
                <w:p w14:paraId="34FBA914" w14:textId="77777777" w:rsidR="000A0FED" w:rsidRPr="006359F8" w:rsidRDefault="000A0FED" w:rsidP="000A0FED">
                  <w:pPr>
                    <w:pStyle w:val="TableUnitsRow"/>
                  </w:pPr>
                </w:p>
              </w:tc>
              <w:tc>
                <w:tcPr>
                  <w:tcW w:w="913" w:type="pct"/>
                  <w:shd w:val="clear" w:color="auto" w:fill="auto"/>
                  <w:vAlign w:val="center"/>
                </w:tcPr>
                <w:p w14:paraId="35923C02" w14:textId="77777777" w:rsidR="000A0FED" w:rsidRPr="006359F8" w:rsidRDefault="000A0FED" w:rsidP="000A0FED">
                  <w:pPr>
                    <w:pStyle w:val="TableUnitsRow"/>
                  </w:pPr>
                </w:p>
              </w:tc>
              <w:tc>
                <w:tcPr>
                  <w:tcW w:w="904" w:type="pct"/>
                  <w:shd w:val="clear" w:color="auto" w:fill="auto"/>
                  <w:vAlign w:val="center"/>
                </w:tcPr>
                <w:p w14:paraId="4614E71A" w14:textId="77777777" w:rsidR="000A0FED" w:rsidRPr="006359F8" w:rsidRDefault="000A0FED" w:rsidP="000A0FED">
                  <w:pPr>
                    <w:pStyle w:val="TableUnitsRow"/>
                  </w:pPr>
                </w:p>
              </w:tc>
              <w:tc>
                <w:tcPr>
                  <w:tcW w:w="902" w:type="pct"/>
                  <w:shd w:val="clear" w:color="auto" w:fill="auto"/>
                </w:tcPr>
                <w:p w14:paraId="72CB7F08" w14:textId="77777777" w:rsidR="000A0FED" w:rsidRPr="006359F8" w:rsidRDefault="000A0FED" w:rsidP="000A0FED">
                  <w:pPr>
                    <w:pStyle w:val="TableUnitsRow"/>
                  </w:pPr>
                </w:p>
              </w:tc>
            </w:tr>
            <w:tr w:rsidR="000A0FED" w:rsidRPr="00DE180A" w14:paraId="0AE2B0C7" w14:textId="03D55404" w:rsidTr="00720A93">
              <w:tc>
                <w:tcPr>
                  <w:tcW w:w="1346" w:type="pct"/>
                  <w:shd w:val="clear" w:color="auto" w:fill="auto"/>
                </w:tcPr>
                <w:p w14:paraId="3A75C473" w14:textId="25586948" w:rsidR="000A0FED" w:rsidRPr="00ED4AB2" w:rsidRDefault="006359F8" w:rsidP="006359F8">
                  <w:pPr>
                    <w:pStyle w:val="TableUnitsRow"/>
                    <w:jc w:val="left"/>
                    <w:rPr>
                      <w:b/>
                      <w:i/>
                      <w:szCs w:val="18"/>
                    </w:rPr>
                  </w:pPr>
                  <w:r>
                    <w:t xml:space="preserve">   </w:t>
                  </w:r>
                  <w:r w:rsidR="000A0FED" w:rsidRPr="006359F8">
                    <w:t>Total</w:t>
                  </w:r>
                </w:p>
              </w:tc>
              <w:tc>
                <w:tcPr>
                  <w:tcW w:w="935" w:type="pct"/>
                  <w:shd w:val="clear" w:color="auto" w:fill="auto"/>
                  <w:vAlign w:val="center"/>
                </w:tcPr>
                <w:p w14:paraId="52FE5168" w14:textId="7DBC95C0" w:rsidR="000A0FED" w:rsidRPr="006359F8" w:rsidRDefault="006359F8" w:rsidP="000A0FED">
                  <w:pPr>
                    <w:pStyle w:val="TableUnitsRow"/>
                  </w:pPr>
                  <w:r w:rsidRPr="006359F8">
                    <w:t>10.8</w:t>
                  </w:r>
                </w:p>
              </w:tc>
              <w:tc>
                <w:tcPr>
                  <w:tcW w:w="913" w:type="pct"/>
                  <w:shd w:val="clear" w:color="auto" w:fill="auto"/>
                  <w:vAlign w:val="center"/>
                </w:tcPr>
                <w:p w14:paraId="0185F6A0" w14:textId="46C9D917" w:rsidR="000A0FED" w:rsidRPr="006359F8" w:rsidRDefault="006359F8" w:rsidP="000A0FED">
                  <w:pPr>
                    <w:pStyle w:val="TableUnitsRow"/>
                  </w:pPr>
                  <w:r w:rsidRPr="006359F8">
                    <w:t>12.5</w:t>
                  </w:r>
                </w:p>
              </w:tc>
              <w:tc>
                <w:tcPr>
                  <w:tcW w:w="904" w:type="pct"/>
                  <w:shd w:val="clear" w:color="auto" w:fill="auto"/>
                  <w:vAlign w:val="center"/>
                </w:tcPr>
                <w:p w14:paraId="0B530490" w14:textId="489A2863" w:rsidR="000A0FED" w:rsidRPr="006359F8" w:rsidRDefault="006359F8" w:rsidP="000A0FED">
                  <w:pPr>
                    <w:pStyle w:val="TableUnitsRow"/>
                  </w:pPr>
                  <w:r w:rsidRPr="006359F8">
                    <w:t>3.2</w:t>
                  </w:r>
                </w:p>
              </w:tc>
              <w:tc>
                <w:tcPr>
                  <w:tcW w:w="902" w:type="pct"/>
                  <w:shd w:val="clear" w:color="auto" w:fill="auto"/>
                </w:tcPr>
                <w:p w14:paraId="2A04C58B" w14:textId="5D0C406B" w:rsidR="000A0FED" w:rsidRPr="006359F8" w:rsidRDefault="006359F8" w:rsidP="000A0FED">
                  <w:pPr>
                    <w:pStyle w:val="TableUnitsRow"/>
                  </w:pPr>
                  <w:r w:rsidRPr="006359F8">
                    <w:t>8.1</w:t>
                  </w:r>
                </w:p>
              </w:tc>
            </w:tr>
            <w:tr w:rsidR="000A0FED" w:rsidRPr="00DE180A" w14:paraId="100DA9F7" w14:textId="141B1FCB" w:rsidTr="006359F8">
              <w:tc>
                <w:tcPr>
                  <w:tcW w:w="1346" w:type="pct"/>
                  <w:shd w:val="clear" w:color="auto" w:fill="auto"/>
                </w:tcPr>
                <w:p w14:paraId="35A48491" w14:textId="51CAF875" w:rsidR="000A0FED" w:rsidRPr="00ED4AB2" w:rsidRDefault="000A0FED" w:rsidP="006359F8">
                  <w:pPr>
                    <w:pStyle w:val="TableUnitsRow"/>
                    <w:jc w:val="left"/>
                    <w:rPr>
                      <w:b/>
                      <w:i/>
                      <w:szCs w:val="18"/>
                    </w:rPr>
                  </w:pPr>
                  <w:r w:rsidRPr="006359F8">
                    <w:t>South Australia</w:t>
                  </w:r>
                </w:p>
              </w:tc>
              <w:tc>
                <w:tcPr>
                  <w:tcW w:w="935" w:type="pct"/>
                  <w:shd w:val="clear" w:color="auto" w:fill="auto"/>
                  <w:vAlign w:val="center"/>
                </w:tcPr>
                <w:p w14:paraId="037E8EB3" w14:textId="77777777" w:rsidR="000A0FED" w:rsidRPr="006359F8" w:rsidRDefault="000A0FED" w:rsidP="000A0FED">
                  <w:pPr>
                    <w:pStyle w:val="TableUnitsRow"/>
                  </w:pPr>
                </w:p>
              </w:tc>
              <w:tc>
                <w:tcPr>
                  <w:tcW w:w="913" w:type="pct"/>
                  <w:shd w:val="clear" w:color="auto" w:fill="auto"/>
                  <w:vAlign w:val="center"/>
                </w:tcPr>
                <w:p w14:paraId="293526EB" w14:textId="77777777" w:rsidR="000A0FED" w:rsidRPr="006359F8" w:rsidRDefault="000A0FED" w:rsidP="000A0FED">
                  <w:pPr>
                    <w:pStyle w:val="TableUnitsRow"/>
                  </w:pPr>
                </w:p>
              </w:tc>
              <w:tc>
                <w:tcPr>
                  <w:tcW w:w="904" w:type="pct"/>
                  <w:shd w:val="clear" w:color="auto" w:fill="auto"/>
                  <w:vAlign w:val="center"/>
                </w:tcPr>
                <w:p w14:paraId="7722E08E" w14:textId="77777777" w:rsidR="000A0FED" w:rsidRPr="006359F8" w:rsidRDefault="000A0FED" w:rsidP="000A0FED">
                  <w:pPr>
                    <w:pStyle w:val="TableUnitsRow"/>
                  </w:pPr>
                </w:p>
              </w:tc>
              <w:tc>
                <w:tcPr>
                  <w:tcW w:w="902" w:type="pct"/>
                  <w:shd w:val="clear" w:color="auto" w:fill="auto"/>
                </w:tcPr>
                <w:p w14:paraId="6F9F6E5C" w14:textId="77777777" w:rsidR="000A0FED" w:rsidRPr="006359F8" w:rsidRDefault="000A0FED" w:rsidP="000A0FED">
                  <w:pPr>
                    <w:pStyle w:val="TableUnitsRow"/>
                  </w:pPr>
                </w:p>
              </w:tc>
            </w:tr>
            <w:tr w:rsidR="000A0FED" w:rsidRPr="00DE180A" w14:paraId="26A70B3B" w14:textId="5259A16D" w:rsidTr="00720A93">
              <w:tc>
                <w:tcPr>
                  <w:tcW w:w="1346" w:type="pct"/>
                  <w:shd w:val="clear" w:color="auto" w:fill="auto"/>
                </w:tcPr>
                <w:p w14:paraId="773E1E4D" w14:textId="4BCBAD7F" w:rsidR="000A0FED" w:rsidRPr="00ED4AB2" w:rsidRDefault="006359F8" w:rsidP="006359F8">
                  <w:pPr>
                    <w:pStyle w:val="TableUnitsRow"/>
                    <w:jc w:val="left"/>
                    <w:rPr>
                      <w:b/>
                      <w:i/>
                      <w:szCs w:val="18"/>
                    </w:rPr>
                  </w:pPr>
                  <w:r>
                    <w:t xml:space="preserve">   </w:t>
                  </w:r>
                  <w:r w:rsidR="000A0FED" w:rsidRPr="006359F8">
                    <w:t>Total</w:t>
                  </w:r>
                </w:p>
              </w:tc>
              <w:tc>
                <w:tcPr>
                  <w:tcW w:w="935" w:type="pct"/>
                  <w:shd w:val="clear" w:color="auto" w:fill="auto"/>
                  <w:vAlign w:val="center"/>
                </w:tcPr>
                <w:p w14:paraId="251D6B4E" w14:textId="3A103CA3" w:rsidR="000A0FED" w:rsidRPr="006359F8" w:rsidRDefault="006359F8" w:rsidP="000A0FED">
                  <w:pPr>
                    <w:pStyle w:val="TableUnitsRow"/>
                  </w:pPr>
                  <w:r w:rsidRPr="006359F8">
                    <w:t>11.5</w:t>
                  </w:r>
                </w:p>
              </w:tc>
              <w:tc>
                <w:tcPr>
                  <w:tcW w:w="913" w:type="pct"/>
                  <w:shd w:val="clear" w:color="auto" w:fill="auto"/>
                  <w:vAlign w:val="center"/>
                </w:tcPr>
                <w:p w14:paraId="74AA6893" w14:textId="1BF3050B" w:rsidR="000A0FED" w:rsidRPr="006359F8" w:rsidRDefault="006359F8" w:rsidP="000A0FED">
                  <w:pPr>
                    <w:pStyle w:val="TableUnitsRow"/>
                  </w:pPr>
                  <w:r w:rsidRPr="006359F8">
                    <w:t>12.5</w:t>
                  </w:r>
                </w:p>
              </w:tc>
              <w:tc>
                <w:tcPr>
                  <w:tcW w:w="904" w:type="pct"/>
                  <w:shd w:val="clear" w:color="auto" w:fill="auto"/>
                  <w:vAlign w:val="center"/>
                </w:tcPr>
                <w:p w14:paraId="487AB60E" w14:textId="551549F1" w:rsidR="000A0FED" w:rsidRPr="006359F8" w:rsidRDefault="006359F8" w:rsidP="000A0FED">
                  <w:pPr>
                    <w:pStyle w:val="TableUnitsRow"/>
                  </w:pPr>
                  <w:r w:rsidRPr="006359F8">
                    <w:t>4.9</w:t>
                  </w:r>
                </w:p>
              </w:tc>
              <w:tc>
                <w:tcPr>
                  <w:tcW w:w="902" w:type="pct"/>
                  <w:shd w:val="clear" w:color="auto" w:fill="auto"/>
                </w:tcPr>
                <w:p w14:paraId="5392C2EA" w14:textId="2CC27F50" w:rsidR="000A0FED" w:rsidRPr="006359F8" w:rsidRDefault="006359F8" w:rsidP="000A0FED">
                  <w:pPr>
                    <w:pStyle w:val="TableUnitsRow"/>
                  </w:pPr>
                  <w:r w:rsidRPr="006359F8">
                    <w:t>9.4</w:t>
                  </w:r>
                </w:p>
              </w:tc>
            </w:tr>
            <w:tr w:rsidR="000A0FED" w:rsidRPr="00DE180A" w14:paraId="24BCEF13" w14:textId="404C6F90" w:rsidTr="000F72F3">
              <w:tc>
                <w:tcPr>
                  <w:tcW w:w="1346" w:type="pct"/>
                  <w:shd w:val="clear" w:color="auto" w:fill="auto"/>
                </w:tcPr>
                <w:p w14:paraId="2393AC69" w14:textId="596E153D" w:rsidR="000A0FED" w:rsidRPr="00ED4AB2" w:rsidRDefault="000A0FED" w:rsidP="006359F8">
                  <w:pPr>
                    <w:pStyle w:val="TableUnitsRow"/>
                    <w:jc w:val="left"/>
                    <w:rPr>
                      <w:b/>
                      <w:i/>
                      <w:szCs w:val="18"/>
                    </w:rPr>
                  </w:pPr>
                  <w:r w:rsidRPr="006359F8">
                    <w:t>Tasmania</w:t>
                  </w:r>
                </w:p>
              </w:tc>
              <w:tc>
                <w:tcPr>
                  <w:tcW w:w="935" w:type="pct"/>
                  <w:shd w:val="clear" w:color="auto" w:fill="auto"/>
                  <w:vAlign w:val="center"/>
                </w:tcPr>
                <w:p w14:paraId="734A03BF" w14:textId="77777777" w:rsidR="000A0FED" w:rsidRPr="006359F8" w:rsidRDefault="000A0FED" w:rsidP="000A0FED">
                  <w:pPr>
                    <w:pStyle w:val="TableUnitsRow"/>
                  </w:pPr>
                </w:p>
              </w:tc>
              <w:tc>
                <w:tcPr>
                  <w:tcW w:w="913" w:type="pct"/>
                  <w:shd w:val="clear" w:color="auto" w:fill="auto"/>
                  <w:vAlign w:val="center"/>
                </w:tcPr>
                <w:p w14:paraId="797E9ACA" w14:textId="77777777" w:rsidR="000A0FED" w:rsidRPr="006359F8" w:rsidRDefault="000A0FED" w:rsidP="000A0FED">
                  <w:pPr>
                    <w:pStyle w:val="TableUnitsRow"/>
                  </w:pPr>
                </w:p>
              </w:tc>
              <w:tc>
                <w:tcPr>
                  <w:tcW w:w="904" w:type="pct"/>
                  <w:shd w:val="clear" w:color="auto" w:fill="auto"/>
                  <w:vAlign w:val="center"/>
                </w:tcPr>
                <w:p w14:paraId="09052083" w14:textId="77777777" w:rsidR="000A0FED" w:rsidRPr="006359F8" w:rsidRDefault="000A0FED" w:rsidP="000A0FED">
                  <w:pPr>
                    <w:pStyle w:val="TableUnitsRow"/>
                  </w:pPr>
                </w:p>
              </w:tc>
              <w:tc>
                <w:tcPr>
                  <w:tcW w:w="902" w:type="pct"/>
                  <w:shd w:val="clear" w:color="auto" w:fill="auto"/>
                </w:tcPr>
                <w:p w14:paraId="4F60B802" w14:textId="77777777" w:rsidR="000A0FED" w:rsidRPr="006359F8" w:rsidRDefault="000A0FED" w:rsidP="000A0FED">
                  <w:pPr>
                    <w:pStyle w:val="TableUnitsRow"/>
                  </w:pPr>
                </w:p>
              </w:tc>
            </w:tr>
            <w:tr w:rsidR="000A0FED" w14:paraId="73A5BAD7" w14:textId="4C80169E" w:rsidTr="00720A93">
              <w:tc>
                <w:tcPr>
                  <w:tcW w:w="1346" w:type="pct"/>
                  <w:shd w:val="clear" w:color="auto" w:fill="auto"/>
                </w:tcPr>
                <w:p w14:paraId="7E658727" w14:textId="5FCBBFC5" w:rsidR="000A0FED" w:rsidRPr="00582F85" w:rsidRDefault="006359F8" w:rsidP="006359F8">
                  <w:pPr>
                    <w:pStyle w:val="TableUnitsRow"/>
                    <w:jc w:val="left"/>
                    <w:rPr>
                      <w:b/>
                      <w:szCs w:val="18"/>
                    </w:rPr>
                  </w:pPr>
                  <w:r>
                    <w:t xml:space="preserve">   </w:t>
                  </w:r>
                  <w:r w:rsidR="000A0FED" w:rsidRPr="006359F8">
                    <w:t>Total</w:t>
                  </w:r>
                </w:p>
              </w:tc>
              <w:tc>
                <w:tcPr>
                  <w:tcW w:w="935" w:type="pct"/>
                  <w:shd w:val="clear" w:color="auto" w:fill="auto"/>
                  <w:vAlign w:val="center"/>
                </w:tcPr>
                <w:p w14:paraId="17FED057" w14:textId="3C9AF4F5" w:rsidR="000A0FED" w:rsidRPr="006359F8" w:rsidRDefault="006359F8" w:rsidP="00FE2697">
                  <w:pPr>
                    <w:pStyle w:val="TableUnitsRow"/>
                  </w:pPr>
                  <w:r w:rsidRPr="006359F8">
                    <w:t>20.7</w:t>
                  </w:r>
                </w:p>
              </w:tc>
              <w:tc>
                <w:tcPr>
                  <w:tcW w:w="913" w:type="pct"/>
                  <w:shd w:val="clear" w:color="auto" w:fill="auto"/>
                  <w:vAlign w:val="center"/>
                </w:tcPr>
                <w:p w14:paraId="258B661C" w14:textId="1FB42D21" w:rsidR="000A0FED" w:rsidRPr="006359F8" w:rsidRDefault="006359F8" w:rsidP="00FE2697">
                  <w:pPr>
                    <w:pStyle w:val="TableUnitsRow"/>
                  </w:pPr>
                  <w:r w:rsidRPr="006359F8">
                    <w:t>38.4</w:t>
                  </w:r>
                </w:p>
              </w:tc>
              <w:tc>
                <w:tcPr>
                  <w:tcW w:w="904" w:type="pct"/>
                  <w:shd w:val="clear" w:color="auto" w:fill="auto"/>
                  <w:vAlign w:val="center"/>
                </w:tcPr>
                <w:p w14:paraId="6FD9051A" w14:textId="5E340176" w:rsidR="000A0FED" w:rsidRPr="006359F8" w:rsidRDefault="006359F8" w:rsidP="00FE2697">
                  <w:pPr>
                    <w:pStyle w:val="TableUnitsRow"/>
                  </w:pPr>
                  <w:r w:rsidRPr="006359F8">
                    <w:t>20.2</w:t>
                  </w:r>
                </w:p>
              </w:tc>
              <w:tc>
                <w:tcPr>
                  <w:tcW w:w="902" w:type="pct"/>
                  <w:shd w:val="clear" w:color="auto" w:fill="auto"/>
                </w:tcPr>
                <w:p w14:paraId="68F088D5" w14:textId="0C28E7BC" w:rsidR="000A0FED" w:rsidRPr="006359F8" w:rsidRDefault="006359F8" w:rsidP="000A0FED">
                  <w:pPr>
                    <w:pStyle w:val="TableUnitsRow"/>
                  </w:pPr>
                  <w:r w:rsidRPr="006359F8">
                    <w:t>27.1</w:t>
                  </w:r>
                </w:p>
              </w:tc>
            </w:tr>
            <w:tr w:rsidR="000A0FED" w14:paraId="4B07BF04" w14:textId="6EBE409F" w:rsidTr="006359F8">
              <w:tc>
                <w:tcPr>
                  <w:tcW w:w="4098" w:type="pct"/>
                  <w:gridSpan w:val="4"/>
                  <w:shd w:val="clear" w:color="auto" w:fill="auto"/>
                </w:tcPr>
                <w:p w14:paraId="539D0CFA" w14:textId="251E1E62" w:rsidR="000A0FED" w:rsidRPr="006359F8" w:rsidRDefault="000A0FED" w:rsidP="006359F8">
                  <w:pPr>
                    <w:pStyle w:val="TableUnitsRow"/>
                    <w:jc w:val="left"/>
                  </w:pPr>
                  <w:r w:rsidRPr="006359F8">
                    <w:t>Australian Capital Territory</w:t>
                  </w:r>
                </w:p>
              </w:tc>
              <w:tc>
                <w:tcPr>
                  <w:tcW w:w="902" w:type="pct"/>
                  <w:shd w:val="clear" w:color="auto" w:fill="auto"/>
                </w:tcPr>
                <w:p w14:paraId="13C20D86" w14:textId="77777777" w:rsidR="000A0FED" w:rsidRPr="006359F8" w:rsidRDefault="000A0FED" w:rsidP="006359F8">
                  <w:pPr>
                    <w:pStyle w:val="TableUnitsRow"/>
                  </w:pPr>
                </w:p>
              </w:tc>
            </w:tr>
            <w:tr w:rsidR="000A0FED" w14:paraId="7E4B8151" w14:textId="168D879A" w:rsidTr="00720A93">
              <w:tc>
                <w:tcPr>
                  <w:tcW w:w="1346" w:type="pct"/>
                  <w:shd w:val="clear" w:color="auto" w:fill="auto"/>
                </w:tcPr>
                <w:p w14:paraId="1E056D7B" w14:textId="2688D238" w:rsidR="000A0FED" w:rsidRPr="007A1843" w:rsidRDefault="006359F8" w:rsidP="006359F8">
                  <w:pPr>
                    <w:pStyle w:val="TableUnitsRow"/>
                    <w:jc w:val="left"/>
                    <w:rPr>
                      <w:b/>
                      <w:szCs w:val="18"/>
                    </w:rPr>
                  </w:pPr>
                  <w:r>
                    <w:t xml:space="preserve">   </w:t>
                  </w:r>
                  <w:r w:rsidR="000A0FED" w:rsidRPr="006359F8">
                    <w:t>Total</w:t>
                  </w:r>
                </w:p>
              </w:tc>
              <w:tc>
                <w:tcPr>
                  <w:tcW w:w="935" w:type="pct"/>
                  <w:shd w:val="clear" w:color="auto" w:fill="auto"/>
                  <w:vAlign w:val="center"/>
                </w:tcPr>
                <w:p w14:paraId="5145C92C" w14:textId="184EBEF0" w:rsidR="000A0FED" w:rsidRPr="006359F8" w:rsidRDefault="006359F8" w:rsidP="00FE2697">
                  <w:pPr>
                    <w:pStyle w:val="TableUnitsRow"/>
                  </w:pPr>
                  <w:r w:rsidRPr="006359F8">
                    <w:t>8.6</w:t>
                  </w:r>
                </w:p>
              </w:tc>
              <w:tc>
                <w:tcPr>
                  <w:tcW w:w="913" w:type="pct"/>
                  <w:shd w:val="clear" w:color="auto" w:fill="auto"/>
                  <w:vAlign w:val="center"/>
                </w:tcPr>
                <w:p w14:paraId="7D436D61" w14:textId="1FFFB40A" w:rsidR="000A0FED" w:rsidRPr="006359F8" w:rsidRDefault="006359F8" w:rsidP="00FE2697">
                  <w:pPr>
                    <w:pStyle w:val="TableUnitsRow"/>
                  </w:pPr>
                  <w:r w:rsidRPr="006359F8">
                    <w:t>19.1</w:t>
                  </w:r>
                </w:p>
              </w:tc>
              <w:tc>
                <w:tcPr>
                  <w:tcW w:w="904" w:type="pct"/>
                  <w:shd w:val="clear" w:color="auto" w:fill="auto"/>
                  <w:vAlign w:val="center"/>
                </w:tcPr>
                <w:p w14:paraId="1EC81E9F" w14:textId="2FAA959C" w:rsidR="000A0FED" w:rsidRPr="006359F8" w:rsidRDefault="006359F8" w:rsidP="00FE2697">
                  <w:pPr>
                    <w:pStyle w:val="TableUnitsRow"/>
                  </w:pPr>
                  <w:r w:rsidRPr="006359F8">
                    <w:t>11.8</w:t>
                  </w:r>
                </w:p>
              </w:tc>
              <w:tc>
                <w:tcPr>
                  <w:tcW w:w="902" w:type="pct"/>
                  <w:shd w:val="clear" w:color="auto" w:fill="auto"/>
                </w:tcPr>
                <w:p w14:paraId="4E97E215" w14:textId="709C051C" w:rsidR="000A0FED" w:rsidRPr="006359F8" w:rsidRDefault="006359F8" w:rsidP="006F5B3A">
                  <w:pPr>
                    <w:pStyle w:val="TableUnitsRow"/>
                  </w:pPr>
                  <w:r w:rsidRPr="006359F8">
                    <w:t>1</w:t>
                  </w:r>
                  <w:r w:rsidR="006F5B3A">
                    <w:t>3</w:t>
                  </w:r>
                  <w:r w:rsidRPr="006359F8">
                    <w:t>.4</w:t>
                  </w:r>
                </w:p>
              </w:tc>
            </w:tr>
            <w:tr w:rsidR="000A0FED" w14:paraId="51ED359D" w14:textId="33C90FE1" w:rsidTr="005D1D62">
              <w:tc>
                <w:tcPr>
                  <w:tcW w:w="4098" w:type="pct"/>
                  <w:gridSpan w:val="4"/>
                  <w:shd w:val="clear" w:color="auto" w:fill="auto"/>
                </w:tcPr>
                <w:p w14:paraId="31ACEC2D" w14:textId="30D3379E" w:rsidR="000A0FED" w:rsidRPr="006359F8" w:rsidRDefault="000A0FED" w:rsidP="006359F8">
                  <w:pPr>
                    <w:pStyle w:val="TableUnitsRow"/>
                    <w:jc w:val="left"/>
                  </w:pPr>
                  <w:r w:rsidRPr="006359F8">
                    <w:t>Northern Territory</w:t>
                  </w:r>
                </w:p>
              </w:tc>
              <w:tc>
                <w:tcPr>
                  <w:tcW w:w="902" w:type="pct"/>
                  <w:shd w:val="clear" w:color="auto" w:fill="auto"/>
                </w:tcPr>
                <w:p w14:paraId="4372F2D2" w14:textId="77777777" w:rsidR="000A0FED" w:rsidRPr="006359F8" w:rsidRDefault="000A0FED" w:rsidP="006359F8">
                  <w:pPr>
                    <w:pStyle w:val="TableUnitsRow"/>
                  </w:pPr>
                </w:p>
              </w:tc>
            </w:tr>
            <w:tr w:rsidR="000A0FED" w14:paraId="06D1BB42" w14:textId="2BDA3217" w:rsidTr="005D1D62">
              <w:tc>
                <w:tcPr>
                  <w:tcW w:w="1346" w:type="pct"/>
                  <w:tcBorders>
                    <w:bottom w:val="single" w:sz="6" w:space="0" w:color="BFBFBF"/>
                  </w:tcBorders>
                  <w:shd w:val="clear" w:color="auto" w:fill="auto"/>
                </w:tcPr>
                <w:p w14:paraId="7C3B99C2" w14:textId="69F5662A" w:rsidR="000A0FED" w:rsidRPr="00582F85" w:rsidRDefault="006359F8" w:rsidP="006359F8">
                  <w:pPr>
                    <w:pStyle w:val="TableUnitsRow"/>
                    <w:jc w:val="left"/>
                    <w:rPr>
                      <w:b/>
                      <w:szCs w:val="18"/>
                    </w:rPr>
                  </w:pPr>
                  <w:r>
                    <w:t xml:space="preserve">   </w:t>
                  </w:r>
                  <w:r w:rsidR="000A0FED" w:rsidRPr="006359F8">
                    <w:t>Total</w:t>
                  </w:r>
                </w:p>
              </w:tc>
              <w:tc>
                <w:tcPr>
                  <w:tcW w:w="935" w:type="pct"/>
                  <w:tcBorders>
                    <w:bottom w:val="single" w:sz="6" w:space="0" w:color="BFBFBF"/>
                  </w:tcBorders>
                  <w:shd w:val="clear" w:color="auto" w:fill="auto"/>
                  <w:vAlign w:val="center"/>
                </w:tcPr>
                <w:p w14:paraId="1586A9B4" w14:textId="60B8980B" w:rsidR="000A0FED" w:rsidRPr="006359F8" w:rsidRDefault="006359F8" w:rsidP="00FE2697">
                  <w:pPr>
                    <w:pStyle w:val="TableUnitsRow"/>
                  </w:pPr>
                  <w:r w:rsidRPr="006359F8">
                    <w:t>4.3</w:t>
                  </w:r>
                </w:p>
              </w:tc>
              <w:tc>
                <w:tcPr>
                  <w:tcW w:w="913" w:type="pct"/>
                  <w:tcBorders>
                    <w:bottom w:val="single" w:sz="6" w:space="0" w:color="BFBFBF"/>
                  </w:tcBorders>
                  <w:shd w:val="clear" w:color="auto" w:fill="auto"/>
                  <w:vAlign w:val="center"/>
                </w:tcPr>
                <w:p w14:paraId="6A292C8A" w14:textId="24ADCB18" w:rsidR="000A0FED" w:rsidRPr="006359F8" w:rsidRDefault="006359F8" w:rsidP="00FE2697">
                  <w:pPr>
                    <w:pStyle w:val="TableUnitsRow"/>
                  </w:pPr>
                  <w:r w:rsidRPr="006359F8">
                    <w:t>20.7</w:t>
                  </w:r>
                </w:p>
              </w:tc>
              <w:tc>
                <w:tcPr>
                  <w:tcW w:w="904" w:type="pct"/>
                  <w:tcBorders>
                    <w:bottom w:val="single" w:sz="6" w:space="0" w:color="BFBFBF"/>
                  </w:tcBorders>
                  <w:shd w:val="clear" w:color="auto" w:fill="auto"/>
                  <w:vAlign w:val="center"/>
                </w:tcPr>
                <w:p w14:paraId="489E9548" w14:textId="3A551D2E" w:rsidR="000A0FED" w:rsidRPr="006359F8" w:rsidRDefault="006359F8" w:rsidP="00FE2697">
                  <w:pPr>
                    <w:pStyle w:val="TableUnitsRow"/>
                  </w:pPr>
                  <w:r w:rsidRPr="006359F8">
                    <w:t>18.3</w:t>
                  </w:r>
                </w:p>
              </w:tc>
              <w:tc>
                <w:tcPr>
                  <w:tcW w:w="902" w:type="pct"/>
                  <w:tcBorders>
                    <w:bottom w:val="single" w:sz="6" w:space="0" w:color="BFBFBF"/>
                  </w:tcBorders>
                  <w:shd w:val="clear" w:color="auto" w:fill="auto"/>
                </w:tcPr>
                <w:p w14:paraId="6CC060FD" w14:textId="6E4D2FCC" w:rsidR="000A0FED" w:rsidRPr="006359F8" w:rsidRDefault="006359F8" w:rsidP="000A0FED">
                  <w:pPr>
                    <w:pStyle w:val="TableUnitsRow"/>
                  </w:pPr>
                  <w:r w:rsidRPr="006359F8">
                    <w:t>14.4</w:t>
                  </w:r>
                </w:p>
              </w:tc>
            </w:tr>
          </w:tbl>
          <w:p w14:paraId="37098D1F" w14:textId="77777777" w:rsidR="00F42A70" w:rsidRDefault="00F42A70" w:rsidP="001311FF">
            <w:pPr>
              <w:pStyle w:val="Box"/>
            </w:pPr>
          </w:p>
        </w:tc>
      </w:tr>
      <w:tr w:rsidR="00F42A70" w14:paraId="418B5DEA" w14:textId="77777777" w:rsidTr="00981B4A">
        <w:trPr>
          <w:cantSplit/>
        </w:trPr>
        <w:tc>
          <w:tcPr>
            <w:tcW w:w="8789" w:type="dxa"/>
            <w:tcBorders>
              <w:top w:val="nil"/>
              <w:left w:val="nil"/>
              <w:bottom w:val="nil"/>
              <w:right w:val="nil"/>
            </w:tcBorders>
            <w:shd w:val="clear" w:color="auto" w:fill="auto"/>
          </w:tcPr>
          <w:p w14:paraId="7F999238" w14:textId="4208B8CF" w:rsidR="00F42A70" w:rsidRPr="0021647B" w:rsidRDefault="00FE2697" w:rsidP="00AC3A27">
            <w:pPr>
              <w:pStyle w:val="Source"/>
              <w:jc w:val="left"/>
            </w:pPr>
            <w:r>
              <w:rPr>
                <w:rStyle w:val="NoteLabel"/>
              </w:rPr>
              <w:t>a</w:t>
            </w:r>
            <w:r>
              <w:t xml:space="preserve"> </w:t>
            </w:r>
            <w:r w:rsidRPr="006F4A3E">
              <w:t xml:space="preserve">See </w:t>
            </w:r>
            <w:r>
              <w:t xml:space="preserve">box 12.4 and </w:t>
            </w:r>
            <w:r w:rsidRPr="006F4A3E">
              <w:t>table</w:t>
            </w:r>
            <w:r>
              <w:t>s</w:t>
            </w:r>
            <w:r w:rsidRPr="006F4A3E">
              <w:t xml:space="preserve"> </w:t>
            </w:r>
            <w:proofErr w:type="spellStart"/>
            <w:r>
              <w:t>12A</w:t>
            </w:r>
            <w:r w:rsidRPr="00325D05">
              <w:t>.</w:t>
            </w:r>
            <w:r>
              <w:t>2</w:t>
            </w:r>
            <w:r w:rsidR="00AC3A27">
              <w:t>4</w:t>
            </w:r>
            <w:proofErr w:type="spellEnd"/>
            <w:r>
              <w:t xml:space="preserve">–31 </w:t>
            </w:r>
            <w:r w:rsidRPr="006F4A3E">
              <w:t xml:space="preserve">for detailed </w:t>
            </w:r>
            <w:r w:rsidRPr="00536DD1">
              <w:t xml:space="preserve">definitions, footnotes and </w:t>
            </w:r>
            <w:r w:rsidRPr="006F4A3E">
              <w:t>caveats</w:t>
            </w:r>
            <w:r w:rsidRPr="00320973">
              <w:t>.</w:t>
            </w:r>
            <w:r>
              <w:t xml:space="preserve"> </w:t>
            </w:r>
            <w:r w:rsidRPr="00325D05">
              <w:t>– Nil or rounded to zero.</w:t>
            </w:r>
          </w:p>
        </w:tc>
      </w:tr>
      <w:tr w:rsidR="00FE2697" w14:paraId="3172672C" w14:textId="77777777" w:rsidTr="00981B4A">
        <w:trPr>
          <w:cantSplit/>
        </w:trPr>
        <w:tc>
          <w:tcPr>
            <w:tcW w:w="8789" w:type="dxa"/>
            <w:tcBorders>
              <w:top w:val="nil"/>
              <w:left w:val="nil"/>
              <w:bottom w:val="nil"/>
              <w:right w:val="nil"/>
            </w:tcBorders>
            <w:shd w:val="clear" w:color="auto" w:fill="auto"/>
          </w:tcPr>
          <w:p w14:paraId="153F1E19" w14:textId="07207CB0" w:rsidR="00FE2697" w:rsidRPr="0021647B" w:rsidRDefault="00FE2697" w:rsidP="00430C03">
            <w:pPr>
              <w:pStyle w:val="Source"/>
              <w:jc w:val="left"/>
            </w:pPr>
            <w:r>
              <w:rPr>
                <w:i/>
              </w:rPr>
              <w:t>Source</w:t>
            </w:r>
            <w:r w:rsidRPr="00167F06">
              <w:t xml:space="preserve">: </w:t>
            </w:r>
            <w:r>
              <w:t xml:space="preserve">AIHW (unpublished) National Elective Surgery Waiting Times Data Collection; tables </w:t>
            </w:r>
            <w:proofErr w:type="spellStart"/>
            <w:r w:rsidRPr="00FB0674">
              <w:t>12A.24</w:t>
            </w:r>
            <w:proofErr w:type="spellEnd"/>
            <w:r w:rsidRPr="00FB0674">
              <w:t xml:space="preserve">, </w:t>
            </w:r>
            <w:proofErr w:type="spellStart"/>
            <w:r w:rsidRPr="00FB0674">
              <w:t>12A.25</w:t>
            </w:r>
            <w:proofErr w:type="spellEnd"/>
            <w:r w:rsidRPr="00FB0674">
              <w:t xml:space="preserve">, </w:t>
            </w:r>
            <w:proofErr w:type="spellStart"/>
            <w:r w:rsidRPr="00FB0674">
              <w:t>12A.26</w:t>
            </w:r>
            <w:proofErr w:type="spellEnd"/>
            <w:r w:rsidRPr="00FB0674">
              <w:t xml:space="preserve">, </w:t>
            </w:r>
            <w:proofErr w:type="spellStart"/>
            <w:r w:rsidRPr="00FB0674">
              <w:t>12A.27</w:t>
            </w:r>
            <w:proofErr w:type="spellEnd"/>
            <w:r w:rsidRPr="00FB0674">
              <w:t xml:space="preserve">, </w:t>
            </w:r>
            <w:proofErr w:type="spellStart"/>
            <w:r w:rsidRPr="00FB0674">
              <w:t>12A.28</w:t>
            </w:r>
            <w:proofErr w:type="spellEnd"/>
            <w:r w:rsidRPr="00FB0674">
              <w:t xml:space="preserve">, </w:t>
            </w:r>
            <w:proofErr w:type="spellStart"/>
            <w:r w:rsidRPr="00FB0674">
              <w:t>12A.29</w:t>
            </w:r>
            <w:proofErr w:type="spellEnd"/>
            <w:r w:rsidRPr="00FB0674">
              <w:t xml:space="preserve">, </w:t>
            </w:r>
            <w:proofErr w:type="spellStart"/>
            <w:r w:rsidRPr="00FB0674">
              <w:t>12A.30</w:t>
            </w:r>
            <w:proofErr w:type="spellEnd"/>
            <w:r w:rsidRPr="00FB0674">
              <w:t xml:space="preserve"> and </w:t>
            </w:r>
            <w:proofErr w:type="spellStart"/>
            <w:r w:rsidRPr="00FB0674">
              <w:t>12A.31</w:t>
            </w:r>
            <w:proofErr w:type="spellEnd"/>
            <w:r>
              <w:t>.</w:t>
            </w:r>
          </w:p>
        </w:tc>
      </w:tr>
      <w:tr w:rsidR="00F42A70" w14:paraId="5252C0F0" w14:textId="77777777" w:rsidTr="00981B4A">
        <w:trPr>
          <w:cantSplit/>
        </w:trPr>
        <w:tc>
          <w:tcPr>
            <w:tcW w:w="8789" w:type="dxa"/>
            <w:tcBorders>
              <w:top w:val="nil"/>
              <w:left w:val="nil"/>
              <w:bottom w:val="single" w:sz="6" w:space="0" w:color="78A22F"/>
              <w:right w:val="nil"/>
            </w:tcBorders>
            <w:shd w:val="clear" w:color="auto" w:fill="auto"/>
          </w:tcPr>
          <w:p w14:paraId="1A9E9F52" w14:textId="77777777" w:rsidR="00F42A70" w:rsidRDefault="00F42A70" w:rsidP="001311FF">
            <w:pPr>
              <w:pStyle w:val="Box"/>
              <w:spacing w:before="0" w:line="120" w:lineRule="exact"/>
            </w:pPr>
          </w:p>
        </w:tc>
      </w:tr>
      <w:tr w:rsidR="00F42A70" w:rsidRPr="000863A5" w14:paraId="37F56F48" w14:textId="77777777" w:rsidTr="00981B4A">
        <w:tc>
          <w:tcPr>
            <w:tcW w:w="8789" w:type="dxa"/>
            <w:tcBorders>
              <w:top w:val="single" w:sz="6" w:space="0" w:color="78A22F"/>
              <w:left w:val="nil"/>
              <w:bottom w:val="nil"/>
              <w:right w:val="nil"/>
            </w:tcBorders>
          </w:tcPr>
          <w:p w14:paraId="4BC0A136" w14:textId="3844C98D" w:rsidR="00F42A70" w:rsidRPr="00626D32" w:rsidRDefault="00F42A70" w:rsidP="001311FF">
            <w:pPr>
              <w:pStyle w:val="BoxSpaceBelow"/>
            </w:pPr>
          </w:p>
        </w:tc>
      </w:tr>
    </w:tbl>
    <w:p w14:paraId="05D267D0" w14:textId="77777777" w:rsidR="007A48D1" w:rsidRDefault="00EA618A" w:rsidP="005574AD">
      <w:pPr>
        <w:pStyle w:val="Heading5"/>
      </w:pPr>
      <w:r>
        <w:t>E</w:t>
      </w:r>
      <w:r w:rsidR="007A48D1">
        <w:t>mergency department</w:t>
      </w:r>
      <w:r>
        <w:t xml:space="preserve"> presentations</w:t>
      </w:r>
      <w:r w:rsidR="007A48D1">
        <w:t xml:space="preserve"> with</w:t>
      </w:r>
      <w:r>
        <w:t xml:space="preserve"> </w:t>
      </w:r>
      <w:r w:rsidR="007A48D1">
        <w:t>stay</w:t>
      </w:r>
      <w:r>
        <w:t xml:space="preserve"> </w:t>
      </w:r>
      <w:r w:rsidR="007A48D1">
        <w:t>of 4 hours or less ending in admission</w:t>
      </w:r>
    </w:p>
    <w:p w14:paraId="3BFD6E56" w14:textId="77777777" w:rsidR="007A48D1" w:rsidRDefault="007A48D1" w:rsidP="001B73E8">
      <w:pPr>
        <w:pStyle w:val="BodyText"/>
      </w:pPr>
      <w:r>
        <w:t>Nationally in 201</w:t>
      </w:r>
      <w:r w:rsidR="00DA52E8">
        <w:t>6</w:t>
      </w:r>
      <w:r>
        <w:t>-</w:t>
      </w:r>
      <w:r w:rsidRPr="00720A93">
        <w:t>1</w:t>
      </w:r>
      <w:r w:rsidR="00DA52E8" w:rsidRPr="00720A93">
        <w:t>7</w:t>
      </w:r>
      <w:r w:rsidRPr="00720A93">
        <w:t xml:space="preserve">, </w:t>
      </w:r>
      <w:r w:rsidR="00DD0E27" w:rsidRPr="00720A93">
        <w:t>almost half</w:t>
      </w:r>
      <w:r w:rsidRPr="00720A93">
        <w:t xml:space="preserve"> of those who presented to an emergency department </w:t>
      </w:r>
      <w:r w:rsidR="00CF7D80" w:rsidRPr="00720A93">
        <w:t>and were admitted</w:t>
      </w:r>
      <w:r w:rsidR="00456C23" w:rsidRPr="00720A93">
        <w:t>,</w:t>
      </w:r>
      <w:r w:rsidR="00CF7D80" w:rsidRPr="00720A93">
        <w:t xml:space="preserve"> </w:t>
      </w:r>
      <w:r w:rsidRPr="00720A93">
        <w:t>waited 4 hours or l</w:t>
      </w:r>
      <w:r w:rsidR="00DD0E27" w:rsidRPr="00720A93">
        <w:t>ess to be</w:t>
      </w:r>
      <w:r w:rsidR="00DD0E27">
        <w:t xml:space="preserve"> admitted to </w:t>
      </w:r>
      <w:r w:rsidR="00EA618A">
        <w:t xml:space="preserve">a public </w:t>
      </w:r>
      <w:r w:rsidR="00DD0E27">
        <w:t xml:space="preserve">hospital </w:t>
      </w:r>
      <w:r>
        <w:t xml:space="preserve">(table </w:t>
      </w:r>
      <w:r w:rsidR="000F15E6">
        <w:t>12.</w:t>
      </w:r>
      <w:r w:rsidR="00FE41E8">
        <w:t>3</w:t>
      </w:r>
      <w:r>
        <w:t>).</w:t>
      </w:r>
    </w:p>
    <w:p w14:paraId="2CA95795" w14:textId="77777777" w:rsidR="005513D0" w:rsidRDefault="005513D0" w:rsidP="001B73E8">
      <w:pPr>
        <w:pStyle w:val="BodyText"/>
      </w:pPr>
    </w:p>
    <w:p w14:paraId="047E9DA8" w14:textId="41F4EF94" w:rsidR="007A48D1" w:rsidRDefault="007A48D1" w:rsidP="00604654">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7A48D1" w14:paraId="3A865CA2" w14:textId="77777777" w:rsidTr="00981B4A">
        <w:tc>
          <w:tcPr>
            <w:tcW w:w="8789" w:type="dxa"/>
            <w:tcBorders>
              <w:top w:val="single" w:sz="6" w:space="0" w:color="78A22F"/>
              <w:left w:val="nil"/>
              <w:bottom w:val="nil"/>
              <w:right w:val="nil"/>
            </w:tcBorders>
            <w:shd w:val="clear" w:color="auto" w:fill="auto"/>
          </w:tcPr>
          <w:p w14:paraId="0872E34B" w14:textId="26ED267E" w:rsidR="007A48D1" w:rsidRPr="00784A05" w:rsidRDefault="007A48D1" w:rsidP="00DA52E8">
            <w:pPr>
              <w:pStyle w:val="TableTitle"/>
            </w:pPr>
            <w:r>
              <w:rPr>
                <w:b w:val="0"/>
              </w:rPr>
              <w:t xml:space="preserve">Table </w:t>
            </w:r>
            <w:r w:rsidR="00D937AB">
              <w:rPr>
                <w:b w:val="0"/>
              </w:rPr>
              <w:t>12.</w:t>
            </w:r>
            <w:r w:rsidR="007F3144">
              <w:rPr>
                <w:b w:val="0"/>
                <w:noProof/>
              </w:rPr>
              <w:t>3</w:t>
            </w:r>
            <w:r>
              <w:tab/>
            </w:r>
            <w:r w:rsidR="005A22A1" w:rsidRPr="005A22A1">
              <w:t>Proportion of emergency department</w:t>
            </w:r>
            <w:r w:rsidR="00EA618A">
              <w:t xml:space="preserve"> </w:t>
            </w:r>
            <w:r w:rsidR="00EA618A" w:rsidRPr="005A22A1">
              <w:t xml:space="preserve">presentations </w:t>
            </w:r>
            <w:r w:rsidR="005A22A1" w:rsidRPr="005A22A1">
              <w:t xml:space="preserve">with </w:t>
            </w:r>
            <w:r w:rsidR="00EA618A">
              <w:t xml:space="preserve">a </w:t>
            </w:r>
            <w:r w:rsidR="005A22A1" w:rsidRPr="005A22A1">
              <w:t>length of stay 4 hours or less ending in admission</w:t>
            </w:r>
            <w:r w:rsidR="00DF1FE9">
              <w:t>, 201</w:t>
            </w:r>
            <w:r w:rsidR="00DA52E8">
              <w:t>6</w:t>
            </w:r>
            <w:r w:rsidR="00DF1FE9">
              <w:t>-1</w:t>
            </w:r>
            <w:r w:rsidR="00DA52E8">
              <w:t>7</w:t>
            </w:r>
            <w:r w:rsidR="00477C9C">
              <w:rPr>
                <w:rStyle w:val="NoteLabel"/>
                <w:b/>
                <w:szCs w:val="20"/>
              </w:rPr>
              <w:t>a</w:t>
            </w:r>
          </w:p>
        </w:tc>
      </w:tr>
      <w:tr w:rsidR="007A48D1" w14:paraId="28FFB787" w14:textId="77777777" w:rsidTr="00981B4A">
        <w:trPr>
          <w:cantSplit/>
        </w:trPr>
        <w:tc>
          <w:tcPr>
            <w:tcW w:w="878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967"/>
              <w:gridCol w:w="852"/>
              <w:gridCol w:w="711"/>
              <w:gridCol w:w="711"/>
              <w:gridCol w:w="709"/>
              <w:gridCol w:w="711"/>
              <w:gridCol w:w="711"/>
              <w:gridCol w:w="711"/>
              <w:gridCol w:w="709"/>
              <w:gridCol w:w="713"/>
            </w:tblGrid>
            <w:tr w:rsidR="005A22A1" w14:paraId="2CA8F922" w14:textId="77777777" w:rsidTr="005513D0">
              <w:tc>
                <w:tcPr>
                  <w:tcW w:w="1156" w:type="pct"/>
                  <w:tcBorders>
                    <w:top w:val="single" w:sz="6" w:space="0" w:color="BFBFBF"/>
                    <w:bottom w:val="single" w:sz="6" w:space="0" w:color="BFBFBF"/>
                  </w:tcBorders>
                  <w:shd w:val="clear" w:color="auto" w:fill="auto"/>
                  <w:tcMar>
                    <w:top w:w="28" w:type="dxa"/>
                  </w:tcMar>
                </w:tcPr>
                <w:p w14:paraId="4F9C8905" w14:textId="77777777" w:rsidR="00604654" w:rsidRDefault="0025128B" w:rsidP="00604654">
                  <w:pPr>
                    <w:pStyle w:val="TableColumnHeading"/>
                    <w:jc w:val="left"/>
                  </w:pPr>
                  <w:r>
                    <w:t>Triage category</w:t>
                  </w:r>
                </w:p>
              </w:tc>
              <w:tc>
                <w:tcPr>
                  <w:tcW w:w="501" w:type="pct"/>
                  <w:tcBorders>
                    <w:top w:val="single" w:sz="6" w:space="0" w:color="BFBFBF"/>
                    <w:bottom w:val="single" w:sz="6" w:space="0" w:color="BFBFBF"/>
                  </w:tcBorders>
                  <w:vAlign w:val="bottom"/>
                </w:tcPr>
                <w:p w14:paraId="43415A4F" w14:textId="77777777" w:rsidR="00604654" w:rsidRDefault="00604654" w:rsidP="00373D10">
                  <w:pPr>
                    <w:pStyle w:val="TableColumnHeading"/>
                  </w:pPr>
                  <w:r>
                    <w:t>NSW</w:t>
                  </w:r>
                </w:p>
              </w:tc>
              <w:tc>
                <w:tcPr>
                  <w:tcW w:w="418" w:type="pct"/>
                  <w:tcBorders>
                    <w:top w:val="single" w:sz="6" w:space="0" w:color="BFBFBF"/>
                    <w:bottom w:val="single" w:sz="6" w:space="0" w:color="BFBFBF"/>
                  </w:tcBorders>
                  <w:vAlign w:val="bottom"/>
                </w:tcPr>
                <w:p w14:paraId="3D326C34" w14:textId="77777777" w:rsidR="00604654" w:rsidRDefault="00604654" w:rsidP="00373D10">
                  <w:pPr>
                    <w:pStyle w:val="TableColumnHeading"/>
                  </w:pPr>
                  <w:r>
                    <w:t>Vic</w:t>
                  </w:r>
                </w:p>
              </w:tc>
              <w:tc>
                <w:tcPr>
                  <w:tcW w:w="418" w:type="pct"/>
                  <w:tcBorders>
                    <w:top w:val="single" w:sz="6" w:space="0" w:color="BFBFBF"/>
                    <w:bottom w:val="single" w:sz="6" w:space="0" w:color="BFBFBF"/>
                  </w:tcBorders>
                  <w:vAlign w:val="bottom"/>
                </w:tcPr>
                <w:p w14:paraId="526DE91F" w14:textId="77777777" w:rsidR="00604654" w:rsidRDefault="00604654" w:rsidP="00373D10">
                  <w:pPr>
                    <w:pStyle w:val="TableColumnHeading"/>
                  </w:pPr>
                  <w:r>
                    <w:t>Qld</w:t>
                  </w:r>
                </w:p>
              </w:tc>
              <w:tc>
                <w:tcPr>
                  <w:tcW w:w="417" w:type="pct"/>
                  <w:tcBorders>
                    <w:top w:val="single" w:sz="6" w:space="0" w:color="BFBFBF"/>
                    <w:bottom w:val="single" w:sz="6" w:space="0" w:color="BFBFBF"/>
                  </w:tcBorders>
                  <w:vAlign w:val="bottom"/>
                </w:tcPr>
                <w:p w14:paraId="5D95291F" w14:textId="77777777" w:rsidR="00604654" w:rsidRDefault="00604654" w:rsidP="00373D10">
                  <w:pPr>
                    <w:pStyle w:val="TableColumnHeading"/>
                  </w:pPr>
                  <w:r>
                    <w:t>WA</w:t>
                  </w:r>
                </w:p>
              </w:tc>
              <w:tc>
                <w:tcPr>
                  <w:tcW w:w="418" w:type="pct"/>
                  <w:tcBorders>
                    <w:top w:val="single" w:sz="6" w:space="0" w:color="BFBFBF"/>
                    <w:bottom w:val="single" w:sz="6" w:space="0" w:color="BFBFBF"/>
                  </w:tcBorders>
                  <w:vAlign w:val="bottom"/>
                </w:tcPr>
                <w:p w14:paraId="3E576274" w14:textId="77777777" w:rsidR="00604654" w:rsidRDefault="00604654" w:rsidP="00373D10">
                  <w:pPr>
                    <w:pStyle w:val="TableColumnHeading"/>
                  </w:pPr>
                  <w:r>
                    <w:t>SA</w:t>
                  </w:r>
                </w:p>
              </w:tc>
              <w:tc>
                <w:tcPr>
                  <w:tcW w:w="418" w:type="pct"/>
                  <w:tcBorders>
                    <w:top w:val="single" w:sz="6" w:space="0" w:color="BFBFBF"/>
                    <w:bottom w:val="single" w:sz="6" w:space="0" w:color="BFBFBF"/>
                  </w:tcBorders>
                  <w:vAlign w:val="bottom"/>
                </w:tcPr>
                <w:p w14:paraId="3968CDF7" w14:textId="77777777" w:rsidR="00604654" w:rsidRDefault="00604654" w:rsidP="00373D10">
                  <w:pPr>
                    <w:pStyle w:val="TableColumnHeading"/>
                  </w:pPr>
                  <w:proofErr w:type="spellStart"/>
                  <w:r>
                    <w:t>Tas</w:t>
                  </w:r>
                  <w:proofErr w:type="spellEnd"/>
                </w:p>
              </w:tc>
              <w:tc>
                <w:tcPr>
                  <w:tcW w:w="418" w:type="pct"/>
                  <w:tcBorders>
                    <w:top w:val="single" w:sz="6" w:space="0" w:color="BFBFBF"/>
                    <w:bottom w:val="single" w:sz="6" w:space="0" w:color="BFBFBF"/>
                  </w:tcBorders>
                </w:tcPr>
                <w:p w14:paraId="04B23DB2" w14:textId="77777777" w:rsidR="00604654" w:rsidRDefault="00604654" w:rsidP="00DA52E8">
                  <w:pPr>
                    <w:pStyle w:val="TableColumnHeading"/>
                  </w:pPr>
                  <w:r>
                    <w:t>ACT</w:t>
                  </w:r>
                </w:p>
              </w:tc>
              <w:tc>
                <w:tcPr>
                  <w:tcW w:w="417" w:type="pct"/>
                  <w:tcBorders>
                    <w:top w:val="single" w:sz="6" w:space="0" w:color="BFBFBF"/>
                    <w:bottom w:val="single" w:sz="6" w:space="0" w:color="BFBFBF"/>
                  </w:tcBorders>
                  <w:shd w:val="clear" w:color="auto" w:fill="auto"/>
                  <w:tcMar>
                    <w:top w:w="28" w:type="dxa"/>
                  </w:tcMar>
                  <w:vAlign w:val="bottom"/>
                </w:tcPr>
                <w:p w14:paraId="44F59BA6" w14:textId="77777777" w:rsidR="00604654" w:rsidRDefault="00604654" w:rsidP="00373D10">
                  <w:pPr>
                    <w:pStyle w:val="TableColumnHeading"/>
                  </w:pPr>
                  <w:r>
                    <w:t>NT</w:t>
                  </w:r>
                </w:p>
              </w:tc>
              <w:tc>
                <w:tcPr>
                  <w:tcW w:w="419" w:type="pct"/>
                  <w:tcBorders>
                    <w:top w:val="single" w:sz="6" w:space="0" w:color="BFBFBF"/>
                    <w:bottom w:val="single" w:sz="6" w:space="0" w:color="BFBFBF"/>
                  </w:tcBorders>
                  <w:shd w:val="clear" w:color="auto" w:fill="auto"/>
                  <w:tcMar>
                    <w:top w:w="28" w:type="dxa"/>
                  </w:tcMar>
                  <w:vAlign w:val="bottom"/>
                </w:tcPr>
                <w:p w14:paraId="1D60FBCF" w14:textId="77777777" w:rsidR="00604654" w:rsidRDefault="00604654" w:rsidP="00DA52E8">
                  <w:pPr>
                    <w:pStyle w:val="TableColumnHeading"/>
                  </w:pPr>
                  <w:proofErr w:type="spellStart"/>
                  <w:r>
                    <w:t>Aust</w:t>
                  </w:r>
                  <w:proofErr w:type="spellEnd"/>
                </w:p>
              </w:tc>
            </w:tr>
            <w:tr w:rsidR="005513D0" w14:paraId="2EB4C538" w14:textId="77777777" w:rsidTr="00720A93">
              <w:tc>
                <w:tcPr>
                  <w:tcW w:w="1156" w:type="pct"/>
                  <w:shd w:val="clear" w:color="auto" w:fill="auto"/>
                </w:tcPr>
                <w:p w14:paraId="696A6B62" w14:textId="77777777" w:rsidR="005513D0" w:rsidRDefault="005513D0" w:rsidP="00981B4A">
                  <w:pPr>
                    <w:pStyle w:val="TableBodyText"/>
                    <w:spacing w:before="40"/>
                    <w:ind w:left="113" w:right="0"/>
                    <w:jc w:val="left"/>
                  </w:pPr>
                  <w:r>
                    <w:t xml:space="preserve">  1 — Resuscitation</w:t>
                  </w:r>
                </w:p>
              </w:tc>
              <w:tc>
                <w:tcPr>
                  <w:tcW w:w="501" w:type="pct"/>
                  <w:tcBorders>
                    <w:top w:val="nil"/>
                    <w:left w:val="nil"/>
                    <w:bottom w:val="nil"/>
                    <w:right w:val="nil"/>
                  </w:tcBorders>
                  <w:shd w:val="clear" w:color="auto" w:fill="auto"/>
                  <w:vAlign w:val="center"/>
                </w:tcPr>
                <w:p w14:paraId="32A68D3B" w14:textId="34389F5D" w:rsidR="005513D0" w:rsidRPr="00EB1629" w:rsidRDefault="005513D0" w:rsidP="005513D0">
                  <w:pPr>
                    <w:pStyle w:val="TableUnitsRow"/>
                    <w:rPr>
                      <w:szCs w:val="18"/>
                    </w:rPr>
                  </w:pPr>
                  <w:r>
                    <w:rPr>
                      <w:rFonts w:cs="Arial"/>
                      <w:sz w:val="20"/>
                    </w:rPr>
                    <w:t>50</w:t>
                  </w:r>
                </w:p>
              </w:tc>
              <w:tc>
                <w:tcPr>
                  <w:tcW w:w="418" w:type="pct"/>
                  <w:tcBorders>
                    <w:top w:val="nil"/>
                    <w:left w:val="nil"/>
                    <w:bottom w:val="nil"/>
                    <w:right w:val="nil"/>
                  </w:tcBorders>
                  <w:shd w:val="clear" w:color="auto" w:fill="auto"/>
                  <w:vAlign w:val="center"/>
                </w:tcPr>
                <w:p w14:paraId="3A84E939" w14:textId="7B468F8B" w:rsidR="005513D0" w:rsidRPr="00EB1629" w:rsidRDefault="005513D0" w:rsidP="005513D0">
                  <w:pPr>
                    <w:pStyle w:val="TableUnitsRow"/>
                    <w:rPr>
                      <w:szCs w:val="18"/>
                    </w:rPr>
                  </w:pPr>
                  <w:r>
                    <w:rPr>
                      <w:rFonts w:cs="Arial"/>
                      <w:sz w:val="20"/>
                    </w:rPr>
                    <w:t>59</w:t>
                  </w:r>
                </w:p>
              </w:tc>
              <w:tc>
                <w:tcPr>
                  <w:tcW w:w="418" w:type="pct"/>
                  <w:tcBorders>
                    <w:top w:val="nil"/>
                    <w:left w:val="nil"/>
                    <w:bottom w:val="nil"/>
                    <w:right w:val="nil"/>
                  </w:tcBorders>
                  <w:shd w:val="clear" w:color="auto" w:fill="auto"/>
                  <w:vAlign w:val="center"/>
                </w:tcPr>
                <w:p w14:paraId="17F412EA" w14:textId="5CFDC2C0" w:rsidR="005513D0" w:rsidRPr="00EB1629" w:rsidRDefault="005513D0" w:rsidP="005513D0">
                  <w:pPr>
                    <w:pStyle w:val="TableUnitsRow"/>
                    <w:rPr>
                      <w:szCs w:val="18"/>
                    </w:rPr>
                  </w:pPr>
                  <w:r>
                    <w:rPr>
                      <w:rFonts w:cs="Arial"/>
                      <w:sz w:val="20"/>
                    </w:rPr>
                    <w:t>57</w:t>
                  </w:r>
                </w:p>
              </w:tc>
              <w:tc>
                <w:tcPr>
                  <w:tcW w:w="417" w:type="pct"/>
                  <w:tcBorders>
                    <w:top w:val="nil"/>
                    <w:left w:val="nil"/>
                    <w:bottom w:val="nil"/>
                    <w:right w:val="nil"/>
                  </w:tcBorders>
                  <w:shd w:val="clear" w:color="auto" w:fill="auto"/>
                  <w:vAlign w:val="center"/>
                </w:tcPr>
                <w:p w14:paraId="0986615E" w14:textId="0E253850" w:rsidR="005513D0" w:rsidRPr="00EB1629" w:rsidRDefault="005513D0" w:rsidP="005513D0">
                  <w:pPr>
                    <w:pStyle w:val="TableUnitsRow"/>
                    <w:rPr>
                      <w:szCs w:val="18"/>
                    </w:rPr>
                  </w:pPr>
                  <w:r>
                    <w:rPr>
                      <w:rFonts w:cs="Arial"/>
                      <w:sz w:val="20"/>
                    </w:rPr>
                    <w:t>65</w:t>
                  </w:r>
                </w:p>
              </w:tc>
              <w:tc>
                <w:tcPr>
                  <w:tcW w:w="418" w:type="pct"/>
                  <w:tcBorders>
                    <w:top w:val="nil"/>
                    <w:left w:val="nil"/>
                    <w:bottom w:val="nil"/>
                    <w:right w:val="nil"/>
                  </w:tcBorders>
                  <w:shd w:val="clear" w:color="auto" w:fill="auto"/>
                  <w:vAlign w:val="center"/>
                </w:tcPr>
                <w:p w14:paraId="03521C22" w14:textId="44EE1281" w:rsidR="005513D0" w:rsidRPr="00EB1629" w:rsidRDefault="005513D0" w:rsidP="005513D0">
                  <w:pPr>
                    <w:pStyle w:val="TableUnitsRow"/>
                    <w:rPr>
                      <w:szCs w:val="18"/>
                    </w:rPr>
                  </w:pPr>
                  <w:r>
                    <w:rPr>
                      <w:rFonts w:cs="Arial"/>
                      <w:sz w:val="20"/>
                    </w:rPr>
                    <w:t>59</w:t>
                  </w:r>
                </w:p>
              </w:tc>
              <w:tc>
                <w:tcPr>
                  <w:tcW w:w="418" w:type="pct"/>
                  <w:tcBorders>
                    <w:top w:val="nil"/>
                    <w:left w:val="nil"/>
                    <w:bottom w:val="nil"/>
                    <w:right w:val="nil"/>
                  </w:tcBorders>
                  <w:shd w:val="clear" w:color="auto" w:fill="auto"/>
                  <w:vAlign w:val="center"/>
                </w:tcPr>
                <w:p w14:paraId="000DF4AF" w14:textId="7C48B69A" w:rsidR="005513D0" w:rsidRPr="00EB1629" w:rsidRDefault="005513D0" w:rsidP="005513D0">
                  <w:pPr>
                    <w:pStyle w:val="TableUnitsRow"/>
                    <w:rPr>
                      <w:szCs w:val="18"/>
                    </w:rPr>
                  </w:pPr>
                  <w:r>
                    <w:rPr>
                      <w:rFonts w:cs="Arial"/>
                      <w:sz w:val="20"/>
                    </w:rPr>
                    <w:t>51</w:t>
                  </w:r>
                </w:p>
              </w:tc>
              <w:tc>
                <w:tcPr>
                  <w:tcW w:w="418" w:type="pct"/>
                  <w:tcBorders>
                    <w:top w:val="nil"/>
                    <w:left w:val="nil"/>
                    <w:bottom w:val="nil"/>
                    <w:right w:val="nil"/>
                  </w:tcBorders>
                  <w:shd w:val="clear" w:color="auto" w:fill="auto"/>
                  <w:vAlign w:val="center"/>
                </w:tcPr>
                <w:p w14:paraId="3270971F" w14:textId="0C9226B0" w:rsidR="005513D0" w:rsidRPr="00EB1629" w:rsidRDefault="005513D0" w:rsidP="005513D0">
                  <w:pPr>
                    <w:pStyle w:val="TableUnitsRow"/>
                    <w:rPr>
                      <w:szCs w:val="18"/>
                    </w:rPr>
                  </w:pPr>
                  <w:r>
                    <w:rPr>
                      <w:rFonts w:cs="Arial"/>
                      <w:sz w:val="20"/>
                    </w:rPr>
                    <w:t>65</w:t>
                  </w:r>
                </w:p>
              </w:tc>
              <w:tc>
                <w:tcPr>
                  <w:tcW w:w="417" w:type="pct"/>
                  <w:tcBorders>
                    <w:top w:val="nil"/>
                    <w:left w:val="nil"/>
                    <w:bottom w:val="nil"/>
                    <w:right w:val="nil"/>
                  </w:tcBorders>
                  <w:shd w:val="clear" w:color="auto" w:fill="auto"/>
                  <w:vAlign w:val="center"/>
                </w:tcPr>
                <w:p w14:paraId="24625DEB" w14:textId="5DE2E169" w:rsidR="005513D0" w:rsidRPr="00EB1629" w:rsidRDefault="005513D0" w:rsidP="005513D0">
                  <w:pPr>
                    <w:pStyle w:val="TableUnitsRow"/>
                    <w:rPr>
                      <w:szCs w:val="18"/>
                    </w:rPr>
                  </w:pPr>
                  <w:r>
                    <w:rPr>
                      <w:rFonts w:cs="Arial"/>
                      <w:sz w:val="20"/>
                    </w:rPr>
                    <w:t>48</w:t>
                  </w:r>
                </w:p>
              </w:tc>
              <w:tc>
                <w:tcPr>
                  <w:tcW w:w="419" w:type="pct"/>
                  <w:tcBorders>
                    <w:top w:val="nil"/>
                    <w:left w:val="nil"/>
                    <w:bottom w:val="nil"/>
                    <w:right w:val="nil"/>
                  </w:tcBorders>
                  <w:shd w:val="clear" w:color="auto" w:fill="auto"/>
                  <w:vAlign w:val="center"/>
                </w:tcPr>
                <w:p w14:paraId="6CB9CB2F" w14:textId="63EE712E" w:rsidR="005513D0" w:rsidRPr="00EB1629" w:rsidRDefault="005513D0" w:rsidP="005513D0">
                  <w:pPr>
                    <w:pStyle w:val="TableUnitsRow"/>
                    <w:rPr>
                      <w:szCs w:val="18"/>
                    </w:rPr>
                  </w:pPr>
                  <w:r>
                    <w:rPr>
                      <w:rFonts w:cs="Arial"/>
                      <w:sz w:val="20"/>
                    </w:rPr>
                    <w:t>56</w:t>
                  </w:r>
                </w:p>
              </w:tc>
            </w:tr>
            <w:tr w:rsidR="005513D0" w14:paraId="27D31068" w14:textId="77777777" w:rsidTr="00720A93">
              <w:tc>
                <w:tcPr>
                  <w:tcW w:w="1156" w:type="pct"/>
                  <w:shd w:val="clear" w:color="auto" w:fill="auto"/>
                </w:tcPr>
                <w:p w14:paraId="67FED03B" w14:textId="77777777" w:rsidR="005513D0" w:rsidRDefault="005513D0" w:rsidP="00981B4A">
                  <w:pPr>
                    <w:pStyle w:val="TableBodyText"/>
                    <w:spacing w:before="40"/>
                    <w:ind w:left="113" w:right="0"/>
                    <w:jc w:val="left"/>
                  </w:pPr>
                  <w:r>
                    <w:t xml:space="preserve">  2 — Emergency</w:t>
                  </w:r>
                </w:p>
              </w:tc>
              <w:tc>
                <w:tcPr>
                  <w:tcW w:w="501" w:type="pct"/>
                  <w:tcBorders>
                    <w:top w:val="nil"/>
                    <w:left w:val="nil"/>
                    <w:bottom w:val="nil"/>
                    <w:right w:val="nil"/>
                  </w:tcBorders>
                  <w:shd w:val="clear" w:color="auto" w:fill="auto"/>
                  <w:vAlign w:val="center"/>
                </w:tcPr>
                <w:p w14:paraId="35874DF0" w14:textId="4D78CB1A" w:rsidR="005513D0" w:rsidRPr="00EB1629" w:rsidRDefault="005513D0" w:rsidP="005513D0">
                  <w:pPr>
                    <w:pStyle w:val="TableUnitsRow"/>
                    <w:rPr>
                      <w:szCs w:val="18"/>
                    </w:rPr>
                  </w:pPr>
                  <w:r>
                    <w:rPr>
                      <w:rFonts w:cs="Arial"/>
                      <w:sz w:val="20"/>
                    </w:rPr>
                    <w:t>44</w:t>
                  </w:r>
                </w:p>
              </w:tc>
              <w:tc>
                <w:tcPr>
                  <w:tcW w:w="418" w:type="pct"/>
                  <w:tcBorders>
                    <w:top w:val="nil"/>
                    <w:left w:val="nil"/>
                    <w:bottom w:val="nil"/>
                    <w:right w:val="nil"/>
                  </w:tcBorders>
                  <w:shd w:val="clear" w:color="auto" w:fill="auto"/>
                  <w:vAlign w:val="center"/>
                </w:tcPr>
                <w:p w14:paraId="22C5B63F" w14:textId="2E1472AC" w:rsidR="005513D0" w:rsidRPr="00EB1629" w:rsidRDefault="005513D0" w:rsidP="005513D0">
                  <w:pPr>
                    <w:pStyle w:val="TableUnitsRow"/>
                    <w:rPr>
                      <w:szCs w:val="18"/>
                    </w:rPr>
                  </w:pPr>
                  <w:r>
                    <w:rPr>
                      <w:rFonts w:cs="Arial"/>
                      <w:sz w:val="20"/>
                    </w:rPr>
                    <w:t>55</w:t>
                  </w:r>
                </w:p>
              </w:tc>
              <w:tc>
                <w:tcPr>
                  <w:tcW w:w="418" w:type="pct"/>
                  <w:tcBorders>
                    <w:top w:val="nil"/>
                    <w:left w:val="nil"/>
                    <w:bottom w:val="nil"/>
                    <w:right w:val="nil"/>
                  </w:tcBorders>
                  <w:shd w:val="clear" w:color="auto" w:fill="auto"/>
                  <w:vAlign w:val="center"/>
                </w:tcPr>
                <w:p w14:paraId="15ED625C" w14:textId="617FFC3C" w:rsidR="005513D0" w:rsidRPr="00EB1629" w:rsidRDefault="005513D0" w:rsidP="005513D0">
                  <w:pPr>
                    <w:pStyle w:val="TableUnitsRow"/>
                    <w:rPr>
                      <w:szCs w:val="18"/>
                    </w:rPr>
                  </w:pPr>
                  <w:r>
                    <w:rPr>
                      <w:rFonts w:cs="Arial"/>
                      <w:sz w:val="20"/>
                    </w:rPr>
                    <w:t>55</w:t>
                  </w:r>
                </w:p>
              </w:tc>
              <w:tc>
                <w:tcPr>
                  <w:tcW w:w="417" w:type="pct"/>
                  <w:tcBorders>
                    <w:top w:val="nil"/>
                    <w:left w:val="nil"/>
                    <w:bottom w:val="nil"/>
                    <w:right w:val="nil"/>
                  </w:tcBorders>
                  <w:shd w:val="clear" w:color="auto" w:fill="auto"/>
                  <w:vAlign w:val="center"/>
                </w:tcPr>
                <w:p w14:paraId="4EE3243C" w14:textId="05FC7C24" w:rsidR="005513D0" w:rsidRPr="00EB1629" w:rsidRDefault="005513D0" w:rsidP="005513D0">
                  <w:pPr>
                    <w:pStyle w:val="TableUnitsRow"/>
                    <w:rPr>
                      <w:szCs w:val="18"/>
                    </w:rPr>
                  </w:pPr>
                  <w:r>
                    <w:rPr>
                      <w:rFonts w:cs="Arial"/>
                      <w:sz w:val="20"/>
                    </w:rPr>
                    <w:t>56</w:t>
                  </w:r>
                </w:p>
              </w:tc>
              <w:tc>
                <w:tcPr>
                  <w:tcW w:w="418" w:type="pct"/>
                  <w:tcBorders>
                    <w:top w:val="nil"/>
                    <w:left w:val="nil"/>
                    <w:bottom w:val="nil"/>
                    <w:right w:val="nil"/>
                  </w:tcBorders>
                  <w:shd w:val="clear" w:color="auto" w:fill="auto"/>
                  <w:vAlign w:val="center"/>
                </w:tcPr>
                <w:p w14:paraId="7AF1F034" w14:textId="42332B99" w:rsidR="005513D0" w:rsidRPr="00EB1629" w:rsidRDefault="005513D0" w:rsidP="005513D0">
                  <w:pPr>
                    <w:pStyle w:val="TableUnitsRow"/>
                    <w:rPr>
                      <w:szCs w:val="18"/>
                    </w:rPr>
                  </w:pPr>
                  <w:r>
                    <w:rPr>
                      <w:rFonts w:cs="Arial"/>
                      <w:sz w:val="20"/>
                    </w:rPr>
                    <w:t>44</w:t>
                  </w:r>
                </w:p>
              </w:tc>
              <w:tc>
                <w:tcPr>
                  <w:tcW w:w="418" w:type="pct"/>
                  <w:tcBorders>
                    <w:top w:val="nil"/>
                    <w:left w:val="nil"/>
                    <w:bottom w:val="nil"/>
                    <w:right w:val="nil"/>
                  </w:tcBorders>
                  <w:shd w:val="clear" w:color="auto" w:fill="auto"/>
                  <w:vAlign w:val="center"/>
                </w:tcPr>
                <w:p w14:paraId="2E98F600" w14:textId="401C611A" w:rsidR="005513D0" w:rsidRPr="00EB1629" w:rsidRDefault="005513D0" w:rsidP="005513D0">
                  <w:pPr>
                    <w:pStyle w:val="TableUnitsRow"/>
                    <w:rPr>
                      <w:szCs w:val="18"/>
                    </w:rPr>
                  </w:pPr>
                  <w:r>
                    <w:rPr>
                      <w:rFonts w:cs="Arial"/>
                      <w:sz w:val="20"/>
                    </w:rPr>
                    <w:t>31</w:t>
                  </w:r>
                </w:p>
              </w:tc>
              <w:tc>
                <w:tcPr>
                  <w:tcW w:w="418" w:type="pct"/>
                  <w:tcBorders>
                    <w:top w:val="nil"/>
                    <w:left w:val="nil"/>
                    <w:bottom w:val="nil"/>
                    <w:right w:val="nil"/>
                  </w:tcBorders>
                  <w:shd w:val="clear" w:color="auto" w:fill="auto"/>
                  <w:vAlign w:val="center"/>
                </w:tcPr>
                <w:p w14:paraId="3D222243" w14:textId="1BC5F817" w:rsidR="005513D0" w:rsidRPr="00EB1629" w:rsidRDefault="005513D0" w:rsidP="005513D0">
                  <w:pPr>
                    <w:pStyle w:val="TableUnitsRow"/>
                    <w:rPr>
                      <w:szCs w:val="18"/>
                    </w:rPr>
                  </w:pPr>
                  <w:r>
                    <w:rPr>
                      <w:rFonts w:cs="Arial"/>
                      <w:sz w:val="20"/>
                    </w:rPr>
                    <w:t>57</w:t>
                  </w:r>
                </w:p>
              </w:tc>
              <w:tc>
                <w:tcPr>
                  <w:tcW w:w="417" w:type="pct"/>
                  <w:tcBorders>
                    <w:top w:val="nil"/>
                    <w:left w:val="nil"/>
                    <w:bottom w:val="nil"/>
                    <w:right w:val="nil"/>
                  </w:tcBorders>
                  <w:shd w:val="clear" w:color="auto" w:fill="auto"/>
                  <w:vAlign w:val="center"/>
                </w:tcPr>
                <w:p w14:paraId="61892A05" w14:textId="14CB5570" w:rsidR="005513D0" w:rsidRPr="00EB1629" w:rsidRDefault="005513D0" w:rsidP="005513D0">
                  <w:pPr>
                    <w:pStyle w:val="TableUnitsRow"/>
                    <w:rPr>
                      <w:szCs w:val="18"/>
                    </w:rPr>
                  </w:pPr>
                  <w:r>
                    <w:rPr>
                      <w:rFonts w:cs="Arial"/>
                      <w:sz w:val="20"/>
                    </w:rPr>
                    <w:t>33</w:t>
                  </w:r>
                </w:p>
              </w:tc>
              <w:tc>
                <w:tcPr>
                  <w:tcW w:w="419" w:type="pct"/>
                  <w:tcBorders>
                    <w:top w:val="nil"/>
                    <w:left w:val="nil"/>
                    <w:bottom w:val="nil"/>
                    <w:right w:val="nil"/>
                  </w:tcBorders>
                  <w:shd w:val="clear" w:color="auto" w:fill="auto"/>
                  <w:vAlign w:val="center"/>
                </w:tcPr>
                <w:p w14:paraId="661DFF2B" w14:textId="57995D50" w:rsidR="005513D0" w:rsidRPr="00EB1629" w:rsidRDefault="005513D0" w:rsidP="005513D0">
                  <w:pPr>
                    <w:pStyle w:val="TableUnitsRow"/>
                    <w:rPr>
                      <w:szCs w:val="18"/>
                    </w:rPr>
                  </w:pPr>
                  <w:r>
                    <w:rPr>
                      <w:rFonts w:cs="Arial"/>
                      <w:sz w:val="20"/>
                    </w:rPr>
                    <w:t>50</w:t>
                  </w:r>
                </w:p>
              </w:tc>
            </w:tr>
            <w:tr w:rsidR="005513D0" w14:paraId="5FE0D120" w14:textId="77777777" w:rsidTr="00720A93">
              <w:tc>
                <w:tcPr>
                  <w:tcW w:w="1156" w:type="pct"/>
                  <w:shd w:val="clear" w:color="auto" w:fill="auto"/>
                </w:tcPr>
                <w:p w14:paraId="67291BF4" w14:textId="77777777" w:rsidR="005513D0" w:rsidRDefault="005513D0" w:rsidP="00981B4A">
                  <w:pPr>
                    <w:pStyle w:val="TableBodyText"/>
                    <w:spacing w:before="40"/>
                    <w:ind w:left="113" w:right="0"/>
                    <w:jc w:val="left"/>
                  </w:pPr>
                  <w:r>
                    <w:t xml:space="preserve">  3 — Urgent</w:t>
                  </w:r>
                </w:p>
              </w:tc>
              <w:tc>
                <w:tcPr>
                  <w:tcW w:w="501" w:type="pct"/>
                  <w:tcBorders>
                    <w:top w:val="nil"/>
                    <w:left w:val="nil"/>
                    <w:bottom w:val="nil"/>
                    <w:right w:val="nil"/>
                  </w:tcBorders>
                  <w:shd w:val="clear" w:color="auto" w:fill="auto"/>
                  <w:vAlign w:val="center"/>
                </w:tcPr>
                <w:p w14:paraId="2F2245FE" w14:textId="319DA5AC" w:rsidR="005513D0" w:rsidRPr="00EB1629" w:rsidRDefault="005513D0" w:rsidP="005513D0">
                  <w:pPr>
                    <w:pStyle w:val="TableUnitsRow"/>
                    <w:rPr>
                      <w:szCs w:val="18"/>
                    </w:rPr>
                  </w:pPr>
                  <w:r>
                    <w:rPr>
                      <w:rFonts w:cs="Arial"/>
                      <w:sz w:val="20"/>
                    </w:rPr>
                    <w:t>41</w:t>
                  </w:r>
                </w:p>
              </w:tc>
              <w:tc>
                <w:tcPr>
                  <w:tcW w:w="418" w:type="pct"/>
                  <w:tcBorders>
                    <w:top w:val="nil"/>
                    <w:left w:val="nil"/>
                    <w:bottom w:val="nil"/>
                    <w:right w:val="nil"/>
                  </w:tcBorders>
                  <w:shd w:val="clear" w:color="auto" w:fill="auto"/>
                  <w:vAlign w:val="center"/>
                </w:tcPr>
                <w:p w14:paraId="50E3FFC2" w14:textId="07E988A3" w:rsidR="005513D0" w:rsidRPr="00EB1629" w:rsidRDefault="005513D0" w:rsidP="005513D0">
                  <w:pPr>
                    <w:pStyle w:val="TableUnitsRow"/>
                    <w:rPr>
                      <w:szCs w:val="18"/>
                    </w:rPr>
                  </w:pPr>
                  <w:r>
                    <w:rPr>
                      <w:rFonts w:cs="Arial"/>
                      <w:sz w:val="20"/>
                    </w:rPr>
                    <w:t>53</w:t>
                  </w:r>
                </w:p>
              </w:tc>
              <w:tc>
                <w:tcPr>
                  <w:tcW w:w="418" w:type="pct"/>
                  <w:tcBorders>
                    <w:top w:val="nil"/>
                    <w:left w:val="nil"/>
                    <w:bottom w:val="nil"/>
                    <w:right w:val="nil"/>
                  </w:tcBorders>
                  <w:shd w:val="clear" w:color="auto" w:fill="auto"/>
                  <w:vAlign w:val="center"/>
                </w:tcPr>
                <w:p w14:paraId="55D79130" w14:textId="252B7DD4" w:rsidR="005513D0" w:rsidRPr="00EB1629" w:rsidRDefault="005513D0" w:rsidP="005513D0">
                  <w:pPr>
                    <w:pStyle w:val="TableUnitsRow"/>
                    <w:rPr>
                      <w:szCs w:val="18"/>
                    </w:rPr>
                  </w:pPr>
                  <w:r>
                    <w:rPr>
                      <w:rFonts w:cs="Arial"/>
                      <w:sz w:val="20"/>
                    </w:rPr>
                    <w:t>54</w:t>
                  </w:r>
                </w:p>
              </w:tc>
              <w:tc>
                <w:tcPr>
                  <w:tcW w:w="417" w:type="pct"/>
                  <w:tcBorders>
                    <w:top w:val="nil"/>
                    <w:left w:val="nil"/>
                    <w:bottom w:val="nil"/>
                    <w:right w:val="nil"/>
                  </w:tcBorders>
                  <w:shd w:val="clear" w:color="auto" w:fill="auto"/>
                  <w:vAlign w:val="center"/>
                </w:tcPr>
                <w:p w14:paraId="49E9C4DD" w14:textId="1086F2BA" w:rsidR="005513D0" w:rsidRPr="00EB1629" w:rsidRDefault="005513D0" w:rsidP="005513D0">
                  <w:pPr>
                    <w:pStyle w:val="TableUnitsRow"/>
                    <w:rPr>
                      <w:szCs w:val="18"/>
                    </w:rPr>
                  </w:pPr>
                  <w:r>
                    <w:rPr>
                      <w:rFonts w:cs="Arial"/>
                      <w:sz w:val="20"/>
                    </w:rPr>
                    <w:t>45</w:t>
                  </w:r>
                </w:p>
              </w:tc>
              <w:tc>
                <w:tcPr>
                  <w:tcW w:w="418" w:type="pct"/>
                  <w:tcBorders>
                    <w:top w:val="nil"/>
                    <w:left w:val="nil"/>
                    <w:bottom w:val="nil"/>
                    <w:right w:val="nil"/>
                  </w:tcBorders>
                  <w:shd w:val="clear" w:color="auto" w:fill="auto"/>
                  <w:vAlign w:val="center"/>
                </w:tcPr>
                <w:p w14:paraId="283237BD" w14:textId="241A92B4" w:rsidR="005513D0" w:rsidRPr="00EB1629" w:rsidRDefault="005513D0" w:rsidP="005513D0">
                  <w:pPr>
                    <w:pStyle w:val="TableUnitsRow"/>
                    <w:rPr>
                      <w:szCs w:val="18"/>
                    </w:rPr>
                  </w:pPr>
                  <w:r>
                    <w:rPr>
                      <w:rFonts w:cs="Arial"/>
                      <w:sz w:val="20"/>
                    </w:rPr>
                    <w:t>38</w:t>
                  </w:r>
                </w:p>
              </w:tc>
              <w:tc>
                <w:tcPr>
                  <w:tcW w:w="418" w:type="pct"/>
                  <w:tcBorders>
                    <w:top w:val="nil"/>
                    <w:left w:val="nil"/>
                    <w:bottom w:val="nil"/>
                    <w:right w:val="nil"/>
                  </w:tcBorders>
                  <w:shd w:val="clear" w:color="auto" w:fill="auto"/>
                  <w:vAlign w:val="center"/>
                </w:tcPr>
                <w:p w14:paraId="29912541" w14:textId="2A7AC1A8" w:rsidR="005513D0" w:rsidRPr="00EB1629" w:rsidRDefault="005513D0" w:rsidP="005513D0">
                  <w:pPr>
                    <w:pStyle w:val="TableUnitsRow"/>
                    <w:rPr>
                      <w:szCs w:val="18"/>
                    </w:rPr>
                  </w:pPr>
                  <w:r>
                    <w:rPr>
                      <w:rFonts w:cs="Arial"/>
                      <w:sz w:val="20"/>
                    </w:rPr>
                    <w:t>22</w:t>
                  </w:r>
                </w:p>
              </w:tc>
              <w:tc>
                <w:tcPr>
                  <w:tcW w:w="418" w:type="pct"/>
                  <w:tcBorders>
                    <w:top w:val="nil"/>
                    <w:left w:val="nil"/>
                    <w:bottom w:val="nil"/>
                    <w:right w:val="nil"/>
                  </w:tcBorders>
                  <w:shd w:val="clear" w:color="auto" w:fill="auto"/>
                  <w:vAlign w:val="center"/>
                </w:tcPr>
                <w:p w14:paraId="404EEF0D" w14:textId="426421B3" w:rsidR="005513D0" w:rsidRPr="00EB1629" w:rsidRDefault="005513D0" w:rsidP="005513D0">
                  <w:pPr>
                    <w:pStyle w:val="TableUnitsRow"/>
                    <w:rPr>
                      <w:szCs w:val="18"/>
                    </w:rPr>
                  </w:pPr>
                  <w:r>
                    <w:rPr>
                      <w:rFonts w:cs="Arial"/>
                      <w:sz w:val="20"/>
                    </w:rPr>
                    <w:t>46</w:t>
                  </w:r>
                </w:p>
              </w:tc>
              <w:tc>
                <w:tcPr>
                  <w:tcW w:w="417" w:type="pct"/>
                  <w:tcBorders>
                    <w:top w:val="nil"/>
                    <w:left w:val="nil"/>
                    <w:bottom w:val="nil"/>
                    <w:right w:val="nil"/>
                  </w:tcBorders>
                  <w:shd w:val="clear" w:color="auto" w:fill="auto"/>
                  <w:vAlign w:val="center"/>
                </w:tcPr>
                <w:p w14:paraId="2F35A7A8" w14:textId="166D9770" w:rsidR="005513D0" w:rsidRPr="00EB1629" w:rsidRDefault="005513D0" w:rsidP="005513D0">
                  <w:pPr>
                    <w:pStyle w:val="TableUnitsRow"/>
                    <w:rPr>
                      <w:szCs w:val="18"/>
                    </w:rPr>
                  </w:pPr>
                  <w:r>
                    <w:rPr>
                      <w:rFonts w:cs="Arial"/>
                      <w:sz w:val="20"/>
                    </w:rPr>
                    <w:t>31</w:t>
                  </w:r>
                </w:p>
              </w:tc>
              <w:tc>
                <w:tcPr>
                  <w:tcW w:w="419" w:type="pct"/>
                  <w:tcBorders>
                    <w:top w:val="nil"/>
                    <w:left w:val="nil"/>
                    <w:bottom w:val="nil"/>
                    <w:right w:val="nil"/>
                  </w:tcBorders>
                  <w:shd w:val="clear" w:color="auto" w:fill="auto"/>
                  <w:vAlign w:val="center"/>
                </w:tcPr>
                <w:p w14:paraId="386D9B05" w14:textId="05575B23" w:rsidR="005513D0" w:rsidRPr="00EB1629" w:rsidRDefault="005513D0" w:rsidP="005513D0">
                  <w:pPr>
                    <w:pStyle w:val="TableUnitsRow"/>
                    <w:rPr>
                      <w:szCs w:val="18"/>
                    </w:rPr>
                  </w:pPr>
                  <w:r>
                    <w:rPr>
                      <w:rFonts w:cs="Arial"/>
                      <w:sz w:val="20"/>
                    </w:rPr>
                    <w:t>47</w:t>
                  </w:r>
                </w:p>
              </w:tc>
            </w:tr>
            <w:tr w:rsidR="005513D0" w14:paraId="65CAAD31" w14:textId="77777777" w:rsidTr="00720A93">
              <w:tc>
                <w:tcPr>
                  <w:tcW w:w="1156" w:type="pct"/>
                  <w:shd w:val="clear" w:color="auto" w:fill="auto"/>
                </w:tcPr>
                <w:p w14:paraId="4EC3AF50" w14:textId="77777777" w:rsidR="005513D0" w:rsidRDefault="005513D0" w:rsidP="00981B4A">
                  <w:pPr>
                    <w:pStyle w:val="TableBodyText"/>
                    <w:spacing w:before="40"/>
                    <w:ind w:left="113" w:right="0"/>
                    <w:jc w:val="left"/>
                  </w:pPr>
                  <w:r>
                    <w:t xml:space="preserve">  4 — Semi-urgent</w:t>
                  </w:r>
                </w:p>
              </w:tc>
              <w:tc>
                <w:tcPr>
                  <w:tcW w:w="501" w:type="pct"/>
                  <w:tcBorders>
                    <w:top w:val="nil"/>
                    <w:left w:val="nil"/>
                    <w:bottom w:val="nil"/>
                    <w:right w:val="nil"/>
                  </w:tcBorders>
                  <w:shd w:val="clear" w:color="auto" w:fill="auto"/>
                  <w:vAlign w:val="center"/>
                </w:tcPr>
                <w:p w14:paraId="44295F1D" w14:textId="03501114" w:rsidR="005513D0" w:rsidRPr="00EB1629" w:rsidRDefault="005513D0" w:rsidP="005513D0">
                  <w:pPr>
                    <w:pStyle w:val="TableUnitsRow"/>
                    <w:rPr>
                      <w:szCs w:val="18"/>
                    </w:rPr>
                  </w:pPr>
                  <w:r>
                    <w:rPr>
                      <w:rFonts w:cs="Arial"/>
                      <w:sz w:val="20"/>
                    </w:rPr>
                    <w:t>48</w:t>
                  </w:r>
                </w:p>
              </w:tc>
              <w:tc>
                <w:tcPr>
                  <w:tcW w:w="418" w:type="pct"/>
                  <w:tcBorders>
                    <w:top w:val="nil"/>
                    <w:left w:val="nil"/>
                    <w:bottom w:val="nil"/>
                    <w:right w:val="nil"/>
                  </w:tcBorders>
                  <w:shd w:val="clear" w:color="auto" w:fill="auto"/>
                  <w:vAlign w:val="center"/>
                </w:tcPr>
                <w:p w14:paraId="0232A738" w14:textId="31ABEB0F" w:rsidR="005513D0" w:rsidRPr="00EB1629" w:rsidRDefault="005513D0" w:rsidP="005513D0">
                  <w:pPr>
                    <w:pStyle w:val="TableUnitsRow"/>
                    <w:rPr>
                      <w:szCs w:val="18"/>
                    </w:rPr>
                  </w:pPr>
                  <w:r>
                    <w:rPr>
                      <w:rFonts w:cs="Arial"/>
                      <w:sz w:val="20"/>
                    </w:rPr>
                    <w:t>57</w:t>
                  </w:r>
                </w:p>
              </w:tc>
              <w:tc>
                <w:tcPr>
                  <w:tcW w:w="418" w:type="pct"/>
                  <w:tcBorders>
                    <w:top w:val="nil"/>
                    <w:left w:val="nil"/>
                    <w:bottom w:val="nil"/>
                    <w:right w:val="nil"/>
                  </w:tcBorders>
                  <w:shd w:val="clear" w:color="auto" w:fill="auto"/>
                  <w:vAlign w:val="center"/>
                </w:tcPr>
                <w:p w14:paraId="6C45ADFD" w14:textId="2B655A2C" w:rsidR="005513D0" w:rsidRPr="00EB1629" w:rsidRDefault="005513D0" w:rsidP="005513D0">
                  <w:pPr>
                    <w:pStyle w:val="TableUnitsRow"/>
                    <w:rPr>
                      <w:szCs w:val="18"/>
                    </w:rPr>
                  </w:pPr>
                  <w:r>
                    <w:rPr>
                      <w:rFonts w:cs="Arial"/>
                      <w:sz w:val="20"/>
                    </w:rPr>
                    <w:t>57</w:t>
                  </w:r>
                </w:p>
              </w:tc>
              <w:tc>
                <w:tcPr>
                  <w:tcW w:w="417" w:type="pct"/>
                  <w:tcBorders>
                    <w:top w:val="nil"/>
                    <w:left w:val="nil"/>
                    <w:bottom w:val="nil"/>
                    <w:right w:val="nil"/>
                  </w:tcBorders>
                  <w:shd w:val="clear" w:color="auto" w:fill="auto"/>
                  <w:vAlign w:val="center"/>
                </w:tcPr>
                <w:p w14:paraId="4830A7EA" w14:textId="6A410B8B" w:rsidR="005513D0" w:rsidRPr="00EB1629" w:rsidRDefault="005513D0" w:rsidP="005513D0">
                  <w:pPr>
                    <w:pStyle w:val="TableUnitsRow"/>
                    <w:rPr>
                      <w:szCs w:val="18"/>
                    </w:rPr>
                  </w:pPr>
                  <w:r>
                    <w:rPr>
                      <w:rFonts w:cs="Arial"/>
                      <w:sz w:val="20"/>
                    </w:rPr>
                    <w:t>48</w:t>
                  </w:r>
                </w:p>
              </w:tc>
              <w:tc>
                <w:tcPr>
                  <w:tcW w:w="418" w:type="pct"/>
                  <w:tcBorders>
                    <w:top w:val="nil"/>
                    <w:left w:val="nil"/>
                    <w:bottom w:val="nil"/>
                    <w:right w:val="nil"/>
                  </w:tcBorders>
                  <w:shd w:val="clear" w:color="auto" w:fill="auto"/>
                  <w:vAlign w:val="center"/>
                </w:tcPr>
                <w:p w14:paraId="0DA6A73C" w14:textId="5C64D139" w:rsidR="005513D0" w:rsidRPr="00EB1629" w:rsidRDefault="005513D0" w:rsidP="005513D0">
                  <w:pPr>
                    <w:pStyle w:val="TableUnitsRow"/>
                    <w:rPr>
                      <w:szCs w:val="18"/>
                    </w:rPr>
                  </w:pPr>
                  <w:r>
                    <w:rPr>
                      <w:rFonts w:cs="Arial"/>
                      <w:sz w:val="20"/>
                    </w:rPr>
                    <w:t>46</w:t>
                  </w:r>
                </w:p>
              </w:tc>
              <w:tc>
                <w:tcPr>
                  <w:tcW w:w="418" w:type="pct"/>
                  <w:tcBorders>
                    <w:top w:val="nil"/>
                    <w:left w:val="nil"/>
                    <w:bottom w:val="nil"/>
                    <w:right w:val="nil"/>
                  </w:tcBorders>
                  <w:shd w:val="clear" w:color="auto" w:fill="auto"/>
                  <w:vAlign w:val="center"/>
                </w:tcPr>
                <w:p w14:paraId="4D6A5980" w14:textId="22BB6FF8" w:rsidR="005513D0" w:rsidRPr="00EB1629" w:rsidRDefault="005513D0" w:rsidP="005513D0">
                  <w:pPr>
                    <w:pStyle w:val="TableUnitsRow"/>
                    <w:rPr>
                      <w:szCs w:val="18"/>
                    </w:rPr>
                  </w:pPr>
                  <w:r>
                    <w:rPr>
                      <w:rFonts w:cs="Arial"/>
                      <w:sz w:val="20"/>
                    </w:rPr>
                    <w:t>26</w:t>
                  </w:r>
                </w:p>
              </w:tc>
              <w:tc>
                <w:tcPr>
                  <w:tcW w:w="418" w:type="pct"/>
                  <w:tcBorders>
                    <w:top w:val="nil"/>
                    <w:left w:val="nil"/>
                    <w:bottom w:val="nil"/>
                    <w:right w:val="nil"/>
                  </w:tcBorders>
                  <w:shd w:val="clear" w:color="auto" w:fill="auto"/>
                  <w:vAlign w:val="center"/>
                </w:tcPr>
                <w:p w14:paraId="03F85FE4" w14:textId="0BC34507" w:rsidR="005513D0" w:rsidRPr="00EB1629" w:rsidRDefault="005513D0" w:rsidP="005513D0">
                  <w:pPr>
                    <w:pStyle w:val="TableUnitsRow"/>
                    <w:rPr>
                      <w:szCs w:val="18"/>
                    </w:rPr>
                  </w:pPr>
                  <w:r>
                    <w:rPr>
                      <w:rFonts w:cs="Arial"/>
                      <w:sz w:val="20"/>
                    </w:rPr>
                    <w:t>55</w:t>
                  </w:r>
                </w:p>
              </w:tc>
              <w:tc>
                <w:tcPr>
                  <w:tcW w:w="417" w:type="pct"/>
                  <w:tcBorders>
                    <w:top w:val="nil"/>
                    <w:left w:val="nil"/>
                    <w:bottom w:val="nil"/>
                    <w:right w:val="nil"/>
                  </w:tcBorders>
                  <w:shd w:val="clear" w:color="auto" w:fill="auto"/>
                  <w:vAlign w:val="center"/>
                </w:tcPr>
                <w:p w14:paraId="6A835FE1" w14:textId="5D3BDF67" w:rsidR="005513D0" w:rsidRPr="00EB1629" w:rsidRDefault="005513D0" w:rsidP="005513D0">
                  <w:pPr>
                    <w:pStyle w:val="TableUnitsRow"/>
                    <w:rPr>
                      <w:szCs w:val="18"/>
                    </w:rPr>
                  </w:pPr>
                  <w:r>
                    <w:rPr>
                      <w:rFonts w:cs="Arial"/>
                      <w:sz w:val="20"/>
                    </w:rPr>
                    <w:t>32</w:t>
                  </w:r>
                </w:p>
              </w:tc>
              <w:tc>
                <w:tcPr>
                  <w:tcW w:w="419" w:type="pct"/>
                  <w:tcBorders>
                    <w:top w:val="nil"/>
                    <w:left w:val="nil"/>
                    <w:bottom w:val="nil"/>
                    <w:right w:val="nil"/>
                  </w:tcBorders>
                  <w:shd w:val="clear" w:color="auto" w:fill="auto"/>
                  <w:vAlign w:val="center"/>
                </w:tcPr>
                <w:p w14:paraId="4D022177" w14:textId="5CF665A8" w:rsidR="005513D0" w:rsidRPr="00EB1629" w:rsidRDefault="005513D0" w:rsidP="005513D0">
                  <w:pPr>
                    <w:pStyle w:val="TableUnitsRow"/>
                    <w:rPr>
                      <w:szCs w:val="18"/>
                    </w:rPr>
                  </w:pPr>
                  <w:r>
                    <w:rPr>
                      <w:rFonts w:cs="Arial"/>
                      <w:sz w:val="20"/>
                    </w:rPr>
                    <w:t>51</w:t>
                  </w:r>
                </w:p>
              </w:tc>
            </w:tr>
            <w:tr w:rsidR="005513D0" w14:paraId="57496BB6" w14:textId="77777777" w:rsidTr="00720A93">
              <w:tc>
                <w:tcPr>
                  <w:tcW w:w="1156" w:type="pct"/>
                  <w:shd w:val="clear" w:color="auto" w:fill="auto"/>
                </w:tcPr>
                <w:p w14:paraId="2B631E46" w14:textId="77777777" w:rsidR="005513D0" w:rsidRDefault="005513D0" w:rsidP="00981B4A">
                  <w:pPr>
                    <w:pStyle w:val="TableBodyText"/>
                    <w:spacing w:before="40"/>
                    <w:ind w:left="113" w:right="0"/>
                    <w:jc w:val="left"/>
                  </w:pPr>
                  <w:r>
                    <w:t xml:space="preserve">  5 — Non-urgent</w:t>
                  </w:r>
                </w:p>
              </w:tc>
              <w:tc>
                <w:tcPr>
                  <w:tcW w:w="501" w:type="pct"/>
                  <w:tcBorders>
                    <w:top w:val="nil"/>
                    <w:left w:val="nil"/>
                    <w:bottom w:val="nil"/>
                    <w:right w:val="nil"/>
                  </w:tcBorders>
                  <w:shd w:val="clear" w:color="auto" w:fill="auto"/>
                  <w:vAlign w:val="center"/>
                </w:tcPr>
                <w:p w14:paraId="148D255F" w14:textId="73A6C5CE" w:rsidR="005513D0" w:rsidRPr="00EB1629" w:rsidRDefault="005513D0" w:rsidP="005513D0">
                  <w:pPr>
                    <w:pStyle w:val="TableUnitsRow"/>
                    <w:rPr>
                      <w:szCs w:val="18"/>
                    </w:rPr>
                  </w:pPr>
                  <w:r>
                    <w:rPr>
                      <w:rFonts w:cs="Arial"/>
                      <w:sz w:val="20"/>
                    </w:rPr>
                    <w:t>67</w:t>
                  </w:r>
                </w:p>
              </w:tc>
              <w:tc>
                <w:tcPr>
                  <w:tcW w:w="418" w:type="pct"/>
                  <w:tcBorders>
                    <w:top w:val="nil"/>
                    <w:left w:val="nil"/>
                    <w:bottom w:val="nil"/>
                    <w:right w:val="nil"/>
                  </w:tcBorders>
                  <w:shd w:val="clear" w:color="auto" w:fill="auto"/>
                  <w:vAlign w:val="center"/>
                </w:tcPr>
                <w:p w14:paraId="05DF5AFF" w14:textId="5FFF5FA1" w:rsidR="005513D0" w:rsidRPr="00EB1629" w:rsidRDefault="005513D0" w:rsidP="005513D0">
                  <w:pPr>
                    <w:pStyle w:val="TableUnitsRow"/>
                    <w:rPr>
                      <w:szCs w:val="18"/>
                    </w:rPr>
                  </w:pPr>
                  <w:r>
                    <w:rPr>
                      <w:rFonts w:cs="Arial"/>
                      <w:sz w:val="20"/>
                    </w:rPr>
                    <w:t>68</w:t>
                  </w:r>
                </w:p>
              </w:tc>
              <w:tc>
                <w:tcPr>
                  <w:tcW w:w="418" w:type="pct"/>
                  <w:tcBorders>
                    <w:top w:val="nil"/>
                    <w:left w:val="nil"/>
                    <w:bottom w:val="nil"/>
                    <w:right w:val="nil"/>
                  </w:tcBorders>
                  <w:shd w:val="clear" w:color="auto" w:fill="auto"/>
                  <w:vAlign w:val="center"/>
                </w:tcPr>
                <w:p w14:paraId="64B2A5ED" w14:textId="63047DA0" w:rsidR="005513D0" w:rsidRPr="00EB1629" w:rsidRDefault="005513D0" w:rsidP="005513D0">
                  <w:pPr>
                    <w:pStyle w:val="TableUnitsRow"/>
                    <w:rPr>
                      <w:szCs w:val="18"/>
                    </w:rPr>
                  </w:pPr>
                  <w:r>
                    <w:rPr>
                      <w:rFonts w:cs="Arial"/>
                      <w:sz w:val="20"/>
                    </w:rPr>
                    <w:t>67</w:t>
                  </w:r>
                </w:p>
              </w:tc>
              <w:tc>
                <w:tcPr>
                  <w:tcW w:w="417" w:type="pct"/>
                  <w:tcBorders>
                    <w:top w:val="nil"/>
                    <w:left w:val="nil"/>
                    <w:bottom w:val="nil"/>
                    <w:right w:val="nil"/>
                  </w:tcBorders>
                  <w:shd w:val="clear" w:color="auto" w:fill="auto"/>
                  <w:vAlign w:val="center"/>
                </w:tcPr>
                <w:p w14:paraId="34946544" w14:textId="3E5450AC" w:rsidR="005513D0" w:rsidRPr="00EB1629" w:rsidRDefault="005513D0" w:rsidP="005513D0">
                  <w:pPr>
                    <w:pStyle w:val="TableUnitsRow"/>
                    <w:rPr>
                      <w:szCs w:val="18"/>
                    </w:rPr>
                  </w:pPr>
                  <w:r>
                    <w:rPr>
                      <w:rFonts w:cs="Arial"/>
                      <w:sz w:val="20"/>
                    </w:rPr>
                    <w:t>58</w:t>
                  </w:r>
                </w:p>
              </w:tc>
              <w:tc>
                <w:tcPr>
                  <w:tcW w:w="418" w:type="pct"/>
                  <w:tcBorders>
                    <w:top w:val="nil"/>
                    <w:left w:val="nil"/>
                    <w:bottom w:val="nil"/>
                    <w:right w:val="nil"/>
                  </w:tcBorders>
                  <w:shd w:val="clear" w:color="auto" w:fill="auto"/>
                  <w:vAlign w:val="center"/>
                </w:tcPr>
                <w:p w14:paraId="3BFDB852" w14:textId="43A79F64" w:rsidR="005513D0" w:rsidRPr="00EB1629" w:rsidRDefault="005513D0" w:rsidP="005513D0">
                  <w:pPr>
                    <w:pStyle w:val="TableUnitsRow"/>
                    <w:rPr>
                      <w:szCs w:val="18"/>
                    </w:rPr>
                  </w:pPr>
                  <w:r>
                    <w:rPr>
                      <w:rFonts w:cs="Arial"/>
                      <w:sz w:val="20"/>
                    </w:rPr>
                    <w:t>70</w:t>
                  </w:r>
                </w:p>
              </w:tc>
              <w:tc>
                <w:tcPr>
                  <w:tcW w:w="418" w:type="pct"/>
                  <w:tcBorders>
                    <w:top w:val="nil"/>
                    <w:left w:val="nil"/>
                    <w:bottom w:val="nil"/>
                    <w:right w:val="nil"/>
                  </w:tcBorders>
                  <w:shd w:val="clear" w:color="auto" w:fill="auto"/>
                  <w:vAlign w:val="center"/>
                </w:tcPr>
                <w:p w14:paraId="0F94FABB" w14:textId="109A8F0E" w:rsidR="005513D0" w:rsidRPr="00EB1629" w:rsidRDefault="005513D0" w:rsidP="005513D0">
                  <w:pPr>
                    <w:pStyle w:val="TableUnitsRow"/>
                    <w:rPr>
                      <w:szCs w:val="18"/>
                    </w:rPr>
                  </w:pPr>
                  <w:r>
                    <w:rPr>
                      <w:rFonts w:cs="Arial"/>
                      <w:sz w:val="20"/>
                    </w:rPr>
                    <w:t>41</w:t>
                  </w:r>
                </w:p>
              </w:tc>
              <w:tc>
                <w:tcPr>
                  <w:tcW w:w="418" w:type="pct"/>
                  <w:tcBorders>
                    <w:top w:val="nil"/>
                    <w:left w:val="nil"/>
                    <w:bottom w:val="nil"/>
                    <w:right w:val="nil"/>
                  </w:tcBorders>
                  <w:shd w:val="clear" w:color="auto" w:fill="auto"/>
                  <w:vAlign w:val="center"/>
                </w:tcPr>
                <w:p w14:paraId="6163A2B6" w14:textId="146EC9C1" w:rsidR="005513D0" w:rsidRPr="00EB1629" w:rsidRDefault="005513D0" w:rsidP="005513D0">
                  <w:pPr>
                    <w:pStyle w:val="TableUnitsRow"/>
                    <w:rPr>
                      <w:szCs w:val="18"/>
                    </w:rPr>
                  </w:pPr>
                  <w:r>
                    <w:rPr>
                      <w:rFonts w:cs="Arial"/>
                      <w:sz w:val="20"/>
                    </w:rPr>
                    <w:t>61</w:t>
                  </w:r>
                </w:p>
              </w:tc>
              <w:tc>
                <w:tcPr>
                  <w:tcW w:w="417" w:type="pct"/>
                  <w:tcBorders>
                    <w:top w:val="nil"/>
                    <w:left w:val="nil"/>
                    <w:bottom w:val="nil"/>
                    <w:right w:val="nil"/>
                  </w:tcBorders>
                  <w:shd w:val="clear" w:color="auto" w:fill="auto"/>
                  <w:vAlign w:val="center"/>
                </w:tcPr>
                <w:p w14:paraId="46660499" w14:textId="793EB765" w:rsidR="005513D0" w:rsidRPr="00EB1629" w:rsidRDefault="005513D0" w:rsidP="005513D0">
                  <w:pPr>
                    <w:pStyle w:val="TableUnitsRow"/>
                    <w:rPr>
                      <w:szCs w:val="18"/>
                    </w:rPr>
                  </w:pPr>
                  <w:r>
                    <w:rPr>
                      <w:rFonts w:cs="Arial"/>
                      <w:sz w:val="20"/>
                    </w:rPr>
                    <w:t>33</w:t>
                  </w:r>
                </w:p>
              </w:tc>
              <w:tc>
                <w:tcPr>
                  <w:tcW w:w="419" w:type="pct"/>
                  <w:tcBorders>
                    <w:top w:val="nil"/>
                    <w:left w:val="nil"/>
                    <w:bottom w:val="nil"/>
                    <w:right w:val="nil"/>
                  </w:tcBorders>
                  <w:shd w:val="clear" w:color="auto" w:fill="auto"/>
                  <w:vAlign w:val="center"/>
                </w:tcPr>
                <w:p w14:paraId="52CB2B50" w14:textId="760E8610" w:rsidR="005513D0" w:rsidRPr="00EB1629" w:rsidRDefault="005513D0" w:rsidP="005513D0">
                  <w:pPr>
                    <w:pStyle w:val="TableUnitsRow"/>
                    <w:rPr>
                      <w:szCs w:val="18"/>
                    </w:rPr>
                  </w:pPr>
                  <w:r>
                    <w:rPr>
                      <w:rFonts w:cs="Arial"/>
                      <w:sz w:val="20"/>
                    </w:rPr>
                    <w:t>64</w:t>
                  </w:r>
                </w:p>
              </w:tc>
            </w:tr>
            <w:tr w:rsidR="005513D0" w14:paraId="2F0436F6" w14:textId="77777777" w:rsidTr="00720A93">
              <w:tc>
                <w:tcPr>
                  <w:tcW w:w="1156" w:type="pct"/>
                  <w:tcBorders>
                    <w:bottom w:val="single" w:sz="6" w:space="0" w:color="BFBFBF"/>
                  </w:tcBorders>
                  <w:shd w:val="clear" w:color="auto" w:fill="auto"/>
                </w:tcPr>
                <w:p w14:paraId="36B6022E" w14:textId="77777777" w:rsidR="005513D0" w:rsidRPr="005A22A1" w:rsidRDefault="005513D0" w:rsidP="00981B4A">
                  <w:pPr>
                    <w:pStyle w:val="TableBodyText"/>
                    <w:spacing w:before="40"/>
                    <w:ind w:left="-102" w:right="0"/>
                    <w:jc w:val="left"/>
                    <w:rPr>
                      <w:b/>
                    </w:rPr>
                  </w:pPr>
                  <w:r w:rsidRPr="005A22A1">
                    <w:rPr>
                      <w:b/>
                    </w:rPr>
                    <w:t xml:space="preserve">  Total</w:t>
                  </w:r>
                </w:p>
              </w:tc>
              <w:tc>
                <w:tcPr>
                  <w:tcW w:w="501" w:type="pct"/>
                  <w:tcBorders>
                    <w:bottom w:val="single" w:sz="6" w:space="0" w:color="BFBFBF"/>
                  </w:tcBorders>
                  <w:shd w:val="clear" w:color="auto" w:fill="auto"/>
                </w:tcPr>
                <w:p w14:paraId="7F7E691C" w14:textId="263A1511" w:rsidR="005513D0" w:rsidRPr="00296DDF" w:rsidRDefault="005513D0" w:rsidP="005513D0">
                  <w:pPr>
                    <w:pStyle w:val="TableUnitsRow"/>
                    <w:rPr>
                      <w:b/>
                      <w:szCs w:val="18"/>
                    </w:rPr>
                  </w:pPr>
                  <w:r>
                    <w:rPr>
                      <w:b/>
                      <w:szCs w:val="18"/>
                    </w:rPr>
                    <w:t>44</w:t>
                  </w:r>
                </w:p>
              </w:tc>
              <w:tc>
                <w:tcPr>
                  <w:tcW w:w="418" w:type="pct"/>
                  <w:tcBorders>
                    <w:bottom w:val="single" w:sz="6" w:space="0" w:color="BFBFBF"/>
                  </w:tcBorders>
                  <w:shd w:val="clear" w:color="auto" w:fill="auto"/>
                </w:tcPr>
                <w:p w14:paraId="2F936589" w14:textId="1D46ED64" w:rsidR="005513D0" w:rsidRPr="00296DDF" w:rsidRDefault="005513D0" w:rsidP="005513D0">
                  <w:pPr>
                    <w:pStyle w:val="TableUnitsRow"/>
                    <w:rPr>
                      <w:b/>
                      <w:szCs w:val="18"/>
                    </w:rPr>
                  </w:pPr>
                  <w:r>
                    <w:rPr>
                      <w:b/>
                      <w:szCs w:val="18"/>
                    </w:rPr>
                    <w:t>55</w:t>
                  </w:r>
                </w:p>
              </w:tc>
              <w:tc>
                <w:tcPr>
                  <w:tcW w:w="418" w:type="pct"/>
                  <w:tcBorders>
                    <w:bottom w:val="single" w:sz="6" w:space="0" w:color="BFBFBF"/>
                  </w:tcBorders>
                  <w:shd w:val="clear" w:color="auto" w:fill="auto"/>
                </w:tcPr>
                <w:p w14:paraId="44AB171B" w14:textId="450DE25B" w:rsidR="005513D0" w:rsidRPr="00296DDF" w:rsidRDefault="005513D0" w:rsidP="005513D0">
                  <w:pPr>
                    <w:pStyle w:val="TableUnitsRow"/>
                    <w:rPr>
                      <w:b/>
                      <w:szCs w:val="18"/>
                    </w:rPr>
                  </w:pPr>
                  <w:r>
                    <w:rPr>
                      <w:b/>
                      <w:szCs w:val="18"/>
                    </w:rPr>
                    <w:t>55</w:t>
                  </w:r>
                </w:p>
              </w:tc>
              <w:tc>
                <w:tcPr>
                  <w:tcW w:w="417" w:type="pct"/>
                  <w:tcBorders>
                    <w:bottom w:val="single" w:sz="6" w:space="0" w:color="BFBFBF"/>
                  </w:tcBorders>
                  <w:shd w:val="clear" w:color="auto" w:fill="auto"/>
                </w:tcPr>
                <w:p w14:paraId="72A23495" w14:textId="40B18C68" w:rsidR="005513D0" w:rsidRPr="00296DDF" w:rsidRDefault="005513D0" w:rsidP="005513D0">
                  <w:pPr>
                    <w:pStyle w:val="TableUnitsRow"/>
                    <w:rPr>
                      <w:b/>
                      <w:szCs w:val="18"/>
                    </w:rPr>
                  </w:pPr>
                  <w:r>
                    <w:rPr>
                      <w:b/>
                      <w:szCs w:val="18"/>
                    </w:rPr>
                    <w:t>49</w:t>
                  </w:r>
                </w:p>
              </w:tc>
              <w:tc>
                <w:tcPr>
                  <w:tcW w:w="418" w:type="pct"/>
                  <w:tcBorders>
                    <w:bottom w:val="single" w:sz="6" w:space="0" w:color="BFBFBF"/>
                  </w:tcBorders>
                  <w:shd w:val="clear" w:color="auto" w:fill="auto"/>
                </w:tcPr>
                <w:p w14:paraId="53C826CC" w14:textId="76645954" w:rsidR="005513D0" w:rsidRPr="00296DDF" w:rsidRDefault="005513D0" w:rsidP="005513D0">
                  <w:pPr>
                    <w:pStyle w:val="TableUnitsRow"/>
                    <w:rPr>
                      <w:b/>
                      <w:szCs w:val="18"/>
                    </w:rPr>
                  </w:pPr>
                  <w:r>
                    <w:rPr>
                      <w:b/>
                      <w:szCs w:val="18"/>
                    </w:rPr>
                    <w:t>43</w:t>
                  </w:r>
                </w:p>
              </w:tc>
              <w:tc>
                <w:tcPr>
                  <w:tcW w:w="418" w:type="pct"/>
                  <w:tcBorders>
                    <w:bottom w:val="single" w:sz="6" w:space="0" w:color="BFBFBF"/>
                  </w:tcBorders>
                  <w:shd w:val="clear" w:color="auto" w:fill="auto"/>
                </w:tcPr>
                <w:p w14:paraId="408544E3" w14:textId="02C3ECC5" w:rsidR="005513D0" w:rsidRPr="00296DDF" w:rsidRDefault="005513D0" w:rsidP="005513D0">
                  <w:pPr>
                    <w:pStyle w:val="TableUnitsRow"/>
                    <w:rPr>
                      <w:b/>
                      <w:szCs w:val="18"/>
                    </w:rPr>
                  </w:pPr>
                  <w:r>
                    <w:rPr>
                      <w:b/>
                      <w:szCs w:val="18"/>
                    </w:rPr>
                    <w:t>26</w:t>
                  </w:r>
                </w:p>
              </w:tc>
              <w:tc>
                <w:tcPr>
                  <w:tcW w:w="418" w:type="pct"/>
                  <w:tcBorders>
                    <w:bottom w:val="single" w:sz="6" w:space="0" w:color="BFBFBF"/>
                  </w:tcBorders>
                  <w:shd w:val="clear" w:color="auto" w:fill="auto"/>
                </w:tcPr>
                <w:p w14:paraId="53B09E11" w14:textId="315F01C8" w:rsidR="005513D0" w:rsidRPr="00296DDF" w:rsidRDefault="005513D0" w:rsidP="005513D0">
                  <w:pPr>
                    <w:pStyle w:val="TableUnitsRow"/>
                    <w:rPr>
                      <w:b/>
                      <w:szCs w:val="18"/>
                    </w:rPr>
                  </w:pPr>
                  <w:r>
                    <w:rPr>
                      <w:b/>
                      <w:szCs w:val="18"/>
                    </w:rPr>
                    <w:t>51</w:t>
                  </w:r>
                </w:p>
              </w:tc>
              <w:tc>
                <w:tcPr>
                  <w:tcW w:w="417" w:type="pct"/>
                  <w:tcBorders>
                    <w:bottom w:val="single" w:sz="6" w:space="0" w:color="BFBFBF"/>
                  </w:tcBorders>
                  <w:shd w:val="clear" w:color="auto" w:fill="auto"/>
                </w:tcPr>
                <w:p w14:paraId="39ACD7B4" w14:textId="24D422B0" w:rsidR="005513D0" w:rsidRPr="00296DDF" w:rsidRDefault="005513D0" w:rsidP="005513D0">
                  <w:pPr>
                    <w:pStyle w:val="TableUnitsRow"/>
                    <w:rPr>
                      <w:b/>
                      <w:szCs w:val="18"/>
                    </w:rPr>
                  </w:pPr>
                  <w:r>
                    <w:rPr>
                      <w:b/>
                      <w:szCs w:val="18"/>
                    </w:rPr>
                    <w:t>32</w:t>
                  </w:r>
                </w:p>
              </w:tc>
              <w:tc>
                <w:tcPr>
                  <w:tcW w:w="419" w:type="pct"/>
                  <w:tcBorders>
                    <w:bottom w:val="single" w:sz="6" w:space="0" w:color="BFBFBF"/>
                  </w:tcBorders>
                  <w:shd w:val="clear" w:color="auto" w:fill="auto"/>
                </w:tcPr>
                <w:p w14:paraId="36DBF2F3" w14:textId="794379EC" w:rsidR="005513D0" w:rsidRPr="00296DDF" w:rsidRDefault="005513D0" w:rsidP="005513D0">
                  <w:pPr>
                    <w:pStyle w:val="TableUnitsRow"/>
                    <w:rPr>
                      <w:b/>
                      <w:szCs w:val="18"/>
                    </w:rPr>
                  </w:pPr>
                  <w:r>
                    <w:rPr>
                      <w:b/>
                      <w:szCs w:val="18"/>
                    </w:rPr>
                    <w:t>49</w:t>
                  </w:r>
                </w:p>
              </w:tc>
            </w:tr>
          </w:tbl>
          <w:p w14:paraId="4FBD374F" w14:textId="77777777" w:rsidR="007A48D1" w:rsidRDefault="007A48D1" w:rsidP="00604654">
            <w:pPr>
              <w:pStyle w:val="Box"/>
            </w:pPr>
          </w:p>
        </w:tc>
      </w:tr>
      <w:tr w:rsidR="007A48D1" w14:paraId="622F4CBB" w14:textId="77777777" w:rsidTr="00981B4A">
        <w:trPr>
          <w:cantSplit/>
        </w:trPr>
        <w:tc>
          <w:tcPr>
            <w:tcW w:w="8789" w:type="dxa"/>
            <w:tcBorders>
              <w:top w:val="nil"/>
              <w:left w:val="nil"/>
              <w:bottom w:val="nil"/>
              <w:right w:val="nil"/>
            </w:tcBorders>
            <w:shd w:val="clear" w:color="auto" w:fill="auto"/>
          </w:tcPr>
          <w:p w14:paraId="75308A1C" w14:textId="7A2C6ABF" w:rsidR="007A48D1" w:rsidRDefault="007A48D1" w:rsidP="00DA52E8">
            <w:pPr>
              <w:pStyle w:val="Note"/>
              <w:rPr>
                <w:i/>
              </w:rPr>
            </w:pPr>
            <w:r w:rsidRPr="008E77FE">
              <w:rPr>
                <w:rStyle w:val="NoteLabel"/>
              </w:rPr>
              <w:t>a</w:t>
            </w:r>
            <w:r>
              <w:t xml:space="preserve"> </w:t>
            </w:r>
            <w:r w:rsidR="00477C9C" w:rsidRPr="006F4A3E">
              <w:t xml:space="preserve">See </w:t>
            </w:r>
            <w:r w:rsidR="00CB3FA6">
              <w:t xml:space="preserve">box </w:t>
            </w:r>
            <w:r w:rsidR="000F15E6">
              <w:t>12.</w:t>
            </w:r>
            <w:r w:rsidR="00477C9C">
              <w:t xml:space="preserve">4 and </w:t>
            </w:r>
            <w:r w:rsidR="00477C9C" w:rsidRPr="006F4A3E">
              <w:t xml:space="preserve">table </w:t>
            </w:r>
            <w:proofErr w:type="spellStart"/>
            <w:r w:rsidR="000F15E6">
              <w:t>12A</w:t>
            </w:r>
            <w:r w:rsidR="00477C9C" w:rsidRPr="006F4A3E">
              <w:t>.</w:t>
            </w:r>
            <w:r w:rsidR="0057664C">
              <w:t>32</w:t>
            </w:r>
            <w:proofErr w:type="spellEnd"/>
            <w:r w:rsidR="00477C9C" w:rsidRPr="006F4A3E">
              <w:t xml:space="preserve"> for detailed </w:t>
            </w:r>
            <w:r w:rsidR="00536DD1" w:rsidRPr="00536DD1">
              <w:t xml:space="preserve">definitions, footnotes and </w:t>
            </w:r>
            <w:r w:rsidR="00477C9C" w:rsidRPr="006F4A3E">
              <w:t>caveats</w:t>
            </w:r>
            <w:r w:rsidR="00477C9C" w:rsidRPr="00B3446C">
              <w:t>.</w:t>
            </w:r>
            <w:r w:rsidR="00EB1629" w:rsidRPr="00B3446C">
              <w:t xml:space="preserve"> </w:t>
            </w:r>
          </w:p>
        </w:tc>
      </w:tr>
      <w:tr w:rsidR="007A48D1" w14:paraId="41DD5B46" w14:textId="77777777" w:rsidTr="00981B4A">
        <w:trPr>
          <w:cantSplit/>
        </w:trPr>
        <w:tc>
          <w:tcPr>
            <w:tcW w:w="8789" w:type="dxa"/>
            <w:tcBorders>
              <w:top w:val="nil"/>
              <w:left w:val="nil"/>
              <w:bottom w:val="nil"/>
              <w:right w:val="nil"/>
            </w:tcBorders>
            <w:shd w:val="clear" w:color="auto" w:fill="auto"/>
          </w:tcPr>
          <w:p w14:paraId="4B9F85D0" w14:textId="39EEA83B" w:rsidR="007A48D1" w:rsidRDefault="007A48D1" w:rsidP="000F72F3">
            <w:pPr>
              <w:pStyle w:val="Source"/>
            </w:pPr>
            <w:r>
              <w:rPr>
                <w:i/>
              </w:rPr>
              <w:t>Source</w:t>
            </w:r>
            <w:r w:rsidRPr="00167F06">
              <w:t xml:space="preserve">: </w:t>
            </w:r>
            <w:r w:rsidR="00FF4AE3" w:rsidRPr="00FF4AE3">
              <w:t>AIHW (201</w:t>
            </w:r>
            <w:r w:rsidR="007F2E14">
              <w:t>7</w:t>
            </w:r>
            <w:r w:rsidR="00FF4AE3" w:rsidRPr="00FF4AE3">
              <w:t xml:space="preserve">), </w:t>
            </w:r>
            <w:r w:rsidR="00FF4AE3" w:rsidRPr="00FF4AE3">
              <w:rPr>
                <w:i/>
              </w:rPr>
              <w:t>Emergency department care 201</w:t>
            </w:r>
            <w:r w:rsidR="007F2E14">
              <w:rPr>
                <w:i/>
              </w:rPr>
              <w:t>6</w:t>
            </w:r>
            <w:r w:rsidR="00991BF7">
              <w:rPr>
                <w:i/>
              </w:rPr>
              <w:t>-</w:t>
            </w:r>
            <w:r w:rsidR="00FF4AE3" w:rsidRPr="00FF4AE3">
              <w:rPr>
                <w:i/>
              </w:rPr>
              <w:t>1</w:t>
            </w:r>
            <w:r w:rsidR="007F2E14">
              <w:rPr>
                <w:i/>
              </w:rPr>
              <w:t>7</w:t>
            </w:r>
            <w:r w:rsidR="00FF4AE3" w:rsidRPr="00FF4AE3">
              <w:rPr>
                <w:i/>
              </w:rPr>
              <w:t>: Australian hospital statistics</w:t>
            </w:r>
            <w:r w:rsidR="00FF4AE3" w:rsidRPr="00FF4AE3">
              <w:t xml:space="preserve">. Health services series no. </w:t>
            </w:r>
            <w:r w:rsidR="000F72F3" w:rsidRPr="000F72F3">
              <w:t>80</w:t>
            </w:r>
            <w:r w:rsidR="00FF4AE3" w:rsidRPr="00FF4AE3">
              <w:t xml:space="preserve">. Cat. no. </w:t>
            </w:r>
            <w:proofErr w:type="spellStart"/>
            <w:r w:rsidR="00FF4AE3" w:rsidRPr="00FF4AE3">
              <w:t>HSE</w:t>
            </w:r>
            <w:proofErr w:type="spellEnd"/>
            <w:r w:rsidR="00FF4AE3" w:rsidRPr="00FF4AE3">
              <w:t xml:space="preserve"> </w:t>
            </w:r>
            <w:r w:rsidR="000F72F3" w:rsidRPr="000F72F3">
              <w:t>194</w:t>
            </w:r>
            <w:r w:rsidR="005A22A1" w:rsidRPr="005A22A1">
              <w:t xml:space="preserve">; table </w:t>
            </w:r>
            <w:proofErr w:type="spellStart"/>
            <w:r w:rsidR="000F15E6">
              <w:t>12A</w:t>
            </w:r>
            <w:r w:rsidR="005A22A1" w:rsidRPr="005A22A1">
              <w:t>.</w:t>
            </w:r>
            <w:r w:rsidR="0057664C">
              <w:t>32</w:t>
            </w:r>
            <w:proofErr w:type="spellEnd"/>
            <w:r w:rsidR="005A22A1" w:rsidRPr="005A22A1">
              <w:t>.</w:t>
            </w:r>
          </w:p>
        </w:tc>
      </w:tr>
      <w:tr w:rsidR="007A48D1" w14:paraId="6F2151A3" w14:textId="77777777" w:rsidTr="00981B4A">
        <w:trPr>
          <w:cantSplit/>
        </w:trPr>
        <w:tc>
          <w:tcPr>
            <w:tcW w:w="8789" w:type="dxa"/>
            <w:tcBorders>
              <w:top w:val="nil"/>
              <w:left w:val="nil"/>
              <w:bottom w:val="single" w:sz="6" w:space="0" w:color="78A22F"/>
              <w:right w:val="nil"/>
            </w:tcBorders>
            <w:shd w:val="clear" w:color="auto" w:fill="auto"/>
          </w:tcPr>
          <w:p w14:paraId="640356AF" w14:textId="77777777" w:rsidR="007A48D1" w:rsidRDefault="007A48D1" w:rsidP="00604654">
            <w:pPr>
              <w:pStyle w:val="Box"/>
              <w:spacing w:before="0" w:line="120" w:lineRule="exact"/>
            </w:pPr>
          </w:p>
        </w:tc>
      </w:tr>
      <w:tr w:rsidR="007A48D1" w:rsidRPr="000863A5" w14:paraId="4B01F8D9" w14:textId="77777777" w:rsidTr="00981B4A">
        <w:tc>
          <w:tcPr>
            <w:tcW w:w="8789" w:type="dxa"/>
            <w:tcBorders>
              <w:top w:val="single" w:sz="6" w:space="0" w:color="78A22F"/>
              <w:left w:val="nil"/>
              <w:bottom w:val="nil"/>
              <w:right w:val="nil"/>
            </w:tcBorders>
          </w:tcPr>
          <w:p w14:paraId="6C45C0CA" w14:textId="6C97D3EF" w:rsidR="007A48D1" w:rsidRPr="00626D32" w:rsidRDefault="007A48D1" w:rsidP="00604654">
            <w:pPr>
              <w:pStyle w:val="BoxSpaceBelow"/>
            </w:pPr>
          </w:p>
        </w:tc>
      </w:tr>
    </w:tbl>
    <w:p w14:paraId="25B4733A" w14:textId="77777777" w:rsidR="003D3C97" w:rsidRDefault="003D3C97" w:rsidP="00981B4A">
      <w:pPr>
        <w:pStyle w:val="Heading4"/>
        <w:spacing w:before="420"/>
      </w:pPr>
      <w:r w:rsidRPr="003D3C97">
        <w:t>Access —</w:t>
      </w:r>
      <w:r>
        <w:t xml:space="preserve"> Accessibility</w:t>
      </w:r>
    </w:p>
    <w:p w14:paraId="16B53C1C" w14:textId="15A30AB1" w:rsidR="003D3C97" w:rsidRDefault="005F226E" w:rsidP="003D3C97">
      <w:pPr>
        <w:pStyle w:val="BodyText"/>
      </w:pPr>
      <w:r w:rsidRPr="005F226E">
        <w:t>‘Accessibility’ is an indicator of government’s objective to provide timely and accessible services</w:t>
      </w:r>
      <w:r w:rsidR="0072631D">
        <w:t xml:space="preserve"> to all</w:t>
      </w:r>
      <w:r w:rsidRPr="005F226E">
        <w:t xml:space="preserve"> (box </w:t>
      </w:r>
      <w:r>
        <w:t>12.5</w:t>
      </w:r>
      <w:r w:rsidRPr="005F226E">
        <w:t>).</w:t>
      </w:r>
    </w:p>
    <w:p w14:paraId="41CFAEF3" w14:textId="17AA697E" w:rsidR="003D3C97" w:rsidRDefault="003D3C9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D3C97" w14:paraId="1F01B226" w14:textId="77777777" w:rsidTr="00864A27">
        <w:trPr>
          <w:tblHeader/>
        </w:trPr>
        <w:tc>
          <w:tcPr>
            <w:tcW w:w="5000" w:type="pct"/>
            <w:tcBorders>
              <w:top w:val="single" w:sz="6" w:space="0" w:color="78A22F"/>
              <w:left w:val="nil"/>
              <w:bottom w:val="nil"/>
              <w:right w:val="nil"/>
            </w:tcBorders>
            <w:shd w:val="clear" w:color="auto" w:fill="F2F2F2"/>
          </w:tcPr>
          <w:p w14:paraId="577783A2" w14:textId="541C2EB6" w:rsidR="003D3C97" w:rsidRDefault="003D3C97">
            <w:pPr>
              <w:pStyle w:val="BoxTitle"/>
            </w:pPr>
            <w:r>
              <w:rPr>
                <w:b w:val="0"/>
              </w:rPr>
              <w:t>Box 12.</w:t>
            </w:r>
            <w:r w:rsidR="007F3144">
              <w:rPr>
                <w:b w:val="0"/>
                <w:noProof/>
              </w:rPr>
              <w:t>5</w:t>
            </w:r>
            <w:r>
              <w:tab/>
            </w:r>
            <w:r w:rsidRPr="003D3C97">
              <w:t>Accessibility</w:t>
            </w:r>
          </w:p>
        </w:tc>
      </w:tr>
      <w:tr w:rsidR="003D3C97" w14:paraId="1DC53BE6" w14:textId="77777777" w:rsidTr="00864A27">
        <w:tc>
          <w:tcPr>
            <w:tcW w:w="5000" w:type="pct"/>
            <w:tcBorders>
              <w:top w:val="nil"/>
              <w:left w:val="nil"/>
              <w:bottom w:val="nil"/>
              <w:right w:val="nil"/>
            </w:tcBorders>
            <w:shd w:val="clear" w:color="auto" w:fill="F2F2F2"/>
          </w:tcPr>
          <w:p w14:paraId="1F1C1C8C" w14:textId="4F509B9D" w:rsidR="005F226E" w:rsidRPr="007673D3" w:rsidRDefault="005F226E" w:rsidP="005F226E">
            <w:pPr>
              <w:pStyle w:val="Box"/>
            </w:pPr>
            <w:r w:rsidRPr="007673D3">
              <w:t xml:space="preserve">‘Accessibility’ is defined as the number of </w:t>
            </w:r>
            <w:r w:rsidR="007673D3" w:rsidRPr="007673D3">
              <w:t xml:space="preserve">specialist </w:t>
            </w:r>
            <w:r w:rsidR="006E77D8">
              <w:t xml:space="preserve">hospital </w:t>
            </w:r>
            <w:r w:rsidR="009A1F56">
              <w:t>services</w:t>
            </w:r>
            <w:r w:rsidR="009A1F56" w:rsidRPr="007673D3">
              <w:t xml:space="preserve"> </w:t>
            </w:r>
            <w:r w:rsidRPr="007673D3">
              <w:t>per 1000 people</w:t>
            </w:r>
            <w:r w:rsidR="009A1F56">
              <w:t>,</w:t>
            </w:r>
            <w:r w:rsidRPr="007673D3">
              <w:t xml:space="preserve"> by </w:t>
            </w:r>
            <w:r w:rsidR="007673D3" w:rsidRPr="007673D3">
              <w:t>remoteness</w:t>
            </w:r>
            <w:r w:rsidRPr="007673D3">
              <w:t>.</w:t>
            </w:r>
          </w:p>
          <w:p w14:paraId="147FD7F1" w14:textId="77777777" w:rsidR="005F226E" w:rsidRPr="007673D3" w:rsidRDefault="005F226E" w:rsidP="005F226E">
            <w:pPr>
              <w:pStyle w:val="Box"/>
            </w:pPr>
            <w:r w:rsidRPr="007673D3">
              <w:t xml:space="preserve">High or increasing rates can indicate improved access to hospital services. Low availability of </w:t>
            </w:r>
            <w:r w:rsidR="0034349E" w:rsidRPr="007673D3">
              <w:t xml:space="preserve">specialist </w:t>
            </w:r>
            <w:r w:rsidRPr="007673D3">
              <w:t>hospital</w:t>
            </w:r>
            <w:r w:rsidR="0034349E" w:rsidRPr="007673D3">
              <w:t xml:space="preserve"> </w:t>
            </w:r>
            <w:r w:rsidRPr="007673D3">
              <w:t>s</w:t>
            </w:r>
            <w:r w:rsidR="0034349E" w:rsidRPr="007673D3">
              <w:t>ervices</w:t>
            </w:r>
            <w:r w:rsidRPr="007673D3">
              <w:t xml:space="preserve"> by </w:t>
            </w:r>
            <w:r w:rsidR="007673D3" w:rsidRPr="007673D3">
              <w:t>remoteness</w:t>
            </w:r>
            <w:r w:rsidRPr="007673D3">
              <w:t xml:space="preserve"> can be associated with an increase in distance travelled and waiting times.</w:t>
            </w:r>
          </w:p>
          <w:p w14:paraId="078BEB0E" w14:textId="50671330" w:rsidR="003D3C97" w:rsidRDefault="005F226E" w:rsidP="009A1F56">
            <w:pPr>
              <w:pStyle w:val="Box"/>
            </w:pPr>
            <w:r w:rsidRPr="007673D3">
              <w:t xml:space="preserve">Data are not yet available for reporting against this </w:t>
            </w:r>
            <w:r w:rsidR="009A1F56">
              <w:t>measure</w:t>
            </w:r>
            <w:r w:rsidRPr="007673D3">
              <w:t>.</w:t>
            </w:r>
          </w:p>
        </w:tc>
      </w:tr>
      <w:tr w:rsidR="003D3C97" w14:paraId="7F333D19" w14:textId="77777777" w:rsidTr="00864A27">
        <w:tc>
          <w:tcPr>
            <w:tcW w:w="5000" w:type="pct"/>
            <w:tcBorders>
              <w:top w:val="nil"/>
              <w:left w:val="nil"/>
              <w:bottom w:val="single" w:sz="6" w:space="0" w:color="78A22F"/>
              <w:right w:val="nil"/>
            </w:tcBorders>
            <w:shd w:val="clear" w:color="auto" w:fill="F2F2F2"/>
          </w:tcPr>
          <w:p w14:paraId="3297A8CB" w14:textId="77777777" w:rsidR="003D3C97" w:rsidRDefault="003D3C97">
            <w:pPr>
              <w:pStyle w:val="Box"/>
              <w:spacing w:before="0" w:line="120" w:lineRule="exact"/>
            </w:pPr>
          </w:p>
        </w:tc>
      </w:tr>
      <w:tr w:rsidR="003D3C97" w:rsidRPr="000863A5" w14:paraId="21CB35DA" w14:textId="77777777" w:rsidTr="00864A27">
        <w:tc>
          <w:tcPr>
            <w:tcW w:w="5000" w:type="pct"/>
            <w:tcBorders>
              <w:top w:val="single" w:sz="6" w:space="0" w:color="78A22F"/>
              <w:left w:val="nil"/>
              <w:bottom w:val="nil"/>
              <w:right w:val="nil"/>
            </w:tcBorders>
          </w:tcPr>
          <w:p w14:paraId="6BBBE19D" w14:textId="7F9DCF60" w:rsidR="003D3C97" w:rsidRPr="00626D32" w:rsidRDefault="003D3C97" w:rsidP="00864A27">
            <w:pPr>
              <w:pStyle w:val="BoxSpaceBelow"/>
            </w:pPr>
          </w:p>
        </w:tc>
      </w:tr>
    </w:tbl>
    <w:p w14:paraId="0BDDC2BE" w14:textId="77777777" w:rsidR="003D3C97" w:rsidRDefault="003D3C97" w:rsidP="00981B4A">
      <w:pPr>
        <w:pStyle w:val="Heading4"/>
        <w:spacing w:before="420"/>
      </w:pPr>
      <w:r>
        <w:t>Appropriateness — Appropriateness of hospital services</w:t>
      </w:r>
    </w:p>
    <w:p w14:paraId="55849EA1" w14:textId="628B50AE" w:rsidR="003D3C97" w:rsidRDefault="005F226E" w:rsidP="003D3C97">
      <w:pPr>
        <w:pStyle w:val="BodyText"/>
      </w:pPr>
      <w:r w:rsidRPr="005F226E">
        <w:t>‘Appropriate</w:t>
      </w:r>
      <w:r w:rsidR="009A1F56">
        <w:t>ness</w:t>
      </w:r>
      <w:r w:rsidRPr="005F226E">
        <w:t xml:space="preserve"> </w:t>
      </w:r>
      <w:r w:rsidR="00C62242">
        <w:t>of hospital services</w:t>
      </w:r>
      <w:r w:rsidRPr="005F226E">
        <w:t>’ is an indicator of government’s objective to provide care that is appropriate and responsive to the needs of individuals</w:t>
      </w:r>
      <w:r w:rsidR="00C62242">
        <w:t xml:space="preserve"> throughout their lifespan</w:t>
      </w:r>
      <w:r w:rsidRPr="005F226E">
        <w:t xml:space="preserve"> and communities (box </w:t>
      </w:r>
      <w:r>
        <w:t>12.6</w:t>
      </w:r>
      <w:r w:rsidRPr="005F226E">
        <w:t>).</w:t>
      </w:r>
    </w:p>
    <w:p w14:paraId="5BC67BC0" w14:textId="2A7DAE4B" w:rsidR="003D3C97" w:rsidRDefault="003D3C97" w:rsidP="00981B4A">
      <w:pPr>
        <w:pStyle w:val="BoxSpaceAbove"/>
        <w:spacing w:before="12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D3C97" w14:paraId="050B96D0" w14:textId="77777777" w:rsidTr="00864A27">
        <w:trPr>
          <w:tblHeader/>
        </w:trPr>
        <w:tc>
          <w:tcPr>
            <w:tcW w:w="5000" w:type="pct"/>
            <w:tcBorders>
              <w:top w:val="single" w:sz="6" w:space="0" w:color="78A22F"/>
              <w:left w:val="nil"/>
              <w:bottom w:val="nil"/>
              <w:right w:val="nil"/>
            </w:tcBorders>
            <w:shd w:val="clear" w:color="auto" w:fill="F2F2F2"/>
          </w:tcPr>
          <w:p w14:paraId="688658DA" w14:textId="4709F429" w:rsidR="003D3C97" w:rsidRDefault="003D3C97" w:rsidP="00C62242">
            <w:pPr>
              <w:pStyle w:val="BoxTitle"/>
            </w:pPr>
            <w:r>
              <w:rPr>
                <w:b w:val="0"/>
              </w:rPr>
              <w:t>Box 12.</w:t>
            </w:r>
            <w:r w:rsidR="007F3144">
              <w:rPr>
                <w:b w:val="0"/>
                <w:noProof/>
              </w:rPr>
              <w:t>6</w:t>
            </w:r>
            <w:r>
              <w:tab/>
            </w:r>
            <w:r w:rsidR="005F226E" w:rsidRPr="005F226E">
              <w:t>Appropriate</w:t>
            </w:r>
            <w:r w:rsidR="00C62242">
              <w:t>ness of hospital services</w:t>
            </w:r>
            <w:r w:rsidR="005F226E" w:rsidRPr="005F226E">
              <w:t xml:space="preserve"> </w:t>
            </w:r>
          </w:p>
        </w:tc>
      </w:tr>
      <w:tr w:rsidR="003D3C97" w14:paraId="43C568FB" w14:textId="77777777" w:rsidTr="00864A27">
        <w:tc>
          <w:tcPr>
            <w:tcW w:w="5000" w:type="pct"/>
            <w:tcBorders>
              <w:top w:val="nil"/>
              <w:left w:val="nil"/>
              <w:bottom w:val="nil"/>
              <w:right w:val="nil"/>
            </w:tcBorders>
            <w:shd w:val="clear" w:color="auto" w:fill="F2F2F2"/>
          </w:tcPr>
          <w:p w14:paraId="28A56774" w14:textId="15A517E1" w:rsidR="005F226E" w:rsidRDefault="005F226E" w:rsidP="005F226E">
            <w:pPr>
              <w:pStyle w:val="Box"/>
            </w:pPr>
            <w:r>
              <w:t>‘Appropriate</w:t>
            </w:r>
            <w:r w:rsidR="009A1F56">
              <w:t>ness of hospital services’ comprises many factors with one measure currently identified; ‘</w:t>
            </w:r>
            <w:r>
              <w:t>prescribing of antibiotics in hospitals’ is defined as the percentage of prescriptions for antibiotics in hospitals where prescribing was noncompliant with guidelines.</w:t>
            </w:r>
          </w:p>
          <w:p w14:paraId="6C7EA853" w14:textId="567ABE00" w:rsidR="005F226E" w:rsidRDefault="005F226E" w:rsidP="005F226E">
            <w:pPr>
              <w:pStyle w:val="Box"/>
            </w:pPr>
            <w:r>
              <w:t xml:space="preserve">Low and decreasing </w:t>
            </w:r>
            <w:r w:rsidR="00C62242">
              <w:t xml:space="preserve">prescribing </w:t>
            </w:r>
            <w:r>
              <w:t>of antibiotics that is inappropriate is desirable.</w:t>
            </w:r>
          </w:p>
          <w:p w14:paraId="520C7A87" w14:textId="6D37E4AB" w:rsidR="003D3C97" w:rsidRDefault="005F226E" w:rsidP="009A1F56">
            <w:pPr>
              <w:pStyle w:val="Box"/>
            </w:pPr>
            <w:r>
              <w:t xml:space="preserve">Data are not yet available for reporting against this </w:t>
            </w:r>
            <w:r w:rsidR="009A1F56">
              <w:t>measure</w:t>
            </w:r>
            <w:r>
              <w:t>.</w:t>
            </w:r>
          </w:p>
        </w:tc>
      </w:tr>
      <w:tr w:rsidR="003D3C97" w14:paraId="0518C343" w14:textId="77777777" w:rsidTr="00864A27">
        <w:tc>
          <w:tcPr>
            <w:tcW w:w="5000" w:type="pct"/>
            <w:tcBorders>
              <w:top w:val="nil"/>
              <w:left w:val="nil"/>
              <w:bottom w:val="single" w:sz="6" w:space="0" w:color="78A22F"/>
              <w:right w:val="nil"/>
            </w:tcBorders>
            <w:shd w:val="clear" w:color="auto" w:fill="F2F2F2"/>
          </w:tcPr>
          <w:p w14:paraId="07593A28" w14:textId="77777777" w:rsidR="003D3C97" w:rsidRDefault="003D3C97">
            <w:pPr>
              <w:pStyle w:val="Box"/>
              <w:spacing w:before="0" w:line="120" w:lineRule="exact"/>
            </w:pPr>
          </w:p>
        </w:tc>
      </w:tr>
      <w:tr w:rsidR="003D3C97" w:rsidRPr="000863A5" w14:paraId="17B9C98A" w14:textId="77777777" w:rsidTr="00864A27">
        <w:tc>
          <w:tcPr>
            <w:tcW w:w="5000" w:type="pct"/>
            <w:tcBorders>
              <w:top w:val="single" w:sz="6" w:space="0" w:color="78A22F"/>
              <w:left w:val="nil"/>
              <w:bottom w:val="nil"/>
              <w:right w:val="nil"/>
            </w:tcBorders>
          </w:tcPr>
          <w:p w14:paraId="220793B2" w14:textId="32943808" w:rsidR="003D3C97" w:rsidRPr="00626D32" w:rsidRDefault="003D3C97" w:rsidP="00864A27">
            <w:pPr>
              <w:pStyle w:val="BoxSpaceBelow"/>
            </w:pPr>
          </w:p>
        </w:tc>
      </w:tr>
    </w:tbl>
    <w:p w14:paraId="4D757D9C" w14:textId="216650D6" w:rsidR="004E127C" w:rsidRDefault="00BB3F96" w:rsidP="004E127C">
      <w:pPr>
        <w:pStyle w:val="Heading4"/>
      </w:pPr>
      <w:r>
        <w:t xml:space="preserve">Quality — </w:t>
      </w:r>
      <w:r w:rsidR="004E127C">
        <w:t xml:space="preserve">Safety — </w:t>
      </w:r>
      <w:r w:rsidR="00C62242">
        <w:t>A</w:t>
      </w:r>
      <w:r w:rsidR="004E127C">
        <w:t xml:space="preserve">ccreditation </w:t>
      </w:r>
    </w:p>
    <w:p w14:paraId="2F60B8A4" w14:textId="77777777" w:rsidR="00A2571D" w:rsidRDefault="004E127C" w:rsidP="004E127C">
      <w:pPr>
        <w:pStyle w:val="BodyText"/>
      </w:pPr>
      <w:r>
        <w:t xml:space="preserve">‘Accreditation’ is an indicator of governments’ objective to provide public hospital services that are high quality </w:t>
      </w:r>
      <w:r w:rsidR="00BF36D1">
        <w:t xml:space="preserve">and safe </w:t>
      </w:r>
      <w:r>
        <w:t xml:space="preserve">(box </w:t>
      </w:r>
      <w:r w:rsidR="000F15E6">
        <w:t>12.</w:t>
      </w:r>
      <w:r w:rsidR="003D3C97">
        <w:t>7</w:t>
      </w:r>
      <w:r>
        <w:t>).</w:t>
      </w:r>
      <w:r w:rsidR="00D1090F" w:rsidRPr="00D1090F">
        <w:t xml:space="preserve"> </w:t>
      </w:r>
    </w:p>
    <w:p w14:paraId="2C9845CB" w14:textId="7B365B00" w:rsidR="00E313D7" w:rsidRDefault="00E313D7" w:rsidP="00E313D7">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E313D7" w14:paraId="4DD81E57" w14:textId="77777777" w:rsidTr="005656A9">
        <w:tc>
          <w:tcPr>
            <w:tcW w:w="8789" w:type="dxa"/>
            <w:tcBorders>
              <w:top w:val="single" w:sz="6" w:space="0" w:color="78A22F"/>
              <w:left w:val="nil"/>
              <w:bottom w:val="nil"/>
              <w:right w:val="nil"/>
            </w:tcBorders>
            <w:shd w:val="clear" w:color="auto" w:fill="F2F2F2"/>
          </w:tcPr>
          <w:p w14:paraId="68BA4AE5" w14:textId="6BC000B4" w:rsidR="00E313D7" w:rsidRDefault="00E313D7" w:rsidP="002119DD">
            <w:pPr>
              <w:pStyle w:val="BoxTitle"/>
            </w:pPr>
            <w:r>
              <w:rPr>
                <w:b w:val="0"/>
              </w:rPr>
              <w:t xml:space="preserve">Box </w:t>
            </w:r>
            <w:r w:rsidR="003D3C97">
              <w:rPr>
                <w:b w:val="0"/>
              </w:rPr>
              <w:t>12.</w:t>
            </w:r>
            <w:r w:rsidR="007F3144">
              <w:rPr>
                <w:b w:val="0"/>
                <w:noProof/>
              </w:rPr>
              <w:t>7</w:t>
            </w:r>
            <w:r>
              <w:tab/>
            </w:r>
            <w:r w:rsidRPr="004E127C">
              <w:t>Accreditation</w:t>
            </w:r>
          </w:p>
        </w:tc>
      </w:tr>
      <w:tr w:rsidR="00E313D7" w:rsidRPr="007F2E14" w14:paraId="17E900B4" w14:textId="77777777" w:rsidTr="005656A9">
        <w:trPr>
          <w:cantSplit/>
        </w:trPr>
        <w:tc>
          <w:tcPr>
            <w:tcW w:w="8789" w:type="dxa"/>
            <w:tcBorders>
              <w:top w:val="nil"/>
              <w:left w:val="nil"/>
              <w:bottom w:val="nil"/>
              <w:right w:val="nil"/>
            </w:tcBorders>
            <w:shd w:val="clear" w:color="auto" w:fill="F2F2F2"/>
          </w:tcPr>
          <w:p w14:paraId="7710BFB3" w14:textId="77777777" w:rsidR="00E313D7" w:rsidRPr="00131445" w:rsidRDefault="00E313D7" w:rsidP="00ED63D7">
            <w:pPr>
              <w:pStyle w:val="Box"/>
            </w:pPr>
            <w:r w:rsidRPr="00131445">
              <w:t>‘Accreditation’ is defined by the proportion of hospitals accredited to the National Safety and Quality Health Service standards. The standards are:</w:t>
            </w:r>
          </w:p>
          <w:p w14:paraId="58973CE6" w14:textId="77777777" w:rsidR="00E313D7" w:rsidRPr="00131445" w:rsidRDefault="00E313D7" w:rsidP="00ED63D7">
            <w:pPr>
              <w:pStyle w:val="BoxListBullet"/>
            </w:pPr>
            <w:r w:rsidRPr="00131445">
              <w:t>Governance for safety and quality in health service organisations</w:t>
            </w:r>
          </w:p>
          <w:p w14:paraId="3D081B99" w14:textId="77777777" w:rsidR="00E313D7" w:rsidRPr="00131445" w:rsidRDefault="00E313D7" w:rsidP="00ED63D7">
            <w:pPr>
              <w:pStyle w:val="BoxListBullet"/>
            </w:pPr>
            <w:r w:rsidRPr="00131445">
              <w:t>Partnering with consumers</w:t>
            </w:r>
          </w:p>
          <w:p w14:paraId="7B178077" w14:textId="77777777" w:rsidR="00E313D7" w:rsidRPr="00131445" w:rsidRDefault="00E313D7" w:rsidP="00ED63D7">
            <w:pPr>
              <w:pStyle w:val="BoxListBullet"/>
            </w:pPr>
            <w:r w:rsidRPr="00131445">
              <w:t>Preventing and controlling healthcare associated infections</w:t>
            </w:r>
          </w:p>
          <w:p w14:paraId="4FA844CC" w14:textId="77777777" w:rsidR="00E313D7" w:rsidRPr="00131445" w:rsidRDefault="00E313D7" w:rsidP="00ED63D7">
            <w:pPr>
              <w:pStyle w:val="BoxListBullet"/>
            </w:pPr>
            <w:r w:rsidRPr="00131445">
              <w:t>Medication safety</w:t>
            </w:r>
          </w:p>
          <w:p w14:paraId="056431C9" w14:textId="77777777" w:rsidR="00EA618A" w:rsidRPr="00131445" w:rsidRDefault="00E313D7" w:rsidP="00ED63D7">
            <w:pPr>
              <w:pStyle w:val="BoxListBullet"/>
            </w:pPr>
            <w:r w:rsidRPr="00131445">
              <w:t>Patient identification and procedure matching</w:t>
            </w:r>
          </w:p>
          <w:p w14:paraId="6FD6A02B" w14:textId="77777777" w:rsidR="00EA618A" w:rsidRPr="00131445" w:rsidRDefault="00EA618A" w:rsidP="00ED63D7">
            <w:pPr>
              <w:pStyle w:val="BoxListBullet"/>
            </w:pPr>
            <w:r w:rsidRPr="00131445">
              <w:t>Clinical handover</w:t>
            </w:r>
          </w:p>
          <w:p w14:paraId="17CB7BA6" w14:textId="77777777" w:rsidR="00EA618A" w:rsidRPr="00131445" w:rsidRDefault="00EA618A" w:rsidP="00ED63D7">
            <w:pPr>
              <w:pStyle w:val="BoxListBullet"/>
            </w:pPr>
            <w:r w:rsidRPr="00131445">
              <w:t>Blood and blood products</w:t>
            </w:r>
          </w:p>
          <w:p w14:paraId="745343AD" w14:textId="77777777" w:rsidR="00EA618A" w:rsidRPr="00131445" w:rsidRDefault="00EA618A" w:rsidP="00ED63D7">
            <w:pPr>
              <w:pStyle w:val="BoxListBullet"/>
            </w:pPr>
            <w:r w:rsidRPr="00131445">
              <w:t>Preventing and managing pressure injuries</w:t>
            </w:r>
          </w:p>
          <w:p w14:paraId="395842C7" w14:textId="77777777" w:rsidR="00EA618A" w:rsidRPr="00131445" w:rsidRDefault="00EA618A" w:rsidP="00ED63D7">
            <w:pPr>
              <w:pStyle w:val="BoxListBullet"/>
            </w:pPr>
            <w:r w:rsidRPr="00131445">
              <w:t>Recognising and responding to clinical deterioration in acute health care</w:t>
            </w:r>
          </w:p>
          <w:p w14:paraId="0A069ABF" w14:textId="77777777" w:rsidR="00EA618A" w:rsidRPr="00131445" w:rsidRDefault="00EA618A" w:rsidP="00ED63D7">
            <w:pPr>
              <w:pStyle w:val="BoxListBullet"/>
            </w:pPr>
            <w:r w:rsidRPr="00131445">
              <w:t>Preventing falls and harm from falls.</w:t>
            </w:r>
          </w:p>
          <w:p w14:paraId="3A6B4BAE" w14:textId="77777777" w:rsidR="00EA618A" w:rsidRPr="00131445" w:rsidRDefault="00EA618A" w:rsidP="00EA618A">
            <w:pPr>
              <w:pStyle w:val="Box"/>
            </w:pPr>
            <w:r w:rsidRPr="00131445">
              <w:t xml:space="preserve">A high or increasing rate of accreditation is desirable. However, it is not possible to draw conclusions about the quality of care in those hospitals that </w:t>
            </w:r>
            <w:r w:rsidR="005C1E3E" w:rsidRPr="00131445">
              <w:t>are not</w:t>
            </w:r>
            <w:r w:rsidRPr="00131445">
              <w:t xml:space="preserve"> accredit</w:t>
            </w:r>
            <w:r w:rsidR="005C1E3E" w:rsidRPr="00131445">
              <w:t>ed to all standards</w:t>
            </w:r>
            <w:r w:rsidRPr="00131445">
              <w:t xml:space="preserve">. </w:t>
            </w:r>
          </w:p>
          <w:p w14:paraId="41433830" w14:textId="141AA974" w:rsidR="00EA618A" w:rsidRPr="00131445" w:rsidRDefault="00EA618A" w:rsidP="00EA618A">
            <w:pPr>
              <w:pStyle w:val="Box"/>
            </w:pPr>
            <w:r w:rsidRPr="00131445">
              <w:t xml:space="preserve">Data reported for this </w:t>
            </w:r>
            <w:r w:rsidR="00BA6495">
              <w:t>measure</w:t>
            </w:r>
            <w:r w:rsidR="00BA6495" w:rsidRPr="00131445">
              <w:t xml:space="preserve"> </w:t>
            </w:r>
            <w:r w:rsidRPr="00131445">
              <w:t>are:</w:t>
            </w:r>
          </w:p>
          <w:p w14:paraId="4ACF6B72" w14:textId="12030828" w:rsidR="00EA618A" w:rsidRPr="00131445" w:rsidRDefault="00EA618A" w:rsidP="00EA618A">
            <w:pPr>
              <w:pStyle w:val="BoxListBullet"/>
            </w:pPr>
            <w:r w:rsidRPr="00131445">
              <w:t xml:space="preserve">comparable (subject to caveats) across jurisdictions </w:t>
            </w:r>
          </w:p>
          <w:p w14:paraId="1259BE5F" w14:textId="23ABAD5F" w:rsidR="00E313D7" w:rsidRPr="00131445" w:rsidRDefault="00381A4C" w:rsidP="00C50A83">
            <w:pPr>
              <w:pStyle w:val="BoxListBullet"/>
            </w:pPr>
            <w:r w:rsidRPr="00131445">
              <w:t>in</w:t>
            </w:r>
            <w:r w:rsidR="00EA618A" w:rsidRPr="00131445">
              <w:t xml:space="preserve">complete for the current reporting period. </w:t>
            </w:r>
            <w:r w:rsidR="00131445">
              <w:t>D</w:t>
            </w:r>
            <w:r w:rsidR="00EA618A" w:rsidRPr="00131445">
              <w:t xml:space="preserve">ata </w:t>
            </w:r>
            <w:r w:rsidR="00131445">
              <w:t xml:space="preserve">for 2016 </w:t>
            </w:r>
            <w:r w:rsidR="00C50A83">
              <w:t>we</w:t>
            </w:r>
            <w:r w:rsidR="00EA618A" w:rsidRPr="00131445">
              <w:t xml:space="preserve">re </w:t>
            </w:r>
            <w:r w:rsidRPr="00131445">
              <w:t xml:space="preserve">not </w:t>
            </w:r>
            <w:r w:rsidR="00EA618A" w:rsidRPr="00131445">
              <w:t>available.</w:t>
            </w:r>
            <w:r w:rsidR="00EA618A" w:rsidRPr="00131445" w:rsidDel="00EA618A">
              <w:t xml:space="preserve"> </w:t>
            </w:r>
          </w:p>
        </w:tc>
      </w:tr>
      <w:tr w:rsidR="00E313D7" w:rsidRPr="007F2E14" w14:paraId="2B719FE3" w14:textId="77777777" w:rsidTr="005656A9">
        <w:trPr>
          <w:cantSplit/>
        </w:trPr>
        <w:tc>
          <w:tcPr>
            <w:tcW w:w="8789" w:type="dxa"/>
            <w:tcBorders>
              <w:top w:val="nil"/>
              <w:left w:val="nil"/>
              <w:bottom w:val="single" w:sz="6" w:space="0" w:color="78A22F"/>
              <w:right w:val="nil"/>
            </w:tcBorders>
            <w:shd w:val="clear" w:color="auto" w:fill="F2F2F2"/>
          </w:tcPr>
          <w:p w14:paraId="60CCCA16" w14:textId="77777777" w:rsidR="00E313D7" w:rsidRPr="007F2E14" w:rsidRDefault="00E313D7" w:rsidP="002119DD">
            <w:pPr>
              <w:pStyle w:val="Box"/>
              <w:spacing w:before="0" w:line="120" w:lineRule="exact"/>
              <w:rPr>
                <w:color w:val="FF0000"/>
              </w:rPr>
            </w:pPr>
          </w:p>
        </w:tc>
      </w:tr>
      <w:tr w:rsidR="00E313D7" w:rsidRPr="007F2E14" w14:paraId="0A763B05" w14:textId="77777777" w:rsidTr="005656A9">
        <w:tc>
          <w:tcPr>
            <w:tcW w:w="8789" w:type="dxa"/>
            <w:tcBorders>
              <w:top w:val="single" w:sz="6" w:space="0" w:color="78A22F"/>
              <w:left w:val="nil"/>
              <w:bottom w:val="nil"/>
              <w:right w:val="nil"/>
            </w:tcBorders>
          </w:tcPr>
          <w:p w14:paraId="410F7E8A" w14:textId="6F4E15DE" w:rsidR="00E313D7" w:rsidRPr="003D3C97" w:rsidRDefault="00E313D7" w:rsidP="002119DD">
            <w:pPr>
              <w:pStyle w:val="BoxSpaceBelow"/>
              <w:rPr>
                <w:color w:val="FF00FF"/>
              </w:rPr>
            </w:pPr>
          </w:p>
        </w:tc>
      </w:tr>
    </w:tbl>
    <w:p w14:paraId="74C2DBD8" w14:textId="371D8CC5" w:rsidR="00D549AF" w:rsidRPr="00551BBB" w:rsidRDefault="00551BBB" w:rsidP="00E313D7">
      <w:pPr>
        <w:pStyle w:val="BodyText"/>
      </w:pPr>
      <w:r w:rsidRPr="00551BBB">
        <w:t>Data for 2016 were not available for this Report. Data fo</w:t>
      </w:r>
      <w:r w:rsidR="00381A4C">
        <w:t>r 201</w:t>
      </w:r>
      <w:r w:rsidRPr="00551BBB">
        <w:t>5 are reported in table </w:t>
      </w:r>
      <w:proofErr w:type="spellStart"/>
      <w:r w:rsidRPr="00551BBB">
        <w:t>12A.33</w:t>
      </w:r>
      <w:proofErr w:type="spellEnd"/>
      <w:r w:rsidR="00C50A83">
        <w:t xml:space="preserve"> and show that of the 698 public hospitals, 93 per cent had been assessed as at 30 June 2015</w:t>
      </w:r>
      <w:r w:rsidR="00D549AF" w:rsidRPr="00551BBB">
        <w:t xml:space="preserve">. </w:t>
      </w:r>
    </w:p>
    <w:p w14:paraId="7278F40A" w14:textId="4B3A3BF3" w:rsidR="00AC6D5B" w:rsidRDefault="00BB3F96" w:rsidP="00AC6D5B">
      <w:pPr>
        <w:pStyle w:val="Heading4"/>
      </w:pPr>
      <w:r>
        <w:lastRenderedPageBreak/>
        <w:t xml:space="preserve">Quality — </w:t>
      </w:r>
      <w:r w:rsidR="00AC6D5B">
        <w:t xml:space="preserve">Safety — </w:t>
      </w:r>
      <w:r w:rsidR="00C62242">
        <w:t>A</w:t>
      </w:r>
      <w:r w:rsidR="00AC6D5B">
        <w:t>dverse events in public hospitals</w:t>
      </w:r>
    </w:p>
    <w:p w14:paraId="1FEB4A80" w14:textId="08F90655" w:rsidR="00B86A29" w:rsidRDefault="00AC6D5B" w:rsidP="00AC6D5B">
      <w:pPr>
        <w:pStyle w:val="BodyText"/>
      </w:pPr>
      <w:r>
        <w:t xml:space="preserve">‘Adverse events in public hospitals’ is an indicator of governments’ objective to provide public hospital services that are high quality </w:t>
      </w:r>
      <w:r w:rsidR="00BF36D1">
        <w:t xml:space="preserve">and safe </w:t>
      </w:r>
      <w:r>
        <w:t xml:space="preserve">(box </w:t>
      </w:r>
      <w:r w:rsidR="000F15E6">
        <w:t>12.</w:t>
      </w:r>
      <w:r w:rsidR="003D3C97">
        <w:t>8</w:t>
      </w:r>
      <w:r>
        <w:t xml:space="preserve">). </w:t>
      </w:r>
      <w:r w:rsidR="00005662" w:rsidRPr="00005662">
        <w:t>Sentinel events, which are a subset of adverse events that result in death or very serious harm to the patient, are reported as a separate output indicator.</w:t>
      </w:r>
    </w:p>
    <w:p w14:paraId="25EE7D83" w14:textId="21A9E40E" w:rsidR="00B86A29" w:rsidRDefault="00B86A29" w:rsidP="00B86A29">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18577D" w14:paraId="09DC7861" w14:textId="77777777" w:rsidTr="005656A9">
        <w:tc>
          <w:tcPr>
            <w:tcW w:w="8789" w:type="dxa"/>
            <w:tcBorders>
              <w:top w:val="single" w:sz="6" w:space="0" w:color="78A22F"/>
              <w:left w:val="nil"/>
              <w:bottom w:val="nil"/>
              <w:right w:val="nil"/>
            </w:tcBorders>
            <w:shd w:val="clear" w:color="auto" w:fill="F2F2F2"/>
          </w:tcPr>
          <w:p w14:paraId="1955C111" w14:textId="7AB7624E" w:rsidR="0018577D" w:rsidRDefault="0018577D">
            <w:pPr>
              <w:pStyle w:val="BoxTitle"/>
            </w:pPr>
            <w:r>
              <w:rPr>
                <w:b w:val="0"/>
              </w:rPr>
              <w:t xml:space="preserve">Box </w:t>
            </w:r>
            <w:r w:rsidR="003D3C97">
              <w:rPr>
                <w:b w:val="0"/>
              </w:rPr>
              <w:t>12.</w:t>
            </w:r>
            <w:r w:rsidR="007F3144">
              <w:rPr>
                <w:b w:val="0"/>
                <w:noProof/>
              </w:rPr>
              <w:t>8</w:t>
            </w:r>
            <w:r>
              <w:tab/>
            </w:r>
            <w:r w:rsidR="000539E3" w:rsidRPr="000539E3">
              <w:t>Adverse events in public hospitals</w:t>
            </w:r>
          </w:p>
        </w:tc>
      </w:tr>
      <w:tr w:rsidR="0018577D" w14:paraId="3A58F9D9" w14:textId="77777777" w:rsidTr="005656A9">
        <w:trPr>
          <w:cantSplit/>
        </w:trPr>
        <w:tc>
          <w:tcPr>
            <w:tcW w:w="8789" w:type="dxa"/>
            <w:tcBorders>
              <w:top w:val="nil"/>
              <w:left w:val="nil"/>
              <w:bottom w:val="nil"/>
              <w:right w:val="nil"/>
            </w:tcBorders>
            <w:shd w:val="clear" w:color="auto" w:fill="F2F2F2"/>
          </w:tcPr>
          <w:p w14:paraId="6A02D47D" w14:textId="77777777" w:rsidR="0018577D" w:rsidRDefault="0018577D" w:rsidP="0018577D">
            <w:pPr>
              <w:pStyle w:val="Box"/>
            </w:pPr>
            <w:r>
              <w:t xml:space="preserve">‘Adverse events in public hospitals’ is defined by the following </w:t>
            </w:r>
            <w:r w:rsidR="00232AA2">
              <w:t>three</w:t>
            </w:r>
            <w:r>
              <w:t xml:space="preserve"> measures: </w:t>
            </w:r>
          </w:p>
          <w:p w14:paraId="099EA28B" w14:textId="76E7C107" w:rsidR="0018577D" w:rsidRDefault="00FB1303" w:rsidP="000539E3">
            <w:pPr>
              <w:pStyle w:val="BoxListBullet"/>
            </w:pPr>
            <w:r>
              <w:t>S</w:t>
            </w:r>
            <w:r w:rsidR="00FA0800" w:rsidRPr="000A750A">
              <w:t xml:space="preserve">elected </w:t>
            </w:r>
            <w:r w:rsidR="0018577D" w:rsidRPr="000A750A">
              <w:t>h</w:t>
            </w:r>
            <w:r w:rsidR="0018577D">
              <w:t>ealthcare-associated infections</w:t>
            </w:r>
          </w:p>
          <w:p w14:paraId="25CE6DE3" w14:textId="33E515AA" w:rsidR="00232AA2" w:rsidRDefault="00FB1303" w:rsidP="000539E3">
            <w:pPr>
              <w:pStyle w:val="BoxListBullet"/>
            </w:pPr>
            <w:r>
              <w:t>A</w:t>
            </w:r>
            <w:r w:rsidR="0018577D">
              <w:t>dverse events treated in hospitals</w:t>
            </w:r>
          </w:p>
          <w:p w14:paraId="7B5A6A90" w14:textId="767CF8CA" w:rsidR="0018577D" w:rsidRDefault="00FB1303" w:rsidP="00232AA2">
            <w:pPr>
              <w:pStyle w:val="BoxListBullet"/>
            </w:pPr>
            <w:r>
              <w:t>F</w:t>
            </w:r>
            <w:r w:rsidR="00351EB7" w:rsidRPr="00232AA2">
              <w:t xml:space="preserve">alls </w:t>
            </w:r>
            <w:r w:rsidR="00232AA2" w:rsidRPr="00232AA2">
              <w:t>resulting in patient harm in hospitals</w:t>
            </w:r>
            <w:r w:rsidR="0018577D">
              <w:t>.</w:t>
            </w:r>
          </w:p>
          <w:p w14:paraId="56B712FE" w14:textId="77777777" w:rsidR="0018577D" w:rsidRDefault="00FA0800" w:rsidP="000539E3">
            <w:pPr>
              <w:pStyle w:val="BoxHeading2"/>
            </w:pPr>
            <w:r w:rsidRPr="000A750A">
              <w:t xml:space="preserve">Selected </w:t>
            </w:r>
            <w:r>
              <w:t>h</w:t>
            </w:r>
            <w:r w:rsidR="0018577D">
              <w:t>ealthcare-associated infections</w:t>
            </w:r>
            <w:r w:rsidR="00777E52">
              <w:t xml:space="preserve"> </w:t>
            </w:r>
          </w:p>
          <w:p w14:paraId="48607DB4" w14:textId="77777777" w:rsidR="0018577D" w:rsidRDefault="00427E55" w:rsidP="0018577D">
            <w:pPr>
              <w:pStyle w:val="Box"/>
            </w:pPr>
            <w:r>
              <w:t>‘</w:t>
            </w:r>
            <w:r w:rsidR="00FA0800" w:rsidRPr="000A750A">
              <w:t xml:space="preserve">Selected </w:t>
            </w:r>
            <w:r w:rsidR="00FA0800">
              <w:t>h</w:t>
            </w:r>
            <w:r w:rsidR="0018577D">
              <w:t>ealthcare-associated infections</w:t>
            </w:r>
            <w:r>
              <w:t>’</w:t>
            </w:r>
            <w:r w:rsidR="0018577D">
              <w:t xml:space="preserve"> is the number of </w:t>
            </w:r>
            <w:r w:rsidR="0018577D" w:rsidRPr="00254603">
              <w:rPr>
                <w:i/>
              </w:rPr>
              <w:t>Staphylococcus aureus</w:t>
            </w:r>
            <w:r w:rsidR="0018577D">
              <w:t xml:space="preserve"> (including Methicillin-resistant </w:t>
            </w:r>
            <w:r w:rsidR="0018577D" w:rsidRPr="00254603">
              <w:rPr>
                <w:i/>
              </w:rPr>
              <w:t>Staphylococcus aureus</w:t>
            </w:r>
            <w:r w:rsidR="0018577D">
              <w:t xml:space="preserve"> [MRSA]) bacteraemia (SAB) patient episodes associated with public hospitals</w:t>
            </w:r>
            <w:r w:rsidR="00881E8D">
              <w:t xml:space="preserve"> (admitted and non-admitted patients)</w:t>
            </w:r>
            <w:r w:rsidR="0018577D">
              <w:t>, expressed as a rate per 10</w:t>
            </w:r>
            <w:r w:rsidR="00E953B0">
              <w:t> </w:t>
            </w:r>
            <w:r w:rsidR="0018577D">
              <w:t xml:space="preserve">000 patient days for public hospitals. </w:t>
            </w:r>
          </w:p>
          <w:p w14:paraId="38C33DA7" w14:textId="77777777" w:rsidR="00DB6CC8" w:rsidRDefault="00DB6CC8" w:rsidP="00DB6CC8">
            <w:pPr>
              <w:pStyle w:val="Box"/>
            </w:pPr>
            <w:r w:rsidRPr="00F70A15">
              <w:t>A patient episode of SAB is defined as a positive blood culture for SAB. Only the first isolate per patient is counted, unless at least 14 days has passed without a positive blood culture, after which an additional episode is recorded.</w:t>
            </w:r>
          </w:p>
          <w:p w14:paraId="352112A6" w14:textId="649ABDF1" w:rsidR="00DB6CC8" w:rsidRPr="00750251" w:rsidRDefault="00DB6CC8" w:rsidP="00DB6CC8">
            <w:pPr>
              <w:pStyle w:val="Box"/>
            </w:pPr>
            <w:r w:rsidRPr="00750251">
              <w:t xml:space="preserve">SAB is considered to be healthcare-associated if the first positive blood culture is collected more than 48 hours after hospital admission or less than 48 hours after discharge, or if the first positive blood culture is collected </w:t>
            </w:r>
            <w:r w:rsidR="006C10BF" w:rsidRPr="00F2288F">
              <w:t>less than or equal to</w:t>
            </w:r>
            <w:r w:rsidR="006C10BF" w:rsidRPr="00750251">
              <w:t xml:space="preserve"> </w:t>
            </w:r>
            <w:r w:rsidRPr="00750251">
              <w:t xml:space="preserve">48 hours after </w:t>
            </w:r>
            <w:r w:rsidRPr="00F2288F">
              <w:t xml:space="preserve">admission </w:t>
            </w:r>
            <w:r w:rsidR="006C10BF" w:rsidRPr="00F2288F">
              <w:t>to hospital</w:t>
            </w:r>
            <w:r w:rsidR="006C10BF" w:rsidRPr="00750251">
              <w:t xml:space="preserve"> </w:t>
            </w:r>
            <w:r w:rsidRPr="00750251">
              <w:t xml:space="preserve">and the patient episode of </w:t>
            </w:r>
            <w:r w:rsidRPr="00F2288F">
              <w:t>SAB</w:t>
            </w:r>
            <w:r w:rsidR="006C10BF" w:rsidRPr="00F2288F">
              <w:t xml:space="preserve"> meets at least one of the following criteria:</w:t>
            </w:r>
            <w:r w:rsidRPr="00750251">
              <w:t xml:space="preserve"> </w:t>
            </w:r>
          </w:p>
          <w:p w14:paraId="50D5421F" w14:textId="77777777" w:rsidR="00DB6CC8" w:rsidRDefault="00DB6CC8" w:rsidP="00DB6CC8">
            <w:pPr>
              <w:pStyle w:val="BoxListBullet"/>
            </w:pPr>
            <w:r>
              <w:t>SAB is a complication of the presence of an indwelling medical device</w:t>
            </w:r>
          </w:p>
          <w:p w14:paraId="2056749B" w14:textId="674D955E" w:rsidR="00DB6CC8" w:rsidRDefault="00DB6CC8" w:rsidP="00DB6CC8">
            <w:pPr>
              <w:pStyle w:val="BoxListBullet"/>
            </w:pPr>
            <w:r>
              <w:t xml:space="preserve">SAB occurs within 30 days of a surgical procedure </w:t>
            </w:r>
            <w:r w:rsidRPr="00F2288F">
              <w:t xml:space="preserve">where </w:t>
            </w:r>
            <w:r w:rsidR="006C10BF" w:rsidRPr="00F2288F">
              <w:t xml:space="preserve">the </w:t>
            </w:r>
            <w:r>
              <w:t>SAB is related to the surgical site</w:t>
            </w:r>
          </w:p>
          <w:p w14:paraId="2FC433E1" w14:textId="7A5FFAE0" w:rsidR="00DB6CC8" w:rsidRDefault="006C10BF" w:rsidP="00F2288F">
            <w:pPr>
              <w:pStyle w:val="BoxListBullet"/>
            </w:pPr>
            <w:r w:rsidRPr="00F2288F">
              <w:t>SAB was diagnosed within 48 hours of a related</w:t>
            </w:r>
            <w:r>
              <w:t xml:space="preserve"> </w:t>
            </w:r>
            <w:r w:rsidR="00DB6CC8">
              <w:t xml:space="preserve">invasive instrumentation or incision </w:t>
            </w:r>
          </w:p>
          <w:p w14:paraId="2EB7EF81" w14:textId="2C895C9D" w:rsidR="00B86A29" w:rsidRDefault="00DB6CC8" w:rsidP="00030725">
            <w:pPr>
              <w:pStyle w:val="BoxListBullet"/>
            </w:pPr>
            <w:r>
              <w:t>SAB is as</w:t>
            </w:r>
            <w:r w:rsidR="00BA2D4A">
              <w:t>sociated with neutropenia</w:t>
            </w:r>
            <w:r>
              <w:t xml:space="preserve"> contributed to by cytotoxic therapy.</w:t>
            </w:r>
            <w:r w:rsidR="00BA2D4A">
              <w:t xml:space="preserve"> </w:t>
            </w:r>
            <w:r w:rsidR="00BA2D4A" w:rsidRPr="00BA2D4A">
              <w:t>Neutropenia is defined as at least two separate calendar days with values of absolute neutrophil count (ANC</w:t>
            </w:r>
            <w:r w:rsidR="00BA2D4A" w:rsidRPr="00F2288F">
              <w:t xml:space="preserve">) </w:t>
            </w:r>
            <w:r w:rsidR="006C10BF" w:rsidRPr="00F2288F">
              <w:t xml:space="preserve">or total white blood cell count </w:t>
            </w:r>
            <w:r w:rsidR="00BA2D4A" w:rsidRPr="00F2288F">
              <w:t>&lt;</w:t>
            </w:r>
            <w:r w:rsidR="00BA2D4A" w:rsidRPr="00BA2D4A">
              <w:t>500 cell/</w:t>
            </w:r>
            <w:proofErr w:type="spellStart"/>
            <w:r w:rsidR="00BA2D4A" w:rsidRPr="00BA2D4A">
              <w:t>mm</w:t>
            </w:r>
            <w:r w:rsidR="00BA2D4A" w:rsidRPr="00B86A29">
              <w:rPr>
                <w:vertAlign w:val="superscript"/>
              </w:rPr>
              <w:t>3</w:t>
            </w:r>
            <w:proofErr w:type="spellEnd"/>
            <w:r w:rsidR="00BA2D4A" w:rsidRPr="00BA2D4A">
              <w:t xml:space="preserve"> (0.5 × 10</w:t>
            </w:r>
            <w:r w:rsidR="00BA2D4A" w:rsidRPr="00B86A29">
              <w:rPr>
                <w:vertAlign w:val="superscript"/>
              </w:rPr>
              <w:t>9</w:t>
            </w:r>
            <w:r w:rsidR="00BA2D4A" w:rsidRPr="00BA2D4A">
              <w:t xml:space="preserve">/L) on or within a seven-day time period which includes the date the positive blood specimen was collected (Day 1), the </w:t>
            </w:r>
            <w:r w:rsidR="00BA2D4A">
              <w:t>three</w:t>
            </w:r>
            <w:r w:rsidR="00BA2D4A" w:rsidRPr="00BA2D4A">
              <w:t xml:space="preserve"> calendar days before and the </w:t>
            </w:r>
            <w:r w:rsidR="00BA2D4A">
              <w:t>three</w:t>
            </w:r>
            <w:r w:rsidR="00BA2D4A" w:rsidRPr="00BA2D4A">
              <w:t xml:space="preserve"> calendar days after.</w:t>
            </w:r>
          </w:p>
          <w:p w14:paraId="08655DC6" w14:textId="77777777" w:rsidR="00B86A29" w:rsidRDefault="00B86A29" w:rsidP="00BA4896">
            <w:pPr>
              <w:pStyle w:val="Box"/>
            </w:pPr>
            <w:r>
              <w:t>Cases where a known previous positive test has been obtained within the last 14 days are excluded. Patient days for unqualified newborns, hospital boarders and posthumous organ procurement are excluded.</w:t>
            </w:r>
          </w:p>
          <w:p w14:paraId="4FBA9B27" w14:textId="0C56548C" w:rsidR="00DB6CC8" w:rsidRDefault="00B86A29" w:rsidP="00BA4896">
            <w:pPr>
              <w:pStyle w:val="Box"/>
            </w:pPr>
            <w:r>
              <w:t>A low or decreasing rate of selected healthcare-associated infections is desirable.</w:t>
            </w:r>
          </w:p>
          <w:p w14:paraId="44DF01E8" w14:textId="77777777" w:rsidR="000539E3" w:rsidRDefault="0088252D" w:rsidP="00462DF2">
            <w:pPr>
              <w:pStyle w:val="Continued"/>
            </w:pPr>
            <w:r>
              <w:t xml:space="preserve"> </w:t>
            </w:r>
            <w:r w:rsidR="00462DF2">
              <w:t>(c</w:t>
            </w:r>
            <w:r w:rsidR="000539E3">
              <w:t>ontinued next page)</w:t>
            </w:r>
          </w:p>
        </w:tc>
      </w:tr>
      <w:tr w:rsidR="0018577D" w14:paraId="7B8B9312" w14:textId="77777777" w:rsidTr="005656A9">
        <w:trPr>
          <w:cantSplit/>
        </w:trPr>
        <w:tc>
          <w:tcPr>
            <w:tcW w:w="8789" w:type="dxa"/>
            <w:tcBorders>
              <w:top w:val="nil"/>
              <w:left w:val="nil"/>
              <w:bottom w:val="single" w:sz="6" w:space="0" w:color="78A22F"/>
              <w:right w:val="nil"/>
            </w:tcBorders>
            <w:shd w:val="clear" w:color="auto" w:fill="F2F2F2"/>
          </w:tcPr>
          <w:p w14:paraId="0275C823" w14:textId="77777777" w:rsidR="0018577D" w:rsidRDefault="0018577D">
            <w:pPr>
              <w:pStyle w:val="Box"/>
              <w:spacing w:before="0" w:line="120" w:lineRule="exact"/>
            </w:pPr>
          </w:p>
        </w:tc>
      </w:tr>
      <w:tr w:rsidR="0018577D" w:rsidRPr="000863A5" w14:paraId="7AB495BC" w14:textId="77777777" w:rsidTr="005656A9">
        <w:tc>
          <w:tcPr>
            <w:tcW w:w="8789" w:type="dxa"/>
            <w:tcBorders>
              <w:top w:val="single" w:sz="6" w:space="0" w:color="78A22F"/>
              <w:left w:val="nil"/>
              <w:bottom w:val="nil"/>
              <w:right w:val="nil"/>
            </w:tcBorders>
          </w:tcPr>
          <w:p w14:paraId="349607C3" w14:textId="0D9EB10D" w:rsidR="0018577D" w:rsidRPr="00626D32" w:rsidRDefault="0018577D" w:rsidP="00A376A3">
            <w:pPr>
              <w:pStyle w:val="BoxSpaceBelow"/>
            </w:pPr>
          </w:p>
        </w:tc>
      </w:tr>
    </w:tbl>
    <w:p w14:paraId="7CE13B97" w14:textId="03DDEDE3" w:rsidR="000539E3" w:rsidRDefault="000539E3">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0539E3" w14:paraId="17B50A95" w14:textId="77777777" w:rsidTr="005656A9">
        <w:tc>
          <w:tcPr>
            <w:tcW w:w="8789" w:type="dxa"/>
            <w:tcBorders>
              <w:top w:val="single" w:sz="6" w:space="0" w:color="78A22F"/>
              <w:left w:val="nil"/>
              <w:bottom w:val="nil"/>
              <w:right w:val="nil"/>
            </w:tcBorders>
            <w:shd w:val="clear" w:color="auto" w:fill="F2F2F2"/>
          </w:tcPr>
          <w:p w14:paraId="67B7F814" w14:textId="77777777" w:rsidR="000539E3" w:rsidRDefault="000539E3" w:rsidP="003D3C97">
            <w:pPr>
              <w:pStyle w:val="BoxTitle"/>
            </w:pPr>
            <w:r>
              <w:rPr>
                <w:b w:val="0"/>
              </w:rPr>
              <w:t xml:space="preserve">Box </w:t>
            </w:r>
            <w:r w:rsidR="000F15E6">
              <w:rPr>
                <w:b w:val="0"/>
              </w:rPr>
              <w:t>12.</w:t>
            </w:r>
            <w:r w:rsidR="003D3C97">
              <w:rPr>
                <w:b w:val="0"/>
              </w:rPr>
              <w:t>8</w:t>
            </w:r>
            <w:r>
              <w:tab/>
            </w:r>
            <w:r w:rsidRPr="00462DF2">
              <w:rPr>
                <w:b w:val="0"/>
                <w:sz w:val="18"/>
                <w:szCs w:val="18"/>
              </w:rPr>
              <w:t>(</w:t>
            </w:r>
            <w:r w:rsidR="009E55BA" w:rsidRPr="00462DF2">
              <w:rPr>
                <w:b w:val="0"/>
                <w:sz w:val="18"/>
                <w:szCs w:val="18"/>
              </w:rPr>
              <w:t>continued</w:t>
            </w:r>
            <w:r w:rsidRPr="00462DF2">
              <w:rPr>
                <w:b w:val="0"/>
                <w:sz w:val="18"/>
                <w:szCs w:val="18"/>
              </w:rPr>
              <w:t>)</w:t>
            </w:r>
          </w:p>
        </w:tc>
      </w:tr>
      <w:tr w:rsidR="000539E3" w14:paraId="41D0E9B9" w14:textId="77777777" w:rsidTr="005656A9">
        <w:trPr>
          <w:cantSplit/>
        </w:trPr>
        <w:tc>
          <w:tcPr>
            <w:tcW w:w="8789" w:type="dxa"/>
            <w:tcBorders>
              <w:top w:val="nil"/>
              <w:left w:val="nil"/>
              <w:bottom w:val="nil"/>
              <w:right w:val="nil"/>
            </w:tcBorders>
            <w:shd w:val="clear" w:color="auto" w:fill="F2F2F2"/>
          </w:tcPr>
          <w:p w14:paraId="68721A8C" w14:textId="77777777" w:rsidR="00B86A29" w:rsidRDefault="00B86A29" w:rsidP="00B86A29">
            <w:pPr>
              <w:pStyle w:val="Box"/>
            </w:pPr>
            <w:r>
              <w:t>Data reported for this measure are:</w:t>
            </w:r>
          </w:p>
          <w:p w14:paraId="2FA8BB98" w14:textId="77777777" w:rsidR="00B86A29" w:rsidRDefault="00B86A29" w:rsidP="00BA4896">
            <w:pPr>
              <w:pStyle w:val="BoxListBullet"/>
            </w:pPr>
            <w:r>
              <w:t>comparable (subject to caveats) within jurisdictions over time but are not comparable across jurisdictions</w:t>
            </w:r>
          </w:p>
          <w:p w14:paraId="01850DE1" w14:textId="77318497" w:rsidR="00B86A29" w:rsidRDefault="00B86A29" w:rsidP="00BA4896">
            <w:pPr>
              <w:pStyle w:val="BoxListBullet"/>
            </w:pPr>
            <w:r>
              <w:t>complete (subject to caveats) for the current reporting period. All required 2016-17 data are available for all jurisdictions.</w:t>
            </w:r>
          </w:p>
          <w:p w14:paraId="1763BE83" w14:textId="77777777" w:rsidR="0088252D" w:rsidRDefault="0088252D" w:rsidP="0088252D">
            <w:pPr>
              <w:pStyle w:val="BoxHeading2"/>
            </w:pPr>
            <w:r>
              <w:t>Adverse events treated in hospitals</w:t>
            </w:r>
          </w:p>
          <w:p w14:paraId="68906CE5" w14:textId="77777777" w:rsidR="0088252D" w:rsidRDefault="0088252D" w:rsidP="0088252D">
            <w:pPr>
              <w:pStyle w:val="Box"/>
            </w:pPr>
            <w:r>
              <w:t>‘Adverse events treated in hospitals’ are incidents in which harm resulted to a person during hospitalisation and are measured by separations that had an adverse event (including infections, falls resulting in injuries and problems with medication and medical devices) that occurred during hospitalisation</w:t>
            </w:r>
            <w:r w:rsidRPr="00D2691D">
              <w:t xml:space="preserve">. Hospital separations data include information </w:t>
            </w:r>
            <w:r>
              <w:t xml:space="preserve">on diagnoses and place of occurrence </w:t>
            </w:r>
            <w:r w:rsidRPr="00D2691D">
              <w:t>that can indicate that an adverse event was treated and/or occurred during the hospitalisation</w:t>
            </w:r>
            <w:r>
              <w:t xml:space="preserve">, but </w:t>
            </w:r>
            <w:r w:rsidRPr="00D2691D">
              <w:t xml:space="preserve">some adverse events are not identifiable using </w:t>
            </w:r>
            <w:r>
              <w:t>these codes</w:t>
            </w:r>
            <w:r w:rsidRPr="00D2691D">
              <w:t>.</w:t>
            </w:r>
          </w:p>
          <w:p w14:paraId="07AE8E12" w14:textId="77777777" w:rsidR="0088252D" w:rsidRDefault="0088252D" w:rsidP="0088252D">
            <w:pPr>
              <w:pStyle w:val="Box"/>
            </w:pPr>
            <w:r>
              <w:t>Low or decreasing adverse events treated in hospitals is desirable.</w:t>
            </w:r>
          </w:p>
          <w:p w14:paraId="4E8D0C33" w14:textId="77777777" w:rsidR="000539E3" w:rsidRDefault="000539E3" w:rsidP="000539E3">
            <w:pPr>
              <w:pStyle w:val="Box"/>
            </w:pPr>
            <w:r>
              <w:t>Data reported for this measure are:</w:t>
            </w:r>
          </w:p>
          <w:p w14:paraId="1419DB32" w14:textId="77777777" w:rsidR="000539E3" w:rsidRDefault="000539E3" w:rsidP="000539E3">
            <w:pPr>
              <w:pStyle w:val="BoxListBullet"/>
            </w:pPr>
            <w:r>
              <w:t>comparable (subject to caveats) across jurisdictions and over time</w:t>
            </w:r>
          </w:p>
          <w:p w14:paraId="3EFAB866" w14:textId="77777777" w:rsidR="00DB6CC8" w:rsidRDefault="000539E3" w:rsidP="00DB6CC8">
            <w:pPr>
              <w:pStyle w:val="BoxListBullet"/>
            </w:pPr>
            <w:r>
              <w:t>complete (subject to caveats) for the current repo</w:t>
            </w:r>
            <w:r w:rsidR="001008A9">
              <w:t>rting period. All required 201</w:t>
            </w:r>
            <w:r w:rsidR="00B061E5">
              <w:t>5</w:t>
            </w:r>
            <w:r w:rsidR="001008A9">
              <w:t>-</w:t>
            </w:r>
            <w:r>
              <w:t>1</w:t>
            </w:r>
            <w:r w:rsidR="00B061E5">
              <w:t>6</w:t>
            </w:r>
            <w:r>
              <w:t xml:space="preserve"> data are available for all jurisdictions.</w:t>
            </w:r>
          </w:p>
          <w:p w14:paraId="3380F37A" w14:textId="77777777" w:rsidR="00DB6CC8" w:rsidRDefault="00DB6CC8" w:rsidP="00DB6CC8">
            <w:pPr>
              <w:pStyle w:val="BoxHeading2"/>
            </w:pPr>
            <w:r w:rsidRPr="00A32FE4">
              <w:t>Falls resulting in patient harm in hospitals</w:t>
            </w:r>
          </w:p>
          <w:p w14:paraId="750961AA" w14:textId="77777777" w:rsidR="00DB6CC8" w:rsidRPr="00232AA2" w:rsidRDefault="00DB6CC8" w:rsidP="00DB6CC8">
            <w:pPr>
              <w:pStyle w:val="Box"/>
            </w:pPr>
            <w:r>
              <w:t>‘</w:t>
            </w:r>
            <w:r w:rsidRPr="00232AA2">
              <w:t xml:space="preserve">Falls </w:t>
            </w:r>
            <w:r w:rsidRPr="00427E55">
              <w:t>resulting in patient harm in hospitals</w:t>
            </w:r>
            <w:r>
              <w:t xml:space="preserve">’ </w:t>
            </w:r>
            <w:r w:rsidRPr="00232AA2">
              <w:t xml:space="preserve">is defined as the number of separations with an external cause code for fall and a place of occurrence of </w:t>
            </w:r>
            <w:r>
              <w:t>health service area</w:t>
            </w:r>
            <w:r w:rsidRPr="00232AA2">
              <w:t>, expressed as a rate per 1000 hospital separations.</w:t>
            </w:r>
            <w:r w:rsidR="00881E8D">
              <w:t xml:space="preserve"> </w:t>
            </w:r>
            <w:r>
              <w:t xml:space="preserve">It is not possible to determine if the place of occurrence was a public </w:t>
            </w:r>
            <w:r w:rsidRPr="00D2691D">
              <w:t>hospital</w:t>
            </w:r>
            <w:r>
              <w:t>, only that it was a health service area.</w:t>
            </w:r>
          </w:p>
          <w:p w14:paraId="03F4A881" w14:textId="77777777" w:rsidR="00DB6CC8" w:rsidRPr="00232AA2" w:rsidRDefault="00DB6CC8" w:rsidP="00DB6CC8">
            <w:pPr>
              <w:pStyle w:val="Box"/>
            </w:pPr>
            <w:r w:rsidRPr="00232AA2">
              <w:t>A low or decreasing rate of falls resulting in patient harm in hospitals is desirable.</w:t>
            </w:r>
          </w:p>
          <w:p w14:paraId="5BF10626" w14:textId="77777777" w:rsidR="00DB6CC8" w:rsidRPr="00232AA2" w:rsidRDefault="00DB6CC8" w:rsidP="00DB6CC8">
            <w:pPr>
              <w:pStyle w:val="Box"/>
            </w:pPr>
            <w:r w:rsidRPr="00232AA2">
              <w:t>Data reported for this measure are:</w:t>
            </w:r>
            <w:r>
              <w:t xml:space="preserve"> </w:t>
            </w:r>
          </w:p>
          <w:p w14:paraId="4885BCDE" w14:textId="77777777" w:rsidR="00DB6CC8" w:rsidRPr="00232AA2" w:rsidRDefault="00DB6CC8" w:rsidP="00DB6CC8">
            <w:pPr>
              <w:pStyle w:val="BoxListBullet"/>
            </w:pPr>
            <w:r w:rsidRPr="00232AA2">
              <w:t>comparable (subject to caveats) across jurisdictions and over time</w:t>
            </w:r>
          </w:p>
          <w:p w14:paraId="4DAB5B0D" w14:textId="77777777" w:rsidR="00A32FE4" w:rsidRPr="00F70A15" w:rsidRDefault="00DB6CC8" w:rsidP="00B061E5">
            <w:pPr>
              <w:pStyle w:val="BoxListBullet"/>
            </w:pPr>
            <w:r w:rsidRPr="00232AA2">
              <w:t>complete (subject to caveats) for the current reporting period. All required 201</w:t>
            </w:r>
            <w:r w:rsidR="00B061E5">
              <w:t>5</w:t>
            </w:r>
            <w:r>
              <w:t>-1</w:t>
            </w:r>
            <w:r w:rsidR="00B061E5">
              <w:t>6</w:t>
            </w:r>
            <w:r w:rsidRPr="00232AA2">
              <w:t xml:space="preserve"> data are available for all jurisdictions.</w:t>
            </w:r>
          </w:p>
        </w:tc>
      </w:tr>
      <w:tr w:rsidR="000539E3" w14:paraId="3F566E46" w14:textId="77777777" w:rsidTr="005656A9">
        <w:trPr>
          <w:cantSplit/>
        </w:trPr>
        <w:tc>
          <w:tcPr>
            <w:tcW w:w="8789" w:type="dxa"/>
            <w:tcBorders>
              <w:top w:val="nil"/>
              <w:left w:val="nil"/>
              <w:bottom w:val="single" w:sz="6" w:space="0" w:color="78A22F"/>
              <w:right w:val="nil"/>
            </w:tcBorders>
            <w:shd w:val="clear" w:color="auto" w:fill="F2F2F2"/>
          </w:tcPr>
          <w:p w14:paraId="06A33C8C" w14:textId="77777777" w:rsidR="000539E3" w:rsidRDefault="000539E3">
            <w:pPr>
              <w:pStyle w:val="Box"/>
              <w:spacing w:before="0" w:line="120" w:lineRule="exact"/>
            </w:pPr>
          </w:p>
        </w:tc>
      </w:tr>
      <w:tr w:rsidR="000539E3" w:rsidRPr="000863A5" w14:paraId="02ED8001" w14:textId="77777777" w:rsidTr="005656A9">
        <w:tc>
          <w:tcPr>
            <w:tcW w:w="8789" w:type="dxa"/>
            <w:tcBorders>
              <w:top w:val="single" w:sz="6" w:space="0" w:color="78A22F"/>
              <w:left w:val="nil"/>
              <w:bottom w:val="nil"/>
              <w:right w:val="nil"/>
            </w:tcBorders>
          </w:tcPr>
          <w:p w14:paraId="71D13BBC" w14:textId="73FBCB05" w:rsidR="000539E3" w:rsidRPr="00626D32" w:rsidRDefault="000539E3" w:rsidP="00A376A3">
            <w:pPr>
              <w:pStyle w:val="BoxSpaceBelow"/>
            </w:pPr>
          </w:p>
        </w:tc>
      </w:tr>
    </w:tbl>
    <w:p w14:paraId="6C545EA2" w14:textId="77777777" w:rsidR="000539E3" w:rsidRDefault="00FA0800" w:rsidP="005574AD">
      <w:pPr>
        <w:pStyle w:val="Heading5"/>
      </w:pPr>
      <w:r w:rsidRPr="000A750A">
        <w:t xml:space="preserve">Selected </w:t>
      </w:r>
      <w:r>
        <w:t>h</w:t>
      </w:r>
      <w:r w:rsidR="000539E3">
        <w:t>ealthcare-associated infections</w:t>
      </w:r>
    </w:p>
    <w:p w14:paraId="766661C3" w14:textId="33615C03" w:rsidR="0018577D" w:rsidRDefault="00FA0800" w:rsidP="000539E3">
      <w:pPr>
        <w:pStyle w:val="BodyText"/>
      </w:pPr>
      <w:r w:rsidRPr="000A750A">
        <w:t>Selected h</w:t>
      </w:r>
      <w:r w:rsidR="000539E3">
        <w:t>ealthcare-associated infections per 10</w:t>
      </w:r>
      <w:r w:rsidR="0039051C">
        <w:t> </w:t>
      </w:r>
      <w:r w:rsidR="000539E3">
        <w:t xml:space="preserve">000 patient days is reported in figure </w:t>
      </w:r>
      <w:r w:rsidR="000F15E6">
        <w:t>12.</w:t>
      </w:r>
      <w:r w:rsidR="006D1E26">
        <w:t>7</w:t>
      </w:r>
      <w:r w:rsidR="000F15E6">
        <w:t>.</w:t>
      </w:r>
      <w:r w:rsidR="00477C9C">
        <w:t xml:space="preserve"> </w:t>
      </w:r>
    </w:p>
    <w:p w14:paraId="50C15A05" w14:textId="1DA86971" w:rsidR="000539E3" w:rsidRDefault="000539E3" w:rsidP="00A376A3">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0539E3" w14:paraId="40398746" w14:textId="77777777" w:rsidTr="005656A9">
        <w:tc>
          <w:tcPr>
            <w:tcW w:w="8789" w:type="dxa"/>
            <w:tcBorders>
              <w:top w:val="single" w:sz="6" w:space="0" w:color="78A22F"/>
              <w:left w:val="nil"/>
              <w:bottom w:val="nil"/>
              <w:right w:val="nil"/>
            </w:tcBorders>
            <w:shd w:val="clear" w:color="auto" w:fill="auto"/>
          </w:tcPr>
          <w:p w14:paraId="24A7461D" w14:textId="42B42764" w:rsidR="000539E3" w:rsidRPr="00176D3F" w:rsidRDefault="000539E3" w:rsidP="00EC6B38">
            <w:pPr>
              <w:pStyle w:val="FigureTitle"/>
            </w:pPr>
            <w:r w:rsidRPr="00784A05">
              <w:rPr>
                <w:b w:val="0"/>
              </w:rPr>
              <w:t xml:space="preserve">Figure </w:t>
            </w:r>
            <w:r w:rsidR="002B5085">
              <w:rPr>
                <w:b w:val="0"/>
              </w:rPr>
              <w:t>12.</w:t>
            </w:r>
            <w:r w:rsidR="007F3144">
              <w:rPr>
                <w:b w:val="0"/>
                <w:noProof/>
              </w:rPr>
              <w:t>7</w:t>
            </w:r>
            <w:r>
              <w:tab/>
            </w:r>
            <w:r w:rsidR="00EC6B38" w:rsidRPr="000A750A">
              <w:t xml:space="preserve">Selected </w:t>
            </w:r>
            <w:r w:rsidR="00EC6B38">
              <w:t>h</w:t>
            </w:r>
            <w:r w:rsidRPr="000539E3">
              <w:t>ealthcare-associated infections, public hospitals</w:t>
            </w:r>
            <w:r w:rsidR="00477C9C">
              <w:rPr>
                <w:rStyle w:val="NoteLabel"/>
                <w:b/>
                <w:szCs w:val="20"/>
              </w:rPr>
              <w:t>a</w:t>
            </w:r>
          </w:p>
        </w:tc>
      </w:tr>
      <w:tr w:rsidR="000539E3" w14:paraId="4E72C833" w14:textId="77777777" w:rsidTr="005656A9">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1A72BC" w14:paraId="07F5C6E1" w14:textId="77777777" w:rsidTr="002A29DE">
              <w:trPr>
                <w:trHeight w:val="3942"/>
                <w:jc w:val="center"/>
              </w:trPr>
              <w:tc>
                <w:tcPr>
                  <w:tcW w:w="5000" w:type="pct"/>
                  <w:tcBorders>
                    <w:top w:val="nil"/>
                    <w:bottom w:val="nil"/>
                  </w:tcBorders>
                </w:tcPr>
                <w:p w14:paraId="7A075FDE" w14:textId="31B3DCB1" w:rsidR="001A72BC" w:rsidRDefault="00FD711B" w:rsidP="00A376A3">
                  <w:pPr>
                    <w:pStyle w:val="Figure"/>
                    <w:spacing w:before="60" w:after="60"/>
                  </w:pPr>
                  <w:r>
                    <w:rPr>
                      <w:noProof/>
                    </w:rPr>
                    <w:drawing>
                      <wp:inline distT="0" distB="0" distL="0" distR="0" wp14:anchorId="5F59EE0D" wp14:editId="19E395A1">
                        <wp:extent cx="5335905" cy="2893695"/>
                        <wp:effectExtent l="0" t="0" r="0" b="1905"/>
                        <wp:docPr id="8" name="Picture 8" descr="More details can be found within the text surrounding this image." title="Figure 12.7 Selected healthcare-associated infections, public hospit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5905" cy="2893695"/>
                                </a:xfrm>
                                <a:prstGeom prst="rect">
                                  <a:avLst/>
                                </a:prstGeom>
                                <a:noFill/>
                                <a:ln>
                                  <a:noFill/>
                                </a:ln>
                              </pic:spPr>
                            </pic:pic>
                          </a:graphicData>
                        </a:graphic>
                      </wp:inline>
                    </w:drawing>
                  </w:r>
                </w:p>
              </w:tc>
            </w:tr>
          </w:tbl>
          <w:p w14:paraId="7ADB69B2" w14:textId="77777777" w:rsidR="000539E3" w:rsidRDefault="000539E3" w:rsidP="00A376A3">
            <w:pPr>
              <w:pStyle w:val="Figure"/>
            </w:pPr>
          </w:p>
        </w:tc>
      </w:tr>
      <w:tr w:rsidR="000539E3" w:rsidRPr="00176D3F" w14:paraId="0C189E07" w14:textId="77777777" w:rsidTr="005656A9">
        <w:tc>
          <w:tcPr>
            <w:tcW w:w="8789" w:type="dxa"/>
            <w:tcBorders>
              <w:top w:val="nil"/>
              <w:left w:val="nil"/>
              <w:bottom w:val="nil"/>
              <w:right w:val="nil"/>
            </w:tcBorders>
            <w:shd w:val="clear" w:color="auto" w:fill="auto"/>
          </w:tcPr>
          <w:p w14:paraId="24773428" w14:textId="6CBDC0A6" w:rsidR="000539E3" w:rsidRPr="00176D3F" w:rsidRDefault="000539E3" w:rsidP="00041F64">
            <w:pPr>
              <w:pStyle w:val="Note"/>
            </w:pPr>
            <w:r>
              <w:rPr>
                <w:rStyle w:val="NoteLabel"/>
              </w:rPr>
              <w:t>a</w:t>
            </w:r>
            <w:r>
              <w:t xml:space="preserve"> </w:t>
            </w:r>
            <w:r w:rsidR="00477C9C" w:rsidRPr="00477C9C">
              <w:t xml:space="preserve">See </w:t>
            </w:r>
            <w:r w:rsidR="00CB3FA6" w:rsidRPr="00477C9C">
              <w:t xml:space="preserve">box </w:t>
            </w:r>
            <w:r w:rsidR="000F15E6">
              <w:t>12.</w:t>
            </w:r>
            <w:r w:rsidR="00041F64">
              <w:t>8</w:t>
            </w:r>
            <w:r w:rsidR="00477C9C" w:rsidRPr="00477C9C">
              <w:t xml:space="preserve"> and table </w:t>
            </w:r>
            <w:proofErr w:type="spellStart"/>
            <w:r w:rsidR="000F15E6">
              <w:t>12A</w:t>
            </w:r>
            <w:r w:rsidR="00477C9C" w:rsidRPr="00477C9C">
              <w:t>.</w:t>
            </w:r>
            <w:r w:rsidR="0057664C">
              <w:t>3</w:t>
            </w:r>
            <w:r w:rsidR="00D13FAC">
              <w:t>4</w:t>
            </w:r>
            <w:proofErr w:type="spellEnd"/>
            <w:r w:rsidR="00477C9C" w:rsidRPr="00477C9C">
              <w:t xml:space="preserve"> for detailed </w:t>
            </w:r>
            <w:r w:rsidR="00536DD1" w:rsidRPr="00536DD1">
              <w:t xml:space="preserve">definitions, footnotes and </w:t>
            </w:r>
            <w:r w:rsidR="00477C9C" w:rsidRPr="00477C9C">
              <w:t>caveats.</w:t>
            </w:r>
          </w:p>
        </w:tc>
      </w:tr>
      <w:tr w:rsidR="000539E3" w:rsidRPr="00176D3F" w14:paraId="08CE10C0" w14:textId="77777777" w:rsidTr="005656A9">
        <w:tc>
          <w:tcPr>
            <w:tcW w:w="8789" w:type="dxa"/>
            <w:tcBorders>
              <w:top w:val="nil"/>
              <w:left w:val="nil"/>
              <w:bottom w:val="nil"/>
              <w:right w:val="nil"/>
            </w:tcBorders>
            <w:shd w:val="clear" w:color="auto" w:fill="auto"/>
          </w:tcPr>
          <w:p w14:paraId="27732E90" w14:textId="3FD0564F" w:rsidR="000539E3" w:rsidRPr="00176D3F" w:rsidRDefault="000539E3" w:rsidP="002767E8">
            <w:pPr>
              <w:pStyle w:val="Source"/>
            </w:pPr>
            <w:r>
              <w:rPr>
                <w:i/>
              </w:rPr>
              <w:t>S</w:t>
            </w:r>
            <w:r w:rsidRPr="00784A05">
              <w:rPr>
                <w:i/>
              </w:rPr>
              <w:t>ource</w:t>
            </w:r>
            <w:r w:rsidRPr="00176D3F">
              <w:t xml:space="preserve">: </w:t>
            </w:r>
            <w:r w:rsidR="00A537E4" w:rsidRPr="00A537E4">
              <w:t>AIHW 201</w:t>
            </w:r>
            <w:r w:rsidR="00B061E5">
              <w:t>7</w:t>
            </w:r>
            <w:r w:rsidR="00A537E4" w:rsidRPr="00A537E4">
              <w:t xml:space="preserve"> </w:t>
            </w:r>
            <w:r w:rsidR="00A537E4" w:rsidRPr="00A537E4">
              <w:rPr>
                <w:i/>
              </w:rPr>
              <w:t>Staphylococcus aureus bacteraemia in Australian hospitals 201</w:t>
            </w:r>
            <w:r w:rsidR="00B061E5">
              <w:rPr>
                <w:i/>
              </w:rPr>
              <w:t>6</w:t>
            </w:r>
            <w:r w:rsidR="00991BF7">
              <w:rPr>
                <w:i/>
              </w:rPr>
              <w:t>-</w:t>
            </w:r>
            <w:r w:rsidR="00A14EB5">
              <w:rPr>
                <w:i/>
              </w:rPr>
              <w:t>1</w:t>
            </w:r>
            <w:r w:rsidR="00B061E5">
              <w:rPr>
                <w:i/>
              </w:rPr>
              <w:t>7</w:t>
            </w:r>
            <w:r w:rsidR="002767E8">
              <w:rPr>
                <w:i/>
              </w:rPr>
              <w:t>;</w:t>
            </w:r>
            <w:r w:rsidR="00A537E4" w:rsidRPr="00A537E4">
              <w:rPr>
                <w:i/>
              </w:rPr>
              <w:t xml:space="preserve"> Australian hospital statistics</w:t>
            </w:r>
            <w:r w:rsidR="00A537E4" w:rsidRPr="00A537E4">
              <w:t xml:space="preserve">. Health services </w:t>
            </w:r>
            <w:r w:rsidR="00951956">
              <w:t>series</w:t>
            </w:r>
            <w:r w:rsidRPr="000539E3">
              <w:t>; table</w:t>
            </w:r>
            <w:r w:rsidR="00A537E4">
              <w:t> </w:t>
            </w:r>
            <w:proofErr w:type="spellStart"/>
            <w:r w:rsidR="000F15E6">
              <w:t>12A</w:t>
            </w:r>
            <w:r w:rsidRPr="000539E3">
              <w:t>.</w:t>
            </w:r>
            <w:r w:rsidR="0057664C">
              <w:t>3</w:t>
            </w:r>
            <w:r w:rsidR="00D13FAC">
              <w:t>4</w:t>
            </w:r>
            <w:proofErr w:type="spellEnd"/>
            <w:r>
              <w:t>.</w:t>
            </w:r>
          </w:p>
        </w:tc>
      </w:tr>
      <w:tr w:rsidR="000539E3" w14:paraId="1B3B98D1" w14:textId="77777777" w:rsidTr="005656A9">
        <w:tc>
          <w:tcPr>
            <w:tcW w:w="8789" w:type="dxa"/>
            <w:tcBorders>
              <w:top w:val="nil"/>
              <w:left w:val="nil"/>
              <w:bottom w:val="single" w:sz="6" w:space="0" w:color="78A22F"/>
              <w:right w:val="nil"/>
            </w:tcBorders>
            <w:shd w:val="clear" w:color="auto" w:fill="auto"/>
          </w:tcPr>
          <w:p w14:paraId="64653F55" w14:textId="77777777" w:rsidR="000539E3" w:rsidRDefault="000539E3" w:rsidP="002A29DE">
            <w:pPr>
              <w:pStyle w:val="Figurespace"/>
              <w:keepNext w:val="0"/>
            </w:pPr>
          </w:p>
        </w:tc>
      </w:tr>
      <w:tr w:rsidR="000539E3" w:rsidRPr="000863A5" w14:paraId="4CD19EF8" w14:textId="77777777" w:rsidTr="005656A9">
        <w:tc>
          <w:tcPr>
            <w:tcW w:w="8789" w:type="dxa"/>
            <w:tcBorders>
              <w:top w:val="single" w:sz="6" w:space="0" w:color="78A22F"/>
              <w:left w:val="nil"/>
              <w:bottom w:val="nil"/>
              <w:right w:val="nil"/>
            </w:tcBorders>
          </w:tcPr>
          <w:p w14:paraId="586243D8" w14:textId="60E1D9CF" w:rsidR="000539E3" w:rsidRPr="00626D32" w:rsidRDefault="000539E3" w:rsidP="00881E8D">
            <w:pPr>
              <w:pStyle w:val="BoxSpaceBelow"/>
            </w:pPr>
          </w:p>
        </w:tc>
      </w:tr>
    </w:tbl>
    <w:p w14:paraId="20CC6058" w14:textId="77777777" w:rsidR="00F52876" w:rsidRDefault="009B7702" w:rsidP="005574AD">
      <w:pPr>
        <w:pStyle w:val="Heading5"/>
      </w:pPr>
      <w:r>
        <w:t>A</w:t>
      </w:r>
      <w:r w:rsidR="00F52876">
        <w:t>dverse events treated in hospitals</w:t>
      </w:r>
    </w:p>
    <w:p w14:paraId="5B98D80C" w14:textId="40C1FA2F" w:rsidR="00D549AF" w:rsidRDefault="006A6CAE" w:rsidP="00D549AF">
      <w:pPr>
        <w:pStyle w:val="BodyText"/>
      </w:pPr>
      <w:r>
        <w:t>Nationally i</w:t>
      </w:r>
      <w:r w:rsidR="00F52876">
        <w:t>n 201</w:t>
      </w:r>
      <w:r w:rsidR="00AB4B67">
        <w:t>5</w:t>
      </w:r>
      <w:r w:rsidR="00F52876">
        <w:t>-1</w:t>
      </w:r>
      <w:r w:rsidR="00AB4B67">
        <w:t>6</w:t>
      </w:r>
      <w:r w:rsidR="00F52876">
        <w:t xml:space="preserve">, </w:t>
      </w:r>
      <w:r w:rsidR="00A956EE" w:rsidRPr="00A956EE">
        <w:t>6.</w:t>
      </w:r>
      <w:r w:rsidR="00AB4B67">
        <w:t>6</w:t>
      </w:r>
      <w:r w:rsidR="00F52876" w:rsidRPr="00A956EE">
        <w:t xml:space="preserve"> </w:t>
      </w:r>
      <w:r w:rsidR="00F52876">
        <w:t xml:space="preserve">per cent of separations in public hospitals </w:t>
      </w:r>
      <w:r w:rsidR="00260BC1">
        <w:t>had</w:t>
      </w:r>
      <w:r w:rsidR="00F52876">
        <w:t xml:space="preserve"> an adverse event</w:t>
      </w:r>
      <w:r w:rsidR="00260BC1">
        <w:t xml:space="preserve"> reported during hospitalisation</w:t>
      </w:r>
      <w:r w:rsidR="00F52876">
        <w:t xml:space="preserve"> (table </w:t>
      </w:r>
      <w:r w:rsidR="000F15E6">
        <w:t>12.</w:t>
      </w:r>
      <w:r w:rsidR="00FE41E8">
        <w:t>4</w:t>
      </w:r>
      <w:r w:rsidR="00F52876">
        <w:t xml:space="preserve">). </w:t>
      </w:r>
      <w:r>
        <w:t>Results by category (</w:t>
      </w:r>
      <w:r w:rsidR="00D549AF">
        <w:t>diagnos</w:t>
      </w:r>
      <w:r>
        <w:t xml:space="preserve">is, </w:t>
      </w:r>
      <w:r w:rsidR="00D549AF">
        <w:t xml:space="preserve">external cause </w:t>
      </w:r>
      <w:r>
        <w:t>and</w:t>
      </w:r>
      <w:r w:rsidR="00D549AF">
        <w:t xml:space="preserve"> place of occurrence (of the injury or poisoning)</w:t>
      </w:r>
      <w:r>
        <w:t>)</w:t>
      </w:r>
      <w:r w:rsidR="00D238F7">
        <w:t xml:space="preserve"> are in table </w:t>
      </w:r>
      <w:proofErr w:type="spellStart"/>
      <w:r w:rsidR="00D238F7">
        <w:t>12A.</w:t>
      </w:r>
      <w:r w:rsidR="0057664C">
        <w:t>3</w:t>
      </w:r>
      <w:r w:rsidR="00D13FAC">
        <w:t>5</w:t>
      </w:r>
      <w:proofErr w:type="spellEnd"/>
      <w:r w:rsidR="00D549AF">
        <w:t xml:space="preserve">. </w:t>
      </w:r>
    </w:p>
    <w:p w14:paraId="11A53A86" w14:textId="536DB829" w:rsidR="00F52876" w:rsidRDefault="00F52876" w:rsidP="00A376A3">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F52876" w14:paraId="72CA4496" w14:textId="77777777" w:rsidTr="005656A9">
        <w:tc>
          <w:tcPr>
            <w:tcW w:w="8789" w:type="dxa"/>
            <w:tcBorders>
              <w:top w:val="single" w:sz="6" w:space="0" w:color="78A22F"/>
              <w:left w:val="nil"/>
              <w:bottom w:val="nil"/>
              <w:right w:val="nil"/>
            </w:tcBorders>
            <w:shd w:val="clear" w:color="auto" w:fill="auto"/>
          </w:tcPr>
          <w:p w14:paraId="0AC2EB51" w14:textId="0E1D1229" w:rsidR="00F52876" w:rsidRPr="00784A05" w:rsidRDefault="00F52876" w:rsidP="00AB4B67">
            <w:pPr>
              <w:pStyle w:val="TableTitle"/>
            </w:pPr>
            <w:r>
              <w:rPr>
                <w:b w:val="0"/>
              </w:rPr>
              <w:t xml:space="preserve">Table </w:t>
            </w:r>
            <w:r w:rsidR="00D937AB">
              <w:rPr>
                <w:b w:val="0"/>
              </w:rPr>
              <w:t>12.</w:t>
            </w:r>
            <w:r w:rsidR="007F3144">
              <w:rPr>
                <w:b w:val="0"/>
                <w:noProof/>
              </w:rPr>
              <w:t>4</w:t>
            </w:r>
            <w:r>
              <w:tab/>
            </w:r>
            <w:r w:rsidRPr="00F52876">
              <w:t>Separations with an adverse event per 100 separations, public hospitals, 201</w:t>
            </w:r>
            <w:r w:rsidR="00AB4B67">
              <w:t>5</w:t>
            </w:r>
            <w:r w:rsidRPr="00F52876">
              <w:t>-1</w:t>
            </w:r>
            <w:r w:rsidR="00AB4B67">
              <w:t>6</w:t>
            </w:r>
            <w:r w:rsidR="00477C9C">
              <w:rPr>
                <w:rStyle w:val="NoteLabel"/>
                <w:b/>
                <w:szCs w:val="20"/>
              </w:rPr>
              <w:t>a</w:t>
            </w:r>
          </w:p>
        </w:tc>
      </w:tr>
      <w:tr w:rsidR="00F52876" w14:paraId="766AEA05" w14:textId="77777777" w:rsidTr="005656A9">
        <w:trPr>
          <w:cantSplit/>
        </w:trPr>
        <w:tc>
          <w:tcPr>
            <w:tcW w:w="878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481"/>
              <w:gridCol w:w="782"/>
              <w:gridCol w:w="782"/>
              <w:gridCol w:w="782"/>
              <w:gridCol w:w="781"/>
              <w:gridCol w:w="718"/>
              <w:gridCol w:w="845"/>
              <w:gridCol w:w="781"/>
              <w:gridCol w:w="781"/>
              <w:gridCol w:w="772"/>
            </w:tblGrid>
            <w:tr w:rsidR="00A376A3" w14:paraId="5B4F2DE0" w14:textId="77777777" w:rsidTr="00677367">
              <w:tc>
                <w:tcPr>
                  <w:tcW w:w="870" w:type="pct"/>
                  <w:tcBorders>
                    <w:top w:val="single" w:sz="6" w:space="0" w:color="BFBFBF"/>
                    <w:bottom w:val="single" w:sz="6" w:space="0" w:color="BFBFBF"/>
                  </w:tcBorders>
                  <w:shd w:val="clear" w:color="auto" w:fill="auto"/>
                  <w:tcMar>
                    <w:top w:w="28" w:type="dxa"/>
                  </w:tcMar>
                </w:tcPr>
                <w:p w14:paraId="54B6173E" w14:textId="77777777" w:rsidR="00A376A3" w:rsidRDefault="00A376A3" w:rsidP="00A376A3">
                  <w:pPr>
                    <w:pStyle w:val="TableColumnHeading"/>
                    <w:jc w:val="left"/>
                  </w:pPr>
                </w:p>
              </w:tc>
              <w:tc>
                <w:tcPr>
                  <w:tcW w:w="460" w:type="pct"/>
                  <w:tcBorders>
                    <w:top w:val="single" w:sz="6" w:space="0" w:color="BFBFBF"/>
                    <w:bottom w:val="single" w:sz="6" w:space="0" w:color="BFBFBF"/>
                  </w:tcBorders>
                </w:tcPr>
                <w:p w14:paraId="68A67CF6" w14:textId="77777777" w:rsidR="00A376A3" w:rsidRDefault="00A376A3" w:rsidP="007909F7">
                  <w:pPr>
                    <w:pStyle w:val="TableColumnHeading"/>
                  </w:pPr>
                  <w:r>
                    <w:t>NSW</w:t>
                  </w:r>
                </w:p>
              </w:tc>
              <w:tc>
                <w:tcPr>
                  <w:tcW w:w="460" w:type="pct"/>
                  <w:tcBorders>
                    <w:top w:val="single" w:sz="6" w:space="0" w:color="BFBFBF"/>
                    <w:bottom w:val="single" w:sz="6" w:space="0" w:color="BFBFBF"/>
                  </w:tcBorders>
                </w:tcPr>
                <w:p w14:paraId="5614E898" w14:textId="77777777" w:rsidR="00A376A3" w:rsidRDefault="00A376A3" w:rsidP="007909F7">
                  <w:pPr>
                    <w:pStyle w:val="TableColumnHeading"/>
                  </w:pPr>
                  <w:r>
                    <w:t>Vic</w:t>
                  </w:r>
                </w:p>
              </w:tc>
              <w:tc>
                <w:tcPr>
                  <w:tcW w:w="460" w:type="pct"/>
                  <w:tcBorders>
                    <w:top w:val="single" w:sz="6" w:space="0" w:color="BFBFBF"/>
                    <w:bottom w:val="single" w:sz="6" w:space="0" w:color="BFBFBF"/>
                  </w:tcBorders>
                </w:tcPr>
                <w:p w14:paraId="7B2BF964" w14:textId="77777777" w:rsidR="00A376A3" w:rsidRDefault="00A376A3" w:rsidP="007909F7">
                  <w:pPr>
                    <w:pStyle w:val="TableColumnHeading"/>
                  </w:pPr>
                  <w:r>
                    <w:t>Qld</w:t>
                  </w:r>
                </w:p>
              </w:tc>
              <w:tc>
                <w:tcPr>
                  <w:tcW w:w="459" w:type="pct"/>
                  <w:tcBorders>
                    <w:top w:val="single" w:sz="6" w:space="0" w:color="BFBFBF"/>
                    <w:bottom w:val="single" w:sz="6" w:space="0" w:color="BFBFBF"/>
                  </w:tcBorders>
                </w:tcPr>
                <w:p w14:paraId="610B59ED" w14:textId="77777777" w:rsidR="00A376A3" w:rsidRDefault="00A376A3" w:rsidP="007909F7">
                  <w:pPr>
                    <w:pStyle w:val="TableColumnHeading"/>
                  </w:pPr>
                  <w:r>
                    <w:t>WA</w:t>
                  </w:r>
                </w:p>
              </w:tc>
              <w:tc>
                <w:tcPr>
                  <w:tcW w:w="422" w:type="pct"/>
                  <w:tcBorders>
                    <w:top w:val="single" w:sz="6" w:space="0" w:color="BFBFBF"/>
                    <w:bottom w:val="single" w:sz="6" w:space="0" w:color="BFBFBF"/>
                  </w:tcBorders>
                </w:tcPr>
                <w:p w14:paraId="0B85C8D2" w14:textId="77777777" w:rsidR="00A376A3" w:rsidRDefault="00A376A3" w:rsidP="007909F7">
                  <w:pPr>
                    <w:pStyle w:val="TableColumnHeading"/>
                  </w:pPr>
                  <w:r>
                    <w:t>SA</w:t>
                  </w:r>
                </w:p>
              </w:tc>
              <w:tc>
                <w:tcPr>
                  <w:tcW w:w="497" w:type="pct"/>
                  <w:tcBorders>
                    <w:top w:val="single" w:sz="6" w:space="0" w:color="BFBFBF"/>
                    <w:bottom w:val="single" w:sz="6" w:space="0" w:color="BFBFBF"/>
                  </w:tcBorders>
                </w:tcPr>
                <w:p w14:paraId="2675CD19" w14:textId="77777777" w:rsidR="00A376A3" w:rsidRDefault="00A376A3" w:rsidP="007909F7">
                  <w:pPr>
                    <w:pStyle w:val="TableColumnHeading"/>
                  </w:pPr>
                  <w:proofErr w:type="spellStart"/>
                  <w:r>
                    <w:t>Tas</w:t>
                  </w:r>
                  <w:proofErr w:type="spellEnd"/>
                </w:p>
              </w:tc>
              <w:tc>
                <w:tcPr>
                  <w:tcW w:w="459" w:type="pct"/>
                  <w:tcBorders>
                    <w:top w:val="single" w:sz="6" w:space="0" w:color="BFBFBF"/>
                    <w:bottom w:val="single" w:sz="6" w:space="0" w:color="BFBFBF"/>
                  </w:tcBorders>
                </w:tcPr>
                <w:p w14:paraId="104A0363" w14:textId="77777777" w:rsidR="00A376A3" w:rsidRDefault="00A376A3" w:rsidP="007909F7">
                  <w:pPr>
                    <w:pStyle w:val="TableColumnHeading"/>
                  </w:pPr>
                  <w:r>
                    <w:t>ACT</w:t>
                  </w:r>
                </w:p>
              </w:tc>
              <w:tc>
                <w:tcPr>
                  <w:tcW w:w="459" w:type="pct"/>
                  <w:tcBorders>
                    <w:top w:val="single" w:sz="6" w:space="0" w:color="BFBFBF"/>
                    <w:bottom w:val="single" w:sz="6" w:space="0" w:color="BFBFBF"/>
                  </w:tcBorders>
                  <w:shd w:val="clear" w:color="auto" w:fill="auto"/>
                  <w:tcMar>
                    <w:top w:w="28" w:type="dxa"/>
                  </w:tcMar>
                </w:tcPr>
                <w:p w14:paraId="0270B580" w14:textId="77777777" w:rsidR="00A376A3" w:rsidRDefault="00A376A3" w:rsidP="007909F7">
                  <w:pPr>
                    <w:pStyle w:val="TableColumnHeading"/>
                  </w:pPr>
                  <w:r>
                    <w:t>NT</w:t>
                  </w:r>
                </w:p>
              </w:tc>
              <w:tc>
                <w:tcPr>
                  <w:tcW w:w="454" w:type="pct"/>
                  <w:tcBorders>
                    <w:top w:val="single" w:sz="6" w:space="0" w:color="BFBFBF"/>
                    <w:bottom w:val="single" w:sz="6" w:space="0" w:color="BFBFBF"/>
                  </w:tcBorders>
                  <w:shd w:val="clear" w:color="auto" w:fill="auto"/>
                  <w:tcMar>
                    <w:top w:w="28" w:type="dxa"/>
                  </w:tcMar>
                </w:tcPr>
                <w:p w14:paraId="38EF9C62" w14:textId="77777777" w:rsidR="00A376A3" w:rsidRDefault="00A376A3" w:rsidP="007909F7">
                  <w:pPr>
                    <w:pStyle w:val="TableColumnHeading"/>
                  </w:pPr>
                  <w:proofErr w:type="spellStart"/>
                  <w:r>
                    <w:t>Aust</w:t>
                  </w:r>
                  <w:proofErr w:type="spellEnd"/>
                </w:p>
              </w:tc>
            </w:tr>
            <w:tr w:rsidR="00AE4E91" w14:paraId="33EA1EE5" w14:textId="77777777" w:rsidTr="00677367">
              <w:tc>
                <w:tcPr>
                  <w:tcW w:w="870" w:type="pct"/>
                  <w:tcBorders>
                    <w:top w:val="single" w:sz="6" w:space="0" w:color="BFBFBF"/>
                    <w:left w:val="nil"/>
                    <w:bottom w:val="single" w:sz="6" w:space="0" w:color="BFBFBF"/>
                    <w:right w:val="nil"/>
                  </w:tcBorders>
                </w:tcPr>
                <w:p w14:paraId="265AE6D0" w14:textId="3B5280DD" w:rsidR="00AE4E91" w:rsidRPr="00801818" w:rsidRDefault="00AE4E91" w:rsidP="00E91C99">
                  <w:pPr>
                    <w:pStyle w:val="TableUnitsRow"/>
                    <w:jc w:val="left"/>
                  </w:pPr>
                  <w:r>
                    <w:t>Total</w:t>
                  </w:r>
                </w:p>
              </w:tc>
              <w:tc>
                <w:tcPr>
                  <w:tcW w:w="460" w:type="pct"/>
                  <w:tcBorders>
                    <w:top w:val="single" w:sz="6" w:space="0" w:color="BFBFBF"/>
                    <w:left w:val="nil"/>
                    <w:bottom w:val="single" w:sz="6" w:space="0" w:color="BFBFBF"/>
                    <w:right w:val="nil"/>
                  </w:tcBorders>
                  <w:shd w:val="clear" w:color="auto" w:fill="auto"/>
                  <w:vAlign w:val="bottom"/>
                </w:tcPr>
                <w:p w14:paraId="1773A0F0" w14:textId="4ACC9AC9" w:rsidR="00AE4E91" w:rsidRPr="00801818" w:rsidRDefault="00AE4E91" w:rsidP="00AE4E91">
                  <w:pPr>
                    <w:pStyle w:val="TableUnitsRow"/>
                  </w:pPr>
                  <w:r w:rsidRPr="00801818">
                    <w:t xml:space="preserve">  6.8</w:t>
                  </w:r>
                </w:p>
              </w:tc>
              <w:tc>
                <w:tcPr>
                  <w:tcW w:w="460" w:type="pct"/>
                  <w:tcBorders>
                    <w:top w:val="single" w:sz="6" w:space="0" w:color="BFBFBF"/>
                    <w:left w:val="nil"/>
                    <w:bottom w:val="single" w:sz="6" w:space="0" w:color="BFBFBF"/>
                    <w:right w:val="nil"/>
                  </w:tcBorders>
                  <w:shd w:val="clear" w:color="auto" w:fill="auto"/>
                  <w:vAlign w:val="bottom"/>
                </w:tcPr>
                <w:p w14:paraId="49F1E6C3" w14:textId="77777777" w:rsidR="00AE4E91" w:rsidRPr="00801818" w:rsidRDefault="00AE4E91" w:rsidP="00801818">
                  <w:pPr>
                    <w:pStyle w:val="TableUnitsRow"/>
                  </w:pPr>
                  <w:r w:rsidRPr="00801818">
                    <w:t xml:space="preserve">  6.2</w:t>
                  </w:r>
                </w:p>
              </w:tc>
              <w:tc>
                <w:tcPr>
                  <w:tcW w:w="460" w:type="pct"/>
                  <w:tcBorders>
                    <w:top w:val="single" w:sz="6" w:space="0" w:color="BFBFBF"/>
                    <w:left w:val="nil"/>
                    <w:bottom w:val="single" w:sz="6" w:space="0" w:color="BFBFBF"/>
                    <w:right w:val="nil"/>
                  </w:tcBorders>
                  <w:shd w:val="clear" w:color="auto" w:fill="auto"/>
                  <w:vAlign w:val="bottom"/>
                </w:tcPr>
                <w:p w14:paraId="602E9CEE" w14:textId="77777777" w:rsidR="00AE4E91" w:rsidRPr="00801818" w:rsidRDefault="00AE4E91" w:rsidP="00801818">
                  <w:pPr>
                    <w:pStyle w:val="TableUnitsRow"/>
                  </w:pPr>
                  <w:r w:rsidRPr="00801818">
                    <w:t xml:space="preserve">  6.4</w:t>
                  </w:r>
                </w:p>
              </w:tc>
              <w:tc>
                <w:tcPr>
                  <w:tcW w:w="459" w:type="pct"/>
                  <w:tcBorders>
                    <w:top w:val="single" w:sz="6" w:space="0" w:color="BFBFBF"/>
                    <w:left w:val="nil"/>
                    <w:bottom w:val="single" w:sz="6" w:space="0" w:color="BFBFBF"/>
                    <w:right w:val="nil"/>
                  </w:tcBorders>
                  <w:shd w:val="clear" w:color="auto" w:fill="auto"/>
                  <w:vAlign w:val="bottom"/>
                </w:tcPr>
                <w:p w14:paraId="77474B59" w14:textId="77777777" w:rsidR="00AE4E91" w:rsidRPr="00801818" w:rsidRDefault="00AE4E91" w:rsidP="00801818">
                  <w:pPr>
                    <w:pStyle w:val="TableUnitsRow"/>
                  </w:pPr>
                  <w:r w:rsidRPr="00801818">
                    <w:t xml:space="preserve">  7.2</w:t>
                  </w:r>
                </w:p>
              </w:tc>
              <w:tc>
                <w:tcPr>
                  <w:tcW w:w="422" w:type="pct"/>
                  <w:tcBorders>
                    <w:top w:val="single" w:sz="6" w:space="0" w:color="BFBFBF"/>
                    <w:left w:val="nil"/>
                    <w:bottom w:val="single" w:sz="6" w:space="0" w:color="BFBFBF"/>
                    <w:right w:val="nil"/>
                  </w:tcBorders>
                  <w:shd w:val="clear" w:color="auto" w:fill="auto"/>
                  <w:vAlign w:val="bottom"/>
                </w:tcPr>
                <w:p w14:paraId="05227CF6" w14:textId="77777777" w:rsidR="00AE4E91" w:rsidRPr="00801818" w:rsidRDefault="00AE4E91" w:rsidP="00801818">
                  <w:pPr>
                    <w:pStyle w:val="TableUnitsRow"/>
                  </w:pPr>
                  <w:r w:rsidRPr="00801818">
                    <w:t xml:space="preserve">  7.3</w:t>
                  </w:r>
                </w:p>
              </w:tc>
              <w:tc>
                <w:tcPr>
                  <w:tcW w:w="497" w:type="pct"/>
                  <w:tcBorders>
                    <w:top w:val="single" w:sz="6" w:space="0" w:color="BFBFBF"/>
                    <w:left w:val="nil"/>
                    <w:bottom w:val="single" w:sz="6" w:space="0" w:color="BFBFBF"/>
                    <w:right w:val="nil"/>
                  </w:tcBorders>
                  <w:shd w:val="clear" w:color="auto" w:fill="auto"/>
                  <w:vAlign w:val="bottom"/>
                </w:tcPr>
                <w:p w14:paraId="1720A4F0" w14:textId="77777777" w:rsidR="00AE4E91" w:rsidRPr="00801818" w:rsidRDefault="00AE4E91" w:rsidP="00801818">
                  <w:pPr>
                    <w:pStyle w:val="TableUnitsRow"/>
                  </w:pPr>
                  <w:r w:rsidRPr="00801818">
                    <w:t xml:space="preserve">  8.0</w:t>
                  </w:r>
                </w:p>
              </w:tc>
              <w:tc>
                <w:tcPr>
                  <w:tcW w:w="459" w:type="pct"/>
                  <w:tcBorders>
                    <w:top w:val="single" w:sz="6" w:space="0" w:color="BFBFBF"/>
                    <w:left w:val="nil"/>
                    <w:bottom w:val="single" w:sz="6" w:space="0" w:color="BFBFBF"/>
                    <w:right w:val="nil"/>
                  </w:tcBorders>
                  <w:shd w:val="clear" w:color="auto" w:fill="auto"/>
                  <w:vAlign w:val="bottom"/>
                </w:tcPr>
                <w:p w14:paraId="5A644E2C" w14:textId="77777777" w:rsidR="00AE4E91" w:rsidRPr="00801818" w:rsidRDefault="00AE4E91" w:rsidP="00801818">
                  <w:pPr>
                    <w:pStyle w:val="TableUnitsRow"/>
                  </w:pPr>
                  <w:r w:rsidRPr="00801818">
                    <w:t xml:space="preserve">  7.3</w:t>
                  </w:r>
                </w:p>
              </w:tc>
              <w:tc>
                <w:tcPr>
                  <w:tcW w:w="459" w:type="pct"/>
                  <w:tcBorders>
                    <w:top w:val="single" w:sz="6" w:space="0" w:color="BFBFBF"/>
                    <w:left w:val="nil"/>
                    <w:bottom w:val="single" w:sz="6" w:space="0" w:color="BFBFBF"/>
                    <w:right w:val="nil"/>
                  </w:tcBorders>
                  <w:shd w:val="clear" w:color="auto" w:fill="auto"/>
                  <w:vAlign w:val="bottom"/>
                </w:tcPr>
                <w:p w14:paraId="5517D6A9" w14:textId="77777777" w:rsidR="00AE4E91" w:rsidRPr="00801818" w:rsidRDefault="00AE4E91" w:rsidP="00801818">
                  <w:pPr>
                    <w:pStyle w:val="TableUnitsRow"/>
                  </w:pPr>
                  <w:r w:rsidRPr="00801818">
                    <w:t xml:space="preserve">  3.4</w:t>
                  </w:r>
                </w:p>
              </w:tc>
              <w:tc>
                <w:tcPr>
                  <w:tcW w:w="454" w:type="pct"/>
                  <w:tcBorders>
                    <w:top w:val="single" w:sz="6" w:space="0" w:color="BFBFBF"/>
                    <w:left w:val="nil"/>
                    <w:bottom w:val="single" w:sz="6" w:space="0" w:color="BFBFBF"/>
                    <w:right w:val="nil"/>
                  </w:tcBorders>
                  <w:shd w:val="clear" w:color="auto" w:fill="auto"/>
                  <w:vAlign w:val="bottom"/>
                </w:tcPr>
                <w:p w14:paraId="0E92E1B9" w14:textId="77777777" w:rsidR="00AE4E91" w:rsidRPr="00801818" w:rsidRDefault="00AE4E91" w:rsidP="00801818">
                  <w:pPr>
                    <w:pStyle w:val="TableUnitsRow"/>
                  </w:pPr>
                  <w:r w:rsidRPr="00801818">
                    <w:t xml:space="preserve">  6.6</w:t>
                  </w:r>
                </w:p>
              </w:tc>
            </w:tr>
          </w:tbl>
          <w:p w14:paraId="37B002DF" w14:textId="77777777" w:rsidR="00F52876" w:rsidRDefault="00F52876" w:rsidP="00A376A3">
            <w:pPr>
              <w:pStyle w:val="Box"/>
            </w:pPr>
          </w:p>
        </w:tc>
      </w:tr>
      <w:tr w:rsidR="00F52876" w14:paraId="742C9A6E" w14:textId="77777777" w:rsidTr="005656A9">
        <w:trPr>
          <w:cantSplit/>
        </w:trPr>
        <w:tc>
          <w:tcPr>
            <w:tcW w:w="8789" w:type="dxa"/>
            <w:tcBorders>
              <w:top w:val="nil"/>
              <w:left w:val="nil"/>
              <w:bottom w:val="nil"/>
              <w:right w:val="nil"/>
            </w:tcBorders>
            <w:shd w:val="clear" w:color="auto" w:fill="auto"/>
          </w:tcPr>
          <w:p w14:paraId="7EA0A6D1" w14:textId="5F48416C" w:rsidR="00F52876" w:rsidRDefault="00F52876" w:rsidP="00041F64">
            <w:pPr>
              <w:pStyle w:val="Note"/>
              <w:rPr>
                <w:i/>
              </w:rPr>
            </w:pPr>
            <w:r w:rsidRPr="008E77FE">
              <w:rPr>
                <w:rStyle w:val="NoteLabel"/>
              </w:rPr>
              <w:t>a</w:t>
            </w:r>
            <w:r>
              <w:t xml:space="preserve"> </w:t>
            </w:r>
            <w:r w:rsidR="00477C9C" w:rsidRPr="00477C9C">
              <w:t xml:space="preserve">See </w:t>
            </w:r>
            <w:r w:rsidR="00CB3FA6" w:rsidRPr="00477C9C">
              <w:t xml:space="preserve">box </w:t>
            </w:r>
            <w:r w:rsidR="000F15E6">
              <w:t>12.</w:t>
            </w:r>
            <w:r w:rsidR="00041F64">
              <w:t>8</w:t>
            </w:r>
            <w:r w:rsidR="00477C9C" w:rsidRPr="00477C9C">
              <w:t xml:space="preserve"> and table </w:t>
            </w:r>
            <w:proofErr w:type="spellStart"/>
            <w:r w:rsidR="000F15E6">
              <w:t>12A</w:t>
            </w:r>
            <w:r w:rsidR="00477C9C" w:rsidRPr="00477C9C">
              <w:t>.</w:t>
            </w:r>
            <w:r w:rsidR="0057664C">
              <w:t>3</w:t>
            </w:r>
            <w:r w:rsidR="00D13FAC">
              <w:t>5</w:t>
            </w:r>
            <w:proofErr w:type="spellEnd"/>
            <w:r w:rsidR="00477C9C" w:rsidRPr="00477C9C">
              <w:t xml:space="preserve"> for detailed </w:t>
            </w:r>
            <w:r w:rsidR="00536DD1" w:rsidRPr="00536DD1">
              <w:t xml:space="preserve">definitions, footnotes and </w:t>
            </w:r>
            <w:r w:rsidR="00477C9C" w:rsidRPr="00477C9C">
              <w:t>caveats.</w:t>
            </w:r>
          </w:p>
        </w:tc>
      </w:tr>
      <w:tr w:rsidR="00F52876" w14:paraId="5FD1140A" w14:textId="77777777" w:rsidTr="005656A9">
        <w:trPr>
          <w:cantSplit/>
        </w:trPr>
        <w:tc>
          <w:tcPr>
            <w:tcW w:w="8789" w:type="dxa"/>
            <w:tcBorders>
              <w:top w:val="nil"/>
              <w:left w:val="nil"/>
              <w:bottom w:val="nil"/>
              <w:right w:val="nil"/>
            </w:tcBorders>
            <w:shd w:val="clear" w:color="auto" w:fill="auto"/>
          </w:tcPr>
          <w:p w14:paraId="6E2D6D90" w14:textId="77777777" w:rsidR="00F52876" w:rsidRDefault="00F52876" w:rsidP="00D13FAC">
            <w:pPr>
              <w:pStyle w:val="Source"/>
            </w:pPr>
            <w:r>
              <w:rPr>
                <w:i/>
              </w:rPr>
              <w:t>Source</w:t>
            </w:r>
            <w:r w:rsidRPr="00167F06">
              <w:t xml:space="preserve">: </w:t>
            </w:r>
            <w:r w:rsidRPr="00F52876">
              <w:t xml:space="preserve">AIHW (unpublished), National Hospital Morbidity Database; table </w:t>
            </w:r>
            <w:proofErr w:type="spellStart"/>
            <w:r w:rsidR="000F15E6">
              <w:t>12A</w:t>
            </w:r>
            <w:r w:rsidRPr="00F52876">
              <w:t>.</w:t>
            </w:r>
            <w:r w:rsidR="0057664C">
              <w:t>3</w:t>
            </w:r>
            <w:r w:rsidR="00D13FAC">
              <w:t>5</w:t>
            </w:r>
            <w:proofErr w:type="spellEnd"/>
            <w:r w:rsidRPr="00F52876">
              <w:t>.</w:t>
            </w:r>
          </w:p>
        </w:tc>
      </w:tr>
      <w:tr w:rsidR="00F52876" w14:paraId="13A5FA90" w14:textId="77777777" w:rsidTr="005656A9">
        <w:trPr>
          <w:cantSplit/>
        </w:trPr>
        <w:tc>
          <w:tcPr>
            <w:tcW w:w="8789" w:type="dxa"/>
            <w:tcBorders>
              <w:top w:val="nil"/>
              <w:left w:val="nil"/>
              <w:bottom w:val="single" w:sz="6" w:space="0" w:color="78A22F"/>
              <w:right w:val="nil"/>
            </w:tcBorders>
            <w:shd w:val="clear" w:color="auto" w:fill="auto"/>
          </w:tcPr>
          <w:p w14:paraId="72FA9EAB" w14:textId="77777777" w:rsidR="00F52876" w:rsidRDefault="00F52876" w:rsidP="00A376A3">
            <w:pPr>
              <w:pStyle w:val="Box"/>
              <w:spacing w:before="0" w:line="120" w:lineRule="exact"/>
            </w:pPr>
          </w:p>
        </w:tc>
      </w:tr>
      <w:tr w:rsidR="00F52876" w:rsidRPr="000863A5" w14:paraId="0B9E99F4" w14:textId="77777777" w:rsidTr="005656A9">
        <w:tc>
          <w:tcPr>
            <w:tcW w:w="8789" w:type="dxa"/>
            <w:tcBorders>
              <w:top w:val="single" w:sz="6" w:space="0" w:color="78A22F"/>
              <w:left w:val="nil"/>
              <w:bottom w:val="nil"/>
              <w:right w:val="nil"/>
            </w:tcBorders>
          </w:tcPr>
          <w:p w14:paraId="618A2447" w14:textId="333ECE31" w:rsidR="00F52876" w:rsidRPr="00626D32" w:rsidRDefault="00F52876" w:rsidP="00A376A3">
            <w:pPr>
              <w:pStyle w:val="BoxSpaceBelow"/>
            </w:pPr>
          </w:p>
        </w:tc>
      </w:tr>
    </w:tbl>
    <w:p w14:paraId="5E84D72B" w14:textId="77777777" w:rsidR="005C0535" w:rsidRDefault="009B7702" w:rsidP="005574AD">
      <w:pPr>
        <w:pStyle w:val="Heading5"/>
      </w:pPr>
      <w:r>
        <w:t>F</w:t>
      </w:r>
      <w:r w:rsidR="00A32FE4" w:rsidRPr="00A32FE4">
        <w:t>alls resulting in patient harm in hospitals</w:t>
      </w:r>
    </w:p>
    <w:p w14:paraId="293F68EF" w14:textId="53D40730" w:rsidR="007D036A" w:rsidRDefault="00A7155A" w:rsidP="007D036A">
      <w:pPr>
        <w:pStyle w:val="BodyText"/>
      </w:pPr>
      <w:r w:rsidRPr="00B3446C">
        <w:t xml:space="preserve">Falls resulting in patient harm </w:t>
      </w:r>
      <w:r w:rsidR="009E3392" w:rsidRPr="00B3446C">
        <w:t>per 1000 hospital separations</w:t>
      </w:r>
      <w:r w:rsidR="006A6CAE">
        <w:t xml:space="preserve"> </w:t>
      </w:r>
      <w:r w:rsidRPr="00280DC9">
        <w:t>varied</w:t>
      </w:r>
      <w:r w:rsidRPr="00ED6769">
        <w:t xml:space="preserve"> across states and territories in 201</w:t>
      </w:r>
      <w:r w:rsidR="00AB4B67">
        <w:t>5</w:t>
      </w:r>
      <w:r w:rsidRPr="00ED6769">
        <w:t>-1</w:t>
      </w:r>
      <w:r w:rsidR="00AB4B67">
        <w:t>6</w:t>
      </w:r>
      <w:r w:rsidRPr="00ED6769">
        <w:t xml:space="preserve"> </w:t>
      </w:r>
      <w:r w:rsidR="00005662">
        <w:t>(figure </w:t>
      </w:r>
      <w:r w:rsidR="000F15E6">
        <w:t>12.</w:t>
      </w:r>
      <w:r w:rsidR="00F825E1">
        <w:t>8</w:t>
      </w:r>
      <w:r w:rsidRPr="00ED6769">
        <w:t xml:space="preserve">). Data are reported by Indigenous status and remoteness in table </w:t>
      </w:r>
      <w:proofErr w:type="spellStart"/>
      <w:r w:rsidR="000F15E6">
        <w:t>12A</w:t>
      </w:r>
      <w:r w:rsidRPr="00ED6769">
        <w:t>.</w:t>
      </w:r>
      <w:r w:rsidR="0057664C">
        <w:t>3</w:t>
      </w:r>
      <w:r w:rsidR="00D13FAC">
        <w:t>6</w:t>
      </w:r>
      <w:proofErr w:type="spellEnd"/>
      <w:r w:rsidRPr="00ED6769">
        <w:t>.</w:t>
      </w:r>
      <w:r w:rsidR="007D036A" w:rsidRPr="007D036A">
        <w:t xml:space="preserve"> </w:t>
      </w:r>
    </w:p>
    <w:p w14:paraId="00A96A47" w14:textId="3D9CCAF3" w:rsidR="005C0535" w:rsidRDefault="005C0535" w:rsidP="005C0535">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5C0535" w14:paraId="148EC29A" w14:textId="77777777" w:rsidTr="005656A9">
        <w:tc>
          <w:tcPr>
            <w:tcW w:w="8789" w:type="dxa"/>
            <w:tcBorders>
              <w:top w:val="single" w:sz="6" w:space="0" w:color="78A22F"/>
              <w:left w:val="nil"/>
              <w:bottom w:val="nil"/>
              <w:right w:val="nil"/>
            </w:tcBorders>
            <w:shd w:val="clear" w:color="auto" w:fill="auto"/>
          </w:tcPr>
          <w:p w14:paraId="7E5EC3E9" w14:textId="6267EE9A" w:rsidR="005C0535" w:rsidRPr="00176D3F" w:rsidRDefault="005C0535" w:rsidP="002B5085">
            <w:pPr>
              <w:pStyle w:val="FigureTitle"/>
            </w:pPr>
            <w:r w:rsidRPr="00784A05">
              <w:rPr>
                <w:b w:val="0"/>
              </w:rPr>
              <w:t xml:space="preserve">Figure </w:t>
            </w:r>
            <w:r w:rsidR="00F825E1">
              <w:rPr>
                <w:b w:val="0"/>
              </w:rPr>
              <w:t>12.</w:t>
            </w:r>
            <w:r w:rsidR="007F3144">
              <w:rPr>
                <w:b w:val="0"/>
                <w:noProof/>
              </w:rPr>
              <w:t>8</w:t>
            </w:r>
            <w:r>
              <w:tab/>
            </w:r>
            <w:r w:rsidR="00A32FE4" w:rsidRPr="00A32FE4">
              <w:t xml:space="preserve">Separations for falls resulting in patient harm in </w:t>
            </w:r>
            <w:r w:rsidR="00A32FE4">
              <w:t xml:space="preserve">public </w:t>
            </w:r>
            <w:r w:rsidR="00A32FE4" w:rsidRPr="00A32FE4">
              <w:t>hospitals</w:t>
            </w:r>
            <w:r w:rsidR="00A32FE4">
              <w:t>, 201</w:t>
            </w:r>
            <w:r w:rsidR="002B5085">
              <w:t>5</w:t>
            </w:r>
            <w:r w:rsidR="00A32FE4">
              <w:t>-1</w:t>
            </w:r>
            <w:r w:rsidR="002B5085">
              <w:t>6</w:t>
            </w:r>
            <w:r w:rsidR="00964CAF" w:rsidRPr="00964CAF">
              <w:rPr>
                <w:rStyle w:val="NoteLabel"/>
                <w:b/>
                <w:szCs w:val="20"/>
              </w:rPr>
              <w:t>a</w:t>
            </w:r>
          </w:p>
        </w:tc>
      </w:tr>
      <w:tr w:rsidR="005C0535" w14:paraId="19FBD8FB" w14:textId="77777777" w:rsidTr="005656A9">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825BA0" w14:paraId="0D6CA41E" w14:textId="77777777" w:rsidTr="005C0535">
              <w:trPr>
                <w:jc w:val="center"/>
              </w:trPr>
              <w:tc>
                <w:tcPr>
                  <w:tcW w:w="5000" w:type="pct"/>
                  <w:tcBorders>
                    <w:top w:val="nil"/>
                    <w:bottom w:val="nil"/>
                  </w:tcBorders>
                </w:tcPr>
                <w:p w14:paraId="43CC3DD3" w14:textId="1BA0AA7D" w:rsidR="00825BA0" w:rsidRDefault="00FD711B" w:rsidP="002F4115">
                  <w:pPr>
                    <w:pStyle w:val="Figure"/>
                    <w:keepLines/>
                    <w:spacing w:before="60" w:after="60"/>
                  </w:pPr>
                  <w:r>
                    <w:rPr>
                      <w:noProof/>
                    </w:rPr>
                    <w:drawing>
                      <wp:inline distT="0" distB="0" distL="0" distR="0" wp14:anchorId="72C6688C" wp14:editId="46FE893C">
                        <wp:extent cx="5330190" cy="2592705"/>
                        <wp:effectExtent l="0" t="0" r="3810" b="0"/>
                        <wp:docPr id="9" name="Picture 9" descr="More details can be found within the text surrounding this image." title="Figure 12.8 Separations for falls resulting in patient harm in public hospitals,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0190" cy="2592705"/>
                                </a:xfrm>
                                <a:prstGeom prst="rect">
                                  <a:avLst/>
                                </a:prstGeom>
                                <a:noFill/>
                                <a:ln>
                                  <a:noFill/>
                                </a:ln>
                              </pic:spPr>
                            </pic:pic>
                          </a:graphicData>
                        </a:graphic>
                      </wp:inline>
                    </w:drawing>
                  </w:r>
                </w:p>
              </w:tc>
            </w:tr>
          </w:tbl>
          <w:p w14:paraId="1BE0CBEC" w14:textId="77777777" w:rsidR="005C0535" w:rsidRDefault="005C0535" w:rsidP="002F4115">
            <w:pPr>
              <w:pStyle w:val="Figure"/>
              <w:keepLines/>
            </w:pPr>
          </w:p>
        </w:tc>
      </w:tr>
      <w:tr w:rsidR="005C0535" w:rsidRPr="00176D3F" w14:paraId="71BB4A7A" w14:textId="77777777" w:rsidTr="005656A9">
        <w:tc>
          <w:tcPr>
            <w:tcW w:w="8789" w:type="dxa"/>
            <w:tcBorders>
              <w:top w:val="nil"/>
              <w:left w:val="nil"/>
              <w:bottom w:val="nil"/>
              <w:right w:val="nil"/>
            </w:tcBorders>
            <w:shd w:val="clear" w:color="auto" w:fill="auto"/>
          </w:tcPr>
          <w:p w14:paraId="6DBFCA28" w14:textId="49CB276E" w:rsidR="005C0535" w:rsidRPr="00176D3F" w:rsidRDefault="0036435D" w:rsidP="00041F64">
            <w:pPr>
              <w:pStyle w:val="Note"/>
              <w:keepNext/>
            </w:pPr>
            <w:r w:rsidRPr="0036435D">
              <w:rPr>
                <w:rStyle w:val="NoteLabel"/>
              </w:rPr>
              <w:t>a</w:t>
            </w:r>
            <w:r>
              <w:t xml:space="preserve"> </w:t>
            </w:r>
            <w:r w:rsidR="00536F99" w:rsidRPr="00477C9C">
              <w:t xml:space="preserve">See </w:t>
            </w:r>
            <w:r w:rsidR="00CB3FA6" w:rsidRPr="00477C9C">
              <w:t xml:space="preserve">box </w:t>
            </w:r>
            <w:r w:rsidR="000F15E6">
              <w:t>12.</w:t>
            </w:r>
            <w:r w:rsidR="00041F64">
              <w:t>8</w:t>
            </w:r>
            <w:r w:rsidR="00536F99" w:rsidRPr="00477C9C">
              <w:t xml:space="preserve"> and table </w:t>
            </w:r>
            <w:proofErr w:type="spellStart"/>
            <w:r w:rsidR="000F15E6">
              <w:t>12A</w:t>
            </w:r>
            <w:r w:rsidR="00536F99" w:rsidRPr="00477C9C">
              <w:t>.</w:t>
            </w:r>
            <w:r w:rsidR="0057664C">
              <w:t>3</w:t>
            </w:r>
            <w:r w:rsidR="00D13FAC">
              <w:t>6</w:t>
            </w:r>
            <w:proofErr w:type="spellEnd"/>
            <w:r w:rsidR="00536F99" w:rsidRPr="00477C9C">
              <w:t xml:space="preserve"> for detailed </w:t>
            </w:r>
            <w:r w:rsidR="00536DD1" w:rsidRPr="00536DD1">
              <w:t xml:space="preserve">definitions, footnotes and </w:t>
            </w:r>
            <w:r w:rsidR="00536F99" w:rsidRPr="00477C9C">
              <w:t>caveats.</w:t>
            </w:r>
          </w:p>
        </w:tc>
      </w:tr>
      <w:tr w:rsidR="005C0535" w:rsidRPr="00176D3F" w14:paraId="60F732C5" w14:textId="77777777" w:rsidTr="005656A9">
        <w:tc>
          <w:tcPr>
            <w:tcW w:w="8789" w:type="dxa"/>
            <w:tcBorders>
              <w:top w:val="nil"/>
              <w:left w:val="nil"/>
              <w:bottom w:val="nil"/>
              <w:right w:val="nil"/>
            </w:tcBorders>
            <w:shd w:val="clear" w:color="auto" w:fill="auto"/>
          </w:tcPr>
          <w:p w14:paraId="39252487" w14:textId="77777777" w:rsidR="005C0535" w:rsidRPr="00176D3F" w:rsidRDefault="00A32FE4" w:rsidP="004A503E">
            <w:pPr>
              <w:pStyle w:val="Source"/>
              <w:keepNext/>
            </w:pPr>
            <w:r>
              <w:rPr>
                <w:i/>
              </w:rPr>
              <w:t>S</w:t>
            </w:r>
            <w:r w:rsidR="005C0535" w:rsidRPr="00784A05">
              <w:rPr>
                <w:i/>
              </w:rPr>
              <w:t>ource</w:t>
            </w:r>
            <w:r w:rsidR="005C0535" w:rsidRPr="00176D3F">
              <w:t xml:space="preserve">: </w:t>
            </w:r>
            <w:r w:rsidR="00F5385C" w:rsidRPr="00F5385C">
              <w:t>AIHW (201</w:t>
            </w:r>
            <w:r w:rsidR="004A503E">
              <w:t>7</w:t>
            </w:r>
            <w:r w:rsidR="00F5385C" w:rsidRPr="00F5385C">
              <w:t xml:space="preserve">), </w:t>
            </w:r>
            <w:r w:rsidR="00F5385C" w:rsidRPr="00F5385C">
              <w:rPr>
                <w:i/>
              </w:rPr>
              <w:t>Admitted patient care 201</w:t>
            </w:r>
            <w:r w:rsidR="004A503E">
              <w:rPr>
                <w:i/>
              </w:rPr>
              <w:t>5</w:t>
            </w:r>
            <w:r w:rsidR="00991BF7">
              <w:rPr>
                <w:i/>
              </w:rPr>
              <w:t>-</w:t>
            </w:r>
            <w:r w:rsidR="00F5385C" w:rsidRPr="00F5385C">
              <w:rPr>
                <w:i/>
              </w:rPr>
              <w:t>1</w:t>
            </w:r>
            <w:r w:rsidR="004A503E">
              <w:rPr>
                <w:i/>
              </w:rPr>
              <w:t>6</w:t>
            </w:r>
            <w:r w:rsidR="00F5385C" w:rsidRPr="00F5385C">
              <w:rPr>
                <w:i/>
              </w:rPr>
              <w:t>: Australian hospital statistics</w:t>
            </w:r>
            <w:r w:rsidR="00F5385C" w:rsidRPr="00F5385C">
              <w:t xml:space="preserve">. Health services series no. </w:t>
            </w:r>
            <w:r w:rsidR="004A503E">
              <w:t>75</w:t>
            </w:r>
            <w:r w:rsidR="00F5385C" w:rsidRPr="00F5385C">
              <w:t xml:space="preserve">. Cat. no. </w:t>
            </w:r>
            <w:proofErr w:type="spellStart"/>
            <w:r w:rsidR="00F5385C" w:rsidRPr="00F5385C">
              <w:t>HSE</w:t>
            </w:r>
            <w:proofErr w:type="spellEnd"/>
            <w:r w:rsidR="00F5385C" w:rsidRPr="00F5385C">
              <w:t xml:space="preserve"> </w:t>
            </w:r>
            <w:r w:rsidR="004A503E">
              <w:t>185</w:t>
            </w:r>
            <w:r w:rsidR="00E9094C" w:rsidRPr="00E9094C">
              <w:t xml:space="preserve">; table </w:t>
            </w:r>
            <w:proofErr w:type="spellStart"/>
            <w:r w:rsidR="000F15E6">
              <w:t>12A</w:t>
            </w:r>
            <w:r w:rsidR="00E9094C" w:rsidRPr="00E9094C">
              <w:t>.</w:t>
            </w:r>
            <w:r w:rsidR="0057664C">
              <w:t>3</w:t>
            </w:r>
            <w:r w:rsidR="00D13FAC">
              <w:t>6</w:t>
            </w:r>
            <w:proofErr w:type="spellEnd"/>
            <w:r w:rsidR="00E9094C" w:rsidRPr="00E9094C">
              <w:t>.</w:t>
            </w:r>
          </w:p>
        </w:tc>
      </w:tr>
      <w:tr w:rsidR="005C0535" w14:paraId="37FF19E3" w14:textId="77777777" w:rsidTr="005656A9">
        <w:tc>
          <w:tcPr>
            <w:tcW w:w="8789" w:type="dxa"/>
            <w:tcBorders>
              <w:top w:val="nil"/>
              <w:left w:val="nil"/>
              <w:bottom w:val="single" w:sz="6" w:space="0" w:color="78A22F"/>
              <w:right w:val="nil"/>
            </w:tcBorders>
            <w:shd w:val="clear" w:color="auto" w:fill="auto"/>
          </w:tcPr>
          <w:p w14:paraId="0663A6B5" w14:textId="77777777" w:rsidR="005C0535" w:rsidRDefault="005C0535" w:rsidP="005C0535">
            <w:pPr>
              <w:pStyle w:val="Figurespace"/>
            </w:pPr>
          </w:p>
        </w:tc>
      </w:tr>
      <w:tr w:rsidR="005C0535" w:rsidRPr="000863A5" w14:paraId="63BEA9E9" w14:textId="77777777" w:rsidTr="005656A9">
        <w:tc>
          <w:tcPr>
            <w:tcW w:w="8789" w:type="dxa"/>
            <w:tcBorders>
              <w:top w:val="single" w:sz="6" w:space="0" w:color="78A22F"/>
              <w:left w:val="nil"/>
              <w:bottom w:val="nil"/>
              <w:right w:val="nil"/>
            </w:tcBorders>
          </w:tcPr>
          <w:p w14:paraId="5090F2C7" w14:textId="43229628" w:rsidR="005C0535" w:rsidRPr="00626D32" w:rsidRDefault="005C0535" w:rsidP="005C0535">
            <w:pPr>
              <w:pStyle w:val="BoxSpaceBelow"/>
            </w:pPr>
          </w:p>
        </w:tc>
      </w:tr>
    </w:tbl>
    <w:p w14:paraId="248945E2" w14:textId="77777777" w:rsidR="008D57FE" w:rsidRDefault="00BC6697" w:rsidP="008D57FE">
      <w:pPr>
        <w:pStyle w:val="Heading4"/>
      </w:pPr>
      <w:r>
        <w:t xml:space="preserve">Quality — Safety — </w:t>
      </w:r>
      <w:r w:rsidR="008D57FE">
        <w:t>Sentinel events</w:t>
      </w:r>
    </w:p>
    <w:p w14:paraId="414ABAB4" w14:textId="77777777" w:rsidR="008D57FE" w:rsidRDefault="008D57FE" w:rsidP="008D57FE">
      <w:pPr>
        <w:pStyle w:val="BodyText"/>
      </w:pPr>
      <w:r>
        <w:t xml:space="preserve">‘Sentinel events’ is an indicator of governments’ objective to deliver public hospital services that are high quality </w:t>
      </w:r>
      <w:r w:rsidR="001B4085">
        <w:t xml:space="preserve">and safe </w:t>
      </w:r>
      <w:r>
        <w:t>(box 12.</w:t>
      </w:r>
      <w:r w:rsidR="003D3C97">
        <w:t>9</w:t>
      </w:r>
      <w:r>
        <w:t xml:space="preserve">). </w:t>
      </w:r>
      <w:r w:rsidR="00671894" w:rsidRPr="00671894">
        <w:t>Sentinel events are a subset of adverse events that result in death or very serious harm to the patient. Adverse events are reported as a separate output indicator.</w:t>
      </w:r>
    </w:p>
    <w:p w14:paraId="525A7F69" w14:textId="20E75A1E" w:rsidR="005656A9" w:rsidRDefault="005656A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656A9" w14:paraId="6BF0D3D0" w14:textId="77777777" w:rsidTr="00F10ED8">
        <w:trPr>
          <w:tblHeader/>
        </w:trPr>
        <w:tc>
          <w:tcPr>
            <w:tcW w:w="5000" w:type="pct"/>
            <w:tcBorders>
              <w:top w:val="single" w:sz="6" w:space="0" w:color="78A22F"/>
              <w:left w:val="nil"/>
              <w:bottom w:val="nil"/>
              <w:right w:val="nil"/>
            </w:tcBorders>
            <w:shd w:val="clear" w:color="auto" w:fill="F2F2F2"/>
          </w:tcPr>
          <w:p w14:paraId="74D6B529" w14:textId="0E515BD6" w:rsidR="005656A9" w:rsidRDefault="005656A9">
            <w:pPr>
              <w:pStyle w:val="BoxTitle"/>
            </w:pPr>
            <w:r>
              <w:rPr>
                <w:b w:val="0"/>
              </w:rPr>
              <w:t>Box 12.</w:t>
            </w:r>
            <w:r w:rsidR="007F3144">
              <w:rPr>
                <w:b w:val="0"/>
                <w:noProof/>
              </w:rPr>
              <w:t>9</w:t>
            </w:r>
            <w:r>
              <w:tab/>
            </w:r>
            <w:r w:rsidRPr="00E055D1">
              <w:t>Sentinel events</w:t>
            </w:r>
          </w:p>
        </w:tc>
      </w:tr>
      <w:tr w:rsidR="005656A9" w14:paraId="7E669E1F" w14:textId="77777777" w:rsidTr="00F10ED8">
        <w:tc>
          <w:tcPr>
            <w:tcW w:w="5000" w:type="pct"/>
            <w:tcBorders>
              <w:top w:val="nil"/>
              <w:left w:val="nil"/>
              <w:bottom w:val="nil"/>
              <w:right w:val="nil"/>
            </w:tcBorders>
            <w:shd w:val="clear" w:color="auto" w:fill="F2F2F2"/>
          </w:tcPr>
          <w:p w14:paraId="7F6901C5" w14:textId="77777777" w:rsidR="005656A9" w:rsidRDefault="005656A9" w:rsidP="005656A9">
            <w:pPr>
              <w:pStyle w:val="Box"/>
            </w:pPr>
            <w:r>
              <w:t xml:space="preserve">‘Sentinel events’ is defined as the number of reported adverse events that occur because of hospital system and process deficiencies, and which result in the death of, or serious harm to, a patient. Sentinel events occur relatively infrequently and are independent of a patient’s condition. </w:t>
            </w:r>
          </w:p>
          <w:p w14:paraId="7A75D8BA" w14:textId="77777777" w:rsidR="005656A9" w:rsidRDefault="005656A9" w:rsidP="005656A9">
            <w:pPr>
              <w:pStyle w:val="Box"/>
            </w:pPr>
            <w:r>
              <w:t xml:space="preserve">Australian health ministers have agreed on a national core set of sentinel events for which all public hospitals are required to provide data. The eight agreed core sentinel events are: </w:t>
            </w:r>
          </w:p>
          <w:p w14:paraId="7F71BD3A" w14:textId="77777777" w:rsidR="005656A9" w:rsidRDefault="005656A9" w:rsidP="00F10ED8">
            <w:pPr>
              <w:pStyle w:val="BoxListNumber"/>
            </w:pPr>
            <w:r>
              <w:t>Procedures involving the wrong patient or body part resulting in death or major permanent loss of function.</w:t>
            </w:r>
          </w:p>
          <w:p w14:paraId="7F1E8A59" w14:textId="77777777" w:rsidR="005656A9" w:rsidRDefault="005656A9" w:rsidP="00F10ED8">
            <w:pPr>
              <w:pStyle w:val="BoxListNumber"/>
            </w:pPr>
            <w:r>
              <w:t>Suicide of a patient in an inpatient unit.</w:t>
            </w:r>
          </w:p>
          <w:p w14:paraId="10FABE63" w14:textId="77777777" w:rsidR="005656A9" w:rsidRDefault="005656A9" w:rsidP="00F10ED8">
            <w:pPr>
              <w:pStyle w:val="BoxListNumber"/>
            </w:pPr>
            <w:r>
              <w:t>Retained instruments or other material after surgery requiring re-operation or further surgical procedure.</w:t>
            </w:r>
          </w:p>
        </w:tc>
      </w:tr>
      <w:tr w:rsidR="005656A9" w14:paraId="7479AC50" w14:textId="77777777" w:rsidTr="00F10ED8">
        <w:tc>
          <w:tcPr>
            <w:tcW w:w="5000" w:type="pct"/>
            <w:tcBorders>
              <w:top w:val="nil"/>
              <w:left w:val="nil"/>
              <w:bottom w:val="nil"/>
              <w:right w:val="nil"/>
            </w:tcBorders>
            <w:shd w:val="clear" w:color="auto" w:fill="F2F2F2"/>
          </w:tcPr>
          <w:p w14:paraId="41CD1A60" w14:textId="7728C50E" w:rsidR="005656A9" w:rsidRDefault="005656A9" w:rsidP="005656A9">
            <w:pPr>
              <w:pStyle w:val="BoxSource"/>
              <w:jc w:val="right"/>
            </w:pPr>
            <w:r>
              <w:t>(continued next page)</w:t>
            </w:r>
          </w:p>
        </w:tc>
      </w:tr>
      <w:tr w:rsidR="005656A9" w14:paraId="44179935" w14:textId="77777777" w:rsidTr="00F10ED8">
        <w:tc>
          <w:tcPr>
            <w:tcW w:w="5000" w:type="pct"/>
            <w:tcBorders>
              <w:top w:val="nil"/>
              <w:left w:val="nil"/>
              <w:bottom w:val="single" w:sz="6" w:space="0" w:color="78A22F"/>
              <w:right w:val="nil"/>
            </w:tcBorders>
            <w:shd w:val="clear" w:color="auto" w:fill="F2F2F2"/>
          </w:tcPr>
          <w:p w14:paraId="7AD4784A" w14:textId="77777777" w:rsidR="005656A9" w:rsidRDefault="005656A9">
            <w:pPr>
              <w:pStyle w:val="Box"/>
              <w:spacing w:before="0" w:line="120" w:lineRule="exact"/>
            </w:pPr>
          </w:p>
        </w:tc>
      </w:tr>
      <w:tr w:rsidR="005656A9" w:rsidRPr="000863A5" w14:paraId="0FCC5AF3" w14:textId="77777777" w:rsidTr="00F10ED8">
        <w:tc>
          <w:tcPr>
            <w:tcW w:w="5000" w:type="pct"/>
            <w:tcBorders>
              <w:top w:val="single" w:sz="6" w:space="0" w:color="78A22F"/>
              <w:left w:val="nil"/>
              <w:bottom w:val="nil"/>
              <w:right w:val="nil"/>
            </w:tcBorders>
          </w:tcPr>
          <w:p w14:paraId="585D5680" w14:textId="667905B7" w:rsidR="005656A9" w:rsidRPr="00626D32" w:rsidRDefault="005656A9" w:rsidP="00F10ED8">
            <w:pPr>
              <w:pStyle w:val="BoxSpaceBelow"/>
            </w:pPr>
          </w:p>
        </w:tc>
      </w:tr>
    </w:tbl>
    <w:p w14:paraId="6AE96FCB" w14:textId="4BDD2EFF" w:rsidR="008D57FE" w:rsidRDefault="008D57FE" w:rsidP="008D57FE">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D57FE" w14:paraId="019EE9DC" w14:textId="77777777" w:rsidTr="005656A9">
        <w:tc>
          <w:tcPr>
            <w:tcW w:w="8789" w:type="dxa"/>
            <w:tcBorders>
              <w:top w:val="single" w:sz="6" w:space="0" w:color="78A22F"/>
              <w:left w:val="nil"/>
              <w:bottom w:val="nil"/>
              <w:right w:val="nil"/>
            </w:tcBorders>
            <w:shd w:val="clear" w:color="auto" w:fill="F2F2F2"/>
          </w:tcPr>
          <w:p w14:paraId="1872A7E0" w14:textId="289F4D33" w:rsidR="008D57FE" w:rsidRDefault="008D57FE" w:rsidP="005656A9">
            <w:pPr>
              <w:pStyle w:val="BoxTitle"/>
            </w:pPr>
            <w:r>
              <w:rPr>
                <w:b w:val="0"/>
              </w:rPr>
              <w:t xml:space="preserve">Box </w:t>
            </w:r>
            <w:r w:rsidR="005656A9">
              <w:rPr>
                <w:b w:val="0"/>
              </w:rPr>
              <w:t>12.9</w:t>
            </w:r>
            <w:r>
              <w:tab/>
            </w:r>
            <w:r w:rsidR="005656A9" w:rsidRPr="005656A9">
              <w:rPr>
                <w:b w:val="0"/>
                <w:sz w:val="18"/>
                <w:szCs w:val="18"/>
              </w:rPr>
              <w:t>(continued)</w:t>
            </w:r>
          </w:p>
        </w:tc>
      </w:tr>
      <w:tr w:rsidR="008D57FE" w14:paraId="682684E5" w14:textId="77777777" w:rsidTr="005656A9">
        <w:trPr>
          <w:cantSplit/>
        </w:trPr>
        <w:tc>
          <w:tcPr>
            <w:tcW w:w="8789" w:type="dxa"/>
            <w:tcBorders>
              <w:top w:val="nil"/>
              <w:left w:val="nil"/>
              <w:bottom w:val="nil"/>
              <w:right w:val="nil"/>
            </w:tcBorders>
            <w:shd w:val="clear" w:color="auto" w:fill="F2F2F2"/>
          </w:tcPr>
          <w:p w14:paraId="4D9B7733" w14:textId="77777777" w:rsidR="008D57FE" w:rsidRDefault="008D57FE" w:rsidP="00BF36D1">
            <w:pPr>
              <w:pStyle w:val="BoxListNumber"/>
            </w:pPr>
            <w:r>
              <w:t>Intravascular gas embolism resulting in death or neurological damage.</w:t>
            </w:r>
          </w:p>
          <w:p w14:paraId="6038CDE5" w14:textId="77777777" w:rsidR="008D57FE" w:rsidRDefault="008D57FE" w:rsidP="00BF36D1">
            <w:pPr>
              <w:pStyle w:val="BoxListNumber"/>
            </w:pPr>
            <w:r>
              <w:t>Haemolytic blood transfusion reaction resulting from ABO (blood group) incompatibility.</w:t>
            </w:r>
          </w:p>
          <w:p w14:paraId="7E3FB962" w14:textId="77777777" w:rsidR="008D57FE" w:rsidRDefault="008D57FE" w:rsidP="00BF36D1">
            <w:pPr>
              <w:pStyle w:val="BoxListNumber"/>
            </w:pPr>
            <w:r>
              <w:t>Medication error leading to the death of a patient reasonably believed to be due to incorrect administration of drugs.</w:t>
            </w:r>
          </w:p>
          <w:p w14:paraId="6DB7D3B8" w14:textId="77777777" w:rsidR="008D57FE" w:rsidRDefault="008D57FE" w:rsidP="00BF36D1">
            <w:pPr>
              <w:pStyle w:val="BoxListNumber"/>
            </w:pPr>
            <w:r w:rsidRPr="0083330D">
              <w:t>Maternal death associated with pregnancy, birth or the puerperium.</w:t>
            </w:r>
          </w:p>
          <w:p w14:paraId="40422212" w14:textId="77777777" w:rsidR="008D57FE" w:rsidRDefault="008D57FE" w:rsidP="00BF36D1">
            <w:pPr>
              <w:pStyle w:val="BoxListNumber"/>
            </w:pPr>
            <w:r>
              <w:t>Infant discharged to the wrong family.</w:t>
            </w:r>
          </w:p>
          <w:p w14:paraId="4421D97E" w14:textId="77777777" w:rsidR="008D57FE" w:rsidRDefault="008D57FE" w:rsidP="00BF36D1">
            <w:pPr>
              <w:pStyle w:val="Box"/>
            </w:pPr>
            <w:r>
              <w:t xml:space="preserve">A low or decreasing number of sentinel events is desirable. </w:t>
            </w:r>
          </w:p>
          <w:p w14:paraId="61A17F27" w14:textId="77777777" w:rsidR="008D57FE" w:rsidRDefault="008D57FE" w:rsidP="00BF36D1">
            <w:pPr>
              <w:pStyle w:val="Box"/>
            </w:pPr>
            <w:r>
              <w:t>Over time, an increase in the number of sentinel events reported might reflect improvements in incident reporting mechanisms and organisational cultural change, rather than an increase in the frequency of such events. However, trends need to be monitored to establish whether this is the underlying reason.</w:t>
            </w:r>
          </w:p>
          <w:p w14:paraId="0B97E6D8" w14:textId="4487D5AF" w:rsidR="008D57FE" w:rsidRDefault="008D57FE" w:rsidP="00BF36D1">
            <w:pPr>
              <w:pStyle w:val="Box"/>
            </w:pPr>
            <w:r>
              <w:t xml:space="preserve">Data reported for this </w:t>
            </w:r>
            <w:r w:rsidR="00BA6495">
              <w:t xml:space="preserve">measure </w:t>
            </w:r>
            <w:r>
              <w:t>are:</w:t>
            </w:r>
          </w:p>
          <w:p w14:paraId="5D7FA09E" w14:textId="77777777" w:rsidR="008D57FE" w:rsidRDefault="008D57FE" w:rsidP="00BF36D1">
            <w:pPr>
              <w:pStyle w:val="BoxListBullet"/>
            </w:pPr>
            <w:r>
              <w:t>comparable (subject to caveats) within jurisdictions over time but are not comparable across jurisdictions</w:t>
            </w:r>
          </w:p>
          <w:p w14:paraId="0441B76D" w14:textId="77777777" w:rsidR="008D57FE" w:rsidRPr="00BF2A0B" w:rsidRDefault="008D57FE" w:rsidP="002B5085">
            <w:pPr>
              <w:pStyle w:val="BoxListBullet"/>
            </w:pPr>
            <w:r>
              <w:t>complete (subject to caveats) for the current reporting period. All required 201</w:t>
            </w:r>
            <w:r w:rsidR="002B5085">
              <w:t>5</w:t>
            </w:r>
            <w:r>
              <w:t>-1</w:t>
            </w:r>
            <w:r w:rsidR="002B5085">
              <w:t>6</w:t>
            </w:r>
            <w:r>
              <w:t xml:space="preserve"> data are available for all jurisdictions.</w:t>
            </w:r>
          </w:p>
        </w:tc>
      </w:tr>
      <w:tr w:rsidR="008D57FE" w14:paraId="31C7D397" w14:textId="77777777" w:rsidTr="005656A9">
        <w:trPr>
          <w:cantSplit/>
        </w:trPr>
        <w:tc>
          <w:tcPr>
            <w:tcW w:w="8789" w:type="dxa"/>
            <w:tcBorders>
              <w:top w:val="nil"/>
              <w:left w:val="nil"/>
              <w:bottom w:val="single" w:sz="6" w:space="0" w:color="78A22F"/>
              <w:right w:val="nil"/>
            </w:tcBorders>
            <w:shd w:val="clear" w:color="auto" w:fill="F2F2F2"/>
          </w:tcPr>
          <w:p w14:paraId="28C53D27" w14:textId="77777777" w:rsidR="008D57FE" w:rsidRDefault="008D57FE" w:rsidP="00BF36D1">
            <w:pPr>
              <w:pStyle w:val="Box"/>
              <w:spacing w:before="0" w:line="120" w:lineRule="exact"/>
            </w:pPr>
          </w:p>
        </w:tc>
      </w:tr>
      <w:tr w:rsidR="008D57FE" w:rsidRPr="000863A5" w14:paraId="43B30845" w14:textId="77777777" w:rsidTr="005656A9">
        <w:tc>
          <w:tcPr>
            <w:tcW w:w="8789" w:type="dxa"/>
            <w:tcBorders>
              <w:top w:val="single" w:sz="6" w:space="0" w:color="78A22F"/>
              <w:left w:val="nil"/>
              <w:bottom w:val="nil"/>
              <w:right w:val="nil"/>
            </w:tcBorders>
          </w:tcPr>
          <w:p w14:paraId="5A0D1A33" w14:textId="7F60CD97" w:rsidR="008D57FE" w:rsidRPr="00626D32" w:rsidRDefault="008D57FE" w:rsidP="00BF36D1">
            <w:pPr>
              <w:pStyle w:val="BoxSpaceBelow"/>
            </w:pPr>
          </w:p>
        </w:tc>
      </w:tr>
    </w:tbl>
    <w:p w14:paraId="46510E91" w14:textId="77777777" w:rsidR="008D57FE" w:rsidRDefault="008D57FE" w:rsidP="008D57FE">
      <w:pPr>
        <w:pStyle w:val="BodyText"/>
      </w:pPr>
      <w:r>
        <w:t xml:space="preserve">Sentinel event programs have been implemented by all State and Territory governments. The purpose of these programs is to facilitate a safe environment for patients by reducing the frequency of these events. The programs are not punitive, and are designed to facilitate self-reporting of errors so that the underlying causes of the events can be examined, and action taken to reduce the risk of these events re-occurring. </w:t>
      </w:r>
    </w:p>
    <w:p w14:paraId="2EA89FCD" w14:textId="77777777" w:rsidR="008D57FE" w:rsidRDefault="008D57FE" w:rsidP="008D57FE">
      <w:pPr>
        <w:pStyle w:val="BodyText"/>
      </w:pPr>
      <w:r>
        <w:t>Numbers of sentinel events for 201</w:t>
      </w:r>
      <w:r w:rsidR="002B5085">
        <w:t>5</w:t>
      </w:r>
      <w:r>
        <w:t>-1</w:t>
      </w:r>
      <w:r w:rsidR="002B5085">
        <w:t>6</w:t>
      </w:r>
      <w:r>
        <w:t xml:space="preserve"> are reported below. As larger states and territories will tend to have more sentinel events than smaller jurisdictions, the numbers of separations are also presented to provide context.</w:t>
      </w:r>
    </w:p>
    <w:p w14:paraId="16074E1F" w14:textId="77777777" w:rsidR="008D57FE" w:rsidRDefault="008D57FE" w:rsidP="002B5085">
      <w:pPr>
        <w:pStyle w:val="BodyText"/>
        <w:keepNext/>
      </w:pPr>
      <w:r>
        <w:t>In 201</w:t>
      </w:r>
      <w:r w:rsidR="002B5085">
        <w:t>5</w:t>
      </w:r>
      <w:r>
        <w:t>-1</w:t>
      </w:r>
      <w:r w:rsidR="002B5085">
        <w:t>6</w:t>
      </w:r>
      <w:r>
        <w:t>:</w:t>
      </w:r>
    </w:p>
    <w:p w14:paraId="314CBC27" w14:textId="281888F7" w:rsidR="008D57FE" w:rsidRDefault="00271535" w:rsidP="008D57FE">
      <w:pPr>
        <w:pStyle w:val="ListBullet"/>
      </w:pPr>
      <w:r>
        <w:t xml:space="preserve">in </w:t>
      </w:r>
      <w:r w:rsidR="008D57FE">
        <w:t xml:space="preserve">NSW public hospitals there </w:t>
      </w:r>
      <w:r w:rsidR="006A6CAE">
        <w:t>were</w:t>
      </w:r>
      <w:r w:rsidR="008D57FE" w:rsidRPr="00B52C5D">
        <w:t xml:space="preserve"> </w:t>
      </w:r>
      <w:r w:rsidR="0015160D">
        <w:t>34</w:t>
      </w:r>
      <w:r w:rsidR="008D57FE" w:rsidRPr="00B52C5D">
        <w:t xml:space="preserve"> sentinel events</w:t>
      </w:r>
      <w:r w:rsidR="008D57FE">
        <w:t xml:space="preserve"> (table </w:t>
      </w:r>
      <w:proofErr w:type="spellStart"/>
      <w:r w:rsidR="008D57FE">
        <w:t>12A.</w:t>
      </w:r>
      <w:r w:rsidR="00D13FAC">
        <w:t>37</w:t>
      </w:r>
      <w:proofErr w:type="spellEnd"/>
      <w:r w:rsidR="008D57FE">
        <w:t xml:space="preserve">) compared to around </w:t>
      </w:r>
      <w:r w:rsidR="00AA02CA" w:rsidRPr="00E93B57">
        <w:t>1.</w:t>
      </w:r>
      <w:r w:rsidR="00BD7F6C">
        <w:t>9</w:t>
      </w:r>
      <w:r w:rsidR="008D57FE">
        <w:t xml:space="preserve"> million separations (table </w:t>
      </w:r>
      <w:proofErr w:type="spellStart"/>
      <w:r w:rsidR="008D57FE">
        <w:t>12A.</w:t>
      </w:r>
      <w:r w:rsidR="0057664C">
        <w:t>5</w:t>
      </w:r>
      <w:proofErr w:type="spellEnd"/>
      <w:r>
        <w:t>)</w:t>
      </w:r>
    </w:p>
    <w:p w14:paraId="67DAE32E" w14:textId="6E29B837" w:rsidR="008D57FE" w:rsidRPr="00D22CE9" w:rsidRDefault="00271535" w:rsidP="008D57FE">
      <w:pPr>
        <w:pStyle w:val="ListBullet"/>
      </w:pPr>
      <w:r>
        <w:t xml:space="preserve">in </w:t>
      </w:r>
      <w:r w:rsidR="008D57FE">
        <w:t xml:space="preserve">Victorian public hospitals there </w:t>
      </w:r>
      <w:r w:rsidR="006A6CAE">
        <w:t>were</w:t>
      </w:r>
      <w:r w:rsidR="008D57FE">
        <w:t xml:space="preserve"> </w:t>
      </w:r>
      <w:r w:rsidR="00A956EE" w:rsidRPr="00A956EE">
        <w:t>1</w:t>
      </w:r>
      <w:r w:rsidR="0015160D">
        <w:t>6</w:t>
      </w:r>
      <w:r w:rsidR="008D57FE">
        <w:t xml:space="preserve"> sentinel events (table </w:t>
      </w:r>
      <w:proofErr w:type="spellStart"/>
      <w:r w:rsidR="008D57FE">
        <w:t>12A.</w:t>
      </w:r>
      <w:r w:rsidR="00D13FAC">
        <w:t>38</w:t>
      </w:r>
      <w:proofErr w:type="spellEnd"/>
      <w:r w:rsidR="008D57FE">
        <w:t xml:space="preserve">) compared to around </w:t>
      </w:r>
      <w:r w:rsidR="00AA02CA" w:rsidRPr="0057664C">
        <w:t>1.</w:t>
      </w:r>
      <w:r w:rsidR="00BD7F6C">
        <w:t>7</w:t>
      </w:r>
      <w:r w:rsidR="008D57FE">
        <w:t xml:space="preserve"> mil</w:t>
      </w:r>
      <w:r>
        <w:t xml:space="preserve">lion separations (table </w:t>
      </w:r>
      <w:proofErr w:type="spellStart"/>
      <w:r>
        <w:t>12A.5</w:t>
      </w:r>
      <w:proofErr w:type="spellEnd"/>
      <w:r>
        <w:t>)</w:t>
      </w:r>
    </w:p>
    <w:p w14:paraId="534A52B2" w14:textId="2A4E7535" w:rsidR="008D57FE" w:rsidRDefault="00271535" w:rsidP="008D57FE">
      <w:pPr>
        <w:pStyle w:val="ListBullet"/>
      </w:pPr>
      <w:r>
        <w:t xml:space="preserve">in </w:t>
      </w:r>
      <w:r w:rsidR="008D57FE">
        <w:t xml:space="preserve">Queensland public hospitals there </w:t>
      </w:r>
      <w:r w:rsidR="006A6CAE">
        <w:t>were</w:t>
      </w:r>
      <w:r w:rsidR="008D57FE">
        <w:t xml:space="preserve"> </w:t>
      </w:r>
      <w:r w:rsidR="00A956EE" w:rsidRPr="00A956EE">
        <w:t>1</w:t>
      </w:r>
      <w:r w:rsidR="0015160D">
        <w:t>5</w:t>
      </w:r>
      <w:r w:rsidR="008D57FE">
        <w:t xml:space="preserve"> sentinel events (table </w:t>
      </w:r>
      <w:proofErr w:type="spellStart"/>
      <w:r w:rsidR="008D57FE">
        <w:t>12A.</w:t>
      </w:r>
      <w:r w:rsidR="00D13FAC">
        <w:t>39</w:t>
      </w:r>
      <w:proofErr w:type="spellEnd"/>
      <w:r w:rsidR="008D57FE">
        <w:t xml:space="preserve">) compared to around </w:t>
      </w:r>
      <w:r w:rsidR="00AA02CA" w:rsidRPr="00E93B57">
        <w:t>1.</w:t>
      </w:r>
      <w:r w:rsidR="00BD7F6C">
        <w:t>3</w:t>
      </w:r>
      <w:r w:rsidR="008D57FE">
        <w:t xml:space="preserve"> million separations (table </w:t>
      </w:r>
      <w:proofErr w:type="spellStart"/>
      <w:r w:rsidR="008D57FE">
        <w:t>12A.</w:t>
      </w:r>
      <w:r w:rsidR="0057664C">
        <w:t>5</w:t>
      </w:r>
      <w:proofErr w:type="spellEnd"/>
      <w:r>
        <w:t>)</w:t>
      </w:r>
    </w:p>
    <w:p w14:paraId="65536196" w14:textId="7176E30B" w:rsidR="008D57FE" w:rsidRDefault="00271535" w:rsidP="008D57FE">
      <w:pPr>
        <w:pStyle w:val="ListBullet"/>
      </w:pPr>
      <w:r>
        <w:t xml:space="preserve">in </w:t>
      </w:r>
      <w:r w:rsidR="008D57FE">
        <w:t xml:space="preserve">WA public hospitals there </w:t>
      </w:r>
      <w:r w:rsidR="006A6CAE">
        <w:t>were</w:t>
      </w:r>
      <w:r w:rsidR="008D57FE">
        <w:t xml:space="preserve"> </w:t>
      </w:r>
      <w:r w:rsidR="00A956EE" w:rsidRPr="00A956EE">
        <w:t>5</w:t>
      </w:r>
      <w:r w:rsidR="008D57FE">
        <w:t xml:space="preserve"> sentinel events (table </w:t>
      </w:r>
      <w:proofErr w:type="spellStart"/>
      <w:r w:rsidR="008D57FE">
        <w:t>12A.</w:t>
      </w:r>
      <w:r w:rsidR="00D13FAC">
        <w:t>40</w:t>
      </w:r>
      <w:proofErr w:type="spellEnd"/>
      <w:r w:rsidR="008D57FE">
        <w:t xml:space="preserve">) compared to around </w:t>
      </w:r>
      <w:r w:rsidR="00E93B57" w:rsidRPr="00E93B57">
        <w:t>6</w:t>
      </w:r>
      <w:r w:rsidR="00BD7F6C">
        <w:t>3</w:t>
      </w:r>
      <w:r w:rsidR="00E93B57" w:rsidRPr="00E93B57">
        <w:t>1 000</w:t>
      </w:r>
      <w:r w:rsidR="008D57FE">
        <w:t xml:space="preserve"> separations (table </w:t>
      </w:r>
      <w:proofErr w:type="spellStart"/>
      <w:r w:rsidR="008D57FE">
        <w:t>12A.</w:t>
      </w:r>
      <w:r w:rsidR="0057664C">
        <w:t>5</w:t>
      </w:r>
      <w:proofErr w:type="spellEnd"/>
      <w:r>
        <w:t>)</w:t>
      </w:r>
    </w:p>
    <w:p w14:paraId="4AD3990C" w14:textId="515988F9" w:rsidR="008D57FE" w:rsidRDefault="00271535" w:rsidP="008D57FE">
      <w:pPr>
        <w:pStyle w:val="ListBullet"/>
      </w:pPr>
      <w:r>
        <w:t xml:space="preserve">in </w:t>
      </w:r>
      <w:r w:rsidR="008D57FE">
        <w:t xml:space="preserve">SA public hospitals there </w:t>
      </w:r>
      <w:r w:rsidR="006A6CAE">
        <w:t>were</w:t>
      </w:r>
      <w:r w:rsidR="008D57FE" w:rsidRPr="00D22CE9">
        <w:t xml:space="preserve"> </w:t>
      </w:r>
      <w:r w:rsidR="0015160D">
        <w:t>11</w:t>
      </w:r>
      <w:r w:rsidR="008D57FE">
        <w:t xml:space="preserve"> sentinel events (table </w:t>
      </w:r>
      <w:proofErr w:type="spellStart"/>
      <w:r w:rsidR="008D57FE">
        <w:t>12A.</w:t>
      </w:r>
      <w:r w:rsidR="00D13FAC">
        <w:t>41</w:t>
      </w:r>
      <w:proofErr w:type="spellEnd"/>
      <w:r w:rsidR="008D57FE">
        <w:t xml:space="preserve">) compared to around </w:t>
      </w:r>
      <w:r w:rsidR="00E93B57" w:rsidRPr="00E93B57">
        <w:t>4</w:t>
      </w:r>
      <w:r w:rsidR="00BD7F6C">
        <w:t>39</w:t>
      </w:r>
      <w:r w:rsidR="00E93B57" w:rsidRPr="00E93B57">
        <w:t> 000</w:t>
      </w:r>
      <w:r w:rsidR="008D57FE">
        <w:t xml:space="preserve"> separations (table </w:t>
      </w:r>
      <w:proofErr w:type="spellStart"/>
      <w:r w:rsidR="008D57FE">
        <w:t>12A.</w:t>
      </w:r>
      <w:r w:rsidR="0057664C">
        <w:t>5</w:t>
      </w:r>
      <w:proofErr w:type="spellEnd"/>
      <w:r>
        <w:t>)</w:t>
      </w:r>
    </w:p>
    <w:p w14:paraId="32A34E3B" w14:textId="5D7553F9" w:rsidR="008D57FE" w:rsidRDefault="00271535" w:rsidP="008D57FE">
      <w:pPr>
        <w:pStyle w:val="ListBullet"/>
      </w:pPr>
      <w:r>
        <w:lastRenderedPageBreak/>
        <w:t xml:space="preserve">in </w:t>
      </w:r>
      <w:r w:rsidR="008D57FE">
        <w:t xml:space="preserve">Tasmanian public hospitals there were </w:t>
      </w:r>
      <w:r w:rsidR="00A956EE" w:rsidRPr="00A956EE">
        <w:t>no</w:t>
      </w:r>
      <w:r w:rsidR="008D57FE">
        <w:t xml:space="preserve"> reported sentinel events (table </w:t>
      </w:r>
      <w:proofErr w:type="spellStart"/>
      <w:r w:rsidR="008D57FE">
        <w:t>12A.</w:t>
      </w:r>
      <w:r w:rsidR="00D13FAC">
        <w:t>42</w:t>
      </w:r>
      <w:proofErr w:type="spellEnd"/>
      <w:r w:rsidR="008D57FE">
        <w:t xml:space="preserve">) compared to around </w:t>
      </w:r>
      <w:r w:rsidR="00E93B57" w:rsidRPr="00E93B57">
        <w:t>12</w:t>
      </w:r>
      <w:r w:rsidR="00BD7F6C">
        <w:t>3</w:t>
      </w:r>
      <w:r w:rsidR="00E93B57" w:rsidRPr="00E93B57">
        <w:t> 000</w:t>
      </w:r>
      <w:r w:rsidR="008D57FE">
        <w:t xml:space="preserve"> separations (table </w:t>
      </w:r>
      <w:proofErr w:type="spellStart"/>
      <w:r w:rsidR="008D57FE">
        <w:t>12A.</w:t>
      </w:r>
      <w:r w:rsidR="0057664C">
        <w:t>5</w:t>
      </w:r>
      <w:proofErr w:type="spellEnd"/>
      <w:r>
        <w:t>)</w:t>
      </w:r>
    </w:p>
    <w:p w14:paraId="3DFD045A" w14:textId="5BFB1662" w:rsidR="008D57FE" w:rsidRDefault="00271535" w:rsidP="002718E5">
      <w:pPr>
        <w:pStyle w:val="ListBullet"/>
      </w:pPr>
      <w:r w:rsidRPr="00BF6063">
        <w:t xml:space="preserve">in </w:t>
      </w:r>
      <w:r w:rsidR="008D57FE" w:rsidRPr="00BF6063">
        <w:t xml:space="preserve">ACT public hospitals there </w:t>
      </w:r>
      <w:r w:rsidR="0015160D">
        <w:t>was 1</w:t>
      </w:r>
      <w:r w:rsidR="00A956EE" w:rsidRPr="00BF6063">
        <w:t xml:space="preserve"> </w:t>
      </w:r>
      <w:r w:rsidR="008D57FE" w:rsidRPr="00BF6063">
        <w:t>reported sentinel event (table </w:t>
      </w:r>
      <w:proofErr w:type="spellStart"/>
      <w:r w:rsidR="008D57FE" w:rsidRPr="00BF6063">
        <w:t>12A.</w:t>
      </w:r>
      <w:r w:rsidR="00D13FAC" w:rsidRPr="00BF6063">
        <w:t>43</w:t>
      </w:r>
      <w:proofErr w:type="spellEnd"/>
      <w:r w:rsidR="008D57FE" w:rsidRPr="00BF6063">
        <w:t>)</w:t>
      </w:r>
      <w:r w:rsidR="00BB1F64">
        <w:t xml:space="preserve"> compared to around</w:t>
      </w:r>
      <w:r w:rsidR="008D57FE">
        <w:t xml:space="preserve"> </w:t>
      </w:r>
      <w:r w:rsidR="00E93B57" w:rsidRPr="00E93B57">
        <w:t>10</w:t>
      </w:r>
      <w:r w:rsidR="00BD7F6C">
        <w:t>8</w:t>
      </w:r>
      <w:r w:rsidR="00E93B57" w:rsidRPr="00E93B57">
        <w:t> 000</w:t>
      </w:r>
      <w:r w:rsidR="008D57FE">
        <w:t xml:space="preserve"> separations (table </w:t>
      </w:r>
      <w:proofErr w:type="spellStart"/>
      <w:r w:rsidR="008D57FE">
        <w:t>12A.</w:t>
      </w:r>
      <w:r w:rsidR="0057664C">
        <w:t>5</w:t>
      </w:r>
      <w:proofErr w:type="spellEnd"/>
      <w:r>
        <w:t>)</w:t>
      </w:r>
    </w:p>
    <w:p w14:paraId="2E9CBF26" w14:textId="2041A7F2" w:rsidR="008D57FE" w:rsidRDefault="00271535" w:rsidP="008D57FE">
      <w:pPr>
        <w:pStyle w:val="ListBullet"/>
      </w:pPr>
      <w:r>
        <w:t xml:space="preserve">in </w:t>
      </w:r>
      <w:r w:rsidR="008D57FE">
        <w:t xml:space="preserve">NT public hospitals there </w:t>
      </w:r>
      <w:r w:rsidR="0015160D">
        <w:t>were no reported</w:t>
      </w:r>
      <w:r w:rsidR="008D57FE">
        <w:t xml:space="preserve"> sentinel events (table </w:t>
      </w:r>
      <w:proofErr w:type="spellStart"/>
      <w:r w:rsidR="008D57FE">
        <w:t>12A.</w:t>
      </w:r>
      <w:r w:rsidR="00D13FAC">
        <w:t>44</w:t>
      </w:r>
      <w:proofErr w:type="spellEnd"/>
      <w:r w:rsidR="008D57FE">
        <w:t xml:space="preserve">) compared to around </w:t>
      </w:r>
      <w:r w:rsidR="00E93B57" w:rsidRPr="00E93B57">
        <w:t>1</w:t>
      </w:r>
      <w:r w:rsidR="00BD7F6C">
        <w:t>48</w:t>
      </w:r>
      <w:r w:rsidR="00E93B57" w:rsidRPr="00E93B57">
        <w:t> 000</w:t>
      </w:r>
      <w:r w:rsidR="008D57FE">
        <w:t xml:space="preserve"> separations (table </w:t>
      </w:r>
      <w:proofErr w:type="spellStart"/>
      <w:r w:rsidR="008D57FE">
        <w:t>12A.</w:t>
      </w:r>
      <w:r w:rsidR="0057664C">
        <w:t>5</w:t>
      </w:r>
      <w:proofErr w:type="spellEnd"/>
      <w:r w:rsidR="008D57FE">
        <w:t xml:space="preserve">). </w:t>
      </w:r>
    </w:p>
    <w:p w14:paraId="4E5DCF19" w14:textId="0D1D598A" w:rsidR="008D57FE" w:rsidRDefault="008D57FE" w:rsidP="008D57FE">
      <w:pPr>
        <w:pStyle w:val="BodyText"/>
      </w:pPr>
      <w:r>
        <w:t>Data for 20</w:t>
      </w:r>
      <w:r w:rsidR="00241956">
        <w:t>1</w:t>
      </w:r>
      <w:r w:rsidR="0015160D">
        <w:t>1</w:t>
      </w:r>
      <w:r>
        <w:t>-1</w:t>
      </w:r>
      <w:r w:rsidR="0015160D">
        <w:t>2</w:t>
      </w:r>
      <w:r>
        <w:t xml:space="preserve"> to 201</w:t>
      </w:r>
      <w:r w:rsidR="0015160D">
        <w:t>5</w:t>
      </w:r>
      <w:r>
        <w:t>-1</w:t>
      </w:r>
      <w:r w:rsidR="0015160D">
        <w:t>6</w:t>
      </w:r>
      <w:r>
        <w:t xml:space="preserve"> are reported in tables </w:t>
      </w:r>
      <w:proofErr w:type="spellStart"/>
      <w:r>
        <w:t>12A.</w:t>
      </w:r>
      <w:r w:rsidR="00D13FAC">
        <w:t>37</w:t>
      </w:r>
      <w:proofErr w:type="spellEnd"/>
      <w:r>
        <w:t>–</w:t>
      </w:r>
      <w:r w:rsidR="00D13FAC">
        <w:t>44</w:t>
      </w:r>
      <w:r>
        <w:t xml:space="preserve">, along with disaggregation by the type of sentinel event. Australian totals are reported in table </w:t>
      </w:r>
      <w:proofErr w:type="spellStart"/>
      <w:r>
        <w:t>12A.</w:t>
      </w:r>
      <w:r w:rsidR="00D13FAC">
        <w:t>45</w:t>
      </w:r>
      <w:proofErr w:type="spellEnd"/>
      <w:r w:rsidR="00BB1F64">
        <w:t xml:space="preserve"> and show that in 2015-16 there was a total of 82 sentinel events </w:t>
      </w:r>
      <w:r w:rsidR="007E2BAF">
        <w:t>—</w:t>
      </w:r>
      <w:r w:rsidR="00BB1F64">
        <w:t xml:space="preserve"> the lowest number over the 5 years of data in this Report</w:t>
      </w:r>
      <w:r>
        <w:t xml:space="preserve">. </w:t>
      </w:r>
    </w:p>
    <w:p w14:paraId="7FDED80E" w14:textId="77777777" w:rsidR="008D57FE" w:rsidRDefault="009B7702" w:rsidP="008D57FE">
      <w:pPr>
        <w:pStyle w:val="Heading4"/>
      </w:pPr>
      <w:r>
        <w:t xml:space="preserve">Quality — </w:t>
      </w:r>
      <w:r w:rsidR="00A376A3">
        <w:t>Responsiveness</w:t>
      </w:r>
      <w:r w:rsidR="00BC6697">
        <w:t xml:space="preserve"> </w:t>
      </w:r>
      <w:r w:rsidR="00BC6697" w:rsidRPr="00BC6697">
        <w:t>—</w:t>
      </w:r>
      <w:r w:rsidR="00BC6697">
        <w:t xml:space="preserve"> </w:t>
      </w:r>
      <w:r w:rsidR="008D57FE">
        <w:t>Patient satisfaction</w:t>
      </w:r>
    </w:p>
    <w:p w14:paraId="23139975" w14:textId="1D159015" w:rsidR="008D57FE" w:rsidRDefault="008D57FE" w:rsidP="008D57FE">
      <w:pPr>
        <w:pStyle w:val="BodyText"/>
      </w:pPr>
      <w:r>
        <w:t>‘Patient satisfaction’ provides a proxy measure of governments’ objective to deliver services that are responsive to individual</w:t>
      </w:r>
      <w:r w:rsidR="00FA2E1B">
        <w:t>s throughout their lifespan and communities</w:t>
      </w:r>
      <w:r>
        <w:t xml:space="preserve"> (box</w:t>
      </w:r>
      <w:r w:rsidR="00636986">
        <w:t> </w:t>
      </w:r>
      <w:r>
        <w:t>12.</w:t>
      </w:r>
      <w:r w:rsidR="003D3C97">
        <w:t>10</w:t>
      </w:r>
      <w:r>
        <w:t xml:space="preserve">). </w:t>
      </w:r>
    </w:p>
    <w:p w14:paraId="41F2E775" w14:textId="2E7FC05A" w:rsidR="008D57FE" w:rsidRDefault="008D57FE" w:rsidP="008D57FE">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D57FE" w14:paraId="6E8D0825" w14:textId="77777777" w:rsidTr="005656A9">
        <w:tc>
          <w:tcPr>
            <w:tcW w:w="8789" w:type="dxa"/>
            <w:tcBorders>
              <w:top w:val="single" w:sz="6" w:space="0" w:color="78A22F"/>
              <w:left w:val="nil"/>
              <w:bottom w:val="nil"/>
              <w:right w:val="nil"/>
            </w:tcBorders>
            <w:shd w:val="clear" w:color="auto" w:fill="F2F2F2"/>
          </w:tcPr>
          <w:p w14:paraId="1EA6580F" w14:textId="1763E37A" w:rsidR="008D57FE" w:rsidRDefault="008D57FE" w:rsidP="00BF36D1">
            <w:pPr>
              <w:pStyle w:val="BoxTitle"/>
            </w:pPr>
            <w:r>
              <w:rPr>
                <w:b w:val="0"/>
              </w:rPr>
              <w:t xml:space="preserve">Box </w:t>
            </w:r>
            <w:r w:rsidR="003D3C97">
              <w:rPr>
                <w:b w:val="0"/>
              </w:rPr>
              <w:t>12.</w:t>
            </w:r>
            <w:r w:rsidR="007F3144">
              <w:rPr>
                <w:b w:val="0"/>
                <w:noProof/>
              </w:rPr>
              <w:t>10</w:t>
            </w:r>
            <w:r>
              <w:tab/>
            </w:r>
            <w:r w:rsidRPr="00E055D1">
              <w:t>Patient satisfaction</w:t>
            </w:r>
          </w:p>
        </w:tc>
      </w:tr>
      <w:tr w:rsidR="008D57FE" w14:paraId="2AB73D03" w14:textId="77777777" w:rsidTr="005656A9">
        <w:trPr>
          <w:cantSplit/>
        </w:trPr>
        <w:tc>
          <w:tcPr>
            <w:tcW w:w="8789" w:type="dxa"/>
            <w:tcBorders>
              <w:top w:val="nil"/>
              <w:left w:val="nil"/>
              <w:bottom w:val="nil"/>
              <w:right w:val="nil"/>
            </w:tcBorders>
            <w:shd w:val="clear" w:color="auto" w:fill="F2F2F2"/>
          </w:tcPr>
          <w:p w14:paraId="337E6555" w14:textId="77777777" w:rsidR="008D57FE" w:rsidRDefault="008D57FE" w:rsidP="00BF36D1">
            <w:pPr>
              <w:pStyle w:val="Box"/>
            </w:pPr>
            <w:r>
              <w:t xml:space="preserve">‘Patient satisfaction’ is defined by the following six measures for the purposes of this report: </w:t>
            </w:r>
          </w:p>
          <w:p w14:paraId="13024B51" w14:textId="41B04D65" w:rsidR="00893392" w:rsidRDefault="008D57FE" w:rsidP="00BF36D1">
            <w:pPr>
              <w:pStyle w:val="BoxListBullet"/>
            </w:pPr>
            <w:r>
              <w:t>Proportion of people who went to an emergency department in the last 12 months reporting that the emergency department doctors, specialists or nurses ‘always’ or ‘often’</w:t>
            </w:r>
            <w:r w:rsidR="00893392">
              <w:t>:</w:t>
            </w:r>
          </w:p>
          <w:p w14:paraId="5A10294F" w14:textId="77777777" w:rsidR="008D57FE" w:rsidRDefault="008D57FE" w:rsidP="002A29DE">
            <w:pPr>
              <w:pStyle w:val="BoxListBullet2"/>
            </w:pPr>
            <w:r>
              <w:t>listened carefully to them</w:t>
            </w:r>
          </w:p>
          <w:p w14:paraId="390D8F18" w14:textId="77777777" w:rsidR="008D57FE" w:rsidRDefault="008D57FE" w:rsidP="002A29DE">
            <w:pPr>
              <w:pStyle w:val="BoxListBullet2"/>
            </w:pPr>
            <w:r>
              <w:t>showed respect to them</w:t>
            </w:r>
          </w:p>
          <w:p w14:paraId="58376BED" w14:textId="77777777" w:rsidR="008D57FE" w:rsidRDefault="008D57FE" w:rsidP="002A29DE">
            <w:pPr>
              <w:pStyle w:val="BoxListBullet2"/>
            </w:pPr>
            <w:r>
              <w:t>spent enough time with them</w:t>
            </w:r>
          </w:p>
          <w:p w14:paraId="613445A0" w14:textId="7F4F7A43" w:rsidR="00893392" w:rsidRDefault="008D57FE" w:rsidP="00BF36D1">
            <w:pPr>
              <w:pStyle w:val="BoxListBullet"/>
            </w:pPr>
            <w:r>
              <w:t>Proportion of people who were admitted to hospital in the last 12 months reporting that the hospital doctors, specialists or nurses ‘always’ or ‘often’</w:t>
            </w:r>
            <w:r w:rsidR="00893392">
              <w:t>:</w:t>
            </w:r>
          </w:p>
          <w:p w14:paraId="2D6005DC" w14:textId="77777777" w:rsidR="008D57FE" w:rsidRDefault="008D57FE" w:rsidP="002A29DE">
            <w:pPr>
              <w:pStyle w:val="BoxListBullet2"/>
            </w:pPr>
            <w:r>
              <w:t>listened carefully to them</w:t>
            </w:r>
          </w:p>
          <w:p w14:paraId="57CD90A1" w14:textId="77777777" w:rsidR="008D57FE" w:rsidRDefault="008D57FE" w:rsidP="002A29DE">
            <w:pPr>
              <w:pStyle w:val="BoxListBullet2"/>
            </w:pPr>
            <w:r>
              <w:t>showed respect to them</w:t>
            </w:r>
          </w:p>
          <w:p w14:paraId="043243D0" w14:textId="77777777" w:rsidR="008D57FE" w:rsidRDefault="008D57FE" w:rsidP="002A29DE">
            <w:pPr>
              <w:pStyle w:val="BoxListBullet2"/>
            </w:pPr>
            <w:r>
              <w:t>spent enough time with them.</w:t>
            </w:r>
          </w:p>
          <w:p w14:paraId="17603571" w14:textId="3C2682B7" w:rsidR="008D57FE" w:rsidRDefault="008D57FE" w:rsidP="00BF36D1">
            <w:pPr>
              <w:pStyle w:val="Box"/>
            </w:pPr>
            <w:r>
              <w:t xml:space="preserve">A high or increasing proportion of patients who were satisfied is desirable, </w:t>
            </w:r>
            <w:r w:rsidR="00893392">
              <w:t xml:space="preserve">as </w:t>
            </w:r>
            <w:r>
              <w:t xml:space="preserve">it suggests the hospital care was of high quality and better met the expectations and needs of patients. </w:t>
            </w:r>
          </w:p>
          <w:p w14:paraId="60EEF056" w14:textId="15BF5B9A" w:rsidR="008D57FE" w:rsidRDefault="008D57FE" w:rsidP="00BF36D1">
            <w:pPr>
              <w:pStyle w:val="Box"/>
            </w:pPr>
            <w:r>
              <w:t>Data reported for th</w:t>
            </w:r>
            <w:r w:rsidR="00BA6495">
              <w:t>ese</w:t>
            </w:r>
            <w:r>
              <w:t xml:space="preserve"> </w:t>
            </w:r>
            <w:r w:rsidR="00BA6495">
              <w:t xml:space="preserve">measures </w:t>
            </w:r>
            <w:r>
              <w:t>are:</w:t>
            </w:r>
          </w:p>
          <w:p w14:paraId="49870D9A" w14:textId="5347E750" w:rsidR="008D57FE" w:rsidRDefault="008D57FE" w:rsidP="00BF36D1">
            <w:pPr>
              <w:pStyle w:val="BoxListBullet"/>
            </w:pPr>
            <w:r>
              <w:t xml:space="preserve">comparable (subject to caveats) across jurisdictions and over time </w:t>
            </w:r>
          </w:p>
          <w:p w14:paraId="5D21982C" w14:textId="77777777" w:rsidR="008D57FE" w:rsidRDefault="008D57FE" w:rsidP="00BF36D1">
            <w:pPr>
              <w:pStyle w:val="BoxListBullet"/>
            </w:pPr>
            <w:r>
              <w:t>complete (subject to caveats) for the current reporting period. All required 201</w:t>
            </w:r>
            <w:r w:rsidR="0015160D">
              <w:t>6</w:t>
            </w:r>
            <w:r>
              <w:t>-1</w:t>
            </w:r>
            <w:r w:rsidR="0015160D">
              <w:t>7</w:t>
            </w:r>
            <w:r>
              <w:t xml:space="preserve"> data are available for all jurisdictions.</w:t>
            </w:r>
          </w:p>
          <w:p w14:paraId="6CD7B7E8" w14:textId="77777777" w:rsidR="008D57FE" w:rsidRDefault="008D57FE" w:rsidP="00BF36D1">
            <w:pPr>
              <w:pStyle w:val="Box"/>
            </w:pPr>
            <w:r w:rsidRPr="009320C2">
              <w:t xml:space="preserve">The </w:t>
            </w:r>
            <w:r>
              <w:t>Patient Experience Survey</w:t>
            </w:r>
            <w:r w:rsidRPr="009320C2">
              <w:t xml:space="preserve"> does not include people living in discrete Indigenous communities and very remote areas, which affects the comparability of the NT results.</w:t>
            </w:r>
          </w:p>
        </w:tc>
      </w:tr>
      <w:tr w:rsidR="008D57FE" w14:paraId="3C0A0A95" w14:textId="77777777" w:rsidTr="005656A9">
        <w:trPr>
          <w:cantSplit/>
        </w:trPr>
        <w:tc>
          <w:tcPr>
            <w:tcW w:w="8789" w:type="dxa"/>
            <w:tcBorders>
              <w:top w:val="nil"/>
              <w:left w:val="nil"/>
              <w:bottom w:val="single" w:sz="6" w:space="0" w:color="78A22F"/>
              <w:right w:val="nil"/>
            </w:tcBorders>
            <w:shd w:val="clear" w:color="auto" w:fill="F2F2F2"/>
          </w:tcPr>
          <w:p w14:paraId="52AC6E23" w14:textId="77777777" w:rsidR="008D57FE" w:rsidRDefault="008D57FE" w:rsidP="00BF36D1">
            <w:pPr>
              <w:pStyle w:val="Box"/>
              <w:spacing w:before="0" w:line="120" w:lineRule="exact"/>
            </w:pPr>
          </w:p>
        </w:tc>
      </w:tr>
      <w:tr w:rsidR="008D57FE" w:rsidRPr="000863A5" w14:paraId="33D6E429" w14:textId="77777777" w:rsidTr="005656A9">
        <w:tc>
          <w:tcPr>
            <w:tcW w:w="8789" w:type="dxa"/>
            <w:tcBorders>
              <w:top w:val="single" w:sz="6" w:space="0" w:color="78A22F"/>
              <w:left w:val="nil"/>
              <w:bottom w:val="nil"/>
              <w:right w:val="nil"/>
            </w:tcBorders>
          </w:tcPr>
          <w:p w14:paraId="6844D61C" w14:textId="76030F1D" w:rsidR="008D57FE" w:rsidRPr="00626D32" w:rsidRDefault="008D57FE" w:rsidP="00BF36D1">
            <w:pPr>
              <w:pStyle w:val="BoxSpaceBelow"/>
            </w:pPr>
          </w:p>
        </w:tc>
      </w:tr>
    </w:tbl>
    <w:p w14:paraId="39D8BC12" w14:textId="032C4F53" w:rsidR="008D57FE" w:rsidRDefault="008D57FE" w:rsidP="008D57FE">
      <w:pPr>
        <w:pStyle w:val="BodyText"/>
      </w:pPr>
      <w:r w:rsidRPr="003D58F6">
        <w:lastRenderedPageBreak/>
        <w:t>Patient satisfaction surveys are different from other sources of hospital quality data because they provide information on hospital quality from the patient’s perspective. Surveys can be useful for obtaining information on patient views of both clinical and non</w:t>
      </w:r>
      <w:r w:rsidR="00893392">
        <w:t>-</w:t>
      </w:r>
      <w:r w:rsidRPr="003D58F6">
        <w:t>clinical hospital care (such as whether patients feel they were treated with respect and provided with appropriate information regarding their treatment).</w:t>
      </w:r>
    </w:p>
    <w:p w14:paraId="4AB3DC6D" w14:textId="7D8BF7E5" w:rsidR="008D57FE" w:rsidRDefault="00082343" w:rsidP="008D57FE">
      <w:pPr>
        <w:pStyle w:val="BodyText"/>
      </w:pPr>
      <w:r w:rsidRPr="00B3446C">
        <w:t>In 201</w:t>
      </w:r>
      <w:r w:rsidR="0015160D">
        <w:t>6</w:t>
      </w:r>
      <w:r w:rsidRPr="00B3446C">
        <w:t>-1</w:t>
      </w:r>
      <w:r w:rsidR="0015160D">
        <w:t>7</w:t>
      </w:r>
      <w:r w:rsidRPr="00B3446C">
        <w:t xml:space="preserve">, </w:t>
      </w:r>
      <w:r w:rsidR="00363879" w:rsidRPr="00B3446C">
        <w:t>nationally</w:t>
      </w:r>
      <w:r w:rsidRPr="00B3446C">
        <w:t xml:space="preserve"> for all measures</w:t>
      </w:r>
      <w:r w:rsidR="00D42AFF" w:rsidRPr="00B3446C">
        <w:t>,</w:t>
      </w:r>
      <w:r w:rsidRPr="00B3446C">
        <w:t xml:space="preserve"> the satisfaction rate was </w:t>
      </w:r>
      <w:r w:rsidRPr="00F2288F">
        <w:t>above</w:t>
      </w:r>
      <w:r w:rsidR="00CC0D5C" w:rsidRPr="00F2288F">
        <w:t xml:space="preserve"> 80 </w:t>
      </w:r>
      <w:r w:rsidRPr="00F2288F">
        <w:t>per cent</w:t>
      </w:r>
      <w:r w:rsidR="00D42AFF" w:rsidRPr="00F2288F">
        <w:t xml:space="preserve">, with satisfaction </w:t>
      </w:r>
      <w:r w:rsidR="00363879" w:rsidRPr="00F2288F">
        <w:t xml:space="preserve">generally </w:t>
      </w:r>
      <w:r w:rsidR="00D42AFF" w:rsidRPr="00F2288F">
        <w:t>higher for nurses compared to doctors/special</w:t>
      </w:r>
      <w:r w:rsidR="00D42AFF" w:rsidRPr="00B3446C">
        <w:t>ists</w:t>
      </w:r>
      <w:r w:rsidR="000003A3">
        <w:t xml:space="preserve"> and hospitals compared to Emergency departments</w:t>
      </w:r>
      <w:r w:rsidRPr="00B3446C">
        <w:t>.</w:t>
      </w:r>
      <w:r>
        <w:t xml:space="preserve"> To assist interpretation of these results, associated r</w:t>
      </w:r>
      <w:r w:rsidRPr="00E055D1">
        <w:t xml:space="preserve">elative standard errors and confidence intervals </w:t>
      </w:r>
      <w:r>
        <w:t xml:space="preserve">are </w:t>
      </w:r>
      <w:r w:rsidRPr="00E055D1">
        <w:t xml:space="preserve">reported in attachment </w:t>
      </w:r>
      <w:r w:rsidR="005167FC">
        <w:br/>
      </w:r>
      <w:r w:rsidRPr="00E055D1">
        <w:t xml:space="preserve">tables </w:t>
      </w:r>
      <w:proofErr w:type="spellStart"/>
      <w:r>
        <w:t>12A</w:t>
      </w:r>
      <w:r w:rsidRPr="00E055D1">
        <w:t>.</w:t>
      </w:r>
      <w:r w:rsidR="00317AAA">
        <w:t>4</w:t>
      </w:r>
      <w:r w:rsidR="00436F93">
        <w:t>6</w:t>
      </w:r>
      <w:proofErr w:type="spellEnd"/>
      <w:r>
        <w:t>–</w:t>
      </w:r>
      <w:r w:rsidR="00436F93">
        <w:t>49</w:t>
      </w:r>
      <w:r w:rsidRPr="00E055D1">
        <w:t>.</w:t>
      </w:r>
    </w:p>
    <w:p w14:paraId="5754B5C1" w14:textId="77777777" w:rsidR="00A376A3" w:rsidRDefault="009B7702" w:rsidP="00A376A3">
      <w:pPr>
        <w:pStyle w:val="Heading4"/>
      </w:pPr>
      <w:r>
        <w:t xml:space="preserve">Quality — </w:t>
      </w:r>
      <w:r w:rsidR="00A376A3">
        <w:t xml:space="preserve">Continuity — </w:t>
      </w:r>
      <w:r w:rsidR="00446C60">
        <w:t xml:space="preserve">Continuity </w:t>
      </w:r>
      <w:r w:rsidR="00A376A3">
        <w:t>of care</w:t>
      </w:r>
    </w:p>
    <w:p w14:paraId="67CD9317" w14:textId="77777777" w:rsidR="00F52876" w:rsidRDefault="00061543" w:rsidP="00A376A3">
      <w:pPr>
        <w:pStyle w:val="BodyText"/>
      </w:pPr>
      <w:r>
        <w:t>‘</w:t>
      </w:r>
      <w:r w:rsidRPr="00061543">
        <w:t xml:space="preserve">Continuity of care’ is an indicator of government’s objective to provide care that is well co-ordinated to ensure continuity of care where more than one service type, and/or ongoing service provision is required </w:t>
      </w:r>
      <w:r w:rsidR="00BC6697">
        <w:t>(box </w:t>
      </w:r>
      <w:r w:rsidR="000F15E6">
        <w:t>12.</w:t>
      </w:r>
      <w:r w:rsidR="003D3C97">
        <w:t>11</w:t>
      </w:r>
      <w:r w:rsidR="00A376A3">
        <w:t>).</w:t>
      </w:r>
    </w:p>
    <w:p w14:paraId="5490BB5C" w14:textId="1DE07058" w:rsidR="00A376A3" w:rsidRDefault="00A376A3">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376A3" w14:paraId="30063F37" w14:textId="77777777" w:rsidTr="005656A9">
        <w:tc>
          <w:tcPr>
            <w:tcW w:w="8789" w:type="dxa"/>
            <w:tcBorders>
              <w:top w:val="single" w:sz="6" w:space="0" w:color="78A22F"/>
              <w:left w:val="nil"/>
              <w:bottom w:val="nil"/>
              <w:right w:val="nil"/>
            </w:tcBorders>
            <w:shd w:val="clear" w:color="auto" w:fill="F2F2F2"/>
          </w:tcPr>
          <w:p w14:paraId="4F70A8BD" w14:textId="29E3F2C0" w:rsidR="00A376A3" w:rsidRDefault="00A376A3">
            <w:pPr>
              <w:pStyle w:val="BoxTitle"/>
            </w:pPr>
            <w:r>
              <w:rPr>
                <w:b w:val="0"/>
              </w:rPr>
              <w:t xml:space="preserve">Box </w:t>
            </w:r>
            <w:r w:rsidR="003D3C97">
              <w:rPr>
                <w:b w:val="0"/>
              </w:rPr>
              <w:t>12.</w:t>
            </w:r>
            <w:r w:rsidR="007F3144">
              <w:rPr>
                <w:b w:val="0"/>
                <w:noProof/>
              </w:rPr>
              <w:t>11</w:t>
            </w:r>
            <w:r>
              <w:tab/>
            </w:r>
            <w:r w:rsidRPr="00A376A3">
              <w:t>Continuity of care</w:t>
            </w:r>
          </w:p>
        </w:tc>
      </w:tr>
      <w:tr w:rsidR="00A376A3" w14:paraId="585CF8F7" w14:textId="77777777" w:rsidTr="005656A9">
        <w:trPr>
          <w:cantSplit/>
        </w:trPr>
        <w:tc>
          <w:tcPr>
            <w:tcW w:w="8789" w:type="dxa"/>
            <w:tcBorders>
              <w:top w:val="nil"/>
              <w:left w:val="nil"/>
              <w:bottom w:val="nil"/>
              <w:right w:val="nil"/>
            </w:tcBorders>
            <w:shd w:val="clear" w:color="auto" w:fill="F2F2F2"/>
          </w:tcPr>
          <w:p w14:paraId="7AB3F1AD" w14:textId="77777777" w:rsidR="008D74B7" w:rsidRDefault="008D74B7" w:rsidP="008D74B7">
            <w:pPr>
              <w:pStyle w:val="Box"/>
            </w:pPr>
            <w:r>
              <w:t>‘Continuity of care’ can be measured in three different ways: relational continuity, management continuity and informational continuity. For this indicator, the management concept is measured and is defined as the number of hospital patients with complex needs for which a discharge plan is provided within 5 days of discharge divided by all hospital patients with complex care needs expressed as a rate per 1000 separations.</w:t>
            </w:r>
          </w:p>
          <w:p w14:paraId="644B6BBD" w14:textId="77777777" w:rsidR="008D74B7" w:rsidRDefault="008D74B7" w:rsidP="008D74B7">
            <w:pPr>
              <w:pStyle w:val="Box"/>
            </w:pPr>
            <w:r>
              <w:t>High or increasing rates of discharge plans provided to patients with complex care needs within 5 days is desirable. While it is desirable for discharge plans to be provided to patients, the indicator does not provide any information on whether the discharge plan was carried out or whether it was effective in improving patient outcomes.</w:t>
            </w:r>
          </w:p>
          <w:p w14:paraId="3C710F19" w14:textId="7E829D3B" w:rsidR="00A376A3" w:rsidRDefault="008D74B7" w:rsidP="00BA6495">
            <w:pPr>
              <w:pStyle w:val="Box"/>
            </w:pPr>
            <w:r>
              <w:t xml:space="preserve">Data are not yet available for reporting against this </w:t>
            </w:r>
            <w:r w:rsidR="00BA6495">
              <w:t>measure</w:t>
            </w:r>
            <w:r>
              <w:t>.</w:t>
            </w:r>
          </w:p>
        </w:tc>
      </w:tr>
      <w:tr w:rsidR="00A376A3" w14:paraId="6E2D7ED5" w14:textId="77777777" w:rsidTr="005656A9">
        <w:trPr>
          <w:cantSplit/>
        </w:trPr>
        <w:tc>
          <w:tcPr>
            <w:tcW w:w="8789" w:type="dxa"/>
            <w:tcBorders>
              <w:top w:val="nil"/>
              <w:left w:val="nil"/>
              <w:bottom w:val="single" w:sz="6" w:space="0" w:color="78A22F"/>
              <w:right w:val="nil"/>
            </w:tcBorders>
            <w:shd w:val="clear" w:color="auto" w:fill="F2F2F2"/>
          </w:tcPr>
          <w:p w14:paraId="01C7EF21" w14:textId="77777777" w:rsidR="00A376A3" w:rsidRDefault="00A376A3">
            <w:pPr>
              <w:pStyle w:val="Box"/>
              <w:spacing w:before="0" w:line="120" w:lineRule="exact"/>
            </w:pPr>
          </w:p>
        </w:tc>
      </w:tr>
      <w:tr w:rsidR="00A376A3" w:rsidRPr="000863A5" w14:paraId="3AA23D04" w14:textId="77777777" w:rsidTr="005656A9">
        <w:tc>
          <w:tcPr>
            <w:tcW w:w="8789" w:type="dxa"/>
            <w:tcBorders>
              <w:top w:val="single" w:sz="6" w:space="0" w:color="78A22F"/>
              <w:left w:val="nil"/>
              <w:bottom w:val="nil"/>
              <w:right w:val="nil"/>
            </w:tcBorders>
          </w:tcPr>
          <w:p w14:paraId="626793E9" w14:textId="46429026" w:rsidR="00A376A3" w:rsidRPr="00626D32" w:rsidRDefault="00A376A3" w:rsidP="00A376A3">
            <w:pPr>
              <w:pStyle w:val="BoxSpaceBelow"/>
            </w:pPr>
          </w:p>
        </w:tc>
      </w:tr>
    </w:tbl>
    <w:p w14:paraId="7D0BA774" w14:textId="77777777" w:rsidR="008D57FE" w:rsidRDefault="008D57FE" w:rsidP="008D57FE">
      <w:pPr>
        <w:pStyle w:val="Heading4"/>
      </w:pPr>
      <w:r>
        <w:t xml:space="preserve">Quality — </w:t>
      </w:r>
      <w:r w:rsidR="00BC6697">
        <w:t>Continuity</w:t>
      </w:r>
      <w:r>
        <w:t xml:space="preserve"> </w:t>
      </w:r>
      <w:r w:rsidRPr="000A750A">
        <w:t>— Selected unplanned</w:t>
      </w:r>
      <w:r>
        <w:t xml:space="preserve"> hospital readmission rates</w:t>
      </w:r>
    </w:p>
    <w:p w14:paraId="432407A6" w14:textId="53C1C18C" w:rsidR="008D57FE" w:rsidRDefault="008D57FE" w:rsidP="008D57FE">
      <w:pPr>
        <w:pStyle w:val="BodyText"/>
      </w:pPr>
      <w:r>
        <w:t>‘</w:t>
      </w:r>
      <w:r w:rsidRPr="000A750A">
        <w:t xml:space="preserve">Selected </w:t>
      </w:r>
      <w:r>
        <w:t xml:space="preserve">unplanned hospital readmission rates’ is an indicator of governments’ objective to provide public hospital services that </w:t>
      </w:r>
      <w:r w:rsidR="00BC6697">
        <w:t xml:space="preserve">are of high quality and </w:t>
      </w:r>
      <w:r w:rsidR="000003A3">
        <w:t>well-coordinated</w:t>
      </w:r>
      <w:r w:rsidR="00BC6697">
        <w:t xml:space="preserve"> </w:t>
      </w:r>
      <w:r w:rsidR="00BC6697" w:rsidRPr="00BC6697">
        <w:t xml:space="preserve">to ensure continuity of care </w:t>
      </w:r>
      <w:r>
        <w:t>(box 12.</w:t>
      </w:r>
      <w:r w:rsidR="0052057E">
        <w:t>1</w:t>
      </w:r>
      <w:r w:rsidR="003D3C97">
        <w:t>2</w:t>
      </w:r>
      <w:r>
        <w:t xml:space="preserve">). </w:t>
      </w:r>
    </w:p>
    <w:p w14:paraId="5846448B" w14:textId="02A0D3C8" w:rsidR="008D57FE" w:rsidRDefault="008D57FE" w:rsidP="008D57FE">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D57FE" w14:paraId="6374D8CC" w14:textId="77777777" w:rsidTr="005656A9">
        <w:tc>
          <w:tcPr>
            <w:tcW w:w="8789" w:type="dxa"/>
            <w:tcBorders>
              <w:top w:val="single" w:sz="6" w:space="0" w:color="78A22F"/>
              <w:left w:val="nil"/>
              <w:bottom w:val="nil"/>
              <w:right w:val="nil"/>
            </w:tcBorders>
            <w:shd w:val="clear" w:color="auto" w:fill="F2F2F2"/>
          </w:tcPr>
          <w:p w14:paraId="1AC06F27" w14:textId="22679CC1" w:rsidR="008D57FE" w:rsidRDefault="008D57FE" w:rsidP="00BF36D1">
            <w:pPr>
              <w:pStyle w:val="BoxTitle"/>
            </w:pPr>
            <w:r>
              <w:rPr>
                <w:b w:val="0"/>
              </w:rPr>
              <w:t xml:space="preserve">Box </w:t>
            </w:r>
            <w:r w:rsidR="003D3C97">
              <w:rPr>
                <w:b w:val="0"/>
              </w:rPr>
              <w:t>12.</w:t>
            </w:r>
            <w:r w:rsidR="007F3144">
              <w:rPr>
                <w:b w:val="0"/>
                <w:noProof/>
              </w:rPr>
              <w:t>12</w:t>
            </w:r>
            <w:r>
              <w:tab/>
            </w:r>
            <w:r w:rsidRPr="000A750A">
              <w:t xml:space="preserve">Selected </w:t>
            </w:r>
            <w:r>
              <w:t>u</w:t>
            </w:r>
            <w:r w:rsidRPr="00A2571D">
              <w:t>nplanned hospital readmission rates</w:t>
            </w:r>
          </w:p>
        </w:tc>
      </w:tr>
      <w:tr w:rsidR="008D57FE" w14:paraId="7A930C28" w14:textId="77777777" w:rsidTr="005656A9">
        <w:trPr>
          <w:cantSplit/>
        </w:trPr>
        <w:tc>
          <w:tcPr>
            <w:tcW w:w="8789" w:type="dxa"/>
            <w:tcBorders>
              <w:top w:val="nil"/>
              <w:left w:val="nil"/>
              <w:bottom w:val="nil"/>
              <w:right w:val="nil"/>
            </w:tcBorders>
            <w:shd w:val="clear" w:color="auto" w:fill="F2F2F2"/>
          </w:tcPr>
          <w:p w14:paraId="14ADFBB4" w14:textId="77777777" w:rsidR="008D57FE" w:rsidRDefault="006F3B52" w:rsidP="00BF36D1">
            <w:pPr>
              <w:pStyle w:val="Box"/>
            </w:pPr>
            <w:r w:rsidRPr="006F3B52">
              <w:t>‘Selected unplanned hospital readmission rates’ is defined as the rate at which patients unexpectedly return to the same hospital within 28 days for further treatment where the original admission involved one of a selected set of procedures, and the readmission is identified as a post-operative complication. It is expressed as a rate per 1000 separations in which one of the selected surgical procedures was performed. The indicator is an underestimate of all possible unplanned/unexpected readmissions.</w:t>
            </w:r>
          </w:p>
          <w:p w14:paraId="719DE9F3" w14:textId="77777777" w:rsidR="008D57FE" w:rsidRDefault="00CC335C" w:rsidP="00BF36D1">
            <w:pPr>
              <w:pStyle w:val="Box"/>
            </w:pPr>
            <w:r>
              <w:t>The s</w:t>
            </w:r>
            <w:r w:rsidR="008D57FE" w:rsidRPr="00A2571D">
              <w:t>elected surgical procedures are knee replacement, hip replacement, tonsillectomy and adenoidectomy, hysterectomy, prostatectomy, cataract surgery and appendectomy. Unplanned readmissions are those having a principal diagnosis of a post-operative adverse event for which a specified ICD-10-AM diagnosis code has been assigned.</w:t>
            </w:r>
          </w:p>
          <w:p w14:paraId="52250D02" w14:textId="77777777" w:rsidR="008D57FE" w:rsidRDefault="008D57FE" w:rsidP="00BF36D1">
            <w:pPr>
              <w:pStyle w:val="Box"/>
            </w:pPr>
            <w:r>
              <w:t xml:space="preserve">Low or decreasing rates </w:t>
            </w:r>
            <w:r w:rsidR="004D63C6">
              <w:t xml:space="preserve">of unplanned readmissions </w:t>
            </w:r>
            <w:r>
              <w:t xml:space="preserve">are desirable. Conversely, high </w:t>
            </w:r>
            <w:r w:rsidR="004D63C6">
              <w:t xml:space="preserve">or increasing </w:t>
            </w:r>
            <w:r>
              <w:t>rates suggest the quality of care provided by hospitals, or post-discharge care or planning, should be examined, because there may be scope for improvement.</w:t>
            </w:r>
          </w:p>
          <w:p w14:paraId="7270D7C5" w14:textId="4E098392" w:rsidR="008D57FE" w:rsidRDefault="008D57FE" w:rsidP="00BF36D1">
            <w:pPr>
              <w:pStyle w:val="Box"/>
            </w:pPr>
            <w:r>
              <w:t xml:space="preserve">Data reported for this </w:t>
            </w:r>
            <w:r w:rsidR="00BA6495">
              <w:t xml:space="preserve">measure </w:t>
            </w:r>
            <w:r>
              <w:t>are:</w:t>
            </w:r>
          </w:p>
          <w:p w14:paraId="6E129CCC" w14:textId="77777777" w:rsidR="008D57FE" w:rsidRDefault="008D57FE" w:rsidP="00BF36D1">
            <w:pPr>
              <w:pStyle w:val="BoxListBullet"/>
            </w:pPr>
            <w:r>
              <w:t>comparable (subject to caveats) within jurisdictions over time but are not comparable across jurisdictions</w:t>
            </w:r>
          </w:p>
          <w:p w14:paraId="5B161E3E" w14:textId="77777777" w:rsidR="008D57FE" w:rsidRDefault="008D57FE" w:rsidP="00B76A15">
            <w:pPr>
              <w:pStyle w:val="BoxListBullet"/>
            </w:pPr>
            <w:r>
              <w:t>complete (subject to caveats) for the current reporting period. All required 201</w:t>
            </w:r>
            <w:r w:rsidR="00B76A15">
              <w:t>5</w:t>
            </w:r>
            <w:r>
              <w:t>-1</w:t>
            </w:r>
            <w:r w:rsidR="00B76A15">
              <w:t>6</w:t>
            </w:r>
            <w:r>
              <w:t xml:space="preserve"> data are available for all jurisdictions. </w:t>
            </w:r>
          </w:p>
        </w:tc>
      </w:tr>
      <w:tr w:rsidR="008D57FE" w14:paraId="04EB466C" w14:textId="77777777" w:rsidTr="005656A9">
        <w:trPr>
          <w:cantSplit/>
        </w:trPr>
        <w:tc>
          <w:tcPr>
            <w:tcW w:w="8789" w:type="dxa"/>
            <w:tcBorders>
              <w:top w:val="nil"/>
              <w:left w:val="nil"/>
              <w:bottom w:val="single" w:sz="6" w:space="0" w:color="78A22F"/>
              <w:right w:val="nil"/>
            </w:tcBorders>
            <w:shd w:val="clear" w:color="auto" w:fill="F2F2F2"/>
          </w:tcPr>
          <w:p w14:paraId="7646605A" w14:textId="77777777" w:rsidR="008D57FE" w:rsidRDefault="008D57FE" w:rsidP="00BF36D1">
            <w:pPr>
              <w:pStyle w:val="Box"/>
              <w:spacing w:before="0" w:line="120" w:lineRule="exact"/>
            </w:pPr>
          </w:p>
        </w:tc>
      </w:tr>
      <w:tr w:rsidR="008D57FE" w:rsidRPr="000863A5" w14:paraId="094F1423" w14:textId="77777777" w:rsidTr="005656A9">
        <w:tc>
          <w:tcPr>
            <w:tcW w:w="8789" w:type="dxa"/>
            <w:tcBorders>
              <w:top w:val="single" w:sz="6" w:space="0" w:color="78A22F"/>
              <w:left w:val="nil"/>
              <w:bottom w:val="nil"/>
              <w:right w:val="nil"/>
            </w:tcBorders>
          </w:tcPr>
          <w:p w14:paraId="50F95C19" w14:textId="6EE94831" w:rsidR="008D57FE" w:rsidRPr="00626D32" w:rsidRDefault="008D57FE" w:rsidP="00BF36D1">
            <w:pPr>
              <w:pStyle w:val="BoxSpaceBelow"/>
            </w:pPr>
          </w:p>
        </w:tc>
      </w:tr>
    </w:tbl>
    <w:p w14:paraId="39C42927" w14:textId="5C96EB89" w:rsidR="008D57FE" w:rsidRDefault="008D57FE" w:rsidP="008D57FE">
      <w:pPr>
        <w:pStyle w:val="BodyText"/>
      </w:pPr>
      <w:r w:rsidRPr="000A750A">
        <w:t xml:space="preserve">Selected unplanned hospital readmission rates in public hospitals are reported in table </w:t>
      </w:r>
      <w:r>
        <w:t>12.</w:t>
      </w:r>
      <w:r w:rsidR="000B55B5">
        <w:t>5</w:t>
      </w:r>
      <w:r w:rsidRPr="000A750A">
        <w:t xml:space="preserve">. </w:t>
      </w:r>
      <w:r w:rsidR="000B55B5">
        <w:t xml:space="preserve">Of the selected surgical procedures, readmission rates are highest nationally, and for most jurisdictions, for tonsillectomy and adenoidectomy. </w:t>
      </w:r>
    </w:p>
    <w:p w14:paraId="0DA1DF91" w14:textId="068363E9" w:rsidR="00E91C99" w:rsidRDefault="00E91C99" w:rsidP="00E91C99">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91C99" w14:paraId="2E619719" w14:textId="77777777" w:rsidTr="00E91C99">
        <w:trPr>
          <w:tblHeader/>
        </w:trPr>
        <w:tc>
          <w:tcPr>
            <w:tcW w:w="5000" w:type="pct"/>
            <w:tcBorders>
              <w:top w:val="single" w:sz="6" w:space="0" w:color="78A22F"/>
              <w:left w:val="nil"/>
              <w:bottom w:val="nil"/>
              <w:right w:val="nil"/>
            </w:tcBorders>
            <w:shd w:val="clear" w:color="auto" w:fill="auto"/>
          </w:tcPr>
          <w:p w14:paraId="27D4EBAA" w14:textId="555CF5B4" w:rsidR="00E91C99" w:rsidRPr="00784A05" w:rsidRDefault="00E91C99" w:rsidP="00E91C99">
            <w:pPr>
              <w:pStyle w:val="TableTitle"/>
            </w:pPr>
            <w:r>
              <w:rPr>
                <w:b w:val="0"/>
              </w:rPr>
              <w:t xml:space="preserve">Table </w:t>
            </w:r>
            <w:r w:rsidR="00EB3338">
              <w:rPr>
                <w:b w:val="0"/>
              </w:rPr>
              <w:t>12.</w:t>
            </w:r>
            <w:r w:rsidR="007F3144">
              <w:rPr>
                <w:b w:val="0"/>
                <w:noProof/>
              </w:rPr>
              <w:t>5</w:t>
            </w:r>
            <w:r>
              <w:tab/>
            </w:r>
            <w:r w:rsidRPr="000A750A">
              <w:t xml:space="preserve">Selected </w:t>
            </w:r>
            <w:r>
              <w:t>u</w:t>
            </w:r>
            <w:r w:rsidRPr="004E127C">
              <w:t>nplanned hospital readmission rate</w:t>
            </w:r>
            <w:r>
              <w:t>s per 1000 separations, by selected surgical procedure, 2015-16</w:t>
            </w:r>
            <w:r w:rsidRPr="004E51CD">
              <w:rPr>
                <w:rStyle w:val="NoteLabel"/>
                <w:b/>
              </w:rPr>
              <w:t>a</w:t>
            </w:r>
          </w:p>
        </w:tc>
      </w:tr>
      <w:tr w:rsidR="00E91C99" w14:paraId="477F517E" w14:textId="77777777" w:rsidTr="00E91C99">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268"/>
              <w:gridCol w:w="710"/>
              <w:gridCol w:w="566"/>
              <w:gridCol w:w="709"/>
              <w:gridCol w:w="709"/>
              <w:gridCol w:w="709"/>
              <w:gridCol w:w="709"/>
              <w:gridCol w:w="709"/>
              <w:gridCol w:w="708"/>
              <w:gridCol w:w="708"/>
            </w:tblGrid>
            <w:tr w:rsidR="00E91C99" w14:paraId="5BE791C4" w14:textId="77777777" w:rsidTr="00E91C99">
              <w:trPr>
                <w:tblHeader/>
              </w:trPr>
              <w:tc>
                <w:tcPr>
                  <w:tcW w:w="1333" w:type="pct"/>
                  <w:tcBorders>
                    <w:top w:val="single" w:sz="6" w:space="0" w:color="BFBFBF"/>
                    <w:bottom w:val="single" w:sz="6" w:space="0" w:color="BFBFBF"/>
                  </w:tcBorders>
                  <w:shd w:val="clear" w:color="auto" w:fill="auto"/>
                  <w:tcMar>
                    <w:top w:w="28" w:type="dxa"/>
                  </w:tcMar>
                </w:tcPr>
                <w:p w14:paraId="70EE78B7" w14:textId="77777777" w:rsidR="00E91C99" w:rsidRDefault="00E91C99" w:rsidP="00E91C99">
                  <w:pPr>
                    <w:pStyle w:val="TableColumnHeading"/>
                    <w:jc w:val="left"/>
                  </w:pPr>
                </w:p>
              </w:tc>
              <w:tc>
                <w:tcPr>
                  <w:tcW w:w="417" w:type="pct"/>
                  <w:tcBorders>
                    <w:top w:val="single" w:sz="6" w:space="0" w:color="BFBFBF"/>
                    <w:bottom w:val="single" w:sz="6" w:space="0" w:color="BFBFBF"/>
                  </w:tcBorders>
                  <w:vAlign w:val="bottom"/>
                </w:tcPr>
                <w:p w14:paraId="0799EE22" w14:textId="5AB07F95" w:rsidR="00E91C99" w:rsidRDefault="00E91C99" w:rsidP="00E91C99">
                  <w:pPr>
                    <w:pStyle w:val="TableColumnHeading"/>
                  </w:pPr>
                  <w:r>
                    <w:t>NSW</w:t>
                  </w:r>
                </w:p>
              </w:tc>
              <w:tc>
                <w:tcPr>
                  <w:tcW w:w="333" w:type="pct"/>
                  <w:tcBorders>
                    <w:top w:val="single" w:sz="6" w:space="0" w:color="BFBFBF"/>
                    <w:bottom w:val="single" w:sz="6" w:space="0" w:color="BFBFBF"/>
                  </w:tcBorders>
                  <w:vAlign w:val="bottom"/>
                </w:tcPr>
                <w:p w14:paraId="658AC413" w14:textId="401B60C7" w:rsidR="00E91C99" w:rsidRDefault="00E91C99" w:rsidP="00E91C99">
                  <w:pPr>
                    <w:pStyle w:val="TableColumnHeading"/>
                  </w:pPr>
                  <w:r>
                    <w:t>Vic</w:t>
                  </w:r>
                </w:p>
              </w:tc>
              <w:tc>
                <w:tcPr>
                  <w:tcW w:w="417" w:type="pct"/>
                  <w:tcBorders>
                    <w:top w:val="single" w:sz="6" w:space="0" w:color="BFBFBF"/>
                    <w:bottom w:val="single" w:sz="6" w:space="0" w:color="BFBFBF"/>
                  </w:tcBorders>
                  <w:vAlign w:val="bottom"/>
                </w:tcPr>
                <w:p w14:paraId="39774F74" w14:textId="755C907A" w:rsidR="00E91C99" w:rsidRDefault="00E91C99" w:rsidP="00E91C99">
                  <w:pPr>
                    <w:pStyle w:val="TableColumnHeading"/>
                  </w:pPr>
                  <w:r>
                    <w:t>Qld</w:t>
                  </w:r>
                </w:p>
              </w:tc>
              <w:tc>
                <w:tcPr>
                  <w:tcW w:w="417" w:type="pct"/>
                  <w:tcBorders>
                    <w:top w:val="single" w:sz="6" w:space="0" w:color="BFBFBF"/>
                    <w:bottom w:val="single" w:sz="6" w:space="0" w:color="BFBFBF"/>
                  </w:tcBorders>
                  <w:vAlign w:val="bottom"/>
                </w:tcPr>
                <w:p w14:paraId="7DC6D198" w14:textId="7B1F7E85" w:rsidR="00E91C99" w:rsidRDefault="00E91C99" w:rsidP="00E91C99">
                  <w:pPr>
                    <w:pStyle w:val="TableColumnHeading"/>
                  </w:pPr>
                  <w:r>
                    <w:t>WA</w:t>
                  </w:r>
                </w:p>
              </w:tc>
              <w:tc>
                <w:tcPr>
                  <w:tcW w:w="417" w:type="pct"/>
                  <w:tcBorders>
                    <w:top w:val="single" w:sz="6" w:space="0" w:color="BFBFBF"/>
                    <w:bottom w:val="single" w:sz="6" w:space="0" w:color="BFBFBF"/>
                  </w:tcBorders>
                  <w:vAlign w:val="bottom"/>
                </w:tcPr>
                <w:p w14:paraId="70D69354" w14:textId="0245AB3B" w:rsidR="00E91C99" w:rsidRDefault="00E91C99" w:rsidP="00E91C99">
                  <w:pPr>
                    <w:pStyle w:val="TableColumnHeading"/>
                  </w:pPr>
                  <w:r>
                    <w:t>SA</w:t>
                  </w:r>
                </w:p>
              </w:tc>
              <w:tc>
                <w:tcPr>
                  <w:tcW w:w="417" w:type="pct"/>
                  <w:tcBorders>
                    <w:top w:val="single" w:sz="6" w:space="0" w:color="BFBFBF"/>
                    <w:bottom w:val="single" w:sz="6" w:space="0" w:color="BFBFBF"/>
                  </w:tcBorders>
                  <w:vAlign w:val="bottom"/>
                </w:tcPr>
                <w:p w14:paraId="54E07862" w14:textId="45C6B419" w:rsidR="00E91C99" w:rsidRDefault="00E91C99" w:rsidP="00E91C99">
                  <w:pPr>
                    <w:pStyle w:val="TableColumnHeading"/>
                  </w:pPr>
                  <w:proofErr w:type="spellStart"/>
                  <w:r>
                    <w:t>Tas</w:t>
                  </w:r>
                  <w:proofErr w:type="spellEnd"/>
                </w:p>
              </w:tc>
              <w:tc>
                <w:tcPr>
                  <w:tcW w:w="417" w:type="pct"/>
                  <w:tcBorders>
                    <w:top w:val="single" w:sz="6" w:space="0" w:color="BFBFBF"/>
                    <w:bottom w:val="single" w:sz="6" w:space="0" w:color="BFBFBF"/>
                  </w:tcBorders>
                  <w:vAlign w:val="bottom"/>
                </w:tcPr>
                <w:p w14:paraId="68421A28" w14:textId="72F80FBA" w:rsidR="00E91C99" w:rsidRDefault="00E91C99" w:rsidP="00E91C99">
                  <w:pPr>
                    <w:pStyle w:val="TableColumnHeading"/>
                  </w:pPr>
                  <w:r>
                    <w:t>ACT</w:t>
                  </w:r>
                </w:p>
              </w:tc>
              <w:tc>
                <w:tcPr>
                  <w:tcW w:w="416" w:type="pct"/>
                  <w:tcBorders>
                    <w:top w:val="single" w:sz="6" w:space="0" w:color="BFBFBF"/>
                    <w:bottom w:val="single" w:sz="6" w:space="0" w:color="BFBFBF"/>
                  </w:tcBorders>
                  <w:shd w:val="clear" w:color="auto" w:fill="auto"/>
                  <w:tcMar>
                    <w:top w:w="28" w:type="dxa"/>
                  </w:tcMar>
                  <w:vAlign w:val="bottom"/>
                </w:tcPr>
                <w:p w14:paraId="37514653" w14:textId="318051F3" w:rsidR="00E91C99" w:rsidRDefault="00E91C99" w:rsidP="00E91C99">
                  <w:pPr>
                    <w:pStyle w:val="TableColumnHeading"/>
                  </w:pPr>
                  <w:r>
                    <w:t>NT</w:t>
                  </w:r>
                </w:p>
              </w:tc>
              <w:tc>
                <w:tcPr>
                  <w:tcW w:w="416" w:type="pct"/>
                  <w:tcBorders>
                    <w:top w:val="single" w:sz="6" w:space="0" w:color="BFBFBF"/>
                    <w:bottom w:val="single" w:sz="6" w:space="0" w:color="BFBFBF"/>
                  </w:tcBorders>
                  <w:shd w:val="clear" w:color="auto" w:fill="auto"/>
                  <w:tcMar>
                    <w:top w:w="28" w:type="dxa"/>
                  </w:tcMar>
                </w:tcPr>
                <w:p w14:paraId="4403ABEE" w14:textId="22D4A907" w:rsidR="00E91C99" w:rsidRDefault="00E91C99" w:rsidP="00E91C99">
                  <w:pPr>
                    <w:pStyle w:val="TableColumnHeading"/>
                    <w:ind w:right="28"/>
                  </w:pPr>
                  <w:r>
                    <w:t>Total</w:t>
                  </w:r>
                </w:p>
              </w:tc>
            </w:tr>
            <w:tr w:rsidR="00E91C99" w14:paraId="6C97872E" w14:textId="77777777" w:rsidTr="00E91C99">
              <w:tc>
                <w:tcPr>
                  <w:tcW w:w="1333" w:type="pct"/>
                  <w:shd w:val="clear" w:color="auto" w:fill="auto"/>
                </w:tcPr>
                <w:p w14:paraId="5DCFF0E8" w14:textId="2B22453F" w:rsidR="00E91C99" w:rsidRDefault="00E91C99" w:rsidP="00E91C99">
                  <w:pPr>
                    <w:pStyle w:val="TableUnitsRow"/>
                    <w:jc w:val="left"/>
                  </w:pPr>
                  <w:r>
                    <w:t>Knee replacement</w:t>
                  </w:r>
                </w:p>
              </w:tc>
              <w:tc>
                <w:tcPr>
                  <w:tcW w:w="417" w:type="pct"/>
                  <w:tcBorders>
                    <w:top w:val="nil"/>
                    <w:left w:val="nil"/>
                    <w:bottom w:val="nil"/>
                    <w:right w:val="nil"/>
                  </w:tcBorders>
                  <w:shd w:val="clear" w:color="auto" w:fill="auto"/>
                  <w:vAlign w:val="center"/>
                </w:tcPr>
                <w:p w14:paraId="0D59D2EB" w14:textId="5CC75C19" w:rsidR="00E91C99" w:rsidRDefault="00E91C99" w:rsidP="00E91C99">
                  <w:pPr>
                    <w:pStyle w:val="TableUnitsRow"/>
                  </w:pPr>
                  <w:r w:rsidRPr="00E63FA4">
                    <w:t>19.5</w:t>
                  </w:r>
                </w:p>
              </w:tc>
              <w:tc>
                <w:tcPr>
                  <w:tcW w:w="333" w:type="pct"/>
                  <w:tcBorders>
                    <w:top w:val="nil"/>
                    <w:left w:val="nil"/>
                    <w:bottom w:val="nil"/>
                    <w:right w:val="nil"/>
                  </w:tcBorders>
                  <w:shd w:val="clear" w:color="auto" w:fill="auto"/>
                  <w:vAlign w:val="center"/>
                </w:tcPr>
                <w:p w14:paraId="3151E642" w14:textId="67251F98" w:rsidR="00E91C99" w:rsidRDefault="00E91C99" w:rsidP="00E91C99">
                  <w:pPr>
                    <w:pStyle w:val="TableUnitsRow"/>
                  </w:pPr>
                  <w:r w:rsidRPr="007D0BD8">
                    <w:t>19.3</w:t>
                  </w:r>
                </w:p>
              </w:tc>
              <w:tc>
                <w:tcPr>
                  <w:tcW w:w="417" w:type="pct"/>
                  <w:tcBorders>
                    <w:top w:val="nil"/>
                    <w:left w:val="nil"/>
                    <w:bottom w:val="nil"/>
                    <w:right w:val="nil"/>
                  </w:tcBorders>
                  <w:shd w:val="clear" w:color="auto" w:fill="auto"/>
                  <w:vAlign w:val="center"/>
                </w:tcPr>
                <w:p w14:paraId="13FEC6BE" w14:textId="1639F55E" w:rsidR="00E91C99" w:rsidRDefault="00E91C99" w:rsidP="00E91C99">
                  <w:pPr>
                    <w:pStyle w:val="TableUnitsRow"/>
                  </w:pPr>
                  <w:r w:rsidRPr="007D0BD8">
                    <w:t>31.4</w:t>
                  </w:r>
                </w:p>
              </w:tc>
              <w:tc>
                <w:tcPr>
                  <w:tcW w:w="417" w:type="pct"/>
                  <w:tcBorders>
                    <w:top w:val="nil"/>
                    <w:left w:val="nil"/>
                    <w:bottom w:val="nil"/>
                    <w:right w:val="nil"/>
                  </w:tcBorders>
                  <w:shd w:val="clear" w:color="auto" w:fill="auto"/>
                  <w:vAlign w:val="center"/>
                </w:tcPr>
                <w:p w14:paraId="3BA0AC80" w14:textId="4886E73F" w:rsidR="00E91C99" w:rsidRDefault="00E91C99" w:rsidP="00E91C99">
                  <w:pPr>
                    <w:pStyle w:val="TableUnitsRow"/>
                  </w:pPr>
                  <w:r w:rsidRPr="007D0BD8">
                    <w:t>23.3</w:t>
                  </w:r>
                </w:p>
              </w:tc>
              <w:tc>
                <w:tcPr>
                  <w:tcW w:w="417" w:type="pct"/>
                  <w:tcBorders>
                    <w:top w:val="nil"/>
                    <w:left w:val="nil"/>
                    <w:bottom w:val="nil"/>
                    <w:right w:val="nil"/>
                  </w:tcBorders>
                  <w:shd w:val="clear" w:color="auto" w:fill="auto"/>
                  <w:vAlign w:val="center"/>
                </w:tcPr>
                <w:p w14:paraId="6F39D347" w14:textId="7A623C64" w:rsidR="00E91C99" w:rsidRDefault="00E91C99" w:rsidP="00E91C99">
                  <w:pPr>
                    <w:pStyle w:val="TableUnitsRow"/>
                  </w:pPr>
                  <w:r w:rsidRPr="007D0BD8">
                    <w:t>27.5</w:t>
                  </w:r>
                </w:p>
              </w:tc>
              <w:tc>
                <w:tcPr>
                  <w:tcW w:w="417" w:type="pct"/>
                  <w:tcBorders>
                    <w:top w:val="nil"/>
                    <w:left w:val="nil"/>
                    <w:bottom w:val="nil"/>
                    <w:right w:val="nil"/>
                  </w:tcBorders>
                  <w:shd w:val="clear" w:color="auto" w:fill="auto"/>
                  <w:vAlign w:val="center"/>
                </w:tcPr>
                <w:p w14:paraId="72447B73" w14:textId="25B3C6BC" w:rsidR="00E91C99" w:rsidRDefault="00E91C99" w:rsidP="00E91C99">
                  <w:pPr>
                    <w:pStyle w:val="TableUnitsRow"/>
                  </w:pPr>
                  <w:r w:rsidRPr="007D0BD8">
                    <w:t>36.4</w:t>
                  </w:r>
                </w:p>
              </w:tc>
              <w:tc>
                <w:tcPr>
                  <w:tcW w:w="417" w:type="pct"/>
                  <w:tcBorders>
                    <w:top w:val="nil"/>
                    <w:left w:val="nil"/>
                    <w:bottom w:val="nil"/>
                    <w:right w:val="nil"/>
                  </w:tcBorders>
                  <w:shd w:val="clear" w:color="auto" w:fill="auto"/>
                  <w:vAlign w:val="center"/>
                </w:tcPr>
                <w:p w14:paraId="50CA9A41" w14:textId="7CDBDE41" w:rsidR="00E91C99" w:rsidRDefault="00E91C99" w:rsidP="00E91C99">
                  <w:pPr>
                    <w:pStyle w:val="TableUnitsRow"/>
                  </w:pPr>
                  <w:r w:rsidRPr="007D0BD8">
                    <w:t>9.4</w:t>
                  </w:r>
                </w:p>
              </w:tc>
              <w:tc>
                <w:tcPr>
                  <w:tcW w:w="416" w:type="pct"/>
                  <w:tcBorders>
                    <w:top w:val="nil"/>
                    <w:left w:val="nil"/>
                    <w:bottom w:val="nil"/>
                    <w:right w:val="nil"/>
                  </w:tcBorders>
                  <w:shd w:val="clear" w:color="auto" w:fill="auto"/>
                  <w:vAlign w:val="center"/>
                </w:tcPr>
                <w:p w14:paraId="49FD44A8" w14:textId="19EA5A27" w:rsidR="00E91C99" w:rsidRDefault="00E91C99" w:rsidP="00E91C99">
                  <w:pPr>
                    <w:pStyle w:val="TableUnitsRow"/>
                  </w:pPr>
                  <w:r w:rsidRPr="007D0BD8">
                    <w:t>55.6</w:t>
                  </w:r>
                </w:p>
              </w:tc>
              <w:tc>
                <w:tcPr>
                  <w:tcW w:w="416" w:type="pct"/>
                  <w:tcBorders>
                    <w:top w:val="nil"/>
                    <w:left w:val="nil"/>
                    <w:bottom w:val="nil"/>
                    <w:right w:val="nil"/>
                  </w:tcBorders>
                  <w:shd w:val="clear" w:color="auto" w:fill="auto"/>
                  <w:vAlign w:val="center"/>
                </w:tcPr>
                <w:p w14:paraId="143FBF38" w14:textId="4E914B6E" w:rsidR="00E91C99" w:rsidRDefault="00E91C99" w:rsidP="00E91C99">
                  <w:pPr>
                    <w:pStyle w:val="TableUnitsRow"/>
                    <w:ind w:right="28"/>
                  </w:pPr>
                  <w:r w:rsidRPr="007D0BD8">
                    <w:t>23.1</w:t>
                  </w:r>
                </w:p>
              </w:tc>
            </w:tr>
            <w:tr w:rsidR="00E91C99" w14:paraId="1DBC5130" w14:textId="77777777" w:rsidTr="00E91C99">
              <w:tc>
                <w:tcPr>
                  <w:tcW w:w="1333" w:type="pct"/>
                  <w:shd w:val="clear" w:color="auto" w:fill="auto"/>
                </w:tcPr>
                <w:p w14:paraId="0C29E6A0" w14:textId="37079CD1" w:rsidR="00E91C99" w:rsidRDefault="00E91C99" w:rsidP="00E91C99">
                  <w:pPr>
                    <w:pStyle w:val="TableBodyText"/>
                    <w:jc w:val="left"/>
                  </w:pPr>
                  <w:r>
                    <w:t>Hip replacement</w:t>
                  </w:r>
                </w:p>
              </w:tc>
              <w:tc>
                <w:tcPr>
                  <w:tcW w:w="417" w:type="pct"/>
                  <w:tcBorders>
                    <w:top w:val="nil"/>
                    <w:left w:val="nil"/>
                    <w:bottom w:val="nil"/>
                    <w:right w:val="nil"/>
                  </w:tcBorders>
                  <w:shd w:val="clear" w:color="auto" w:fill="auto"/>
                  <w:vAlign w:val="center"/>
                </w:tcPr>
                <w:p w14:paraId="3E8145CB" w14:textId="3A17E04F" w:rsidR="00E91C99" w:rsidRDefault="00E91C99" w:rsidP="00E91C99">
                  <w:pPr>
                    <w:pStyle w:val="TableBodyText"/>
                  </w:pPr>
                  <w:r w:rsidRPr="007D0BD8">
                    <w:t>17.3</w:t>
                  </w:r>
                </w:p>
              </w:tc>
              <w:tc>
                <w:tcPr>
                  <w:tcW w:w="333" w:type="pct"/>
                  <w:tcBorders>
                    <w:top w:val="nil"/>
                    <w:left w:val="nil"/>
                    <w:bottom w:val="nil"/>
                    <w:right w:val="nil"/>
                  </w:tcBorders>
                  <w:shd w:val="clear" w:color="auto" w:fill="auto"/>
                  <w:vAlign w:val="center"/>
                </w:tcPr>
                <w:p w14:paraId="1D225C64" w14:textId="4104FD22" w:rsidR="00E91C99" w:rsidRDefault="00E91C99" w:rsidP="00E91C99">
                  <w:pPr>
                    <w:pStyle w:val="TableBodyText"/>
                  </w:pPr>
                  <w:r w:rsidRPr="007D0BD8">
                    <w:t>19.1</w:t>
                  </w:r>
                </w:p>
              </w:tc>
              <w:tc>
                <w:tcPr>
                  <w:tcW w:w="417" w:type="pct"/>
                  <w:tcBorders>
                    <w:top w:val="nil"/>
                    <w:left w:val="nil"/>
                    <w:bottom w:val="nil"/>
                    <w:right w:val="nil"/>
                  </w:tcBorders>
                  <w:shd w:val="clear" w:color="auto" w:fill="auto"/>
                  <w:vAlign w:val="center"/>
                </w:tcPr>
                <w:p w14:paraId="1B97E961" w14:textId="776FD14C" w:rsidR="00E91C99" w:rsidRDefault="00E91C99" w:rsidP="00E91C99">
                  <w:pPr>
                    <w:pStyle w:val="TableBodyText"/>
                  </w:pPr>
                  <w:r w:rsidRPr="007D0BD8">
                    <w:t>20.0</w:t>
                  </w:r>
                </w:p>
              </w:tc>
              <w:tc>
                <w:tcPr>
                  <w:tcW w:w="417" w:type="pct"/>
                  <w:tcBorders>
                    <w:top w:val="nil"/>
                    <w:left w:val="nil"/>
                    <w:bottom w:val="nil"/>
                    <w:right w:val="nil"/>
                  </w:tcBorders>
                  <w:shd w:val="clear" w:color="auto" w:fill="auto"/>
                  <w:vAlign w:val="center"/>
                </w:tcPr>
                <w:p w14:paraId="7BB967A5" w14:textId="17BD498C" w:rsidR="00E91C99" w:rsidRDefault="00E91C99" w:rsidP="00E91C99">
                  <w:pPr>
                    <w:pStyle w:val="TableBodyText"/>
                  </w:pPr>
                  <w:r w:rsidRPr="007D0BD8">
                    <w:t>21.9</w:t>
                  </w:r>
                </w:p>
              </w:tc>
              <w:tc>
                <w:tcPr>
                  <w:tcW w:w="417" w:type="pct"/>
                  <w:tcBorders>
                    <w:top w:val="nil"/>
                    <w:left w:val="nil"/>
                    <w:bottom w:val="nil"/>
                    <w:right w:val="nil"/>
                  </w:tcBorders>
                  <w:shd w:val="clear" w:color="auto" w:fill="auto"/>
                  <w:vAlign w:val="center"/>
                </w:tcPr>
                <w:p w14:paraId="6693711B" w14:textId="53BB39EE" w:rsidR="00E91C99" w:rsidRDefault="00E91C99" w:rsidP="00E91C99">
                  <w:pPr>
                    <w:pStyle w:val="TableBodyText"/>
                  </w:pPr>
                  <w:r w:rsidRPr="007D0BD8">
                    <w:t>20.9</w:t>
                  </w:r>
                </w:p>
              </w:tc>
              <w:tc>
                <w:tcPr>
                  <w:tcW w:w="417" w:type="pct"/>
                  <w:tcBorders>
                    <w:top w:val="nil"/>
                    <w:left w:val="nil"/>
                    <w:bottom w:val="nil"/>
                    <w:right w:val="nil"/>
                  </w:tcBorders>
                  <w:shd w:val="clear" w:color="auto" w:fill="auto"/>
                  <w:vAlign w:val="center"/>
                </w:tcPr>
                <w:p w14:paraId="7AC330B0" w14:textId="50AA3088" w:rsidR="00E91C99" w:rsidRDefault="00E91C99" w:rsidP="00E91C99">
                  <w:pPr>
                    <w:pStyle w:val="TableBodyText"/>
                  </w:pPr>
                  <w:r w:rsidRPr="007D0BD8">
                    <w:t>39.0</w:t>
                  </w:r>
                </w:p>
              </w:tc>
              <w:tc>
                <w:tcPr>
                  <w:tcW w:w="417" w:type="pct"/>
                  <w:tcBorders>
                    <w:top w:val="nil"/>
                    <w:left w:val="nil"/>
                    <w:bottom w:val="nil"/>
                    <w:right w:val="nil"/>
                  </w:tcBorders>
                  <w:shd w:val="clear" w:color="auto" w:fill="auto"/>
                  <w:vAlign w:val="center"/>
                </w:tcPr>
                <w:p w14:paraId="369E8C03" w14:textId="2C14BFC7" w:rsidR="00E91C99" w:rsidRDefault="00E91C99" w:rsidP="00E91C99">
                  <w:pPr>
                    <w:pStyle w:val="TableBodyText"/>
                  </w:pPr>
                  <w:r w:rsidRPr="007D0BD8">
                    <w:t>–</w:t>
                  </w:r>
                </w:p>
              </w:tc>
              <w:tc>
                <w:tcPr>
                  <w:tcW w:w="416" w:type="pct"/>
                  <w:tcBorders>
                    <w:top w:val="nil"/>
                    <w:left w:val="nil"/>
                    <w:bottom w:val="nil"/>
                    <w:right w:val="nil"/>
                  </w:tcBorders>
                  <w:shd w:val="clear" w:color="auto" w:fill="auto"/>
                  <w:vAlign w:val="center"/>
                </w:tcPr>
                <w:p w14:paraId="005F4308" w14:textId="330DFE20" w:rsidR="00E91C99" w:rsidRDefault="00E91C99" w:rsidP="00E91C99">
                  <w:pPr>
                    <w:pStyle w:val="TableBodyText"/>
                  </w:pPr>
                  <w:r w:rsidRPr="007D0BD8">
                    <w:t>23.8</w:t>
                  </w:r>
                </w:p>
              </w:tc>
              <w:tc>
                <w:tcPr>
                  <w:tcW w:w="416" w:type="pct"/>
                  <w:tcBorders>
                    <w:top w:val="nil"/>
                    <w:left w:val="nil"/>
                    <w:bottom w:val="nil"/>
                    <w:right w:val="nil"/>
                  </w:tcBorders>
                  <w:shd w:val="clear" w:color="auto" w:fill="auto"/>
                  <w:vAlign w:val="center"/>
                </w:tcPr>
                <w:p w14:paraId="619B4BEB" w14:textId="3ADADA62" w:rsidR="00E91C99" w:rsidRDefault="00E91C99" w:rsidP="00E91C99">
                  <w:pPr>
                    <w:pStyle w:val="TableBodyText"/>
                    <w:ind w:right="28"/>
                  </w:pPr>
                  <w:r w:rsidRPr="007D0BD8">
                    <w:t>19.2</w:t>
                  </w:r>
                </w:p>
              </w:tc>
            </w:tr>
            <w:tr w:rsidR="00E91C99" w14:paraId="71A0735D" w14:textId="77777777" w:rsidTr="00E91C99">
              <w:tc>
                <w:tcPr>
                  <w:tcW w:w="1333" w:type="pct"/>
                  <w:shd w:val="clear" w:color="auto" w:fill="auto"/>
                </w:tcPr>
                <w:p w14:paraId="78F8A363" w14:textId="77777777" w:rsidR="00E91C99" w:rsidRDefault="00E91C99" w:rsidP="00E91C99">
                  <w:pPr>
                    <w:pStyle w:val="TableBodyText"/>
                    <w:ind w:left="261" w:right="0" w:hanging="261"/>
                    <w:jc w:val="left"/>
                  </w:pPr>
                  <w:r>
                    <w:t>Tonsillectomy and</w:t>
                  </w:r>
                </w:p>
                <w:p w14:paraId="4D8439B0" w14:textId="75A0F93C" w:rsidR="00E91C99" w:rsidRDefault="00E91C99" w:rsidP="00E91C99">
                  <w:pPr>
                    <w:pStyle w:val="TableBodyText"/>
                    <w:jc w:val="left"/>
                  </w:pPr>
                  <w:r w:rsidRPr="004E127C">
                    <w:t>Adenoidectomy</w:t>
                  </w:r>
                </w:p>
              </w:tc>
              <w:tc>
                <w:tcPr>
                  <w:tcW w:w="417" w:type="pct"/>
                  <w:tcBorders>
                    <w:top w:val="nil"/>
                    <w:left w:val="nil"/>
                    <w:bottom w:val="nil"/>
                    <w:right w:val="nil"/>
                  </w:tcBorders>
                  <w:shd w:val="clear" w:color="auto" w:fill="auto"/>
                  <w:vAlign w:val="center"/>
                </w:tcPr>
                <w:p w14:paraId="64A5F0F3" w14:textId="56E083E8" w:rsidR="00E91C99" w:rsidRDefault="005656A9" w:rsidP="00E91C99">
                  <w:pPr>
                    <w:pStyle w:val="TableBodyText"/>
                  </w:pPr>
                  <w:r>
                    <w:br/>
                  </w:r>
                  <w:r w:rsidR="00E91C99" w:rsidRPr="007D0BD8">
                    <w:t>27.1</w:t>
                  </w:r>
                </w:p>
              </w:tc>
              <w:tc>
                <w:tcPr>
                  <w:tcW w:w="333" w:type="pct"/>
                  <w:tcBorders>
                    <w:top w:val="nil"/>
                    <w:left w:val="nil"/>
                    <w:bottom w:val="nil"/>
                    <w:right w:val="nil"/>
                  </w:tcBorders>
                  <w:shd w:val="clear" w:color="auto" w:fill="auto"/>
                  <w:vAlign w:val="center"/>
                </w:tcPr>
                <w:p w14:paraId="26E92D14" w14:textId="0DF480E5" w:rsidR="00E91C99" w:rsidRDefault="005656A9" w:rsidP="00E91C99">
                  <w:pPr>
                    <w:pStyle w:val="TableBodyText"/>
                  </w:pPr>
                  <w:r>
                    <w:br/>
                  </w:r>
                  <w:r w:rsidR="00E91C99" w:rsidRPr="007D0BD8">
                    <w:t>23.9</w:t>
                  </w:r>
                </w:p>
              </w:tc>
              <w:tc>
                <w:tcPr>
                  <w:tcW w:w="417" w:type="pct"/>
                  <w:tcBorders>
                    <w:top w:val="nil"/>
                    <w:left w:val="nil"/>
                    <w:bottom w:val="nil"/>
                    <w:right w:val="nil"/>
                  </w:tcBorders>
                  <w:shd w:val="clear" w:color="auto" w:fill="auto"/>
                  <w:vAlign w:val="center"/>
                </w:tcPr>
                <w:p w14:paraId="0C134325" w14:textId="6F6F0F68" w:rsidR="00E91C99" w:rsidRDefault="005656A9" w:rsidP="00E91C99">
                  <w:pPr>
                    <w:pStyle w:val="TableBodyText"/>
                  </w:pPr>
                  <w:r>
                    <w:br/>
                  </w:r>
                  <w:r w:rsidR="00E91C99" w:rsidRPr="007D0BD8">
                    <w:t>56.7</w:t>
                  </w:r>
                </w:p>
              </w:tc>
              <w:tc>
                <w:tcPr>
                  <w:tcW w:w="417" w:type="pct"/>
                  <w:tcBorders>
                    <w:top w:val="nil"/>
                    <w:left w:val="nil"/>
                    <w:bottom w:val="nil"/>
                    <w:right w:val="nil"/>
                  </w:tcBorders>
                  <w:shd w:val="clear" w:color="auto" w:fill="auto"/>
                  <w:vAlign w:val="center"/>
                </w:tcPr>
                <w:p w14:paraId="2C47C92E" w14:textId="60D41EA9" w:rsidR="00E91C99" w:rsidRDefault="005656A9" w:rsidP="00E91C99">
                  <w:pPr>
                    <w:pStyle w:val="TableBodyText"/>
                  </w:pPr>
                  <w:r>
                    <w:br/>
                  </w:r>
                  <w:r w:rsidR="00E91C99" w:rsidRPr="007D0BD8">
                    <w:t>53.7</w:t>
                  </w:r>
                </w:p>
              </w:tc>
              <w:tc>
                <w:tcPr>
                  <w:tcW w:w="417" w:type="pct"/>
                  <w:tcBorders>
                    <w:top w:val="nil"/>
                    <w:left w:val="nil"/>
                    <w:bottom w:val="nil"/>
                    <w:right w:val="nil"/>
                  </w:tcBorders>
                  <w:shd w:val="clear" w:color="auto" w:fill="auto"/>
                  <w:vAlign w:val="center"/>
                </w:tcPr>
                <w:p w14:paraId="4DF0E750" w14:textId="0C69B8A4" w:rsidR="00E91C99" w:rsidRDefault="005656A9" w:rsidP="00E91C99">
                  <w:pPr>
                    <w:pStyle w:val="TableBodyText"/>
                  </w:pPr>
                  <w:r>
                    <w:br/>
                  </w:r>
                  <w:r w:rsidR="00E91C99" w:rsidRPr="007D0BD8">
                    <w:t>52.3</w:t>
                  </w:r>
                </w:p>
              </w:tc>
              <w:tc>
                <w:tcPr>
                  <w:tcW w:w="417" w:type="pct"/>
                  <w:tcBorders>
                    <w:top w:val="nil"/>
                    <w:left w:val="nil"/>
                    <w:bottom w:val="nil"/>
                    <w:right w:val="nil"/>
                  </w:tcBorders>
                  <w:shd w:val="clear" w:color="auto" w:fill="auto"/>
                  <w:vAlign w:val="center"/>
                </w:tcPr>
                <w:p w14:paraId="7F904DD0" w14:textId="7C0BD25F" w:rsidR="00E91C99" w:rsidRDefault="005656A9" w:rsidP="00E91C99">
                  <w:pPr>
                    <w:pStyle w:val="TableBodyText"/>
                  </w:pPr>
                  <w:r>
                    <w:br/>
                  </w:r>
                  <w:r w:rsidR="00E91C99" w:rsidRPr="007D0BD8">
                    <w:t>46.0</w:t>
                  </w:r>
                </w:p>
              </w:tc>
              <w:tc>
                <w:tcPr>
                  <w:tcW w:w="417" w:type="pct"/>
                  <w:tcBorders>
                    <w:top w:val="nil"/>
                    <w:left w:val="nil"/>
                    <w:bottom w:val="nil"/>
                    <w:right w:val="nil"/>
                  </w:tcBorders>
                  <w:shd w:val="clear" w:color="auto" w:fill="auto"/>
                  <w:vAlign w:val="center"/>
                </w:tcPr>
                <w:p w14:paraId="6FCF2500" w14:textId="4B27B005" w:rsidR="00E91C99" w:rsidRDefault="005656A9" w:rsidP="00E91C99">
                  <w:pPr>
                    <w:pStyle w:val="TableBodyText"/>
                  </w:pPr>
                  <w:r>
                    <w:br/>
                  </w:r>
                  <w:r w:rsidR="00E91C99" w:rsidRPr="007D0BD8">
                    <w:t>30.6</w:t>
                  </w:r>
                </w:p>
              </w:tc>
              <w:tc>
                <w:tcPr>
                  <w:tcW w:w="416" w:type="pct"/>
                  <w:tcBorders>
                    <w:top w:val="nil"/>
                    <w:left w:val="nil"/>
                    <w:bottom w:val="nil"/>
                    <w:right w:val="nil"/>
                  </w:tcBorders>
                  <w:shd w:val="clear" w:color="auto" w:fill="auto"/>
                  <w:vAlign w:val="center"/>
                </w:tcPr>
                <w:p w14:paraId="4D197637" w14:textId="3EA5DC31" w:rsidR="00E91C99" w:rsidRDefault="005656A9" w:rsidP="00E91C99">
                  <w:pPr>
                    <w:pStyle w:val="TableBodyText"/>
                  </w:pPr>
                  <w:r>
                    <w:br/>
                  </w:r>
                  <w:r w:rsidR="00E91C99" w:rsidRPr="007D0BD8">
                    <w:t>85.7</w:t>
                  </w:r>
                </w:p>
              </w:tc>
              <w:tc>
                <w:tcPr>
                  <w:tcW w:w="416" w:type="pct"/>
                  <w:tcBorders>
                    <w:top w:val="nil"/>
                    <w:left w:val="nil"/>
                    <w:bottom w:val="nil"/>
                    <w:right w:val="nil"/>
                  </w:tcBorders>
                  <w:shd w:val="clear" w:color="auto" w:fill="auto"/>
                  <w:vAlign w:val="center"/>
                </w:tcPr>
                <w:p w14:paraId="64D8F0F2" w14:textId="2492037E" w:rsidR="00E91C99" w:rsidRDefault="005656A9" w:rsidP="00E91C99">
                  <w:pPr>
                    <w:pStyle w:val="TableBodyText"/>
                    <w:ind w:right="28"/>
                  </w:pPr>
                  <w:r>
                    <w:br/>
                  </w:r>
                  <w:r w:rsidR="00E91C99" w:rsidRPr="007D0BD8">
                    <w:t>34.7</w:t>
                  </w:r>
                </w:p>
              </w:tc>
            </w:tr>
            <w:tr w:rsidR="00E91C99" w14:paraId="130BA5EF" w14:textId="77777777" w:rsidTr="00E91C99">
              <w:tc>
                <w:tcPr>
                  <w:tcW w:w="1333" w:type="pct"/>
                  <w:shd w:val="clear" w:color="auto" w:fill="auto"/>
                </w:tcPr>
                <w:p w14:paraId="076D2566" w14:textId="0A9A98FD" w:rsidR="00E91C99" w:rsidRDefault="00E91C99" w:rsidP="00E91C99">
                  <w:pPr>
                    <w:pStyle w:val="TableBodyText"/>
                    <w:jc w:val="left"/>
                  </w:pPr>
                  <w:r w:rsidRPr="004E127C">
                    <w:t>Hysterectomy</w:t>
                  </w:r>
                </w:p>
              </w:tc>
              <w:tc>
                <w:tcPr>
                  <w:tcW w:w="417" w:type="pct"/>
                  <w:tcBorders>
                    <w:top w:val="nil"/>
                    <w:left w:val="nil"/>
                    <w:bottom w:val="nil"/>
                    <w:right w:val="nil"/>
                  </w:tcBorders>
                  <w:shd w:val="clear" w:color="auto" w:fill="auto"/>
                  <w:vAlign w:val="center"/>
                </w:tcPr>
                <w:p w14:paraId="01407793" w14:textId="67EBCC8B" w:rsidR="00E91C99" w:rsidRDefault="00E91C99" w:rsidP="00E91C99">
                  <w:pPr>
                    <w:pStyle w:val="TableBodyText"/>
                  </w:pPr>
                  <w:r w:rsidRPr="007D0BD8">
                    <w:t>38.3</w:t>
                  </w:r>
                </w:p>
              </w:tc>
              <w:tc>
                <w:tcPr>
                  <w:tcW w:w="333" w:type="pct"/>
                  <w:tcBorders>
                    <w:top w:val="nil"/>
                    <w:left w:val="nil"/>
                    <w:bottom w:val="nil"/>
                    <w:right w:val="nil"/>
                  </w:tcBorders>
                  <w:shd w:val="clear" w:color="auto" w:fill="auto"/>
                  <w:vAlign w:val="center"/>
                </w:tcPr>
                <w:p w14:paraId="0EAC9AA0" w14:textId="5C12D7E5" w:rsidR="00E91C99" w:rsidRDefault="00E91C99" w:rsidP="00E91C99">
                  <w:pPr>
                    <w:pStyle w:val="TableBodyText"/>
                  </w:pPr>
                  <w:r w:rsidRPr="007D0BD8">
                    <w:t>25.9</w:t>
                  </w:r>
                </w:p>
              </w:tc>
              <w:tc>
                <w:tcPr>
                  <w:tcW w:w="417" w:type="pct"/>
                  <w:tcBorders>
                    <w:top w:val="nil"/>
                    <w:left w:val="nil"/>
                    <w:bottom w:val="nil"/>
                    <w:right w:val="nil"/>
                  </w:tcBorders>
                  <w:shd w:val="clear" w:color="auto" w:fill="auto"/>
                  <w:vAlign w:val="center"/>
                </w:tcPr>
                <w:p w14:paraId="5980C8AD" w14:textId="59F15F81" w:rsidR="00E91C99" w:rsidRDefault="00E91C99" w:rsidP="00E91C99">
                  <w:pPr>
                    <w:pStyle w:val="TableBodyText"/>
                  </w:pPr>
                  <w:r w:rsidRPr="007D0BD8">
                    <w:t>35.0</w:t>
                  </w:r>
                </w:p>
              </w:tc>
              <w:tc>
                <w:tcPr>
                  <w:tcW w:w="417" w:type="pct"/>
                  <w:tcBorders>
                    <w:top w:val="nil"/>
                    <w:left w:val="nil"/>
                    <w:bottom w:val="nil"/>
                    <w:right w:val="nil"/>
                  </w:tcBorders>
                  <w:shd w:val="clear" w:color="auto" w:fill="auto"/>
                  <w:vAlign w:val="center"/>
                </w:tcPr>
                <w:p w14:paraId="16F98FCA" w14:textId="1BE9C69C" w:rsidR="00E91C99" w:rsidRDefault="00E91C99" w:rsidP="00E91C99">
                  <w:pPr>
                    <w:pStyle w:val="TableBodyText"/>
                  </w:pPr>
                  <w:r w:rsidRPr="007D0BD8">
                    <w:t>42.9</w:t>
                  </w:r>
                </w:p>
              </w:tc>
              <w:tc>
                <w:tcPr>
                  <w:tcW w:w="417" w:type="pct"/>
                  <w:tcBorders>
                    <w:top w:val="nil"/>
                    <w:left w:val="nil"/>
                    <w:bottom w:val="nil"/>
                    <w:right w:val="nil"/>
                  </w:tcBorders>
                  <w:shd w:val="clear" w:color="auto" w:fill="auto"/>
                  <w:vAlign w:val="center"/>
                </w:tcPr>
                <w:p w14:paraId="0947A57B" w14:textId="727513FA" w:rsidR="00E91C99" w:rsidRDefault="00E91C99" w:rsidP="00E91C99">
                  <w:pPr>
                    <w:pStyle w:val="TableBodyText"/>
                  </w:pPr>
                  <w:r w:rsidRPr="007D0BD8">
                    <w:t>33.6</w:t>
                  </w:r>
                </w:p>
              </w:tc>
              <w:tc>
                <w:tcPr>
                  <w:tcW w:w="417" w:type="pct"/>
                  <w:tcBorders>
                    <w:top w:val="nil"/>
                    <w:left w:val="nil"/>
                    <w:bottom w:val="nil"/>
                    <w:right w:val="nil"/>
                  </w:tcBorders>
                  <w:shd w:val="clear" w:color="auto" w:fill="auto"/>
                  <w:vAlign w:val="center"/>
                </w:tcPr>
                <w:p w14:paraId="2DB199E2" w14:textId="108C5EB3" w:rsidR="00E91C99" w:rsidRDefault="00E91C99" w:rsidP="00E91C99">
                  <w:pPr>
                    <w:pStyle w:val="TableBodyText"/>
                  </w:pPr>
                  <w:r w:rsidRPr="007D0BD8">
                    <w:t>36.3</w:t>
                  </w:r>
                </w:p>
              </w:tc>
              <w:tc>
                <w:tcPr>
                  <w:tcW w:w="417" w:type="pct"/>
                  <w:tcBorders>
                    <w:top w:val="nil"/>
                    <w:left w:val="nil"/>
                    <w:bottom w:val="nil"/>
                    <w:right w:val="nil"/>
                  </w:tcBorders>
                  <w:shd w:val="clear" w:color="auto" w:fill="auto"/>
                  <w:vAlign w:val="center"/>
                </w:tcPr>
                <w:p w14:paraId="2F3E6F96" w14:textId="7419BCAF" w:rsidR="00E91C99" w:rsidRDefault="00E91C99" w:rsidP="00E91C99">
                  <w:pPr>
                    <w:pStyle w:val="TableBodyText"/>
                  </w:pPr>
                  <w:r w:rsidRPr="007D0BD8">
                    <w:t>48.8</w:t>
                  </w:r>
                </w:p>
              </w:tc>
              <w:tc>
                <w:tcPr>
                  <w:tcW w:w="416" w:type="pct"/>
                  <w:tcBorders>
                    <w:top w:val="nil"/>
                    <w:left w:val="nil"/>
                    <w:bottom w:val="nil"/>
                    <w:right w:val="nil"/>
                  </w:tcBorders>
                  <w:shd w:val="clear" w:color="auto" w:fill="auto"/>
                  <w:vAlign w:val="center"/>
                </w:tcPr>
                <w:p w14:paraId="2137FAC0" w14:textId="1A68869A" w:rsidR="00E91C99" w:rsidRDefault="00E91C99" w:rsidP="00E91C99">
                  <w:pPr>
                    <w:pStyle w:val="TableBodyText"/>
                  </w:pPr>
                  <w:r w:rsidRPr="007D0BD8">
                    <w:t>51.5</w:t>
                  </w:r>
                </w:p>
              </w:tc>
              <w:tc>
                <w:tcPr>
                  <w:tcW w:w="416" w:type="pct"/>
                  <w:tcBorders>
                    <w:top w:val="nil"/>
                    <w:left w:val="nil"/>
                    <w:bottom w:val="nil"/>
                    <w:right w:val="nil"/>
                  </w:tcBorders>
                  <w:shd w:val="clear" w:color="auto" w:fill="auto"/>
                  <w:vAlign w:val="center"/>
                </w:tcPr>
                <w:p w14:paraId="7B9B6200" w14:textId="370093B1" w:rsidR="00E91C99" w:rsidRDefault="00E91C99" w:rsidP="00E91C99">
                  <w:pPr>
                    <w:pStyle w:val="TableBodyText"/>
                    <w:ind w:right="28"/>
                  </w:pPr>
                  <w:r w:rsidRPr="007D0BD8">
                    <w:t>33.4</w:t>
                  </w:r>
                </w:p>
              </w:tc>
            </w:tr>
            <w:tr w:rsidR="00E91C99" w14:paraId="5A3CCCA3" w14:textId="77777777" w:rsidTr="00E91C99">
              <w:tc>
                <w:tcPr>
                  <w:tcW w:w="1333" w:type="pct"/>
                  <w:shd w:val="clear" w:color="auto" w:fill="auto"/>
                </w:tcPr>
                <w:p w14:paraId="274EA94B" w14:textId="2C2ECDA9" w:rsidR="00E91C99" w:rsidRDefault="00E91C99" w:rsidP="00E91C99">
                  <w:pPr>
                    <w:pStyle w:val="TableBodyText"/>
                    <w:jc w:val="left"/>
                  </w:pPr>
                  <w:r w:rsidRPr="004E127C">
                    <w:t>Prostatectomy</w:t>
                  </w:r>
                </w:p>
              </w:tc>
              <w:tc>
                <w:tcPr>
                  <w:tcW w:w="417" w:type="pct"/>
                  <w:tcBorders>
                    <w:top w:val="nil"/>
                    <w:left w:val="nil"/>
                    <w:bottom w:val="nil"/>
                    <w:right w:val="nil"/>
                  </w:tcBorders>
                  <w:shd w:val="clear" w:color="auto" w:fill="auto"/>
                  <w:vAlign w:val="center"/>
                </w:tcPr>
                <w:p w14:paraId="0FC16C0E" w14:textId="1A949680" w:rsidR="00E91C99" w:rsidRDefault="00E91C99" w:rsidP="00E91C99">
                  <w:pPr>
                    <w:pStyle w:val="TableBodyText"/>
                  </w:pPr>
                  <w:r w:rsidRPr="007D0BD8">
                    <w:t>23.6</w:t>
                  </w:r>
                </w:p>
              </w:tc>
              <w:tc>
                <w:tcPr>
                  <w:tcW w:w="333" w:type="pct"/>
                  <w:tcBorders>
                    <w:top w:val="nil"/>
                    <w:left w:val="nil"/>
                    <w:bottom w:val="nil"/>
                    <w:right w:val="nil"/>
                  </w:tcBorders>
                  <w:shd w:val="clear" w:color="auto" w:fill="auto"/>
                  <w:vAlign w:val="center"/>
                </w:tcPr>
                <w:p w14:paraId="41B4F01E" w14:textId="515E78A0" w:rsidR="00E91C99" w:rsidRDefault="00E91C99" w:rsidP="00E91C99">
                  <w:pPr>
                    <w:pStyle w:val="TableBodyText"/>
                  </w:pPr>
                  <w:r w:rsidRPr="007D0BD8">
                    <w:t>20.7</w:t>
                  </w:r>
                </w:p>
              </w:tc>
              <w:tc>
                <w:tcPr>
                  <w:tcW w:w="417" w:type="pct"/>
                  <w:tcBorders>
                    <w:top w:val="nil"/>
                    <w:left w:val="nil"/>
                    <w:bottom w:val="nil"/>
                    <w:right w:val="nil"/>
                  </w:tcBorders>
                  <w:shd w:val="clear" w:color="auto" w:fill="auto"/>
                  <w:vAlign w:val="center"/>
                </w:tcPr>
                <w:p w14:paraId="4CF89581" w14:textId="304680F2" w:rsidR="00E91C99" w:rsidRDefault="00E91C99" w:rsidP="00E91C99">
                  <w:pPr>
                    <w:pStyle w:val="TableBodyText"/>
                  </w:pPr>
                  <w:r w:rsidRPr="007D0BD8">
                    <w:t>42.3</w:t>
                  </w:r>
                </w:p>
              </w:tc>
              <w:tc>
                <w:tcPr>
                  <w:tcW w:w="417" w:type="pct"/>
                  <w:tcBorders>
                    <w:top w:val="nil"/>
                    <w:left w:val="nil"/>
                    <w:bottom w:val="nil"/>
                    <w:right w:val="nil"/>
                  </w:tcBorders>
                  <w:shd w:val="clear" w:color="auto" w:fill="auto"/>
                  <w:vAlign w:val="center"/>
                </w:tcPr>
                <w:p w14:paraId="56C769F1" w14:textId="1BCD9032" w:rsidR="00E91C99" w:rsidRDefault="00E91C99" w:rsidP="00E91C99">
                  <w:pPr>
                    <w:pStyle w:val="TableBodyText"/>
                  </w:pPr>
                  <w:r w:rsidRPr="007D0BD8">
                    <w:t>40.4</w:t>
                  </w:r>
                </w:p>
              </w:tc>
              <w:tc>
                <w:tcPr>
                  <w:tcW w:w="417" w:type="pct"/>
                  <w:tcBorders>
                    <w:top w:val="nil"/>
                    <w:left w:val="nil"/>
                    <w:bottom w:val="nil"/>
                    <w:right w:val="nil"/>
                  </w:tcBorders>
                  <w:shd w:val="clear" w:color="auto" w:fill="auto"/>
                  <w:vAlign w:val="center"/>
                </w:tcPr>
                <w:p w14:paraId="5DF5B843" w14:textId="38217E32" w:rsidR="00E91C99" w:rsidRDefault="00E91C99" w:rsidP="00E91C99">
                  <w:pPr>
                    <w:pStyle w:val="TableBodyText"/>
                  </w:pPr>
                  <w:r w:rsidRPr="007D0BD8">
                    <w:t>29.2</w:t>
                  </w:r>
                </w:p>
              </w:tc>
              <w:tc>
                <w:tcPr>
                  <w:tcW w:w="417" w:type="pct"/>
                  <w:tcBorders>
                    <w:top w:val="nil"/>
                    <w:left w:val="nil"/>
                    <w:bottom w:val="nil"/>
                    <w:right w:val="nil"/>
                  </w:tcBorders>
                  <w:shd w:val="clear" w:color="auto" w:fill="auto"/>
                  <w:vAlign w:val="center"/>
                </w:tcPr>
                <w:p w14:paraId="0EE7B4AB" w14:textId="77F30832" w:rsidR="00E91C99" w:rsidRDefault="00E91C99" w:rsidP="00E91C99">
                  <w:pPr>
                    <w:pStyle w:val="TableBodyText"/>
                  </w:pPr>
                  <w:r w:rsidRPr="007D0BD8">
                    <w:t>10.5</w:t>
                  </w:r>
                </w:p>
              </w:tc>
              <w:tc>
                <w:tcPr>
                  <w:tcW w:w="417" w:type="pct"/>
                  <w:tcBorders>
                    <w:top w:val="nil"/>
                    <w:left w:val="nil"/>
                    <w:bottom w:val="nil"/>
                    <w:right w:val="nil"/>
                  </w:tcBorders>
                  <w:shd w:val="clear" w:color="auto" w:fill="auto"/>
                  <w:vAlign w:val="center"/>
                </w:tcPr>
                <w:p w14:paraId="3705F20D" w14:textId="418E63AB" w:rsidR="00E91C99" w:rsidRDefault="00E91C99" w:rsidP="00E91C99">
                  <w:pPr>
                    <w:pStyle w:val="TableBodyText"/>
                  </w:pPr>
                  <w:r w:rsidRPr="007D0BD8">
                    <w:t>27.8</w:t>
                  </w:r>
                </w:p>
              </w:tc>
              <w:tc>
                <w:tcPr>
                  <w:tcW w:w="416" w:type="pct"/>
                  <w:tcBorders>
                    <w:top w:val="nil"/>
                    <w:left w:val="nil"/>
                    <w:bottom w:val="nil"/>
                    <w:right w:val="nil"/>
                  </w:tcBorders>
                  <w:shd w:val="clear" w:color="auto" w:fill="auto"/>
                  <w:vAlign w:val="center"/>
                </w:tcPr>
                <w:p w14:paraId="0A5B0558" w14:textId="0E927A8E" w:rsidR="00E91C99" w:rsidRDefault="00E91C99" w:rsidP="00E91C99">
                  <w:pPr>
                    <w:pStyle w:val="TableBodyText"/>
                  </w:pPr>
                  <w:r w:rsidRPr="007D0BD8">
                    <w:t>37.0</w:t>
                  </w:r>
                </w:p>
              </w:tc>
              <w:tc>
                <w:tcPr>
                  <w:tcW w:w="416" w:type="pct"/>
                  <w:tcBorders>
                    <w:top w:val="nil"/>
                    <w:left w:val="nil"/>
                    <w:bottom w:val="nil"/>
                    <w:right w:val="nil"/>
                  </w:tcBorders>
                  <w:shd w:val="clear" w:color="auto" w:fill="auto"/>
                  <w:vAlign w:val="center"/>
                </w:tcPr>
                <w:p w14:paraId="60E8B38B" w14:textId="24744E7D" w:rsidR="00E91C99" w:rsidRDefault="00E91C99" w:rsidP="00E91C99">
                  <w:pPr>
                    <w:pStyle w:val="TableBodyText"/>
                    <w:ind w:right="28"/>
                  </w:pPr>
                  <w:r w:rsidRPr="007D0BD8">
                    <w:t>26.5</w:t>
                  </w:r>
                </w:p>
              </w:tc>
            </w:tr>
            <w:tr w:rsidR="00E91C99" w14:paraId="614A271A" w14:textId="77777777" w:rsidTr="00E91C99">
              <w:tc>
                <w:tcPr>
                  <w:tcW w:w="1333" w:type="pct"/>
                  <w:shd w:val="clear" w:color="auto" w:fill="auto"/>
                </w:tcPr>
                <w:p w14:paraId="225F18C7" w14:textId="1CF3CE08" w:rsidR="00E91C99" w:rsidRDefault="00E91C99" w:rsidP="00E91C99">
                  <w:pPr>
                    <w:pStyle w:val="TableBodyText"/>
                    <w:jc w:val="left"/>
                  </w:pPr>
                  <w:r w:rsidRPr="004E127C">
                    <w:t>Cataract surgery</w:t>
                  </w:r>
                </w:p>
              </w:tc>
              <w:tc>
                <w:tcPr>
                  <w:tcW w:w="417" w:type="pct"/>
                  <w:tcBorders>
                    <w:top w:val="nil"/>
                    <w:left w:val="nil"/>
                    <w:right w:val="nil"/>
                  </w:tcBorders>
                  <w:shd w:val="clear" w:color="auto" w:fill="auto"/>
                  <w:vAlign w:val="center"/>
                </w:tcPr>
                <w:p w14:paraId="354654EC" w14:textId="5033BA5C" w:rsidR="00E91C99" w:rsidRDefault="00E91C99" w:rsidP="00E91C99">
                  <w:pPr>
                    <w:pStyle w:val="TableBodyText"/>
                  </w:pPr>
                  <w:r w:rsidRPr="007D0BD8">
                    <w:t>2.7</w:t>
                  </w:r>
                </w:p>
              </w:tc>
              <w:tc>
                <w:tcPr>
                  <w:tcW w:w="333" w:type="pct"/>
                  <w:tcBorders>
                    <w:top w:val="nil"/>
                    <w:left w:val="nil"/>
                    <w:right w:val="nil"/>
                  </w:tcBorders>
                  <w:shd w:val="clear" w:color="auto" w:fill="auto"/>
                  <w:vAlign w:val="center"/>
                </w:tcPr>
                <w:p w14:paraId="41087DD9" w14:textId="6B8130C3" w:rsidR="00E91C99" w:rsidRDefault="00E91C99" w:rsidP="00E91C99">
                  <w:pPr>
                    <w:pStyle w:val="TableBodyText"/>
                  </w:pPr>
                  <w:r w:rsidRPr="007D0BD8">
                    <w:t>2.8</w:t>
                  </w:r>
                </w:p>
              </w:tc>
              <w:tc>
                <w:tcPr>
                  <w:tcW w:w="417" w:type="pct"/>
                  <w:tcBorders>
                    <w:top w:val="nil"/>
                    <w:left w:val="nil"/>
                    <w:right w:val="nil"/>
                  </w:tcBorders>
                  <w:shd w:val="clear" w:color="auto" w:fill="auto"/>
                  <w:vAlign w:val="center"/>
                </w:tcPr>
                <w:p w14:paraId="5C8FC16C" w14:textId="5638A4C5" w:rsidR="00E91C99" w:rsidRDefault="00E91C99" w:rsidP="00E91C99">
                  <w:pPr>
                    <w:pStyle w:val="TableBodyText"/>
                  </w:pPr>
                  <w:r w:rsidRPr="007D0BD8">
                    <w:t>4.6</w:t>
                  </w:r>
                </w:p>
              </w:tc>
              <w:tc>
                <w:tcPr>
                  <w:tcW w:w="417" w:type="pct"/>
                  <w:tcBorders>
                    <w:top w:val="nil"/>
                    <w:left w:val="nil"/>
                    <w:right w:val="nil"/>
                  </w:tcBorders>
                  <w:shd w:val="clear" w:color="auto" w:fill="auto"/>
                  <w:vAlign w:val="center"/>
                </w:tcPr>
                <w:p w14:paraId="75B3D6D2" w14:textId="56160430" w:rsidR="00E91C99" w:rsidRDefault="00E91C99" w:rsidP="00E91C99">
                  <w:pPr>
                    <w:pStyle w:val="TableBodyText"/>
                  </w:pPr>
                  <w:r w:rsidRPr="007D0BD8">
                    <w:t>1.6</w:t>
                  </w:r>
                </w:p>
              </w:tc>
              <w:tc>
                <w:tcPr>
                  <w:tcW w:w="417" w:type="pct"/>
                  <w:tcBorders>
                    <w:top w:val="nil"/>
                    <w:left w:val="nil"/>
                    <w:right w:val="nil"/>
                  </w:tcBorders>
                  <w:shd w:val="clear" w:color="auto" w:fill="auto"/>
                  <w:vAlign w:val="center"/>
                </w:tcPr>
                <w:p w14:paraId="525D7BB7" w14:textId="25AB917C" w:rsidR="00E91C99" w:rsidRDefault="00E91C99" w:rsidP="00E91C99">
                  <w:pPr>
                    <w:pStyle w:val="TableBodyText"/>
                  </w:pPr>
                  <w:r w:rsidRPr="007D0BD8">
                    <w:t>2.6</w:t>
                  </w:r>
                </w:p>
              </w:tc>
              <w:tc>
                <w:tcPr>
                  <w:tcW w:w="417" w:type="pct"/>
                  <w:tcBorders>
                    <w:top w:val="nil"/>
                    <w:left w:val="nil"/>
                    <w:right w:val="nil"/>
                  </w:tcBorders>
                  <w:shd w:val="clear" w:color="auto" w:fill="auto"/>
                  <w:vAlign w:val="center"/>
                </w:tcPr>
                <w:p w14:paraId="37382582" w14:textId="41F9190A" w:rsidR="00E91C99" w:rsidRDefault="00E91C99" w:rsidP="00E91C99">
                  <w:pPr>
                    <w:pStyle w:val="TableBodyText"/>
                  </w:pPr>
                  <w:r w:rsidRPr="007D0BD8">
                    <w:t>8.8</w:t>
                  </w:r>
                </w:p>
              </w:tc>
              <w:tc>
                <w:tcPr>
                  <w:tcW w:w="417" w:type="pct"/>
                  <w:tcBorders>
                    <w:top w:val="nil"/>
                    <w:left w:val="nil"/>
                    <w:right w:val="nil"/>
                  </w:tcBorders>
                  <w:shd w:val="clear" w:color="auto" w:fill="auto"/>
                  <w:vAlign w:val="center"/>
                </w:tcPr>
                <w:p w14:paraId="45BB1405" w14:textId="0C426A0E" w:rsidR="00E91C99" w:rsidRDefault="00E91C99" w:rsidP="00E91C99">
                  <w:pPr>
                    <w:pStyle w:val="TableBodyText"/>
                  </w:pPr>
                  <w:r w:rsidRPr="007D0BD8">
                    <w:t>2.0</w:t>
                  </w:r>
                </w:p>
              </w:tc>
              <w:tc>
                <w:tcPr>
                  <w:tcW w:w="416" w:type="pct"/>
                  <w:tcBorders>
                    <w:top w:val="nil"/>
                    <w:left w:val="nil"/>
                    <w:right w:val="nil"/>
                  </w:tcBorders>
                  <w:shd w:val="clear" w:color="auto" w:fill="auto"/>
                  <w:vAlign w:val="center"/>
                </w:tcPr>
                <w:p w14:paraId="6634B846" w14:textId="6AEB5142" w:rsidR="00E91C99" w:rsidRDefault="00E91C99" w:rsidP="00E91C99">
                  <w:pPr>
                    <w:pStyle w:val="TableBodyText"/>
                  </w:pPr>
                  <w:r w:rsidRPr="007D0BD8">
                    <w:t>6.6</w:t>
                  </w:r>
                </w:p>
              </w:tc>
              <w:tc>
                <w:tcPr>
                  <w:tcW w:w="416" w:type="pct"/>
                  <w:tcBorders>
                    <w:top w:val="nil"/>
                    <w:left w:val="nil"/>
                    <w:right w:val="nil"/>
                  </w:tcBorders>
                  <w:shd w:val="clear" w:color="auto" w:fill="auto"/>
                  <w:vAlign w:val="center"/>
                </w:tcPr>
                <w:p w14:paraId="0F8E4DC5" w14:textId="60993754" w:rsidR="00E91C99" w:rsidRDefault="00E91C99" w:rsidP="00E91C99">
                  <w:pPr>
                    <w:pStyle w:val="TableBodyText"/>
                    <w:ind w:right="28"/>
                  </w:pPr>
                  <w:r w:rsidRPr="007D0BD8">
                    <w:t>3.2</w:t>
                  </w:r>
                </w:p>
              </w:tc>
            </w:tr>
            <w:tr w:rsidR="00E91C99" w14:paraId="1020CBA2" w14:textId="77777777" w:rsidTr="00E91C99">
              <w:tc>
                <w:tcPr>
                  <w:tcW w:w="1333" w:type="pct"/>
                  <w:tcBorders>
                    <w:bottom w:val="single" w:sz="6" w:space="0" w:color="BFBFBF"/>
                  </w:tcBorders>
                  <w:shd w:val="clear" w:color="auto" w:fill="auto"/>
                </w:tcPr>
                <w:p w14:paraId="5C8365FE" w14:textId="5BA9FD1F" w:rsidR="00E91C99" w:rsidRDefault="00E91C99" w:rsidP="00E91C99">
                  <w:pPr>
                    <w:pStyle w:val="TableBodyText"/>
                    <w:jc w:val="left"/>
                  </w:pPr>
                  <w:r w:rsidRPr="00E91C99">
                    <w:t>Appendectomy</w:t>
                  </w:r>
                </w:p>
              </w:tc>
              <w:tc>
                <w:tcPr>
                  <w:tcW w:w="417" w:type="pct"/>
                  <w:tcBorders>
                    <w:bottom w:val="single" w:sz="6" w:space="0" w:color="BFBFBF"/>
                  </w:tcBorders>
                </w:tcPr>
                <w:p w14:paraId="37ECAD05" w14:textId="39D8878E" w:rsidR="00E91C99" w:rsidRDefault="00E91C99" w:rsidP="00E91C99">
                  <w:pPr>
                    <w:pStyle w:val="TableBodyText"/>
                  </w:pPr>
                  <w:r>
                    <w:t>18.8</w:t>
                  </w:r>
                </w:p>
              </w:tc>
              <w:tc>
                <w:tcPr>
                  <w:tcW w:w="333" w:type="pct"/>
                  <w:tcBorders>
                    <w:bottom w:val="single" w:sz="6" w:space="0" w:color="BFBFBF"/>
                  </w:tcBorders>
                </w:tcPr>
                <w:p w14:paraId="4D49A600" w14:textId="0999440A" w:rsidR="00E91C99" w:rsidRDefault="00E91C99" w:rsidP="00E91C99">
                  <w:pPr>
                    <w:pStyle w:val="TableBodyText"/>
                  </w:pPr>
                  <w:r>
                    <w:t>19.3</w:t>
                  </w:r>
                </w:p>
              </w:tc>
              <w:tc>
                <w:tcPr>
                  <w:tcW w:w="417" w:type="pct"/>
                  <w:tcBorders>
                    <w:bottom w:val="single" w:sz="6" w:space="0" w:color="BFBFBF"/>
                  </w:tcBorders>
                </w:tcPr>
                <w:p w14:paraId="15CB44D9" w14:textId="5FA9FF9F" w:rsidR="00E91C99" w:rsidRDefault="00E91C99" w:rsidP="00E91C99">
                  <w:pPr>
                    <w:pStyle w:val="TableBodyText"/>
                  </w:pPr>
                  <w:r>
                    <w:t>20.2</w:t>
                  </w:r>
                </w:p>
              </w:tc>
              <w:tc>
                <w:tcPr>
                  <w:tcW w:w="417" w:type="pct"/>
                  <w:tcBorders>
                    <w:bottom w:val="single" w:sz="6" w:space="0" w:color="BFBFBF"/>
                  </w:tcBorders>
                </w:tcPr>
                <w:p w14:paraId="6BF520C7" w14:textId="37CBA7F1" w:rsidR="00E91C99" w:rsidRDefault="00E91C99" w:rsidP="00E91C99">
                  <w:pPr>
                    <w:pStyle w:val="TableBodyText"/>
                  </w:pPr>
                  <w:r>
                    <w:t>32.5</w:t>
                  </w:r>
                </w:p>
              </w:tc>
              <w:tc>
                <w:tcPr>
                  <w:tcW w:w="417" w:type="pct"/>
                  <w:tcBorders>
                    <w:bottom w:val="single" w:sz="6" w:space="0" w:color="BFBFBF"/>
                  </w:tcBorders>
                </w:tcPr>
                <w:p w14:paraId="66928520" w14:textId="09A4662F" w:rsidR="00E91C99" w:rsidRDefault="00E91C99" w:rsidP="00E91C99">
                  <w:pPr>
                    <w:pStyle w:val="TableBodyText"/>
                  </w:pPr>
                  <w:r>
                    <w:t>34.1</w:t>
                  </w:r>
                </w:p>
              </w:tc>
              <w:tc>
                <w:tcPr>
                  <w:tcW w:w="417" w:type="pct"/>
                  <w:tcBorders>
                    <w:bottom w:val="single" w:sz="6" w:space="0" w:color="BFBFBF"/>
                  </w:tcBorders>
                </w:tcPr>
                <w:p w14:paraId="27FE17F3" w14:textId="2EE6F0E4" w:rsidR="00E91C99" w:rsidRDefault="00E91C99" w:rsidP="00E91C99">
                  <w:pPr>
                    <w:pStyle w:val="TableBodyText"/>
                  </w:pPr>
                  <w:r>
                    <w:t>35.0</w:t>
                  </w:r>
                </w:p>
              </w:tc>
              <w:tc>
                <w:tcPr>
                  <w:tcW w:w="417" w:type="pct"/>
                  <w:tcBorders>
                    <w:bottom w:val="single" w:sz="6" w:space="0" w:color="BFBFBF"/>
                  </w:tcBorders>
                </w:tcPr>
                <w:p w14:paraId="3F3F3303" w14:textId="1880F037" w:rsidR="00E91C99" w:rsidRDefault="00E91C99" w:rsidP="00E91C99">
                  <w:pPr>
                    <w:pStyle w:val="TableBodyText"/>
                  </w:pPr>
                  <w:r>
                    <w:t>12.2</w:t>
                  </w:r>
                </w:p>
              </w:tc>
              <w:tc>
                <w:tcPr>
                  <w:tcW w:w="416" w:type="pct"/>
                  <w:tcBorders>
                    <w:bottom w:val="single" w:sz="6" w:space="0" w:color="BFBFBF"/>
                  </w:tcBorders>
                  <w:shd w:val="clear" w:color="auto" w:fill="auto"/>
                </w:tcPr>
                <w:p w14:paraId="0DB67A4D" w14:textId="2AB60FA7" w:rsidR="00E91C99" w:rsidRDefault="00E91C99" w:rsidP="00E91C99">
                  <w:pPr>
                    <w:pStyle w:val="TableBodyText"/>
                  </w:pPr>
                  <w:r>
                    <w:t>43.3</w:t>
                  </w:r>
                </w:p>
              </w:tc>
              <w:tc>
                <w:tcPr>
                  <w:tcW w:w="416" w:type="pct"/>
                  <w:tcBorders>
                    <w:bottom w:val="single" w:sz="6" w:space="0" w:color="BFBFBF"/>
                  </w:tcBorders>
                  <w:shd w:val="clear" w:color="auto" w:fill="auto"/>
                </w:tcPr>
                <w:p w14:paraId="2C7E9B83" w14:textId="5890EFC4" w:rsidR="00E91C99" w:rsidRDefault="00E91C99" w:rsidP="00E91C99">
                  <w:pPr>
                    <w:pStyle w:val="TableBodyText"/>
                    <w:ind w:right="28"/>
                  </w:pPr>
                  <w:r>
                    <w:t>20.9</w:t>
                  </w:r>
                </w:p>
              </w:tc>
            </w:tr>
          </w:tbl>
          <w:p w14:paraId="5530AD90" w14:textId="77777777" w:rsidR="00E91C99" w:rsidRDefault="00E91C99" w:rsidP="00E91C99">
            <w:pPr>
              <w:pStyle w:val="Box"/>
            </w:pPr>
          </w:p>
        </w:tc>
      </w:tr>
      <w:tr w:rsidR="00E91C99" w14:paraId="3B594A68" w14:textId="77777777" w:rsidTr="00E91C99">
        <w:tc>
          <w:tcPr>
            <w:tcW w:w="5000" w:type="pct"/>
            <w:tcBorders>
              <w:top w:val="nil"/>
              <w:left w:val="nil"/>
              <w:bottom w:val="nil"/>
              <w:right w:val="nil"/>
            </w:tcBorders>
            <w:shd w:val="clear" w:color="auto" w:fill="auto"/>
          </w:tcPr>
          <w:p w14:paraId="7A6622FD" w14:textId="04CF9812" w:rsidR="00E91C99" w:rsidRDefault="00E91C99" w:rsidP="00E91C99">
            <w:pPr>
              <w:pStyle w:val="Note"/>
              <w:rPr>
                <w:i/>
              </w:rPr>
            </w:pPr>
            <w:r w:rsidRPr="008E77FE">
              <w:rPr>
                <w:rStyle w:val="NoteLabel"/>
              </w:rPr>
              <w:t>a</w:t>
            </w:r>
            <w:r>
              <w:t xml:space="preserve"> </w:t>
            </w:r>
            <w:r w:rsidRPr="006F4A3E">
              <w:t xml:space="preserve">See </w:t>
            </w:r>
            <w:r>
              <w:t xml:space="preserve">box 12.12 and </w:t>
            </w:r>
            <w:r w:rsidRPr="006F4A3E">
              <w:t xml:space="preserve">table </w:t>
            </w:r>
            <w:proofErr w:type="spellStart"/>
            <w:r>
              <w:t>12A</w:t>
            </w:r>
            <w:r w:rsidRPr="006F4A3E">
              <w:t>.</w:t>
            </w:r>
            <w:r>
              <w:t>50</w:t>
            </w:r>
            <w:proofErr w:type="spellEnd"/>
            <w:r>
              <w:t xml:space="preserve"> </w:t>
            </w:r>
            <w:r w:rsidRPr="006F4A3E">
              <w:t xml:space="preserve">for detailed </w:t>
            </w:r>
            <w:r w:rsidRPr="00536DD1">
              <w:t xml:space="preserve">definitions, footnotes and </w:t>
            </w:r>
            <w:r w:rsidRPr="006F4A3E">
              <w:t>caveats</w:t>
            </w:r>
            <w:r w:rsidRPr="00320973">
              <w:t>.</w:t>
            </w:r>
            <w:r w:rsidRPr="004E127C">
              <w:t xml:space="preserve"> – Nil or rounde</w:t>
            </w:r>
            <w:r>
              <w:t>d to zero.</w:t>
            </w:r>
          </w:p>
        </w:tc>
      </w:tr>
      <w:tr w:rsidR="00E91C99" w14:paraId="67F50F54" w14:textId="77777777" w:rsidTr="00E91C99">
        <w:tc>
          <w:tcPr>
            <w:tcW w:w="5000" w:type="pct"/>
            <w:tcBorders>
              <w:top w:val="nil"/>
              <w:left w:val="nil"/>
              <w:bottom w:val="nil"/>
              <w:right w:val="nil"/>
            </w:tcBorders>
            <w:shd w:val="clear" w:color="auto" w:fill="auto"/>
          </w:tcPr>
          <w:p w14:paraId="6B88536B" w14:textId="03840CC4" w:rsidR="00E91C99" w:rsidRDefault="00E91C99" w:rsidP="000A7AEB">
            <w:pPr>
              <w:pStyle w:val="Source"/>
            </w:pPr>
            <w:r>
              <w:rPr>
                <w:i/>
              </w:rPr>
              <w:t>Source</w:t>
            </w:r>
            <w:r w:rsidRPr="00167F06">
              <w:t xml:space="preserve">: </w:t>
            </w:r>
            <w:r w:rsidR="000A7AEB">
              <w:t xml:space="preserve">AIHW </w:t>
            </w:r>
            <w:r>
              <w:t>National Hospital Morbidity Database</w:t>
            </w:r>
            <w:r w:rsidRPr="004E127C">
              <w:t>; WA Health (unpublished); table</w:t>
            </w:r>
            <w:r>
              <w:t> </w:t>
            </w:r>
            <w:proofErr w:type="spellStart"/>
            <w:r>
              <w:t>12A</w:t>
            </w:r>
            <w:r w:rsidRPr="004E127C">
              <w:t>.</w:t>
            </w:r>
            <w:r>
              <w:t>50</w:t>
            </w:r>
            <w:proofErr w:type="spellEnd"/>
            <w:r w:rsidRPr="004E127C">
              <w:t>.</w:t>
            </w:r>
          </w:p>
        </w:tc>
      </w:tr>
      <w:tr w:rsidR="00E91C99" w14:paraId="78D5504F" w14:textId="77777777" w:rsidTr="00E91C99">
        <w:tc>
          <w:tcPr>
            <w:tcW w:w="5000" w:type="pct"/>
            <w:tcBorders>
              <w:top w:val="nil"/>
              <w:left w:val="nil"/>
              <w:bottom w:val="single" w:sz="6" w:space="0" w:color="78A22F"/>
              <w:right w:val="nil"/>
            </w:tcBorders>
            <w:shd w:val="clear" w:color="auto" w:fill="auto"/>
          </w:tcPr>
          <w:p w14:paraId="3F59F33D" w14:textId="77777777" w:rsidR="00E91C99" w:rsidRDefault="00E91C99" w:rsidP="00E91C99">
            <w:pPr>
              <w:pStyle w:val="Box"/>
              <w:spacing w:before="0" w:line="120" w:lineRule="exact"/>
            </w:pPr>
          </w:p>
        </w:tc>
      </w:tr>
      <w:tr w:rsidR="00E91C99" w:rsidRPr="000863A5" w14:paraId="2FC12F71" w14:textId="77777777" w:rsidTr="00E91C99">
        <w:tc>
          <w:tcPr>
            <w:tcW w:w="5000" w:type="pct"/>
            <w:tcBorders>
              <w:top w:val="single" w:sz="6" w:space="0" w:color="78A22F"/>
              <w:left w:val="nil"/>
              <w:bottom w:val="nil"/>
              <w:right w:val="nil"/>
            </w:tcBorders>
          </w:tcPr>
          <w:p w14:paraId="2A76EF25" w14:textId="799C9F9B" w:rsidR="00E91C99" w:rsidRPr="00626D32" w:rsidRDefault="00E91C99" w:rsidP="00E91C99">
            <w:pPr>
              <w:pStyle w:val="BoxSpaceBelow"/>
            </w:pPr>
          </w:p>
        </w:tc>
      </w:tr>
    </w:tbl>
    <w:p w14:paraId="11F3C53E" w14:textId="77777777" w:rsidR="00D23C57" w:rsidRDefault="00D23C57" w:rsidP="002A29DE">
      <w:pPr>
        <w:pStyle w:val="BodyText"/>
      </w:pPr>
      <w:r w:rsidRPr="008D57FE">
        <w:t>Patients might be re-admitted unexpectedly if the initial care or treatment was ineffective or unsatisfactory, if post-discharge planning was inadequate, or for reasons outside the control of the hospital (for example poor post-discharge care).</w:t>
      </w:r>
      <w:r>
        <w:t xml:space="preserve"> </w:t>
      </w:r>
      <w:r w:rsidRPr="000A750A">
        <w:t>Selected</w:t>
      </w:r>
      <w:r w:rsidRPr="00682665">
        <w:t xml:space="preserve"> </w:t>
      </w:r>
      <w:r>
        <w:t>u</w:t>
      </w:r>
      <w:r w:rsidRPr="00A2571D">
        <w:t xml:space="preserve">nplanned hospital </w:t>
      </w:r>
      <w:r w:rsidRPr="00A2571D">
        <w:lastRenderedPageBreak/>
        <w:t xml:space="preserve">readmission rates are reported by hospital peer group, Indigenous status, remoteness and socioeconomic status in table </w:t>
      </w:r>
      <w:proofErr w:type="spellStart"/>
      <w:r>
        <w:t>12A</w:t>
      </w:r>
      <w:r w:rsidRPr="00A2571D">
        <w:t>.</w:t>
      </w:r>
      <w:r w:rsidR="00436F93">
        <w:t>51</w:t>
      </w:r>
      <w:proofErr w:type="spellEnd"/>
      <w:r w:rsidRPr="00A2571D">
        <w:t>.</w:t>
      </w:r>
    </w:p>
    <w:p w14:paraId="4FE28B7A" w14:textId="77777777" w:rsidR="00A376A3" w:rsidRDefault="009B7702" w:rsidP="00A376A3">
      <w:pPr>
        <w:pStyle w:val="Heading4"/>
      </w:pPr>
      <w:r>
        <w:t xml:space="preserve">Sustainability — </w:t>
      </w:r>
      <w:r w:rsidR="00A376A3">
        <w:t>Workforce sustainability</w:t>
      </w:r>
    </w:p>
    <w:p w14:paraId="410DAAC0" w14:textId="77777777" w:rsidR="00A376A3" w:rsidRDefault="00A376A3" w:rsidP="00A376A3">
      <w:pPr>
        <w:pStyle w:val="BodyText"/>
      </w:pPr>
      <w:r>
        <w:t xml:space="preserve">‘Workforce sustainability’ is an indicator of governments’ objective to provide sustainable public hospital services (box </w:t>
      </w:r>
      <w:r w:rsidR="000F15E6">
        <w:t>12.</w:t>
      </w:r>
      <w:r>
        <w:t>1</w:t>
      </w:r>
      <w:r w:rsidR="003D3C97">
        <w:t>3</w:t>
      </w:r>
      <w:r>
        <w:t xml:space="preserve">). </w:t>
      </w:r>
    </w:p>
    <w:p w14:paraId="445C6303" w14:textId="17806E0F" w:rsidR="007F028B" w:rsidRDefault="007F028B" w:rsidP="007F028B">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7F028B" w14:paraId="284C835B" w14:textId="77777777" w:rsidTr="005656A9">
        <w:tc>
          <w:tcPr>
            <w:tcW w:w="8789" w:type="dxa"/>
            <w:tcBorders>
              <w:top w:val="single" w:sz="6" w:space="0" w:color="78A22F"/>
              <w:left w:val="nil"/>
              <w:bottom w:val="nil"/>
              <w:right w:val="nil"/>
            </w:tcBorders>
            <w:shd w:val="clear" w:color="auto" w:fill="F2F2F2"/>
          </w:tcPr>
          <w:p w14:paraId="274F4D12" w14:textId="3D52CFE8" w:rsidR="007F028B" w:rsidRDefault="007F028B" w:rsidP="004E023B">
            <w:pPr>
              <w:pStyle w:val="BoxTitle"/>
            </w:pPr>
            <w:r>
              <w:rPr>
                <w:b w:val="0"/>
              </w:rPr>
              <w:t xml:space="preserve">Box </w:t>
            </w:r>
            <w:r w:rsidR="003D3C97">
              <w:rPr>
                <w:b w:val="0"/>
              </w:rPr>
              <w:t>12.</w:t>
            </w:r>
            <w:r w:rsidR="007F3144">
              <w:rPr>
                <w:b w:val="0"/>
                <w:noProof/>
              </w:rPr>
              <w:t>13</w:t>
            </w:r>
            <w:r>
              <w:tab/>
            </w:r>
            <w:r w:rsidRPr="00A376A3">
              <w:t>Workforce sustainability</w:t>
            </w:r>
          </w:p>
        </w:tc>
      </w:tr>
      <w:tr w:rsidR="007F028B" w14:paraId="62A141E3" w14:textId="77777777" w:rsidTr="005656A9">
        <w:trPr>
          <w:cantSplit/>
        </w:trPr>
        <w:tc>
          <w:tcPr>
            <w:tcW w:w="8789" w:type="dxa"/>
            <w:tcBorders>
              <w:top w:val="nil"/>
              <w:left w:val="nil"/>
              <w:bottom w:val="nil"/>
              <w:right w:val="nil"/>
            </w:tcBorders>
            <w:shd w:val="clear" w:color="auto" w:fill="F2F2F2"/>
          </w:tcPr>
          <w:p w14:paraId="1A580F68" w14:textId="77777777" w:rsidR="007F028B" w:rsidRDefault="007F028B" w:rsidP="004E023B">
            <w:pPr>
              <w:pStyle w:val="Box"/>
            </w:pPr>
            <w:r>
              <w:t>‘Workforce sustainability’ reports age profiles for nurs</w:t>
            </w:r>
            <w:r w:rsidR="003A3295">
              <w:t>e (including midwives)</w:t>
            </w:r>
            <w:r>
              <w:t xml:space="preserve"> and medical practitioner workforces. It shows the proportions of registered nurses and medical practitioners in ten year age brackets, by jurisdiction and by region.</w:t>
            </w:r>
          </w:p>
          <w:p w14:paraId="3F53B7FD" w14:textId="77777777" w:rsidR="007F028B" w:rsidRDefault="007F028B" w:rsidP="004E023B">
            <w:pPr>
              <w:pStyle w:val="Box"/>
            </w:pPr>
            <w:r>
              <w:t xml:space="preserve">High or increasing proportions of the workforce that are new entrants and/or low or decreasing proportions of the workforce that are close to retirement is desirable. </w:t>
            </w:r>
          </w:p>
          <w:p w14:paraId="09C62906" w14:textId="77777777" w:rsidR="007F028B" w:rsidRDefault="007F028B" w:rsidP="004E023B">
            <w:pPr>
              <w:pStyle w:val="Box"/>
            </w:pPr>
            <w:r>
              <w:t xml:space="preserve">All nurses (including midwives) and medical practitioners in the workforce are included in these measures, as crude indicators of the potential respective workforces for public hospitals. </w:t>
            </w:r>
          </w:p>
          <w:p w14:paraId="122082EE" w14:textId="77777777" w:rsidR="007D036A" w:rsidRDefault="007D036A" w:rsidP="007D036A">
            <w:pPr>
              <w:pStyle w:val="Box"/>
            </w:pPr>
            <w:r>
              <w:t>These measures are not a substitute for a full workforce analysis that allows for migration, trends in full-time work and expected demand increases. They can, however, indicate that further attention should be given to workforce sustainability for public hospitals.</w:t>
            </w:r>
          </w:p>
          <w:p w14:paraId="044B9D56" w14:textId="5D0E679F" w:rsidR="007D036A" w:rsidRDefault="007D036A" w:rsidP="007D036A">
            <w:pPr>
              <w:pStyle w:val="Box"/>
            </w:pPr>
            <w:r>
              <w:t xml:space="preserve">Data reported for this </w:t>
            </w:r>
            <w:r w:rsidR="00BA6495">
              <w:t xml:space="preserve">measure </w:t>
            </w:r>
            <w:r>
              <w:t>are:</w:t>
            </w:r>
          </w:p>
          <w:p w14:paraId="63DF9A8C" w14:textId="77777777" w:rsidR="007D036A" w:rsidRDefault="007D036A" w:rsidP="007D036A">
            <w:pPr>
              <w:pStyle w:val="BoxListBullet"/>
            </w:pPr>
            <w:r>
              <w:t xml:space="preserve">comparable (subject to caveats) across jurisdictions and over time </w:t>
            </w:r>
          </w:p>
          <w:p w14:paraId="1438D071" w14:textId="77777777" w:rsidR="007F028B" w:rsidRDefault="007D036A" w:rsidP="003D3C68">
            <w:pPr>
              <w:pStyle w:val="BoxListBullet"/>
            </w:pPr>
            <w:r>
              <w:t>complete (subject to caveats) for the current reporting period. All required 201</w:t>
            </w:r>
            <w:r w:rsidR="003D3C68">
              <w:t>6</w:t>
            </w:r>
            <w:r>
              <w:t xml:space="preserve"> data are available for all jurisdictions.</w:t>
            </w:r>
          </w:p>
        </w:tc>
      </w:tr>
      <w:tr w:rsidR="00A376A3" w14:paraId="6CCEAF74" w14:textId="77777777" w:rsidTr="005656A9">
        <w:trPr>
          <w:cantSplit/>
        </w:trPr>
        <w:tc>
          <w:tcPr>
            <w:tcW w:w="8789" w:type="dxa"/>
            <w:tcBorders>
              <w:top w:val="nil"/>
              <w:left w:val="nil"/>
              <w:bottom w:val="single" w:sz="6" w:space="0" w:color="78A22F"/>
              <w:right w:val="nil"/>
            </w:tcBorders>
            <w:shd w:val="clear" w:color="auto" w:fill="F2F2F2"/>
          </w:tcPr>
          <w:p w14:paraId="5F697C34" w14:textId="77777777" w:rsidR="00A376A3" w:rsidRDefault="00A376A3">
            <w:pPr>
              <w:pStyle w:val="Box"/>
              <w:spacing w:before="0" w:line="120" w:lineRule="exact"/>
            </w:pPr>
          </w:p>
        </w:tc>
      </w:tr>
      <w:tr w:rsidR="00A376A3" w:rsidRPr="000863A5" w14:paraId="0C6F56A3" w14:textId="77777777" w:rsidTr="005656A9">
        <w:tc>
          <w:tcPr>
            <w:tcW w:w="8789" w:type="dxa"/>
            <w:tcBorders>
              <w:top w:val="single" w:sz="6" w:space="0" w:color="78A22F"/>
              <w:left w:val="nil"/>
              <w:bottom w:val="nil"/>
              <w:right w:val="nil"/>
            </w:tcBorders>
          </w:tcPr>
          <w:p w14:paraId="502DE9CE" w14:textId="350AF956" w:rsidR="00A376A3" w:rsidRPr="00626D32" w:rsidRDefault="00A376A3" w:rsidP="00A376A3">
            <w:pPr>
              <w:pStyle w:val="BoxSpaceBelow"/>
            </w:pPr>
          </w:p>
        </w:tc>
      </w:tr>
    </w:tbl>
    <w:p w14:paraId="265B53AE" w14:textId="6225BE9D" w:rsidR="00A376A3" w:rsidRDefault="00271870" w:rsidP="0083330D">
      <w:pPr>
        <w:pStyle w:val="BodyText"/>
      </w:pPr>
      <w:r>
        <w:t>Nationally in 201</w:t>
      </w:r>
      <w:r w:rsidR="003D3C68">
        <w:t>6</w:t>
      </w:r>
      <w:r w:rsidRPr="00895B5A">
        <w:t xml:space="preserve">, </w:t>
      </w:r>
      <w:r w:rsidR="00CE797C" w:rsidRPr="00895B5A">
        <w:t>17.</w:t>
      </w:r>
      <w:r w:rsidR="005D00B6">
        <w:t>6</w:t>
      </w:r>
      <w:r w:rsidRPr="00895B5A">
        <w:t xml:space="preserve"> per cent of the medical practitioner workforce and </w:t>
      </w:r>
      <w:r w:rsidR="005D00B6">
        <w:t>12.0</w:t>
      </w:r>
      <w:r w:rsidRPr="00895B5A">
        <w:t xml:space="preserve"> per </w:t>
      </w:r>
      <w:r>
        <w:t xml:space="preserve">cent of the nursing workforce were </w:t>
      </w:r>
      <w:r w:rsidRPr="00895B5A">
        <w:t>aged 60 years and over (</w:t>
      </w:r>
      <w:r w:rsidR="003A3295" w:rsidRPr="00895B5A">
        <w:t>figures 12.</w:t>
      </w:r>
      <w:r w:rsidR="00617BDC">
        <w:t>9</w:t>
      </w:r>
      <w:r w:rsidR="003A3295" w:rsidRPr="00895B5A">
        <w:t xml:space="preserve"> and 12.1</w:t>
      </w:r>
      <w:r w:rsidR="00617BDC">
        <w:t>0</w:t>
      </w:r>
      <w:r w:rsidRPr="00895B5A">
        <w:t>)</w:t>
      </w:r>
      <w:r w:rsidR="003A3295" w:rsidRPr="00895B5A">
        <w:t xml:space="preserve">, reflecting a gradual increase from 2007 </w:t>
      </w:r>
      <w:r w:rsidRPr="00895B5A">
        <w:t>for nurses</w:t>
      </w:r>
      <w:r w:rsidR="003A3295" w:rsidRPr="00895B5A">
        <w:t xml:space="preserve"> (table </w:t>
      </w:r>
      <w:proofErr w:type="spellStart"/>
      <w:r w:rsidR="003A3295" w:rsidRPr="00895B5A">
        <w:t>12A.</w:t>
      </w:r>
      <w:r w:rsidR="00436F93">
        <w:t>52</w:t>
      </w:r>
      <w:proofErr w:type="spellEnd"/>
      <w:r w:rsidR="003A3295" w:rsidRPr="00895B5A">
        <w:t xml:space="preserve">) and </w:t>
      </w:r>
      <w:r w:rsidR="00617BDC">
        <w:t xml:space="preserve">from </w:t>
      </w:r>
      <w:r w:rsidR="003A3295" w:rsidRPr="00895B5A">
        <w:t xml:space="preserve">2009 </w:t>
      </w:r>
      <w:r w:rsidRPr="00895B5A">
        <w:t>for medical practitioners</w:t>
      </w:r>
      <w:r w:rsidR="003A3295" w:rsidRPr="00895B5A">
        <w:t xml:space="preserve"> (table </w:t>
      </w:r>
      <w:proofErr w:type="spellStart"/>
      <w:r w:rsidR="003A3295" w:rsidRPr="00895B5A">
        <w:t>12A.</w:t>
      </w:r>
      <w:r w:rsidR="00436F93">
        <w:t>54</w:t>
      </w:r>
      <w:proofErr w:type="spellEnd"/>
      <w:r w:rsidRPr="00895B5A">
        <w:t>).</w:t>
      </w:r>
      <w:r w:rsidR="00FF65D2">
        <w:t xml:space="preserve"> </w:t>
      </w:r>
      <w:r w:rsidR="005D00B6">
        <w:t>State and territory data</w:t>
      </w:r>
      <w:r w:rsidR="009B7702">
        <w:t xml:space="preserve"> are available in t</w:t>
      </w:r>
      <w:r w:rsidR="007D036A">
        <w:t>able</w:t>
      </w:r>
      <w:r w:rsidR="002C603B">
        <w:t>s</w:t>
      </w:r>
      <w:r w:rsidR="007D036A">
        <w:t xml:space="preserve"> </w:t>
      </w:r>
      <w:proofErr w:type="spellStart"/>
      <w:r w:rsidR="000F15E6">
        <w:t>12A</w:t>
      </w:r>
      <w:r w:rsidR="007D036A">
        <w:t>.</w:t>
      </w:r>
      <w:r w:rsidR="00436F93">
        <w:t>53</w:t>
      </w:r>
      <w:proofErr w:type="spellEnd"/>
      <w:r w:rsidR="002C603B">
        <w:t xml:space="preserve"> (nursing) and </w:t>
      </w:r>
      <w:proofErr w:type="spellStart"/>
      <w:r w:rsidR="000F15E6">
        <w:t>12A</w:t>
      </w:r>
      <w:r w:rsidR="002C603B">
        <w:t>.</w:t>
      </w:r>
      <w:r w:rsidR="00436F93">
        <w:t>55</w:t>
      </w:r>
      <w:proofErr w:type="spellEnd"/>
      <w:r w:rsidR="002C603B">
        <w:t xml:space="preserve"> (medical practitioner)</w:t>
      </w:r>
      <w:r w:rsidR="007D036A">
        <w:t>.</w:t>
      </w:r>
    </w:p>
    <w:p w14:paraId="18A5F0FC" w14:textId="496BFE03" w:rsidR="00A376A3" w:rsidRDefault="00A376A3" w:rsidP="00A376A3">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376A3" w14:paraId="6B014F40" w14:textId="77777777" w:rsidTr="005656A9">
        <w:tc>
          <w:tcPr>
            <w:tcW w:w="8789" w:type="dxa"/>
            <w:tcBorders>
              <w:top w:val="single" w:sz="6" w:space="0" w:color="78A22F"/>
              <w:left w:val="nil"/>
              <w:bottom w:val="nil"/>
              <w:right w:val="nil"/>
            </w:tcBorders>
            <w:shd w:val="clear" w:color="auto" w:fill="auto"/>
          </w:tcPr>
          <w:p w14:paraId="311AC4EC" w14:textId="7531003D" w:rsidR="00A376A3" w:rsidRPr="00176D3F" w:rsidRDefault="00A376A3" w:rsidP="003D3C68">
            <w:pPr>
              <w:pStyle w:val="FigureTitle"/>
            </w:pPr>
            <w:r w:rsidRPr="00784A05">
              <w:rPr>
                <w:b w:val="0"/>
              </w:rPr>
              <w:t xml:space="preserve">Figure </w:t>
            </w:r>
            <w:r w:rsidR="002B5085">
              <w:rPr>
                <w:b w:val="0"/>
              </w:rPr>
              <w:t>12.</w:t>
            </w:r>
            <w:r w:rsidR="007F3144">
              <w:rPr>
                <w:b w:val="0"/>
                <w:noProof/>
              </w:rPr>
              <w:t>9</w:t>
            </w:r>
            <w:r>
              <w:tab/>
            </w:r>
            <w:r w:rsidRPr="00A376A3">
              <w:t>Nursing workforce</w:t>
            </w:r>
            <w:r w:rsidR="00D8436C">
              <w:t xml:space="preserve"> </w:t>
            </w:r>
            <w:r w:rsidR="00D8436C" w:rsidRPr="00F2288F">
              <w:t>(includes midwives)</w:t>
            </w:r>
            <w:r w:rsidRPr="00F2288F">
              <w:t>,</w:t>
            </w:r>
            <w:r w:rsidRPr="00A376A3">
              <w:t xml:space="preserve"> by age group, 201</w:t>
            </w:r>
            <w:r w:rsidR="003D3C68">
              <w:t>6</w:t>
            </w:r>
            <w:r w:rsidR="00513091">
              <w:rPr>
                <w:rStyle w:val="NoteLabel"/>
                <w:b/>
                <w:szCs w:val="20"/>
              </w:rPr>
              <w:t>a</w:t>
            </w:r>
          </w:p>
        </w:tc>
      </w:tr>
      <w:tr w:rsidR="00A376A3" w14:paraId="4927453B" w14:textId="77777777" w:rsidTr="005656A9">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825BA0" w14:paraId="34122F9F" w14:textId="77777777" w:rsidTr="00A376A3">
              <w:trPr>
                <w:jc w:val="center"/>
              </w:trPr>
              <w:tc>
                <w:tcPr>
                  <w:tcW w:w="5000" w:type="pct"/>
                  <w:tcBorders>
                    <w:top w:val="nil"/>
                    <w:bottom w:val="nil"/>
                  </w:tcBorders>
                </w:tcPr>
                <w:p w14:paraId="2C4A28F6" w14:textId="3E0D2E30" w:rsidR="00825BA0" w:rsidRDefault="00FD711B" w:rsidP="00A376A3">
                  <w:pPr>
                    <w:pStyle w:val="Figure"/>
                    <w:spacing w:before="60" w:after="60"/>
                  </w:pPr>
                  <w:r>
                    <w:rPr>
                      <w:noProof/>
                    </w:rPr>
                    <w:drawing>
                      <wp:inline distT="0" distB="0" distL="0" distR="0" wp14:anchorId="635CD8B7" wp14:editId="42AA0656">
                        <wp:extent cx="5335905" cy="2514600"/>
                        <wp:effectExtent l="0" t="0" r="0" b="0"/>
                        <wp:docPr id="10" name="Picture 10" descr="More details can be found within the text surrounding this image." title="Figure 12.9 Nursing workforce (includes midwives), by age group,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5905" cy="2514600"/>
                                </a:xfrm>
                                <a:prstGeom prst="rect">
                                  <a:avLst/>
                                </a:prstGeom>
                                <a:noFill/>
                                <a:ln>
                                  <a:noFill/>
                                </a:ln>
                              </pic:spPr>
                            </pic:pic>
                          </a:graphicData>
                        </a:graphic>
                      </wp:inline>
                    </w:drawing>
                  </w:r>
                </w:p>
              </w:tc>
            </w:tr>
          </w:tbl>
          <w:p w14:paraId="38B9C0D4" w14:textId="77777777" w:rsidR="00A376A3" w:rsidRDefault="00A376A3" w:rsidP="00A376A3">
            <w:pPr>
              <w:pStyle w:val="Figure"/>
            </w:pPr>
          </w:p>
        </w:tc>
      </w:tr>
      <w:tr w:rsidR="00A376A3" w:rsidRPr="00176D3F" w14:paraId="11193F38" w14:textId="77777777" w:rsidTr="005656A9">
        <w:tc>
          <w:tcPr>
            <w:tcW w:w="8789" w:type="dxa"/>
            <w:tcBorders>
              <w:top w:val="nil"/>
              <w:left w:val="nil"/>
              <w:bottom w:val="nil"/>
              <w:right w:val="nil"/>
            </w:tcBorders>
            <w:shd w:val="clear" w:color="auto" w:fill="auto"/>
          </w:tcPr>
          <w:p w14:paraId="0297B577" w14:textId="5328BC61" w:rsidR="00A376A3" w:rsidRPr="00176D3F" w:rsidRDefault="00A376A3" w:rsidP="00041F64">
            <w:pPr>
              <w:pStyle w:val="Note"/>
            </w:pPr>
            <w:r>
              <w:rPr>
                <w:rStyle w:val="NoteLabel"/>
              </w:rPr>
              <w:t>a</w:t>
            </w:r>
            <w:r w:rsidRPr="00A376A3">
              <w:t xml:space="preserve"> </w:t>
            </w:r>
            <w:r w:rsidR="00513091" w:rsidRPr="00477C9C">
              <w:t xml:space="preserve">See </w:t>
            </w:r>
            <w:r w:rsidR="00CB3FA6" w:rsidRPr="00477C9C">
              <w:t xml:space="preserve">box </w:t>
            </w:r>
            <w:r w:rsidR="000F15E6">
              <w:t>12.</w:t>
            </w:r>
            <w:r w:rsidR="00513091">
              <w:t>1</w:t>
            </w:r>
            <w:r w:rsidR="00041F64">
              <w:t>3</w:t>
            </w:r>
            <w:r w:rsidR="00513091" w:rsidRPr="00477C9C">
              <w:t xml:space="preserve"> and table </w:t>
            </w:r>
            <w:proofErr w:type="spellStart"/>
            <w:r w:rsidR="000F15E6">
              <w:t>12A</w:t>
            </w:r>
            <w:r w:rsidR="00513091" w:rsidRPr="00477C9C">
              <w:t>.</w:t>
            </w:r>
            <w:r w:rsidR="00436F93">
              <w:t>53</w:t>
            </w:r>
            <w:proofErr w:type="spellEnd"/>
            <w:r w:rsidR="00513091" w:rsidRPr="00477C9C">
              <w:t xml:space="preserve"> for detailed </w:t>
            </w:r>
            <w:r w:rsidR="00536DD1" w:rsidRPr="00536DD1">
              <w:t xml:space="preserve">definitions, footnotes and </w:t>
            </w:r>
            <w:r w:rsidR="00513091" w:rsidRPr="00477C9C">
              <w:t>caveats.</w:t>
            </w:r>
          </w:p>
        </w:tc>
      </w:tr>
      <w:tr w:rsidR="00A376A3" w:rsidRPr="00176D3F" w14:paraId="26A33B4D" w14:textId="77777777" w:rsidTr="005656A9">
        <w:tc>
          <w:tcPr>
            <w:tcW w:w="8789" w:type="dxa"/>
            <w:tcBorders>
              <w:top w:val="nil"/>
              <w:left w:val="nil"/>
              <w:bottom w:val="nil"/>
              <w:right w:val="nil"/>
            </w:tcBorders>
            <w:shd w:val="clear" w:color="auto" w:fill="auto"/>
          </w:tcPr>
          <w:p w14:paraId="109B0889" w14:textId="77777777" w:rsidR="00A376A3" w:rsidRPr="00176D3F" w:rsidRDefault="00A376A3" w:rsidP="00436F93">
            <w:pPr>
              <w:pStyle w:val="Source"/>
            </w:pPr>
            <w:r>
              <w:rPr>
                <w:i/>
              </w:rPr>
              <w:t>S</w:t>
            </w:r>
            <w:r w:rsidRPr="00784A05">
              <w:rPr>
                <w:i/>
              </w:rPr>
              <w:t>ource</w:t>
            </w:r>
            <w:r w:rsidRPr="00176D3F">
              <w:t xml:space="preserve">: </w:t>
            </w:r>
            <w:r w:rsidRPr="00A376A3">
              <w:t xml:space="preserve">AIHW (unpublished) National Health Workforce Data Set; table </w:t>
            </w:r>
            <w:proofErr w:type="spellStart"/>
            <w:r w:rsidR="000F15E6">
              <w:t>12A</w:t>
            </w:r>
            <w:r w:rsidRPr="00A376A3">
              <w:t>.</w:t>
            </w:r>
            <w:r w:rsidR="00436F93">
              <w:t>53</w:t>
            </w:r>
            <w:proofErr w:type="spellEnd"/>
            <w:r w:rsidRPr="00A376A3">
              <w:t>.</w:t>
            </w:r>
          </w:p>
        </w:tc>
      </w:tr>
      <w:tr w:rsidR="00A376A3" w14:paraId="6A3C833D" w14:textId="77777777" w:rsidTr="005656A9">
        <w:tc>
          <w:tcPr>
            <w:tcW w:w="8789" w:type="dxa"/>
            <w:tcBorders>
              <w:top w:val="nil"/>
              <w:left w:val="nil"/>
              <w:bottom w:val="single" w:sz="6" w:space="0" w:color="78A22F"/>
              <w:right w:val="nil"/>
            </w:tcBorders>
            <w:shd w:val="clear" w:color="auto" w:fill="auto"/>
          </w:tcPr>
          <w:p w14:paraId="5F26B00B" w14:textId="77777777" w:rsidR="00A376A3" w:rsidRDefault="00A376A3" w:rsidP="00A376A3">
            <w:pPr>
              <w:pStyle w:val="Figurespace"/>
            </w:pPr>
          </w:p>
        </w:tc>
      </w:tr>
      <w:tr w:rsidR="00A376A3" w:rsidRPr="000863A5" w14:paraId="0DC07B95" w14:textId="77777777" w:rsidTr="005656A9">
        <w:tc>
          <w:tcPr>
            <w:tcW w:w="8789" w:type="dxa"/>
            <w:tcBorders>
              <w:top w:val="single" w:sz="6" w:space="0" w:color="78A22F"/>
              <w:left w:val="nil"/>
              <w:bottom w:val="nil"/>
              <w:right w:val="nil"/>
            </w:tcBorders>
          </w:tcPr>
          <w:p w14:paraId="2E83B4EC" w14:textId="4EFC8CA3" w:rsidR="00A376A3" w:rsidRPr="00626D32" w:rsidRDefault="00A376A3" w:rsidP="00A376A3">
            <w:pPr>
              <w:pStyle w:val="BoxSpaceBelow"/>
            </w:pPr>
          </w:p>
        </w:tc>
      </w:tr>
    </w:tbl>
    <w:p w14:paraId="2C51BF4C" w14:textId="6ACCAD23" w:rsidR="0025242A" w:rsidRDefault="0025242A" w:rsidP="001818F8">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25242A" w14:paraId="325A56E4" w14:textId="77777777" w:rsidTr="005656A9">
        <w:tc>
          <w:tcPr>
            <w:tcW w:w="8789" w:type="dxa"/>
            <w:tcBorders>
              <w:top w:val="single" w:sz="6" w:space="0" w:color="78A22F"/>
              <w:left w:val="nil"/>
              <w:bottom w:val="nil"/>
              <w:right w:val="nil"/>
            </w:tcBorders>
            <w:shd w:val="clear" w:color="auto" w:fill="auto"/>
          </w:tcPr>
          <w:p w14:paraId="57249AFA" w14:textId="3BE56065" w:rsidR="0025242A" w:rsidRPr="00176D3F" w:rsidRDefault="0025242A" w:rsidP="003D3C68">
            <w:pPr>
              <w:pStyle w:val="FigureTitle"/>
            </w:pPr>
            <w:r w:rsidRPr="00784A05">
              <w:rPr>
                <w:b w:val="0"/>
              </w:rPr>
              <w:t xml:space="preserve">Figure </w:t>
            </w:r>
            <w:r w:rsidR="002B5085">
              <w:rPr>
                <w:b w:val="0"/>
              </w:rPr>
              <w:t>12.</w:t>
            </w:r>
            <w:r w:rsidR="007F3144">
              <w:rPr>
                <w:b w:val="0"/>
                <w:noProof/>
              </w:rPr>
              <w:t>10</w:t>
            </w:r>
            <w:r>
              <w:tab/>
            </w:r>
            <w:r w:rsidRPr="0025242A">
              <w:t>Medical practitioner workforce, by age group, 201</w:t>
            </w:r>
            <w:r w:rsidR="003D3C68">
              <w:t>6</w:t>
            </w:r>
            <w:r w:rsidR="00A810C6">
              <w:rPr>
                <w:rStyle w:val="NoteLabel"/>
                <w:b/>
                <w:szCs w:val="20"/>
              </w:rPr>
              <w:t>a</w:t>
            </w:r>
          </w:p>
        </w:tc>
      </w:tr>
      <w:tr w:rsidR="0025242A" w14:paraId="0C19DF4E" w14:textId="77777777" w:rsidTr="005656A9">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825BA0" w14:paraId="5944570B" w14:textId="77777777" w:rsidTr="007D422B">
              <w:trPr>
                <w:jc w:val="center"/>
              </w:trPr>
              <w:tc>
                <w:tcPr>
                  <w:tcW w:w="5000" w:type="pct"/>
                  <w:tcBorders>
                    <w:top w:val="nil"/>
                    <w:bottom w:val="nil"/>
                  </w:tcBorders>
                </w:tcPr>
                <w:p w14:paraId="4EC43C26" w14:textId="6DE66C92" w:rsidR="00825BA0" w:rsidRDefault="00FD711B" w:rsidP="00980FDB">
                  <w:pPr>
                    <w:pStyle w:val="Figure"/>
                    <w:keepLines/>
                    <w:spacing w:before="60" w:after="60"/>
                  </w:pPr>
                  <w:r>
                    <w:rPr>
                      <w:noProof/>
                    </w:rPr>
                    <w:drawing>
                      <wp:inline distT="0" distB="0" distL="0" distR="0" wp14:anchorId="0BEDBDF9" wp14:editId="26B5A6E9">
                        <wp:extent cx="5335905" cy="2442210"/>
                        <wp:effectExtent l="0" t="0" r="0" b="0"/>
                        <wp:docPr id="11" name="Picture 11" descr="More details can be found within the text surrounding this image." title="Figure 12.10 Medical practitioner workforce, by age group,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5905" cy="2442210"/>
                                </a:xfrm>
                                <a:prstGeom prst="rect">
                                  <a:avLst/>
                                </a:prstGeom>
                                <a:noFill/>
                                <a:ln>
                                  <a:noFill/>
                                </a:ln>
                              </pic:spPr>
                            </pic:pic>
                          </a:graphicData>
                        </a:graphic>
                      </wp:inline>
                    </w:drawing>
                  </w:r>
                </w:p>
              </w:tc>
            </w:tr>
          </w:tbl>
          <w:p w14:paraId="2DCC27A6" w14:textId="77777777" w:rsidR="0025242A" w:rsidRDefault="0025242A" w:rsidP="00980FDB">
            <w:pPr>
              <w:pStyle w:val="Figure"/>
              <w:keepLines/>
            </w:pPr>
          </w:p>
        </w:tc>
      </w:tr>
      <w:tr w:rsidR="0025242A" w:rsidRPr="00176D3F" w14:paraId="0A7C8475" w14:textId="77777777" w:rsidTr="005656A9">
        <w:tc>
          <w:tcPr>
            <w:tcW w:w="8789" w:type="dxa"/>
            <w:tcBorders>
              <w:top w:val="nil"/>
              <w:left w:val="nil"/>
              <w:bottom w:val="nil"/>
              <w:right w:val="nil"/>
            </w:tcBorders>
            <w:shd w:val="clear" w:color="auto" w:fill="auto"/>
          </w:tcPr>
          <w:p w14:paraId="57985833" w14:textId="2742BB04" w:rsidR="0025242A" w:rsidRPr="00176D3F" w:rsidRDefault="0025242A" w:rsidP="00041F64">
            <w:pPr>
              <w:pStyle w:val="Note"/>
              <w:keepNext/>
            </w:pPr>
            <w:r>
              <w:rPr>
                <w:rStyle w:val="NoteLabel"/>
              </w:rPr>
              <w:t>a</w:t>
            </w:r>
            <w:r>
              <w:t xml:space="preserve"> </w:t>
            </w:r>
            <w:r w:rsidR="00A810C6" w:rsidRPr="00A810C6">
              <w:t xml:space="preserve">See </w:t>
            </w:r>
            <w:r w:rsidR="00CB3FA6" w:rsidRPr="00A810C6">
              <w:t xml:space="preserve">box </w:t>
            </w:r>
            <w:r w:rsidR="000F15E6">
              <w:t>12.</w:t>
            </w:r>
            <w:r w:rsidR="00A810C6">
              <w:t>1</w:t>
            </w:r>
            <w:r w:rsidR="00041F64">
              <w:t>3</w:t>
            </w:r>
            <w:r w:rsidR="00A810C6" w:rsidRPr="00A810C6">
              <w:t xml:space="preserve"> and table </w:t>
            </w:r>
            <w:proofErr w:type="spellStart"/>
            <w:r w:rsidR="000F15E6">
              <w:t>12A</w:t>
            </w:r>
            <w:r w:rsidR="00A810C6" w:rsidRPr="00A810C6">
              <w:t>.</w:t>
            </w:r>
            <w:r w:rsidR="00436F93">
              <w:t>55</w:t>
            </w:r>
            <w:proofErr w:type="spellEnd"/>
            <w:r w:rsidR="00A810C6" w:rsidRPr="00A810C6">
              <w:t xml:space="preserve"> for detailed </w:t>
            </w:r>
            <w:r w:rsidR="00536DD1" w:rsidRPr="00536DD1">
              <w:t xml:space="preserve">definitions, footnotes and </w:t>
            </w:r>
            <w:r w:rsidR="00A810C6" w:rsidRPr="00A810C6">
              <w:t>caveats.</w:t>
            </w:r>
          </w:p>
        </w:tc>
      </w:tr>
      <w:tr w:rsidR="0025242A" w:rsidRPr="00176D3F" w14:paraId="16C8A620" w14:textId="77777777" w:rsidTr="005656A9">
        <w:tc>
          <w:tcPr>
            <w:tcW w:w="8789" w:type="dxa"/>
            <w:tcBorders>
              <w:top w:val="nil"/>
              <w:left w:val="nil"/>
              <w:bottom w:val="nil"/>
              <w:right w:val="nil"/>
            </w:tcBorders>
            <w:shd w:val="clear" w:color="auto" w:fill="auto"/>
          </w:tcPr>
          <w:p w14:paraId="65F22D81" w14:textId="77777777" w:rsidR="0025242A" w:rsidRPr="00176D3F" w:rsidRDefault="0025242A" w:rsidP="00436F93">
            <w:pPr>
              <w:pStyle w:val="Source"/>
              <w:keepNext/>
            </w:pPr>
            <w:r>
              <w:rPr>
                <w:i/>
              </w:rPr>
              <w:t>S</w:t>
            </w:r>
            <w:r w:rsidRPr="00784A05">
              <w:rPr>
                <w:i/>
              </w:rPr>
              <w:t>ource</w:t>
            </w:r>
            <w:r w:rsidRPr="00176D3F">
              <w:t xml:space="preserve">: </w:t>
            </w:r>
            <w:r w:rsidRPr="0025242A">
              <w:t xml:space="preserve">AIHW (unpublished) National Health Workforce Data Set; table </w:t>
            </w:r>
            <w:proofErr w:type="spellStart"/>
            <w:r w:rsidR="000F15E6">
              <w:t>12A</w:t>
            </w:r>
            <w:r w:rsidRPr="0025242A">
              <w:t>.</w:t>
            </w:r>
            <w:r w:rsidR="00436F93">
              <w:t>55</w:t>
            </w:r>
            <w:proofErr w:type="spellEnd"/>
            <w:r w:rsidRPr="0025242A">
              <w:t>.</w:t>
            </w:r>
          </w:p>
        </w:tc>
      </w:tr>
      <w:tr w:rsidR="0025242A" w14:paraId="6C6EECCF" w14:textId="77777777" w:rsidTr="005656A9">
        <w:tc>
          <w:tcPr>
            <w:tcW w:w="8789" w:type="dxa"/>
            <w:tcBorders>
              <w:top w:val="nil"/>
              <w:left w:val="nil"/>
              <w:bottom w:val="single" w:sz="6" w:space="0" w:color="78A22F"/>
              <w:right w:val="nil"/>
            </w:tcBorders>
            <w:shd w:val="clear" w:color="auto" w:fill="auto"/>
          </w:tcPr>
          <w:p w14:paraId="2A99E18F" w14:textId="77777777" w:rsidR="0025242A" w:rsidRDefault="0025242A" w:rsidP="00980FDB">
            <w:pPr>
              <w:pStyle w:val="Figurespace"/>
              <w:keepLines/>
            </w:pPr>
          </w:p>
        </w:tc>
      </w:tr>
      <w:tr w:rsidR="0025242A" w:rsidRPr="000863A5" w14:paraId="1C3A149E" w14:textId="77777777" w:rsidTr="005656A9">
        <w:tc>
          <w:tcPr>
            <w:tcW w:w="8789" w:type="dxa"/>
            <w:tcBorders>
              <w:top w:val="single" w:sz="6" w:space="0" w:color="78A22F"/>
              <w:left w:val="nil"/>
              <w:bottom w:val="nil"/>
              <w:right w:val="nil"/>
            </w:tcBorders>
          </w:tcPr>
          <w:p w14:paraId="767FB470" w14:textId="491B027D" w:rsidR="0025242A" w:rsidRPr="00626D32" w:rsidRDefault="0025242A" w:rsidP="00D63C8E">
            <w:pPr>
              <w:pStyle w:val="BoxSpaceBelow"/>
              <w:rPr>
                <w:i/>
              </w:rPr>
            </w:pPr>
          </w:p>
        </w:tc>
      </w:tr>
    </w:tbl>
    <w:p w14:paraId="7B35A279" w14:textId="77777777" w:rsidR="00B76A15" w:rsidRDefault="00B76A15" w:rsidP="00B76A15">
      <w:pPr>
        <w:pStyle w:val="Heading3"/>
      </w:pPr>
      <w:r w:rsidRPr="00B52C5D">
        <w:lastRenderedPageBreak/>
        <w:t>Efficiency</w:t>
      </w:r>
    </w:p>
    <w:p w14:paraId="53A6FB2F" w14:textId="77777777" w:rsidR="0040352A" w:rsidRDefault="00B76A15" w:rsidP="0040352A">
      <w:pPr>
        <w:pStyle w:val="Heading4"/>
      </w:pPr>
      <w:r>
        <w:t>C</w:t>
      </w:r>
      <w:r w:rsidR="0040352A" w:rsidRPr="0040352A">
        <w:t xml:space="preserve">ost per </w:t>
      </w:r>
      <w:r w:rsidR="00F32B70">
        <w:t>admitted patient</w:t>
      </w:r>
      <w:r w:rsidR="003B3292">
        <w:t xml:space="preserve"> </w:t>
      </w:r>
      <w:r w:rsidR="003B3292" w:rsidRPr="00B3446C">
        <w:t>separation</w:t>
      </w:r>
    </w:p>
    <w:p w14:paraId="47FF2466" w14:textId="77777777" w:rsidR="0025242A" w:rsidRDefault="0025242A" w:rsidP="0025242A">
      <w:pPr>
        <w:pStyle w:val="BodyText"/>
      </w:pPr>
      <w:r>
        <w:t xml:space="preserve">‘Cost per </w:t>
      </w:r>
      <w:r w:rsidR="00F32B70">
        <w:t>admitted patient</w:t>
      </w:r>
      <w:r>
        <w:t xml:space="preserve"> </w:t>
      </w:r>
      <w:r w:rsidR="003B3292" w:rsidRPr="00B3446C">
        <w:t>separation</w:t>
      </w:r>
      <w:r w:rsidR="00446C60">
        <w:t>’</w:t>
      </w:r>
      <w:r w:rsidR="003B3292">
        <w:t xml:space="preserve"> </w:t>
      </w:r>
      <w:r>
        <w:t>is an indicator of governments’ obj</w:t>
      </w:r>
      <w:r w:rsidR="00BC6697">
        <w:t xml:space="preserve">ective to deliver services in an efficient </w:t>
      </w:r>
      <w:r>
        <w:t xml:space="preserve">manner (box </w:t>
      </w:r>
      <w:r w:rsidR="000F15E6">
        <w:t>12.</w:t>
      </w:r>
      <w:r>
        <w:t>1</w:t>
      </w:r>
      <w:r w:rsidR="003D3C97">
        <w:t>4</w:t>
      </w:r>
      <w:r>
        <w:t>).</w:t>
      </w:r>
      <w:r w:rsidR="00C23AF1">
        <w:t xml:space="preserve"> </w:t>
      </w:r>
    </w:p>
    <w:p w14:paraId="22242D3B" w14:textId="2C3B491B" w:rsidR="00695469" w:rsidRDefault="00695469" w:rsidP="00695469">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695469" w14:paraId="3D2A5BC8" w14:textId="77777777" w:rsidTr="005656A9">
        <w:tc>
          <w:tcPr>
            <w:tcW w:w="8789" w:type="dxa"/>
            <w:tcBorders>
              <w:top w:val="single" w:sz="6" w:space="0" w:color="78A22F"/>
              <w:left w:val="nil"/>
              <w:bottom w:val="nil"/>
              <w:right w:val="nil"/>
            </w:tcBorders>
            <w:shd w:val="clear" w:color="auto" w:fill="F2F2F2"/>
          </w:tcPr>
          <w:p w14:paraId="60E7F18B" w14:textId="2C8016BF" w:rsidR="00695469" w:rsidRDefault="00695469" w:rsidP="00695469">
            <w:pPr>
              <w:pStyle w:val="BoxTitle"/>
            </w:pPr>
            <w:r>
              <w:rPr>
                <w:b w:val="0"/>
              </w:rPr>
              <w:t xml:space="preserve">Box </w:t>
            </w:r>
            <w:r w:rsidR="003D3C97">
              <w:rPr>
                <w:b w:val="0"/>
              </w:rPr>
              <w:t>12.</w:t>
            </w:r>
            <w:r w:rsidR="007F3144">
              <w:rPr>
                <w:b w:val="0"/>
                <w:noProof/>
              </w:rPr>
              <w:t>14</w:t>
            </w:r>
            <w:r>
              <w:tab/>
            </w:r>
            <w:r w:rsidRPr="0025242A">
              <w:t xml:space="preserve">Cost per </w:t>
            </w:r>
            <w:r>
              <w:t xml:space="preserve">admitted patient </w:t>
            </w:r>
            <w:r w:rsidRPr="00B3446C">
              <w:t>separation</w:t>
            </w:r>
          </w:p>
        </w:tc>
      </w:tr>
      <w:tr w:rsidR="005656A9" w14:paraId="7DE12C68" w14:textId="77777777" w:rsidTr="00F10ED8">
        <w:trPr>
          <w:cantSplit/>
          <w:trHeight w:val="9940"/>
        </w:trPr>
        <w:tc>
          <w:tcPr>
            <w:tcW w:w="8789" w:type="dxa"/>
            <w:tcBorders>
              <w:top w:val="nil"/>
              <w:left w:val="nil"/>
              <w:right w:val="nil"/>
            </w:tcBorders>
            <w:shd w:val="clear" w:color="auto" w:fill="F2F2F2"/>
          </w:tcPr>
          <w:p w14:paraId="1D0FCBEB" w14:textId="77777777" w:rsidR="005656A9" w:rsidRPr="00F2548B" w:rsidRDefault="005656A9" w:rsidP="00695469">
            <w:pPr>
              <w:pStyle w:val="Box"/>
            </w:pPr>
            <w:r w:rsidRPr="00F2548B">
              <w:t xml:space="preserve">‘Cost per </w:t>
            </w:r>
            <w:r>
              <w:t xml:space="preserve">admitted </w:t>
            </w:r>
            <w:r w:rsidRPr="00B3446C">
              <w:t>patient separation</w:t>
            </w:r>
            <w:r>
              <w:t xml:space="preserve">’ </w:t>
            </w:r>
            <w:r w:rsidRPr="00F2548B">
              <w:t>is defined by the following two measures:</w:t>
            </w:r>
          </w:p>
          <w:p w14:paraId="020EBC0F" w14:textId="26937E57" w:rsidR="005656A9" w:rsidRPr="00F2548B" w:rsidRDefault="005656A9" w:rsidP="00695469">
            <w:pPr>
              <w:pStyle w:val="BoxListBullet"/>
            </w:pPr>
            <w:r w:rsidRPr="00F2548B">
              <w:t xml:space="preserve">Recurrent cost per </w:t>
            </w:r>
            <w:r w:rsidRPr="00B3446C">
              <w:t>weighted</w:t>
            </w:r>
            <w:r w:rsidRPr="00F2548B">
              <w:t xml:space="preserve"> separation</w:t>
            </w:r>
          </w:p>
          <w:p w14:paraId="0A513C15" w14:textId="036291EC" w:rsidR="005656A9" w:rsidRPr="00F2548B" w:rsidRDefault="005656A9" w:rsidP="00695469">
            <w:pPr>
              <w:pStyle w:val="BoxListBullet"/>
            </w:pPr>
            <w:r w:rsidRPr="00F2548B">
              <w:t xml:space="preserve">Capital cost per </w:t>
            </w:r>
            <w:r>
              <w:t xml:space="preserve">weighted </w:t>
            </w:r>
            <w:r w:rsidRPr="00F2548B">
              <w:t>separation.</w:t>
            </w:r>
          </w:p>
          <w:p w14:paraId="697AA0AF" w14:textId="77777777" w:rsidR="005656A9" w:rsidRPr="00F2548B" w:rsidRDefault="005656A9" w:rsidP="00695469">
            <w:pPr>
              <w:pStyle w:val="Box"/>
            </w:pPr>
            <w:r w:rsidRPr="00F2548B">
              <w:t xml:space="preserve">A low or decreasing recurrent cost per </w:t>
            </w:r>
            <w:r w:rsidRPr="00B3446C">
              <w:t>weighted</w:t>
            </w:r>
            <w:r w:rsidRPr="00F2548B">
              <w:t xml:space="preserve"> separation or capital cost per </w:t>
            </w:r>
            <w:r>
              <w:t xml:space="preserve">weighted </w:t>
            </w:r>
            <w:r w:rsidRPr="00F2548B">
              <w:t>separation can reflect more efficient service delivery in public hospitals. However, this indicator needs to be viewed in the context of the set of performance indicators as a whole, as decreasing cost could also be associated with decreasing quality and effectiveness.</w:t>
            </w:r>
          </w:p>
          <w:p w14:paraId="20734D1B" w14:textId="77777777" w:rsidR="005656A9" w:rsidRPr="00F2548B" w:rsidRDefault="005656A9" w:rsidP="00695469">
            <w:pPr>
              <w:pStyle w:val="BoxHeading2"/>
            </w:pPr>
            <w:r w:rsidRPr="00F2548B">
              <w:t xml:space="preserve">Recurrent cost </w:t>
            </w:r>
            <w:r w:rsidRPr="00B3446C">
              <w:t>per weighted separation</w:t>
            </w:r>
          </w:p>
          <w:p w14:paraId="24A4F340" w14:textId="77777777" w:rsidR="005656A9" w:rsidRPr="00F2548B" w:rsidRDefault="005656A9" w:rsidP="003D3C68">
            <w:pPr>
              <w:pStyle w:val="Box"/>
            </w:pPr>
            <w:r w:rsidRPr="0090622A">
              <w:t xml:space="preserve">‘Recurrent cost per weighted separation’ is the average cost of providing care for an admitted patient (overnight stay or same day) adjusted for </w:t>
            </w:r>
            <w:proofErr w:type="spellStart"/>
            <w:r w:rsidRPr="0090622A">
              <w:t>casemix</w:t>
            </w:r>
            <w:proofErr w:type="spellEnd"/>
            <w:r w:rsidRPr="0090622A">
              <w:t xml:space="preserve">. </w:t>
            </w:r>
            <w:proofErr w:type="spellStart"/>
            <w:r w:rsidRPr="0090622A">
              <w:t>Casemix</w:t>
            </w:r>
            <w:proofErr w:type="spellEnd"/>
            <w:r w:rsidRPr="0090622A">
              <w:t xml:space="preserve"> adjustment takes account of variation in the relative complexity of the patient’s clinical condition and of the hospital services provided, but not other</w:t>
            </w:r>
            <w:r>
              <w:t xml:space="preserve"> influences on length of stay. </w:t>
            </w:r>
          </w:p>
          <w:p w14:paraId="6714A461" w14:textId="77777777" w:rsidR="005656A9" w:rsidRPr="0090622A" w:rsidRDefault="005656A9" w:rsidP="008D09E6">
            <w:pPr>
              <w:pStyle w:val="Box"/>
            </w:pPr>
            <w:r w:rsidRPr="0090622A">
              <w:t>Data reported for this measure are:</w:t>
            </w:r>
          </w:p>
          <w:p w14:paraId="1DF31E0B" w14:textId="77777777" w:rsidR="005656A9" w:rsidRPr="00F2548B" w:rsidRDefault="005656A9" w:rsidP="00D2691D">
            <w:pPr>
              <w:pStyle w:val="BoxListBullet"/>
            </w:pPr>
            <w:r w:rsidRPr="00F2548B">
              <w:t xml:space="preserve">comparable (subject to caveats) across jurisdictions </w:t>
            </w:r>
          </w:p>
          <w:p w14:paraId="12D448B1" w14:textId="77777777" w:rsidR="005656A9" w:rsidRPr="00F2548B" w:rsidRDefault="005656A9" w:rsidP="008D09E6">
            <w:pPr>
              <w:pStyle w:val="BoxListBullet"/>
            </w:pPr>
            <w:r w:rsidRPr="00F2548B">
              <w:t>complete (subject to caveats) for the current reporting period. All required 201</w:t>
            </w:r>
            <w:r>
              <w:t>5</w:t>
            </w:r>
            <w:r w:rsidRPr="00F2548B">
              <w:t>-1</w:t>
            </w:r>
            <w:r>
              <w:t>6</w:t>
            </w:r>
            <w:r w:rsidRPr="00F2548B">
              <w:t xml:space="preserve"> data are available for all jurisdictions.</w:t>
            </w:r>
          </w:p>
          <w:p w14:paraId="74F566B8" w14:textId="77777777" w:rsidR="005656A9" w:rsidRPr="00F2548B" w:rsidRDefault="005656A9" w:rsidP="002C603B">
            <w:pPr>
              <w:pStyle w:val="BoxHeading2"/>
            </w:pPr>
            <w:r w:rsidRPr="00F2548B">
              <w:t xml:space="preserve">Capital cost per </w:t>
            </w:r>
            <w:r>
              <w:t xml:space="preserve">weighted </w:t>
            </w:r>
            <w:r w:rsidRPr="00F2548B">
              <w:t>separation</w:t>
            </w:r>
          </w:p>
          <w:p w14:paraId="0572986F" w14:textId="77777777" w:rsidR="005656A9" w:rsidRPr="00F2548B" w:rsidRDefault="005656A9" w:rsidP="002C603B">
            <w:pPr>
              <w:pStyle w:val="Box"/>
            </w:pPr>
            <w:r w:rsidRPr="00F2548B">
              <w:t xml:space="preserve">‘Capital cost per </w:t>
            </w:r>
            <w:r>
              <w:t xml:space="preserve">weighted </w:t>
            </w:r>
            <w:r w:rsidRPr="00F2548B">
              <w:t xml:space="preserve">separation’ is calculated as </w:t>
            </w:r>
            <w:r>
              <w:t xml:space="preserve">the user cost of </w:t>
            </w:r>
            <w:r w:rsidRPr="00F2548B">
              <w:t>capital</w:t>
            </w:r>
            <w:r>
              <w:t xml:space="preserve"> (calculated as 8 per cent of the value of non-current physical assets including buildings and equipment but excluding land) plus depreciation,</w:t>
            </w:r>
            <w:r w:rsidRPr="00F2548B">
              <w:t xml:space="preserve"> divided by the number of </w:t>
            </w:r>
            <w:r>
              <w:t xml:space="preserve">weighted </w:t>
            </w:r>
            <w:r w:rsidRPr="00F2548B">
              <w:t xml:space="preserve">separations. </w:t>
            </w:r>
          </w:p>
          <w:p w14:paraId="184E89E8" w14:textId="77777777" w:rsidR="005656A9" w:rsidRPr="00F2548B" w:rsidRDefault="005656A9" w:rsidP="00D63C8E">
            <w:pPr>
              <w:pStyle w:val="Box"/>
            </w:pPr>
            <w:r w:rsidRPr="00F2548B">
              <w:t>This measure allows the full cost of hospital services to be considered. Depreciation is defined as the cost of consuming an asset’s services. It is measured by the reduction in value of an asset over the financial year. The user cost of capital is the opportunity cost of the capital invested in an asset, and is equivalent to the return foregone from not using the funds to deliver other services or to retire debt. Interest payments represent a user cost of capital, so are deducted from capital costs to avoid double counting.</w:t>
            </w:r>
          </w:p>
          <w:p w14:paraId="180D49DF" w14:textId="77777777" w:rsidR="005656A9" w:rsidRPr="00F2548B" w:rsidRDefault="005656A9" w:rsidP="000414F1">
            <w:pPr>
              <w:pStyle w:val="Box"/>
            </w:pPr>
            <w:r w:rsidRPr="00F2548B">
              <w:t>Data reported for this measure are:</w:t>
            </w:r>
          </w:p>
          <w:p w14:paraId="50D7B984" w14:textId="77777777" w:rsidR="005656A9" w:rsidRPr="00F2548B" w:rsidRDefault="005656A9" w:rsidP="00F2548B">
            <w:pPr>
              <w:pStyle w:val="BoxListBullet"/>
            </w:pPr>
            <w:r w:rsidRPr="00F2548B">
              <w:t>comparable (subject to caveats) within jurisdictions over time but are not c</w:t>
            </w:r>
            <w:r>
              <w:t>omparable across jurisdictions</w:t>
            </w:r>
          </w:p>
          <w:p w14:paraId="0261D2D0" w14:textId="7EF4DE0F" w:rsidR="005656A9" w:rsidRPr="00F2548B" w:rsidRDefault="005656A9" w:rsidP="00F91898">
            <w:pPr>
              <w:pStyle w:val="BoxListBullet"/>
            </w:pPr>
            <w:r w:rsidRPr="00F2548B">
              <w:t>complete (subject to caveats) for the current reporting period. All required 201</w:t>
            </w:r>
            <w:r>
              <w:t>5</w:t>
            </w:r>
            <w:r w:rsidRPr="00F2548B">
              <w:t>-1</w:t>
            </w:r>
            <w:r>
              <w:t>6</w:t>
            </w:r>
            <w:r w:rsidRPr="00F2548B">
              <w:t xml:space="preserve"> data are available for all jurisdictions.</w:t>
            </w:r>
          </w:p>
        </w:tc>
      </w:tr>
      <w:tr w:rsidR="0025242A" w14:paraId="0F43A37F" w14:textId="77777777" w:rsidTr="005656A9">
        <w:trPr>
          <w:cantSplit/>
        </w:trPr>
        <w:tc>
          <w:tcPr>
            <w:tcW w:w="8789" w:type="dxa"/>
            <w:tcBorders>
              <w:top w:val="nil"/>
              <w:left w:val="nil"/>
              <w:bottom w:val="single" w:sz="6" w:space="0" w:color="78A22F"/>
              <w:right w:val="nil"/>
            </w:tcBorders>
            <w:shd w:val="clear" w:color="auto" w:fill="F2F2F2"/>
          </w:tcPr>
          <w:p w14:paraId="3DCA26EA" w14:textId="77777777" w:rsidR="0025242A" w:rsidRDefault="0025242A">
            <w:pPr>
              <w:pStyle w:val="Box"/>
              <w:spacing w:before="0" w:line="120" w:lineRule="exact"/>
            </w:pPr>
          </w:p>
        </w:tc>
      </w:tr>
      <w:tr w:rsidR="0025242A" w:rsidRPr="000863A5" w14:paraId="33FC016A" w14:textId="77777777" w:rsidTr="005656A9">
        <w:tc>
          <w:tcPr>
            <w:tcW w:w="8789" w:type="dxa"/>
            <w:tcBorders>
              <w:top w:val="single" w:sz="6" w:space="0" w:color="78A22F"/>
              <w:left w:val="nil"/>
              <w:bottom w:val="nil"/>
              <w:right w:val="nil"/>
            </w:tcBorders>
          </w:tcPr>
          <w:p w14:paraId="30E3F35D" w14:textId="79706686" w:rsidR="0025242A" w:rsidRPr="00626D32" w:rsidRDefault="0025242A" w:rsidP="007D422B">
            <w:pPr>
              <w:pStyle w:val="BoxSpaceBelow"/>
            </w:pPr>
          </w:p>
        </w:tc>
      </w:tr>
    </w:tbl>
    <w:p w14:paraId="65CF160C" w14:textId="77777777" w:rsidR="00346E2F" w:rsidRDefault="00346E2F" w:rsidP="00980FDB">
      <w:pPr>
        <w:pStyle w:val="Heading5"/>
      </w:pPr>
      <w:r>
        <w:lastRenderedPageBreak/>
        <w:t xml:space="preserve">Recurrent cost </w:t>
      </w:r>
      <w:r w:rsidRPr="00B3446C">
        <w:t xml:space="preserve">per </w:t>
      </w:r>
      <w:r w:rsidR="00FB467C" w:rsidRPr="00B3446C">
        <w:t>weighted</w:t>
      </w:r>
      <w:r>
        <w:t xml:space="preserve"> separation</w:t>
      </w:r>
    </w:p>
    <w:p w14:paraId="548DC2B1" w14:textId="4DFD8442" w:rsidR="00215AD4" w:rsidRDefault="00741841" w:rsidP="00346E2F">
      <w:pPr>
        <w:pStyle w:val="BodyText"/>
      </w:pPr>
      <w:r>
        <w:t>Nationally in 201</w:t>
      </w:r>
      <w:r w:rsidR="00F91898">
        <w:t>5</w:t>
      </w:r>
      <w:r>
        <w:t>-1</w:t>
      </w:r>
      <w:r w:rsidR="00F91898">
        <w:t>6</w:t>
      </w:r>
      <w:r>
        <w:t>, the r</w:t>
      </w:r>
      <w:r w:rsidR="00346E2F">
        <w:t xml:space="preserve">ecurrent cost per </w:t>
      </w:r>
      <w:r w:rsidR="00FB467C" w:rsidRPr="00B3446C">
        <w:t>weighted</w:t>
      </w:r>
      <w:r w:rsidR="00346E2F">
        <w:t xml:space="preserve"> separation </w:t>
      </w:r>
      <w:r w:rsidRPr="002767E8">
        <w:rPr>
          <w:shd w:val="clear" w:color="auto" w:fill="FFFFFF" w:themeFill="background1"/>
        </w:rPr>
        <w:t>was $</w:t>
      </w:r>
      <w:r w:rsidR="004D3AA6" w:rsidRPr="002767E8">
        <w:rPr>
          <w:shd w:val="clear" w:color="auto" w:fill="FFFFFF" w:themeFill="background1"/>
        </w:rPr>
        <w:t>5199</w:t>
      </w:r>
      <w:r w:rsidR="00346E2F" w:rsidRPr="002767E8">
        <w:rPr>
          <w:shd w:val="clear" w:color="auto" w:fill="FFFFFF" w:themeFill="background1"/>
        </w:rPr>
        <w:t xml:space="preserve"> </w:t>
      </w:r>
      <w:r w:rsidRPr="002767E8">
        <w:rPr>
          <w:shd w:val="clear" w:color="auto" w:fill="FFFFFF" w:themeFill="background1"/>
        </w:rPr>
        <w:t>(</w:t>
      </w:r>
      <w:r w:rsidR="00EA2D9B" w:rsidRPr="002767E8">
        <w:rPr>
          <w:shd w:val="clear" w:color="auto" w:fill="FFFFFF" w:themeFill="background1"/>
        </w:rPr>
        <w:t>figure</w:t>
      </w:r>
      <w:r w:rsidR="00EA2D9B">
        <w:t> </w:t>
      </w:r>
      <w:r w:rsidR="000F15E6">
        <w:t>12.</w:t>
      </w:r>
      <w:r w:rsidR="00685F0B">
        <w:t>1</w:t>
      </w:r>
      <w:r w:rsidR="00F825E1">
        <w:t>1</w:t>
      </w:r>
      <w:r>
        <w:t xml:space="preserve">). </w:t>
      </w:r>
    </w:p>
    <w:p w14:paraId="5D72F590" w14:textId="681A1B16" w:rsidR="00346E2F" w:rsidRDefault="00346E2F" w:rsidP="007D422B">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46E2F" w14:paraId="1D95CB20" w14:textId="77777777" w:rsidTr="005656A9">
        <w:tc>
          <w:tcPr>
            <w:tcW w:w="8789" w:type="dxa"/>
            <w:tcBorders>
              <w:top w:val="single" w:sz="6" w:space="0" w:color="78A22F"/>
              <w:left w:val="nil"/>
              <w:bottom w:val="nil"/>
              <w:right w:val="nil"/>
            </w:tcBorders>
            <w:shd w:val="clear" w:color="auto" w:fill="auto"/>
          </w:tcPr>
          <w:p w14:paraId="1E43796B" w14:textId="3D0BD6B1" w:rsidR="00346E2F" w:rsidRPr="00176D3F" w:rsidRDefault="00346E2F" w:rsidP="00F91898">
            <w:pPr>
              <w:pStyle w:val="FigureTitle"/>
            </w:pPr>
            <w:r w:rsidRPr="00784A05">
              <w:rPr>
                <w:b w:val="0"/>
              </w:rPr>
              <w:t xml:space="preserve">Figure </w:t>
            </w:r>
            <w:r w:rsidR="00F825E1">
              <w:rPr>
                <w:b w:val="0"/>
              </w:rPr>
              <w:t>12.</w:t>
            </w:r>
            <w:r w:rsidR="007F3144">
              <w:rPr>
                <w:b w:val="0"/>
                <w:noProof/>
              </w:rPr>
              <w:t>11</w:t>
            </w:r>
            <w:r>
              <w:tab/>
            </w:r>
            <w:r w:rsidRPr="00346E2F">
              <w:t xml:space="preserve">Recurrent cost per </w:t>
            </w:r>
            <w:r w:rsidR="00FB467C" w:rsidRPr="00B3446C">
              <w:t>weighted</w:t>
            </w:r>
            <w:r w:rsidRPr="00346E2F">
              <w:t xml:space="preserve"> separation, 201</w:t>
            </w:r>
            <w:r w:rsidR="00F91898">
              <w:t>5</w:t>
            </w:r>
            <w:r w:rsidRPr="00346E2F">
              <w:t>-1</w:t>
            </w:r>
            <w:r w:rsidR="00F91898">
              <w:t>6</w:t>
            </w:r>
            <w:r w:rsidR="00A810C6">
              <w:rPr>
                <w:rStyle w:val="NoteLabel"/>
                <w:b/>
                <w:szCs w:val="20"/>
              </w:rPr>
              <w:t>a</w:t>
            </w:r>
          </w:p>
        </w:tc>
      </w:tr>
      <w:tr w:rsidR="00346E2F" w14:paraId="19A64E4C" w14:textId="77777777" w:rsidTr="005656A9">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A72DD6" w14:paraId="5150CB24" w14:textId="77777777" w:rsidTr="007D422B">
              <w:trPr>
                <w:jc w:val="center"/>
              </w:trPr>
              <w:tc>
                <w:tcPr>
                  <w:tcW w:w="5000" w:type="pct"/>
                  <w:tcBorders>
                    <w:top w:val="nil"/>
                    <w:bottom w:val="nil"/>
                  </w:tcBorders>
                </w:tcPr>
                <w:p w14:paraId="169E4885" w14:textId="57A7CC12" w:rsidR="00A72DD6" w:rsidRDefault="00FD711B" w:rsidP="007D422B">
                  <w:pPr>
                    <w:pStyle w:val="Figure"/>
                    <w:spacing w:before="60" w:after="60"/>
                  </w:pPr>
                  <w:r>
                    <w:rPr>
                      <w:noProof/>
                    </w:rPr>
                    <w:drawing>
                      <wp:inline distT="0" distB="0" distL="0" distR="0" wp14:anchorId="23115453" wp14:editId="681B4F01">
                        <wp:extent cx="5335905" cy="2899410"/>
                        <wp:effectExtent l="0" t="0" r="0" b="0"/>
                        <wp:docPr id="12" name="Picture 12" descr="More details can be found within the text surrounding this image." title="Figure 12.11 Recurrent cost per weighted separation,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5905" cy="2899410"/>
                                </a:xfrm>
                                <a:prstGeom prst="rect">
                                  <a:avLst/>
                                </a:prstGeom>
                                <a:noFill/>
                                <a:ln>
                                  <a:noFill/>
                                </a:ln>
                              </pic:spPr>
                            </pic:pic>
                          </a:graphicData>
                        </a:graphic>
                      </wp:inline>
                    </w:drawing>
                  </w:r>
                </w:p>
              </w:tc>
            </w:tr>
          </w:tbl>
          <w:p w14:paraId="238E0018" w14:textId="77777777" w:rsidR="00346E2F" w:rsidRDefault="00346E2F" w:rsidP="007D422B">
            <w:pPr>
              <w:pStyle w:val="Figure"/>
            </w:pPr>
          </w:p>
        </w:tc>
      </w:tr>
      <w:tr w:rsidR="00346E2F" w:rsidRPr="00176D3F" w14:paraId="22A8DF13" w14:textId="77777777" w:rsidTr="005656A9">
        <w:tc>
          <w:tcPr>
            <w:tcW w:w="8789" w:type="dxa"/>
            <w:tcBorders>
              <w:top w:val="nil"/>
              <w:left w:val="nil"/>
              <w:bottom w:val="nil"/>
              <w:right w:val="nil"/>
            </w:tcBorders>
            <w:shd w:val="clear" w:color="auto" w:fill="auto"/>
          </w:tcPr>
          <w:p w14:paraId="1C166838" w14:textId="0810E4FC" w:rsidR="00346E2F" w:rsidRPr="00176D3F" w:rsidRDefault="00346E2F" w:rsidP="00041F64">
            <w:pPr>
              <w:pStyle w:val="Note"/>
            </w:pPr>
            <w:r>
              <w:rPr>
                <w:rStyle w:val="NoteLabel"/>
              </w:rPr>
              <w:t>a</w:t>
            </w:r>
            <w:r>
              <w:t xml:space="preserve"> </w:t>
            </w:r>
            <w:r w:rsidR="00A810C6" w:rsidRPr="00477C9C">
              <w:t xml:space="preserve">See </w:t>
            </w:r>
            <w:r w:rsidR="00CB3FA6" w:rsidRPr="00477C9C">
              <w:t xml:space="preserve">box </w:t>
            </w:r>
            <w:r w:rsidR="000F15E6">
              <w:t>12.</w:t>
            </w:r>
            <w:r w:rsidR="00A810C6">
              <w:t>1</w:t>
            </w:r>
            <w:r w:rsidR="00041F64">
              <w:t>4</w:t>
            </w:r>
            <w:r w:rsidR="00A810C6" w:rsidRPr="00477C9C">
              <w:t xml:space="preserve"> and table </w:t>
            </w:r>
            <w:proofErr w:type="spellStart"/>
            <w:r w:rsidR="000F15E6">
              <w:t>12A</w:t>
            </w:r>
            <w:r w:rsidR="00A810C6" w:rsidRPr="00477C9C">
              <w:t>.</w:t>
            </w:r>
            <w:r w:rsidR="00436F93">
              <w:t>56</w:t>
            </w:r>
            <w:proofErr w:type="spellEnd"/>
            <w:r w:rsidR="00A810C6" w:rsidRPr="00477C9C">
              <w:t xml:space="preserve"> for detailed </w:t>
            </w:r>
            <w:r w:rsidR="00536DD1" w:rsidRPr="00536DD1">
              <w:t xml:space="preserve">definitions, footnotes and </w:t>
            </w:r>
            <w:r w:rsidR="00A810C6" w:rsidRPr="00477C9C">
              <w:t>caveats.</w:t>
            </w:r>
          </w:p>
        </w:tc>
      </w:tr>
      <w:tr w:rsidR="00346E2F" w:rsidRPr="00176D3F" w14:paraId="02982FDB" w14:textId="77777777" w:rsidTr="005656A9">
        <w:tc>
          <w:tcPr>
            <w:tcW w:w="8789" w:type="dxa"/>
            <w:tcBorders>
              <w:top w:val="nil"/>
              <w:left w:val="nil"/>
              <w:bottom w:val="nil"/>
              <w:right w:val="nil"/>
            </w:tcBorders>
            <w:shd w:val="clear" w:color="auto" w:fill="auto"/>
          </w:tcPr>
          <w:p w14:paraId="43828E41" w14:textId="77777777" w:rsidR="00346E2F" w:rsidRPr="00176D3F" w:rsidRDefault="00346E2F" w:rsidP="00436F93">
            <w:pPr>
              <w:pStyle w:val="Source"/>
            </w:pPr>
            <w:r>
              <w:rPr>
                <w:i/>
              </w:rPr>
              <w:t>S</w:t>
            </w:r>
            <w:r w:rsidRPr="00784A05">
              <w:rPr>
                <w:i/>
              </w:rPr>
              <w:t>ource</w:t>
            </w:r>
            <w:r w:rsidRPr="00176D3F">
              <w:t xml:space="preserve">: </w:t>
            </w:r>
            <w:r w:rsidR="00C858FA">
              <w:t>IHPA (unpublished) National Hospital Cost Data Collection</w:t>
            </w:r>
            <w:r w:rsidRPr="00346E2F">
              <w:t xml:space="preserve">; table </w:t>
            </w:r>
            <w:proofErr w:type="spellStart"/>
            <w:r w:rsidR="000F15E6">
              <w:t>12A</w:t>
            </w:r>
            <w:r w:rsidRPr="00346E2F">
              <w:t>.</w:t>
            </w:r>
            <w:r w:rsidR="00436F93">
              <w:t>56</w:t>
            </w:r>
            <w:proofErr w:type="spellEnd"/>
            <w:r w:rsidRPr="00346E2F">
              <w:t>.</w:t>
            </w:r>
          </w:p>
        </w:tc>
      </w:tr>
      <w:tr w:rsidR="00346E2F" w14:paraId="2F381D75" w14:textId="77777777" w:rsidTr="005656A9">
        <w:tc>
          <w:tcPr>
            <w:tcW w:w="8789" w:type="dxa"/>
            <w:tcBorders>
              <w:top w:val="nil"/>
              <w:left w:val="nil"/>
              <w:bottom w:val="single" w:sz="6" w:space="0" w:color="78A22F"/>
              <w:right w:val="nil"/>
            </w:tcBorders>
            <w:shd w:val="clear" w:color="auto" w:fill="auto"/>
          </w:tcPr>
          <w:p w14:paraId="237088AD" w14:textId="77777777" w:rsidR="00346E2F" w:rsidRDefault="00346E2F" w:rsidP="007D422B">
            <w:pPr>
              <w:pStyle w:val="Figurespace"/>
            </w:pPr>
          </w:p>
        </w:tc>
      </w:tr>
      <w:tr w:rsidR="00346E2F" w:rsidRPr="000863A5" w14:paraId="18E87A82" w14:textId="77777777" w:rsidTr="005656A9">
        <w:tc>
          <w:tcPr>
            <w:tcW w:w="8789" w:type="dxa"/>
            <w:tcBorders>
              <w:top w:val="single" w:sz="6" w:space="0" w:color="78A22F"/>
              <w:left w:val="nil"/>
              <w:bottom w:val="nil"/>
              <w:right w:val="nil"/>
            </w:tcBorders>
          </w:tcPr>
          <w:p w14:paraId="16CEDC5C" w14:textId="4C8E174C" w:rsidR="00346E2F" w:rsidRPr="00626D32" w:rsidRDefault="00346E2F" w:rsidP="007D422B">
            <w:pPr>
              <w:pStyle w:val="BoxSpaceBelow"/>
            </w:pPr>
          </w:p>
        </w:tc>
      </w:tr>
    </w:tbl>
    <w:p w14:paraId="29B092D6" w14:textId="24332B09" w:rsidR="007D4F59" w:rsidRDefault="00C760BF" w:rsidP="00FC1F42">
      <w:pPr>
        <w:pStyle w:val="BodyText"/>
      </w:pPr>
      <w:r>
        <w:t>D</w:t>
      </w:r>
      <w:r w:rsidR="000C58EB">
        <w:t>ata on the a</w:t>
      </w:r>
      <w:r w:rsidR="007D4F59" w:rsidRPr="007D4F59">
        <w:t>verage cost per admitted</w:t>
      </w:r>
      <w:r>
        <w:t xml:space="preserve"> patient separation are available on the subset of</w:t>
      </w:r>
      <w:r w:rsidR="007D4F59" w:rsidRPr="007D4F59">
        <w:t xml:space="preserve"> </w:t>
      </w:r>
      <w:r>
        <w:t xml:space="preserve">presentations that are </w:t>
      </w:r>
      <w:r w:rsidR="007D4F59" w:rsidRPr="007D4F59">
        <w:t xml:space="preserve">acute </w:t>
      </w:r>
      <w:r w:rsidR="007D4F59" w:rsidRPr="000939DC">
        <w:t>emergency department</w:t>
      </w:r>
      <w:r w:rsidR="007D4F59" w:rsidRPr="007D4F59">
        <w:t xml:space="preserve"> presentation</w:t>
      </w:r>
      <w:r>
        <w:t>s</w:t>
      </w:r>
      <w:r w:rsidR="007D4F59">
        <w:t xml:space="preserve"> </w:t>
      </w:r>
      <w:r>
        <w:t>(</w:t>
      </w:r>
      <w:r w:rsidR="007D4F59">
        <w:t xml:space="preserve">table </w:t>
      </w:r>
      <w:proofErr w:type="spellStart"/>
      <w:r w:rsidR="007D4F59">
        <w:t>12A.</w:t>
      </w:r>
      <w:r w:rsidR="00436F93">
        <w:t>58</w:t>
      </w:r>
      <w:proofErr w:type="spellEnd"/>
      <w:r>
        <w:t>)</w:t>
      </w:r>
      <w:r w:rsidR="007D4F59">
        <w:t>.</w:t>
      </w:r>
    </w:p>
    <w:p w14:paraId="75FDEBC3" w14:textId="77777777" w:rsidR="00FC1F42" w:rsidRPr="00237503" w:rsidRDefault="0073611D" w:rsidP="00FC1F42">
      <w:pPr>
        <w:pStyle w:val="BodyText"/>
      </w:pPr>
      <w:r w:rsidRPr="00237503">
        <w:t xml:space="preserve">The </w:t>
      </w:r>
      <w:r w:rsidR="00FC1F42" w:rsidRPr="00237503">
        <w:t>‘Relative stay index’</w:t>
      </w:r>
      <w:r w:rsidRPr="00237503">
        <w:t xml:space="preserve"> can provide useful context for interpreting the cost per separation indicator</w:t>
      </w:r>
      <w:r w:rsidR="00237503" w:rsidRPr="00237503">
        <w:t xml:space="preserve"> as the length of stay per separation can influence cost</w:t>
      </w:r>
      <w:r w:rsidRPr="00237503">
        <w:t xml:space="preserve">. The relative stay index </w:t>
      </w:r>
      <w:r w:rsidR="00FC1F42" w:rsidRPr="00237503">
        <w:t xml:space="preserve">is defined as the actual number of acute care patient days divided by the expected number of acute care patient days, adjusted for </w:t>
      </w:r>
      <w:proofErr w:type="spellStart"/>
      <w:r w:rsidR="00FC1F42" w:rsidRPr="00237503">
        <w:t>casemix</w:t>
      </w:r>
      <w:proofErr w:type="spellEnd"/>
      <w:r w:rsidR="00FC1F42" w:rsidRPr="00237503">
        <w:t xml:space="preserve">. The relative stay index for Australia for all hospitals (public and private) is one. A relative stay index greater than one indicates that average length of patient stay is higher than expected given the jurisdiction’s </w:t>
      </w:r>
      <w:proofErr w:type="spellStart"/>
      <w:r w:rsidR="00FC1F42" w:rsidRPr="00237503">
        <w:t>casemix</w:t>
      </w:r>
      <w:proofErr w:type="spellEnd"/>
      <w:r w:rsidR="00FC1F42" w:rsidRPr="00237503">
        <w:t xml:space="preserve"> distribution. A relative stay index of less than one indicates that the number of bed days used was less than expected. </w:t>
      </w:r>
      <w:r w:rsidR="002F1876" w:rsidRPr="00237503">
        <w:t xml:space="preserve">The relative stay index for public hospitals is reported </w:t>
      </w:r>
      <w:r w:rsidR="00692ED8" w:rsidRPr="00237503">
        <w:t>in table </w:t>
      </w:r>
      <w:proofErr w:type="spellStart"/>
      <w:r w:rsidR="002F1876" w:rsidRPr="00237503">
        <w:t>12A.</w:t>
      </w:r>
      <w:r w:rsidR="00436F93">
        <w:t>59</w:t>
      </w:r>
      <w:proofErr w:type="spellEnd"/>
      <w:r w:rsidR="002F1876" w:rsidRPr="00237503">
        <w:t>.</w:t>
      </w:r>
    </w:p>
    <w:p w14:paraId="294A97BF" w14:textId="77777777" w:rsidR="00D81E8E" w:rsidRDefault="00D81E8E" w:rsidP="00D81E8E">
      <w:pPr>
        <w:pStyle w:val="Heading5"/>
      </w:pPr>
      <w:r>
        <w:t xml:space="preserve">Capital cost per </w:t>
      </w:r>
      <w:r w:rsidR="00D612D3">
        <w:t xml:space="preserve">weighted </w:t>
      </w:r>
      <w:r>
        <w:t>separation</w:t>
      </w:r>
    </w:p>
    <w:p w14:paraId="2DAC3043" w14:textId="1CD6B307" w:rsidR="00D81E8E" w:rsidRDefault="00D81E8E" w:rsidP="00D81E8E">
      <w:pPr>
        <w:pStyle w:val="BodyText"/>
      </w:pPr>
      <w:r>
        <w:t>Costs associated with non-current physical assets are</w:t>
      </w:r>
      <w:r w:rsidR="000C58EB">
        <w:t xml:space="preserve"> </w:t>
      </w:r>
      <w:r>
        <w:t>important components of the total costs of many services delivered by government agencies. Capital costs are reported in table </w:t>
      </w:r>
      <w:proofErr w:type="spellStart"/>
      <w:r>
        <w:t>12A.</w:t>
      </w:r>
      <w:r w:rsidR="00436F93">
        <w:t>57</w:t>
      </w:r>
      <w:proofErr w:type="spellEnd"/>
      <w:r>
        <w:t xml:space="preserve">. </w:t>
      </w:r>
    </w:p>
    <w:p w14:paraId="41C444D2" w14:textId="0F058E0F" w:rsidR="00D81E8E" w:rsidRDefault="00D81E8E" w:rsidP="00D81E8E">
      <w:pPr>
        <w:pStyle w:val="BodyText"/>
      </w:pPr>
      <w:r>
        <w:lastRenderedPageBreak/>
        <w:t>The Steering Committee’s approach is to report the full costs of a service where they are available. Where the full costs of a service cannot be accurately measured, the Steering Committee seeks to report estimated costs that are comparable</w:t>
      </w:r>
      <w:r w:rsidR="006C776E">
        <w:t xml:space="preserve"> (chapter 1 has further information on this approach)</w:t>
      </w:r>
      <w:r>
        <w:t>. Where differences in comparability remain, the differences are documented. A number of issues remain to improve further the quality of these estimates.</w:t>
      </w:r>
    </w:p>
    <w:p w14:paraId="2190F4E6" w14:textId="77777777" w:rsidR="00B3687A" w:rsidRPr="00AA6307" w:rsidRDefault="00B3687A" w:rsidP="00B3687A">
      <w:pPr>
        <w:pStyle w:val="Heading4"/>
      </w:pPr>
      <w:r w:rsidRPr="00AA6307">
        <w:t xml:space="preserve">Recurrent cost per non-admitted </w:t>
      </w:r>
      <w:r w:rsidR="00F32B70" w:rsidRPr="00AA6307">
        <w:t>patient</w:t>
      </w:r>
    </w:p>
    <w:p w14:paraId="510FCF68" w14:textId="77777777" w:rsidR="00B3687A" w:rsidRPr="00AA6307" w:rsidRDefault="00B3687A" w:rsidP="00B3687A">
      <w:pPr>
        <w:pStyle w:val="BodyText"/>
      </w:pPr>
      <w:r w:rsidRPr="00AA6307">
        <w:t xml:space="preserve">‘Recurrent cost per non-admitted </w:t>
      </w:r>
      <w:r w:rsidR="00F32B70" w:rsidRPr="00AA6307">
        <w:t>patient</w:t>
      </w:r>
      <w:r w:rsidRPr="00AA6307">
        <w:t xml:space="preserve">’ is an indicator of governments’ objective to deliver services in </w:t>
      </w:r>
      <w:r w:rsidR="00BC6697" w:rsidRPr="00AA6307">
        <w:t>an efficient</w:t>
      </w:r>
      <w:r w:rsidRPr="00AA6307">
        <w:t xml:space="preserve"> manner (box </w:t>
      </w:r>
      <w:r w:rsidR="000F15E6" w:rsidRPr="00AA6307">
        <w:t>12.</w:t>
      </w:r>
      <w:r w:rsidRPr="00AA6307">
        <w:t>1</w:t>
      </w:r>
      <w:r w:rsidR="003D3C97">
        <w:t>5</w:t>
      </w:r>
      <w:r w:rsidRPr="00AA6307">
        <w:t>).</w:t>
      </w:r>
    </w:p>
    <w:p w14:paraId="669496EE" w14:textId="0220A591" w:rsidR="00B3687A" w:rsidRPr="00AA6307" w:rsidRDefault="00B3687A">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B3687A" w:rsidRPr="00AA6307" w14:paraId="595017C5" w14:textId="77777777" w:rsidTr="005656A9">
        <w:tc>
          <w:tcPr>
            <w:tcW w:w="8789" w:type="dxa"/>
            <w:tcBorders>
              <w:top w:val="single" w:sz="6" w:space="0" w:color="78A22F"/>
              <w:left w:val="nil"/>
              <w:bottom w:val="nil"/>
              <w:right w:val="nil"/>
            </w:tcBorders>
            <w:shd w:val="clear" w:color="auto" w:fill="F2F2F2"/>
          </w:tcPr>
          <w:p w14:paraId="6D6F139B" w14:textId="2A9D5E20" w:rsidR="00B3687A" w:rsidRPr="00AA6307" w:rsidRDefault="00B3687A" w:rsidP="00F32B70">
            <w:pPr>
              <w:pStyle w:val="BoxTitle"/>
            </w:pPr>
            <w:r w:rsidRPr="00AA6307">
              <w:rPr>
                <w:b w:val="0"/>
              </w:rPr>
              <w:t xml:space="preserve">Box </w:t>
            </w:r>
            <w:r w:rsidR="003D3C97">
              <w:rPr>
                <w:b w:val="0"/>
              </w:rPr>
              <w:t>12.</w:t>
            </w:r>
            <w:r w:rsidR="007F3144">
              <w:rPr>
                <w:b w:val="0"/>
                <w:noProof/>
              </w:rPr>
              <w:t>15</w:t>
            </w:r>
            <w:r w:rsidRPr="00AA6307">
              <w:tab/>
              <w:t xml:space="preserve">Recurrent cost per non-admitted </w:t>
            </w:r>
            <w:r w:rsidR="00F32B70" w:rsidRPr="00AA6307">
              <w:t>patient</w:t>
            </w:r>
          </w:p>
        </w:tc>
      </w:tr>
      <w:tr w:rsidR="00B3687A" w:rsidRPr="00AA6307" w14:paraId="25245B05" w14:textId="77777777" w:rsidTr="005656A9">
        <w:trPr>
          <w:cantSplit/>
        </w:trPr>
        <w:tc>
          <w:tcPr>
            <w:tcW w:w="8789" w:type="dxa"/>
            <w:tcBorders>
              <w:top w:val="nil"/>
              <w:left w:val="nil"/>
              <w:bottom w:val="nil"/>
              <w:right w:val="nil"/>
            </w:tcBorders>
            <w:shd w:val="clear" w:color="auto" w:fill="F2F2F2"/>
          </w:tcPr>
          <w:p w14:paraId="70ACC125" w14:textId="77777777" w:rsidR="001B38EB" w:rsidRPr="00AA6307" w:rsidRDefault="00B3687A" w:rsidP="00B3687A">
            <w:pPr>
              <w:pStyle w:val="Box"/>
            </w:pPr>
            <w:r w:rsidRPr="00AA6307">
              <w:t>‘Recurrent cost per non</w:t>
            </w:r>
            <w:r w:rsidR="00B81EBB" w:rsidRPr="00AA6307">
              <w:t>-</w:t>
            </w:r>
            <w:r w:rsidRPr="00AA6307">
              <w:t xml:space="preserve">admitted </w:t>
            </w:r>
            <w:r w:rsidR="00F32B70" w:rsidRPr="00AA6307">
              <w:t>patient</w:t>
            </w:r>
            <w:r w:rsidRPr="00AA6307">
              <w:t xml:space="preserve">’ is defined </w:t>
            </w:r>
            <w:r w:rsidR="001B38EB" w:rsidRPr="00AA6307">
              <w:t>by the following two measures:</w:t>
            </w:r>
          </w:p>
          <w:p w14:paraId="2E7AADD1" w14:textId="7BE26D29" w:rsidR="00C51187" w:rsidRPr="00AA6307" w:rsidRDefault="00C51187" w:rsidP="00C51187">
            <w:pPr>
              <w:pStyle w:val="BoxListBullet"/>
            </w:pPr>
            <w:r w:rsidRPr="00AA6307">
              <w:t>Average cost per non-admitted acute emergency department presentation</w:t>
            </w:r>
          </w:p>
          <w:p w14:paraId="336AEAB1" w14:textId="3882C2F8" w:rsidR="001B38EB" w:rsidRPr="00AA6307" w:rsidRDefault="001B38EB" w:rsidP="001B38EB">
            <w:pPr>
              <w:pStyle w:val="BoxListBullet"/>
            </w:pPr>
            <w:r w:rsidRPr="00AA6307">
              <w:t>Average cost per non-admitted service event</w:t>
            </w:r>
            <w:r w:rsidR="007D4F59">
              <w:t>.</w:t>
            </w:r>
          </w:p>
          <w:p w14:paraId="27BA51E2" w14:textId="77777777" w:rsidR="00B3687A" w:rsidRPr="00AA6307" w:rsidRDefault="00B3687A" w:rsidP="00B3687A">
            <w:pPr>
              <w:pStyle w:val="Box"/>
            </w:pPr>
            <w:r w:rsidRPr="00AA6307">
              <w:t>A low or decreasing recurrent cost per non</w:t>
            </w:r>
            <w:r w:rsidR="00B81EBB" w:rsidRPr="00AA6307">
              <w:t>-</w:t>
            </w:r>
            <w:r w:rsidRPr="00AA6307">
              <w:t xml:space="preserve">admitted </w:t>
            </w:r>
            <w:r w:rsidR="001B38EB" w:rsidRPr="00AA6307">
              <w:t>patient</w:t>
            </w:r>
            <w:r w:rsidRPr="00AA6307">
              <w:t xml:space="preserve"> can reflect more efficient service delivery in public hospitals. However, this indicator should be viewed in the context of the set of performance indicators as a whole, as decreasing cost could also be associated with decreasing quality and effectiveness. This indicator does not adjust </w:t>
            </w:r>
            <w:r w:rsidR="0024116A" w:rsidRPr="00AA6307">
              <w:t>for the complexity of service.</w:t>
            </w:r>
          </w:p>
          <w:p w14:paraId="31E40CD1" w14:textId="6B1B29F2" w:rsidR="00B3687A" w:rsidRPr="00AA6307" w:rsidRDefault="00B3687A" w:rsidP="00B3687A">
            <w:pPr>
              <w:pStyle w:val="Box"/>
            </w:pPr>
            <w:r w:rsidRPr="00AA6307">
              <w:t xml:space="preserve">Data reported for </w:t>
            </w:r>
            <w:r w:rsidR="00BA6495">
              <w:t>both measures</w:t>
            </w:r>
            <w:r w:rsidRPr="00AA6307">
              <w:t xml:space="preserve"> are:</w:t>
            </w:r>
          </w:p>
          <w:p w14:paraId="14CC6CDE" w14:textId="1410DB07" w:rsidR="00B3687A" w:rsidRPr="00AA6307" w:rsidRDefault="00B3687A" w:rsidP="00B3687A">
            <w:pPr>
              <w:pStyle w:val="BoxListBullet"/>
            </w:pPr>
            <w:r w:rsidRPr="00B3446C">
              <w:t>comparable (subject to caveats) across jurisdictions</w:t>
            </w:r>
            <w:r w:rsidR="001624B2" w:rsidRPr="00B3446C">
              <w:t xml:space="preserve"> </w:t>
            </w:r>
          </w:p>
          <w:p w14:paraId="01794A4F" w14:textId="77777777" w:rsidR="00B3687A" w:rsidRPr="00AA6307" w:rsidRDefault="00237503" w:rsidP="00E805EF">
            <w:pPr>
              <w:pStyle w:val="BoxListBullet"/>
            </w:pPr>
            <w:r w:rsidRPr="00AA6307">
              <w:t>complete (subject to caveats) for the current reporting period. All required 201</w:t>
            </w:r>
            <w:r w:rsidR="00E805EF">
              <w:t>5</w:t>
            </w:r>
            <w:r w:rsidRPr="00AA6307">
              <w:t>-1</w:t>
            </w:r>
            <w:r w:rsidR="00E805EF">
              <w:t>6</w:t>
            </w:r>
            <w:r w:rsidRPr="00AA6307">
              <w:t xml:space="preserve"> data are available for all jurisdictions.</w:t>
            </w:r>
          </w:p>
        </w:tc>
      </w:tr>
      <w:tr w:rsidR="00B3687A" w14:paraId="54E107BF" w14:textId="77777777" w:rsidTr="005656A9">
        <w:trPr>
          <w:cantSplit/>
        </w:trPr>
        <w:tc>
          <w:tcPr>
            <w:tcW w:w="8789" w:type="dxa"/>
            <w:tcBorders>
              <w:top w:val="nil"/>
              <w:left w:val="nil"/>
              <w:bottom w:val="single" w:sz="6" w:space="0" w:color="78A22F"/>
              <w:right w:val="nil"/>
            </w:tcBorders>
            <w:shd w:val="clear" w:color="auto" w:fill="F2F2F2"/>
          </w:tcPr>
          <w:p w14:paraId="7EC489A2" w14:textId="77777777" w:rsidR="00B3687A" w:rsidRDefault="00B3687A">
            <w:pPr>
              <w:pStyle w:val="Box"/>
              <w:spacing w:before="0" w:line="120" w:lineRule="exact"/>
            </w:pPr>
          </w:p>
        </w:tc>
      </w:tr>
      <w:tr w:rsidR="00B3687A" w:rsidRPr="000863A5" w14:paraId="20100117" w14:textId="77777777" w:rsidTr="005656A9">
        <w:tc>
          <w:tcPr>
            <w:tcW w:w="8789" w:type="dxa"/>
            <w:tcBorders>
              <w:top w:val="single" w:sz="6" w:space="0" w:color="78A22F"/>
              <w:left w:val="nil"/>
              <w:bottom w:val="nil"/>
              <w:right w:val="nil"/>
            </w:tcBorders>
          </w:tcPr>
          <w:p w14:paraId="57F2FE3B" w14:textId="397C4ED1" w:rsidR="00B3687A" w:rsidRPr="00626D32" w:rsidRDefault="00B3687A" w:rsidP="007D422B">
            <w:pPr>
              <w:pStyle w:val="BoxSpaceBelow"/>
            </w:pPr>
          </w:p>
        </w:tc>
      </w:tr>
    </w:tbl>
    <w:p w14:paraId="21069929" w14:textId="2C039EB2" w:rsidR="007D4F59" w:rsidRDefault="00D7363E" w:rsidP="00BF1612">
      <w:pPr>
        <w:pStyle w:val="BodyText"/>
      </w:pPr>
      <w:r>
        <w:t xml:space="preserve">Nationally </w:t>
      </w:r>
      <w:r w:rsidRPr="002D2223">
        <w:t>in 201</w:t>
      </w:r>
      <w:r w:rsidR="002E43EB">
        <w:t>5</w:t>
      </w:r>
      <w:r w:rsidRPr="002D2223">
        <w:t>-1</w:t>
      </w:r>
      <w:r w:rsidR="002E43EB">
        <w:t>6</w:t>
      </w:r>
      <w:r w:rsidRPr="002D2223">
        <w:t>, t</w:t>
      </w:r>
      <w:r w:rsidR="00BF1612" w:rsidRPr="002D2223">
        <w:t xml:space="preserve">he </w:t>
      </w:r>
      <w:r w:rsidR="006E486F" w:rsidRPr="002D2223">
        <w:t xml:space="preserve">average cost per </w:t>
      </w:r>
      <w:r w:rsidR="00AA6878" w:rsidRPr="002D2223">
        <w:t xml:space="preserve">non-admitted </w:t>
      </w:r>
      <w:r w:rsidR="00BF1612" w:rsidRPr="002D2223">
        <w:t>emergency department presentation was $</w:t>
      </w:r>
      <w:r w:rsidR="00F00BFE" w:rsidRPr="00720A93">
        <w:t>515</w:t>
      </w:r>
      <w:r w:rsidR="006C776E" w:rsidRPr="00720A93">
        <w:t xml:space="preserve"> (ranging </w:t>
      </w:r>
      <w:r w:rsidR="00C26D99" w:rsidRPr="00720A93">
        <w:t>across</w:t>
      </w:r>
      <w:r w:rsidR="006C776E" w:rsidRPr="00720A93">
        <w:t xml:space="preserve"> jurisdiction from $408 to $619)</w:t>
      </w:r>
      <w:r w:rsidRPr="002D2223">
        <w:t xml:space="preserve"> </w:t>
      </w:r>
      <w:r w:rsidR="00FB1303">
        <w:t xml:space="preserve">and per </w:t>
      </w:r>
      <w:r w:rsidR="006E486F" w:rsidRPr="002D2223">
        <w:t>n</w:t>
      </w:r>
      <w:r w:rsidR="00BF1612" w:rsidRPr="002D2223">
        <w:t xml:space="preserve">on-admitted service event </w:t>
      </w:r>
      <w:r w:rsidR="00FB1303">
        <w:t>was</w:t>
      </w:r>
      <w:r w:rsidR="00BF1612" w:rsidRPr="002D2223">
        <w:t xml:space="preserve"> </w:t>
      </w:r>
      <w:r w:rsidR="00BF1612" w:rsidRPr="00720A93">
        <w:t>$</w:t>
      </w:r>
      <w:r w:rsidR="0028005C" w:rsidRPr="00720A93">
        <w:t>303</w:t>
      </w:r>
      <w:r w:rsidR="006C776E" w:rsidRPr="00720A93">
        <w:t xml:space="preserve"> (ranging across jurisdictions from $223 to $627)</w:t>
      </w:r>
      <w:r w:rsidR="00BF1612" w:rsidRPr="00720A93">
        <w:t xml:space="preserve"> (</w:t>
      </w:r>
      <w:r w:rsidR="000A66B7" w:rsidRPr="00720A93">
        <w:t>figure</w:t>
      </w:r>
      <w:r w:rsidR="008C7048" w:rsidRPr="00720A93">
        <w:t> </w:t>
      </w:r>
      <w:r w:rsidR="00BF1612" w:rsidRPr="00720A93">
        <w:t>12</w:t>
      </w:r>
      <w:r w:rsidR="000A66B7" w:rsidRPr="00720A93">
        <w:t>.12)</w:t>
      </w:r>
      <w:r w:rsidR="00BF1612" w:rsidRPr="00720A93">
        <w:t>.</w:t>
      </w:r>
    </w:p>
    <w:p w14:paraId="5AE2819D" w14:textId="70E88908" w:rsidR="00F930F8" w:rsidRDefault="00F930F8" w:rsidP="006359F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930F8" w14:paraId="1C4DC9DA" w14:textId="77777777" w:rsidTr="00720A93">
        <w:trPr>
          <w:tblHeader/>
        </w:trPr>
        <w:tc>
          <w:tcPr>
            <w:tcW w:w="5000" w:type="pct"/>
            <w:tcBorders>
              <w:top w:val="single" w:sz="6" w:space="0" w:color="78A22F"/>
              <w:left w:val="nil"/>
              <w:bottom w:val="nil"/>
              <w:right w:val="nil"/>
            </w:tcBorders>
            <w:shd w:val="clear" w:color="auto" w:fill="auto"/>
          </w:tcPr>
          <w:p w14:paraId="33C4B483" w14:textId="2CFC1504" w:rsidR="00F930F8" w:rsidRPr="00176D3F" w:rsidRDefault="00F930F8" w:rsidP="00222887">
            <w:pPr>
              <w:pStyle w:val="FigureTitle"/>
            </w:pPr>
            <w:r w:rsidRPr="00784A05">
              <w:rPr>
                <w:b w:val="0"/>
              </w:rPr>
              <w:t xml:space="preserve">Figure </w:t>
            </w:r>
            <w:r>
              <w:rPr>
                <w:b w:val="0"/>
              </w:rPr>
              <w:t>12.</w:t>
            </w:r>
            <w:r w:rsidR="007F3144">
              <w:rPr>
                <w:b w:val="0"/>
                <w:noProof/>
              </w:rPr>
              <w:t>12</w:t>
            </w:r>
            <w:r>
              <w:tab/>
            </w:r>
            <w:bookmarkStart w:id="8" w:name="OLE_LINK1"/>
            <w:r w:rsidR="00222887" w:rsidRPr="00222887">
              <w:t>Recurrent cost per non-admitted patient</w:t>
            </w:r>
            <w:bookmarkEnd w:id="8"/>
            <w:r w:rsidR="00F36908">
              <w:t>, 2015-16</w:t>
            </w:r>
            <w:r w:rsidR="00B80BC2">
              <w:rPr>
                <w:rStyle w:val="NoteLabel"/>
                <w:b/>
                <w:szCs w:val="20"/>
              </w:rPr>
              <w:t>a</w:t>
            </w:r>
          </w:p>
        </w:tc>
      </w:tr>
      <w:tr w:rsidR="00F930F8" w14:paraId="109D8F1B" w14:textId="77777777" w:rsidTr="00720A93">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F930F8" w:rsidRPr="00B1465D" w14:paraId="56C80FBB" w14:textId="77777777" w:rsidTr="006359F8">
              <w:trPr>
                <w:tblHeader/>
                <w:jc w:val="center"/>
              </w:trPr>
              <w:tc>
                <w:tcPr>
                  <w:tcW w:w="5000" w:type="pct"/>
                  <w:tcBorders>
                    <w:top w:val="nil"/>
                    <w:bottom w:val="nil"/>
                  </w:tcBorders>
                </w:tcPr>
                <w:p w14:paraId="6F4575E0" w14:textId="30E0EBE5" w:rsidR="00F930F8" w:rsidRPr="00B1465D" w:rsidRDefault="00FD711B" w:rsidP="006359F8">
                  <w:pPr>
                    <w:pStyle w:val="Figure"/>
                    <w:spacing w:before="60" w:after="60"/>
                    <w:rPr>
                      <w:rFonts w:ascii="Arial" w:hAnsi="Arial" w:cs="Arial"/>
                      <w:sz w:val="18"/>
                      <w:szCs w:val="18"/>
                    </w:rPr>
                  </w:pPr>
                  <w:r>
                    <w:rPr>
                      <w:rFonts w:ascii="Arial" w:hAnsi="Arial" w:cs="Arial"/>
                      <w:noProof/>
                      <w:sz w:val="18"/>
                      <w:szCs w:val="18"/>
                    </w:rPr>
                    <w:drawing>
                      <wp:inline distT="0" distB="0" distL="0" distR="0" wp14:anchorId="679B2063" wp14:editId="5A3B34AA">
                        <wp:extent cx="5330190" cy="2893695"/>
                        <wp:effectExtent l="0" t="0" r="3810" b="1905"/>
                        <wp:docPr id="13" name="Picture 13" descr="More details can be found within the text surrounding this image." title="Figure 12.12 Recurrent cost per non-admitted patient,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0190" cy="2893695"/>
                                </a:xfrm>
                                <a:prstGeom prst="rect">
                                  <a:avLst/>
                                </a:prstGeom>
                                <a:noFill/>
                                <a:ln>
                                  <a:noFill/>
                                </a:ln>
                              </pic:spPr>
                            </pic:pic>
                          </a:graphicData>
                        </a:graphic>
                      </wp:inline>
                    </w:drawing>
                  </w:r>
                </w:p>
              </w:tc>
            </w:tr>
          </w:tbl>
          <w:p w14:paraId="54104E6D" w14:textId="77777777" w:rsidR="00F930F8" w:rsidRDefault="00F930F8" w:rsidP="006359F8">
            <w:pPr>
              <w:pStyle w:val="Figure"/>
            </w:pPr>
          </w:p>
        </w:tc>
      </w:tr>
      <w:tr w:rsidR="00222887" w:rsidRPr="00176D3F" w14:paraId="7D115DB4" w14:textId="77777777" w:rsidTr="00021137">
        <w:tc>
          <w:tcPr>
            <w:tcW w:w="5000" w:type="pct"/>
            <w:tcBorders>
              <w:top w:val="nil"/>
              <w:left w:val="nil"/>
              <w:bottom w:val="nil"/>
              <w:right w:val="nil"/>
            </w:tcBorders>
            <w:shd w:val="clear" w:color="auto" w:fill="auto"/>
          </w:tcPr>
          <w:p w14:paraId="0787BAAE" w14:textId="271955FD" w:rsidR="00222887" w:rsidRPr="00176D3F" w:rsidRDefault="00222887" w:rsidP="000829F5">
            <w:pPr>
              <w:pStyle w:val="Note"/>
            </w:pPr>
            <w:r>
              <w:rPr>
                <w:rStyle w:val="NoteLabel"/>
              </w:rPr>
              <w:t>a</w:t>
            </w:r>
            <w:r>
              <w:t xml:space="preserve"> </w:t>
            </w:r>
            <w:r w:rsidRPr="00477C9C">
              <w:t xml:space="preserve">See box </w:t>
            </w:r>
            <w:r>
              <w:t>12.15</w:t>
            </w:r>
            <w:r w:rsidRPr="00477C9C">
              <w:t xml:space="preserve"> and table</w:t>
            </w:r>
            <w:r w:rsidR="000829F5">
              <w:t>s</w:t>
            </w:r>
            <w:r w:rsidRPr="00477C9C">
              <w:t xml:space="preserve"> </w:t>
            </w:r>
            <w:proofErr w:type="spellStart"/>
            <w:r>
              <w:t>12A</w:t>
            </w:r>
            <w:r w:rsidRPr="00477C9C">
              <w:t>.</w:t>
            </w:r>
            <w:r w:rsidR="000829F5">
              <w:t>60</w:t>
            </w:r>
            <w:proofErr w:type="spellEnd"/>
            <w:r w:rsidR="000829F5">
              <w:t>–61</w:t>
            </w:r>
            <w:r w:rsidRPr="00477C9C">
              <w:t xml:space="preserve"> for detailed </w:t>
            </w:r>
            <w:r w:rsidRPr="00536DD1">
              <w:t xml:space="preserve">definitions, footnotes and </w:t>
            </w:r>
            <w:r w:rsidRPr="00477C9C">
              <w:t>caveats.</w:t>
            </w:r>
          </w:p>
        </w:tc>
      </w:tr>
      <w:tr w:rsidR="00222887" w:rsidRPr="00176D3F" w14:paraId="4EAAD5CF" w14:textId="77777777" w:rsidTr="00021137">
        <w:tc>
          <w:tcPr>
            <w:tcW w:w="5000" w:type="pct"/>
            <w:tcBorders>
              <w:top w:val="nil"/>
              <w:left w:val="nil"/>
              <w:bottom w:val="nil"/>
              <w:right w:val="nil"/>
            </w:tcBorders>
            <w:shd w:val="clear" w:color="auto" w:fill="auto"/>
          </w:tcPr>
          <w:p w14:paraId="1E44C0F2" w14:textId="2E74D23A" w:rsidR="00222887" w:rsidRPr="00176D3F" w:rsidRDefault="00222887" w:rsidP="00222887">
            <w:pPr>
              <w:pStyle w:val="Source"/>
            </w:pPr>
            <w:r>
              <w:rPr>
                <w:i/>
              </w:rPr>
              <w:t>S</w:t>
            </w:r>
            <w:r w:rsidRPr="00784A05">
              <w:rPr>
                <w:i/>
              </w:rPr>
              <w:t>ource</w:t>
            </w:r>
            <w:r w:rsidRPr="00176D3F">
              <w:t xml:space="preserve">: </w:t>
            </w:r>
            <w:r>
              <w:t>IHPA (unpublished) National Hospital Cost Data Collection</w:t>
            </w:r>
            <w:r w:rsidRPr="00346E2F">
              <w:t>; table</w:t>
            </w:r>
            <w:r>
              <w:t>s</w:t>
            </w:r>
            <w:r w:rsidRPr="00346E2F">
              <w:t xml:space="preserve"> </w:t>
            </w:r>
            <w:proofErr w:type="spellStart"/>
            <w:r>
              <w:t>12A</w:t>
            </w:r>
            <w:r w:rsidRPr="00346E2F">
              <w:t>.</w:t>
            </w:r>
            <w:r>
              <w:t>60</w:t>
            </w:r>
            <w:proofErr w:type="spellEnd"/>
            <w:r>
              <w:t>–61</w:t>
            </w:r>
            <w:r w:rsidRPr="00346E2F">
              <w:t>.</w:t>
            </w:r>
          </w:p>
        </w:tc>
      </w:tr>
      <w:tr w:rsidR="00222887" w14:paraId="4E8B4E00" w14:textId="77777777" w:rsidTr="00021137">
        <w:tc>
          <w:tcPr>
            <w:tcW w:w="5000" w:type="pct"/>
            <w:tcBorders>
              <w:top w:val="nil"/>
              <w:left w:val="nil"/>
              <w:bottom w:val="single" w:sz="6" w:space="0" w:color="78A22F"/>
              <w:right w:val="nil"/>
            </w:tcBorders>
            <w:shd w:val="clear" w:color="auto" w:fill="auto"/>
          </w:tcPr>
          <w:p w14:paraId="0AD9547F" w14:textId="77777777" w:rsidR="00222887" w:rsidRDefault="00222887" w:rsidP="00222887">
            <w:pPr>
              <w:pStyle w:val="Figurespace"/>
            </w:pPr>
          </w:p>
        </w:tc>
      </w:tr>
      <w:tr w:rsidR="00222887" w:rsidRPr="000863A5" w14:paraId="0B12D327" w14:textId="77777777" w:rsidTr="006359F8">
        <w:tc>
          <w:tcPr>
            <w:tcW w:w="5000" w:type="pct"/>
            <w:tcBorders>
              <w:top w:val="single" w:sz="6" w:space="0" w:color="78A22F"/>
              <w:left w:val="nil"/>
              <w:bottom w:val="nil"/>
              <w:right w:val="nil"/>
            </w:tcBorders>
          </w:tcPr>
          <w:p w14:paraId="513C22E0" w14:textId="23DDF856" w:rsidR="00222887" w:rsidRPr="00626D32" w:rsidRDefault="00222887" w:rsidP="00222887">
            <w:pPr>
              <w:pStyle w:val="BoxSpaceBelow"/>
            </w:pPr>
          </w:p>
        </w:tc>
      </w:tr>
    </w:tbl>
    <w:p w14:paraId="152E9084" w14:textId="77777777" w:rsidR="00B3687A" w:rsidRDefault="00B3687A" w:rsidP="00B3687A">
      <w:pPr>
        <w:pStyle w:val="Heading3"/>
      </w:pPr>
      <w:r>
        <w:t>Outcomes</w:t>
      </w:r>
    </w:p>
    <w:p w14:paraId="366ACA88" w14:textId="77777777" w:rsidR="00C52C94" w:rsidRDefault="00C52C94" w:rsidP="00B3687A">
      <w:pPr>
        <w:pStyle w:val="Heading4"/>
        <w:rPr>
          <w:rFonts w:ascii="Times New Roman" w:hAnsi="Times New Roman"/>
        </w:rPr>
      </w:pPr>
      <w:r w:rsidRPr="00C52C94">
        <w:rPr>
          <w:rFonts w:ascii="Times New Roman" w:hAnsi="Times New Roman"/>
        </w:rPr>
        <w:t xml:space="preserve">Outcomes are the impact of services on the status of an individual or </w:t>
      </w:r>
      <w:r w:rsidR="002808F2">
        <w:rPr>
          <w:rFonts w:ascii="Times New Roman" w:hAnsi="Times New Roman"/>
        </w:rPr>
        <w:t>group (see chapter 1</w:t>
      </w:r>
      <w:r w:rsidRPr="00C52C94">
        <w:rPr>
          <w:rFonts w:ascii="Times New Roman" w:hAnsi="Times New Roman"/>
        </w:rPr>
        <w:t xml:space="preserve">). </w:t>
      </w:r>
    </w:p>
    <w:p w14:paraId="39E88E2F" w14:textId="77777777" w:rsidR="003759EF" w:rsidRDefault="003759EF" w:rsidP="003759EF">
      <w:pPr>
        <w:pStyle w:val="Heading4"/>
      </w:pPr>
      <w:r>
        <w:t>Mortality in hospitals</w:t>
      </w:r>
    </w:p>
    <w:p w14:paraId="29A3858E" w14:textId="7B28E662" w:rsidR="00E055D1" w:rsidRDefault="003759EF" w:rsidP="003759EF">
      <w:pPr>
        <w:pStyle w:val="BodyText"/>
      </w:pPr>
      <w:r>
        <w:t xml:space="preserve">‘Mortality in hospitals’ is an indicator of governments’ objective to </w:t>
      </w:r>
      <w:r w:rsidR="00C62242">
        <w:t xml:space="preserve">alleviate or </w:t>
      </w:r>
      <w:r w:rsidR="00E20061">
        <w:t xml:space="preserve">manage illness and the effects of injury </w:t>
      </w:r>
      <w:r>
        <w:t xml:space="preserve">(box </w:t>
      </w:r>
      <w:r w:rsidR="000F15E6">
        <w:t>12.</w:t>
      </w:r>
      <w:r>
        <w:t>1</w:t>
      </w:r>
      <w:r w:rsidR="003D3C97">
        <w:t>6</w:t>
      </w:r>
      <w:r>
        <w:t>).</w:t>
      </w:r>
    </w:p>
    <w:p w14:paraId="01476252" w14:textId="158CBB9C" w:rsidR="003759EF" w:rsidRDefault="003759E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759EF" w14:paraId="7997EEF6" w14:textId="77777777" w:rsidTr="005656A9">
        <w:tc>
          <w:tcPr>
            <w:tcW w:w="8789" w:type="dxa"/>
            <w:tcBorders>
              <w:top w:val="single" w:sz="6" w:space="0" w:color="78A22F"/>
              <w:left w:val="nil"/>
              <w:bottom w:val="nil"/>
              <w:right w:val="nil"/>
            </w:tcBorders>
            <w:shd w:val="clear" w:color="auto" w:fill="F2F2F2"/>
          </w:tcPr>
          <w:p w14:paraId="2A938D14" w14:textId="7392A555" w:rsidR="003759EF" w:rsidRDefault="003759EF">
            <w:pPr>
              <w:pStyle w:val="BoxTitle"/>
            </w:pPr>
            <w:r>
              <w:rPr>
                <w:b w:val="0"/>
              </w:rPr>
              <w:t xml:space="preserve">Box </w:t>
            </w:r>
            <w:r w:rsidR="003D3C97">
              <w:rPr>
                <w:b w:val="0"/>
              </w:rPr>
              <w:t>12.</w:t>
            </w:r>
            <w:r w:rsidR="007F3144">
              <w:rPr>
                <w:b w:val="0"/>
                <w:noProof/>
              </w:rPr>
              <w:t>16</w:t>
            </w:r>
            <w:r>
              <w:tab/>
            </w:r>
            <w:r w:rsidRPr="003759EF">
              <w:t>Mortality in hospitals</w:t>
            </w:r>
          </w:p>
        </w:tc>
      </w:tr>
      <w:tr w:rsidR="003759EF" w14:paraId="28A519A5" w14:textId="77777777" w:rsidTr="005656A9">
        <w:trPr>
          <w:cantSplit/>
        </w:trPr>
        <w:tc>
          <w:tcPr>
            <w:tcW w:w="8789" w:type="dxa"/>
            <w:tcBorders>
              <w:top w:val="nil"/>
              <w:left w:val="nil"/>
              <w:bottom w:val="nil"/>
              <w:right w:val="nil"/>
            </w:tcBorders>
            <w:shd w:val="clear" w:color="auto" w:fill="F2F2F2"/>
          </w:tcPr>
          <w:p w14:paraId="54B74FA3" w14:textId="77777777" w:rsidR="008941B5" w:rsidRDefault="008941B5" w:rsidP="003759EF">
            <w:pPr>
              <w:pStyle w:val="Box"/>
            </w:pPr>
            <w:r w:rsidRPr="008941B5">
              <w:t>‘Mortality in hospitals’ is defined as death in low-mortality diagnostic related groups expressed as a rate.</w:t>
            </w:r>
          </w:p>
          <w:p w14:paraId="1776F09E" w14:textId="77777777" w:rsidR="008941B5" w:rsidRDefault="008941B5" w:rsidP="003759EF">
            <w:pPr>
              <w:pStyle w:val="Box"/>
            </w:pPr>
            <w:r>
              <w:t>Low or decreasing rates of mortality in hospitals indicate more successful management of illness and the effects of injury.</w:t>
            </w:r>
          </w:p>
          <w:p w14:paraId="48F98D0D" w14:textId="06AD4C69" w:rsidR="003759EF" w:rsidRDefault="00BA6495" w:rsidP="003759EF">
            <w:pPr>
              <w:pStyle w:val="Box"/>
            </w:pPr>
            <w:r>
              <w:t xml:space="preserve"> Data are not yet available for reporting against this measure</w:t>
            </w:r>
            <w:r w:rsidR="003759EF">
              <w:t>.</w:t>
            </w:r>
          </w:p>
        </w:tc>
      </w:tr>
      <w:tr w:rsidR="003759EF" w14:paraId="7CA815A1" w14:textId="77777777" w:rsidTr="005656A9">
        <w:trPr>
          <w:cantSplit/>
        </w:trPr>
        <w:tc>
          <w:tcPr>
            <w:tcW w:w="8789" w:type="dxa"/>
            <w:tcBorders>
              <w:top w:val="nil"/>
              <w:left w:val="nil"/>
              <w:bottom w:val="single" w:sz="6" w:space="0" w:color="78A22F"/>
              <w:right w:val="nil"/>
            </w:tcBorders>
            <w:shd w:val="clear" w:color="auto" w:fill="F2F2F2"/>
          </w:tcPr>
          <w:p w14:paraId="60D59453" w14:textId="77777777" w:rsidR="003759EF" w:rsidRDefault="003759EF">
            <w:pPr>
              <w:pStyle w:val="Box"/>
              <w:spacing w:before="0" w:line="120" w:lineRule="exact"/>
            </w:pPr>
          </w:p>
        </w:tc>
      </w:tr>
      <w:tr w:rsidR="003759EF" w:rsidRPr="000863A5" w14:paraId="1EAC4027" w14:textId="77777777" w:rsidTr="005656A9">
        <w:tc>
          <w:tcPr>
            <w:tcW w:w="8789" w:type="dxa"/>
            <w:tcBorders>
              <w:top w:val="single" w:sz="6" w:space="0" w:color="78A22F"/>
              <w:left w:val="nil"/>
              <w:bottom w:val="nil"/>
              <w:right w:val="nil"/>
            </w:tcBorders>
          </w:tcPr>
          <w:p w14:paraId="5752CDC1" w14:textId="53060445" w:rsidR="003759EF" w:rsidRPr="00626D32" w:rsidRDefault="003759EF" w:rsidP="007D422B">
            <w:pPr>
              <w:pStyle w:val="BoxSpaceBelow"/>
            </w:pPr>
          </w:p>
        </w:tc>
      </w:tr>
    </w:tbl>
    <w:p w14:paraId="58450BF1" w14:textId="77777777" w:rsidR="00637FA0" w:rsidRDefault="00637FA0" w:rsidP="008C7048">
      <w:pPr>
        <w:pStyle w:val="Heading2"/>
        <w:keepNext w:val="0"/>
      </w:pPr>
    </w:p>
    <w:p w14:paraId="5125E63E" w14:textId="0113B0EC" w:rsidR="00843167" w:rsidRDefault="00D937AB" w:rsidP="008C7048">
      <w:pPr>
        <w:pStyle w:val="Heading2"/>
        <w:keepNext w:val="0"/>
      </w:pPr>
      <w:bookmarkStart w:id="9" w:name="_Toc465174689"/>
      <w:r>
        <w:lastRenderedPageBreak/>
        <w:t>12.</w:t>
      </w:r>
      <w:r w:rsidR="007F3144">
        <w:rPr>
          <w:noProof/>
        </w:rPr>
        <w:t>4</w:t>
      </w:r>
      <w:r w:rsidR="00843167">
        <w:tab/>
      </w:r>
      <w:r w:rsidR="00843167" w:rsidRPr="00843167">
        <w:t>Definitions of key terms</w:t>
      </w:r>
      <w:bookmarkEnd w:id="9"/>
    </w:p>
    <w:p w14:paraId="35FEBCB4" w14:textId="77777777" w:rsidR="00AE6F61" w:rsidRPr="00AE6F61" w:rsidRDefault="00AE6F61" w:rsidP="008C7048">
      <w:pPr>
        <w:pStyle w:val="Figurespace"/>
        <w:keepNext w:val="0"/>
      </w:pPr>
    </w:p>
    <w:tbl>
      <w:tblPr>
        <w:tblW w:w="0" w:type="auto"/>
        <w:tblLook w:val="01E0" w:firstRow="1" w:lastRow="1" w:firstColumn="1" w:lastColumn="1" w:noHBand="0" w:noVBand="0"/>
      </w:tblPr>
      <w:tblGrid>
        <w:gridCol w:w="2397"/>
        <w:gridCol w:w="6392"/>
      </w:tblGrid>
      <w:tr w:rsidR="00814F52" w:rsidRPr="004C557B" w14:paraId="05499B67" w14:textId="77777777" w:rsidTr="005656A9">
        <w:tc>
          <w:tcPr>
            <w:tcW w:w="2397" w:type="dxa"/>
            <w:shd w:val="clear" w:color="auto" w:fill="auto"/>
          </w:tcPr>
          <w:p w14:paraId="089A199D" w14:textId="77777777" w:rsidR="00814F52" w:rsidRPr="00407F56" w:rsidRDefault="00814F52" w:rsidP="008C7048">
            <w:pPr>
              <w:pStyle w:val="TableBodyText"/>
              <w:keepNext w:val="0"/>
              <w:keepLines w:val="0"/>
              <w:spacing w:before="60" w:after="60"/>
              <w:jc w:val="left"/>
              <w:rPr>
                <w:b/>
              </w:rPr>
            </w:pPr>
            <w:r w:rsidRPr="00407F56">
              <w:rPr>
                <w:b/>
              </w:rPr>
              <w:t>Accreditation</w:t>
            </w:r>
          </w:p>
        </w:tc>
        <w:tc>
          <w:tcPr>
            <w:tcW w:w="6392" w:type="dxa"/>
            <w:shd w:val="clear" w:color="auto" w:fill="auto"/>
          </w:tcPr>
          <w:p w14:paraId="1AD555CF" w14:textId="11973BE5" w:rsidR="00814F52" w:rsidRPr="004C557B" w:rsidRDefault="00814F52" w:rsidP="00B66F7E">
            <w:pPr>
              <w:pStyle w:val="TableBodyText"/>
              <w:keepNext w:val="0"/>
              <w:keepLines w:val="0"/>
              <w:spacing w:before="60" w:after="60"/>
              <w:jc w:val="left"/>
            </w:pPr>
            <w:r w:rsidRPr="004C557B">
              <w:t xml:space="preserve">Professional recognition awarded to hospitals and other healthcare facilities that meet defined industry standards. Public hospitals </w:t>
            </w:r>
            <w:r>
              <w:t>can</w:t>
            </w:r>
            <w:r w:rsidRPr="004C557B">
              <w:t xml:space="preserve"> seek accreditation through the A</w:t>
            </w:r>
            <w:r w:rsidR="00B66F7E">
              <w:t xml:space="preserve">ustralian </w:t>
            </w:r>
            <w:r w:rsidRPr="004C557B">
              <w:t>C</w:t>
            </w:r>
            <w:r w:rsidR="00B66F7E">
              <w:t xml:space="preserve">ouncil on Healthcare Standards </w:t>
            </w:r>
            <w:r w:rsidRPr="004C557B">
              <w:t>Evaluation and Quality Improvement Program, the Australian Quality Council (now known as Business Excellence Australia), the Quality Improvement Council, the International Organisation for Standardization 9000 Quality Management System or other equivalent programs.</w:t>
            </w:r>
          </w:p>
        </w:tc>
      </w:tr>
      <w:tr w:rsidR="00814F52" w:rsidRPr="004C557B" w14:paraId="021E98A6" w14:textId="77777777" w:rsidTr="005656A9">
        <w:tc>
          <w:tcPr>
            <w:tcW w:w="2397" w:type="dxa"/>
            <w:shd w:val="clear" w:color="auto" w:fill="auto"/>
          </w:tcPr>
          <w:p w14:paraId="73DB708B" w14:textId="77777777" w:rsidR="00814F52" w:rsidRPr="00407F56" w:rsidRDefault="00814F52" w:rsidP="008C7048">
            <w:pPr>
              <w:pStyle w:val="TableBodyText"/>
              <w:keepNext w:val="0"/>
              <w:keepLines w:val="0"/>
              <w:spacing w:before="60" w:after="60"/>
              <w:jc w:val="left"/>
              <w:rPr>
                <w:b/>
              </w:rPr>
            </w:pPr>
            <w:r w:rsidRPr="00407F56">
              <w:rPr>
                <w:b/>
              </w:rPr>
              <w:t>Acute care</w:t>
            </w:r>
          </w:p>
        </w:tc>
        <w:tc>
          <w:tcPr>
            <w:tcW w:w="6392" w:type="dxa"/>
            <w:shd w:val="clear" w:color="auto" w:fill="auto"/>
          </w:tcPr>
          <w:p w14:paraId="44797231" w14:textId="63BC0A5F" w:rsidR="00814F52" w:rsidRPr="004C557B" w:rsidRDefault="00814F52" w:rsidP="004A2733">
            <w:pPr>
              <w:pStyle w:val="TableBodyText"/>
              <w:keepNext w:val="0"/>
              <w:keepLines w:val="0"/>
              <w:spacing w:before="60" w:after="60"/>
              <w:jc w:val="left"/>
            </w:pPr>
            <w:r w:rsidRPr="004C557B">
              <w:t>Clinical services provided to admitted patients, including managing labour, curing illness or treating injury, performing surgery, relieving symptoms and/or reducing the severity of illness or injury, and performing diagnostic and therapeutic procedures</w:t>
            </w:r>
            <w:r w:rsidR="004A2733">
              <w:t>.</w:t>
            </w:r>
          </w:p>
        </w:tc>
      </w:tr>
      <w:tr w:rsidR="00814F52" w:rsidRPr="004C557B" w14:paraId="3E9DF4B2" w14:textId="77777777" w:rsidTr="005656A9">
        <w:tc>
          <w:tcPr>
            <w:tcW w:w="2397" w:type="dxa"/>
            <w:shd w:val="clear" w:color="auto" w:fill="auto"/>
          </w:tcPr>
          <w:p w14:paraId="6AD2B96C" w14:textId="77777777" w:rsidR="00814F52" w:rsidRPr="00407F56" w:rsidRDefault="00814F52" w:rsidP="008C7048">
            <w:pPr>
              <w:pStyle w:val="TableBodyText"/>
              <w:keepNext w:val="0"/>
              <w:keepLines w:val="0"/>
              <w:spacing w:before="60" w:after="60"/>
              <w:jc w:val="left"/>
              <w:rPr>
                <w:b/>
              </w:rPr>
            </w:pPr>
            <w:r w:rsidRPr="00407F56">
              <w:rPr>
                <w:b/>
              </w:rPr>
              <w:t>Admitted patient</w:t>
            </w:r>
          </w:p>
        </w:tc>
        <w:tc>
          <w:tcPr>
            <w:tcW w:w="6392" w:type="dxa"/>
            <w:shd w:val="clear" w:color="auto" w:fill="auto"/>
          </w:tcPr>
          <w:p w14:paraId="31204904" w14:textId="71224391" w:rsidR="00814F52" w:rsidRPr="004C557B" w:rsidRDefault="004A2733" w:rsidP="008C7048">
            <w:pPr>
              <w:pStyle w:val="TableBodyText"/>
              <w:keepNext w:val="0"/>
              <w:keepLines w:val="0"/>
              <w:spacing w:before="60" w:after="60"/>
              <w:jc w:val="left"/>
            </w:pPr>
            <w:r>
              <w:t>A patient who undergoes a hospital’s admission process to receive treatment and/or care. This treatment and/or care is provided over a period of time and can occur in hospital and/or in the person’s home (for hospital-in-the-home patients).</w:t>
            </w:r>
          </w:p>
        </w:tc>
      </w:tr>
      <w:tr w:rsidR="00814F52" w:rsidRPr="004C557B" w14:paraId="04BFA356" w14:textId="77777777" w:rsidTr="005656A9">
        <w:tc>
          <w:tcPr>
            <w:tcW w:w="2397" w:type="dxa"/>
            <w:shd w:val="clear" w:color="auto" w:fill="auto"/>
          </w:tcPr>
          <w:p w14:paraId="4CC12D20" w14:textId="77777777" w:rsidR="00814F52" w:rsidRPr="00407F56" w:rsidRDefault="00814F52" w:rsidP="008C7048">
            <w:pPr>
              <w:pStyle w:val="TableBodyText"/>
              <w:keepNext w:val="0"/>
              <w:keepLines w:val="0"/>
              <w:spacing w:before="60" w:after="60"/>
              <w:jc w:val="left"/>
              <w:rPr>
                <w:b/>
              </w:rPr>
            </w:pPr>
            <w:r w:rsidRPr="00407F56">
              <w:rPr>
                <w:b/>
              </w:rPr>
              <w:t>Allied health (non</w:t>
            </w:r>
            <w:r w:rsidRPr="00407F56">
              <w:rPr>
                <w:b/>
              </w:rPr>
              <w:noBreakHyphen/>
              <w:t>admitted)</w:t>
            </w:r>
          </w:p>
        </w:tc>
        <w:tc>
          <w:tcPr>
            <w:tcW w:w="6392" w:type="dxa"/>
            <w:shd w:val="clear" w:color="auto" w:fill="auto"/>
          </w:tcPr>
          <w:p w14:paraId="29ED0403" w14:textId="77777777" w:rsidR="00814F52" w:rsidRPr="004C557B" w:rsidRDefault="00814F52" w:rsidP="008C7048">
            <w:pPr>
              <w:pStyle w:val="TableBodyText"/>
              <w:keepNext w:val="0"/>
              <w:keepLines w:val="0"/>
              <w:spacing w:before="60" w:after="60"/>
              <w:jc w:val="left"/>
            </w:pPr>
            <w:r>
              <w:t>Occasions of service to non-admitted patients at units/clinics providing treatment/counselling to patients. These include units providing physiotherapy, speech therapy, family planning, dietary advice, optometry and occupational therapy.</w:t>
            </w:r>
          </w:p>
        </w:tc>
      </w:tr>
      <w:tr w:rsidR="00814F52" w14:paraId="52103028" w14:textId="77777777" w:rsidTr="005656A9">
        <w:tc>
          <w:tcPr>
            <w:tcW w:w="2397" w:type="dxa"/>
            <w:shd w:val="clear" w:color="auto" w:fill="auto"/>
          </w:tcPr>
          <w:p w14:paraId="46E9CF37" w14:textId="77777777" w:rsidR="00814F52" w:rsidRPr="00407F56" w:rsidRDefault="00814F52" w:rsidP="008C7048">
            <w:pPr>
              <w:pStyle w:val="TableBodyText"/>
              <w:keepNext w:val="0"/>
              <w:keepLines w:val="0"/>
              <w:spacing w:before="60" w:after="60"/>
              <w:jc w:val="left"/>
              <w:rPr>
                <w:b/>
              </w:rPr>
            </w:pPr>
            <w:r w:rsidRPr="00407F56">
              <w:rPr>
                <w:b/>
              </w:rPr>
              <w:t>AR-</w:t>
            </w:r>
            <w:proofErr w:type="spellStart"/>
            <w:r w:rsidRPr="00407F56">
              <w:rPr>
                <w:b/>
              </w:rPr>
              <w:t>DRG</w:t>
            </w:r>
            <w:proofErr w:type="spellEnd"/>
          </w:p>
        </w:tc>
        <w:tc>
          <w:tcPr>
            <w:tcW w:w="6392" w:type="dxa"/>
            <w:shd w:val="clear" w:color="auto" w:fill="auto"/>
          </w:tcPr>
          <w:p w14:paraId="12BF5AEF" w14:textId="77777777" w:rsidR="00814F52" w:rsidRDefault="00814F52" w:rsidP="008C7048">
            <w:pPr>
              <w:pStyle w:val="TableBodyText"/>
              <w:keepNext w:val="0"/>
              <w:keepLines w:val="0"/>
              <w:spacing w:before="60" w:after="60"/>
              <w:jc w:val="left"/>
            </w:pPr>
            <w:r>
              <w:t>Australian Refined Diagnosis Related Group - a patient classification system that hospitals use to match their patient services (hospital procedures and diagnoses) with their resource needs. AR-</w:t>
            </w:r>
            <w:proofErr w:type="spellStart"/>
            <w:r>
              <w:t>DRG</w:t>
            </w:r>
            <w:proofErr w:type="spellEnd"/>
            <w:r>
              <w:t xml:space="preserve"> version </w:t>
            </w:r>
            <w:proofErr w:type="spellStart"/>
            <w:r w:rsidRPr="00671F9E">
              <w:t>6.0x</w:t>
            </w:r>
            <w:proofErr w:type="spellEnd"/>
            <w:r>
              <w:t xml:space="preserve"> is based on the ICD-10-AM classification.</w:t>
            </w:r>
          </w:p>
        </w:tc>
      </w:tr>
      <w:tr w:rsidR="00814F52" w:rsidRPr="004F0A5A" w14:paraId="69EFC27A" w14:textId="77777777" w:rsidTr="005656A9">
        <w:tc>
          <w:tcPr>
            <w:tcW w:w="2397" w:type="dxa"/>
            <w:shd w:val="clear" w:color="auto" w:fill="auto"/>
          </w:tcPr>
          <w:p w14:paraId="52144440" w14:textId="77777777" w:rsidR="00814F52" w:rsidRPr="00407F56" w:rsidRDefault="00814F52" w:rsidP="008C7048">
            <w:pPr>
              <w:pStyle w:val="TableBodyText"/>
              <w:keepNext w:val="0"/>
              <w:keepLines w:val="0"/>
              <w:spacing w:before="60" w:after="60"/>
              <w:jc w:val="left"/>
              <w:rPr>
                <w:b/>
              </w:rPr>
            </w:pPr>
            <w:proofErr w:type="spellStart"/>
            <w:r w:rsidRPr="00407F56">
              <w:rPr>
                <w:b/>
              </w:rPr>
              <w:t>Casemix</w:t>
            </w:r>
            <w:proofErr w:type="spellEnd"/>
            <w:r w:rsidRPr="00407F56">
              <w:rPr>
                <w:b/>
              </w:rPr>
              <w:t xml:space="preserve"> adjusted</w:t>
            </w:r>
          </w:p>
        </w:tc>
        <w:tc>
          <w:tcPr>
            <w:tcW w:w="6392" w:type="dxa"/>
            <w:shd w:val="clear" w:color="auto" w:fill="auto"/>
          </w:tcPr>
          <w:p w14:paraId="6E8B1D4B" w14:textId="77777777" w:rsidR="00814F52" w:rsidRPr="004F0A5A" w:rsidRDefault="00814F52" w:rsidP="008C7048">
            <w:pPr>
              <w:pStyle w:val="TableBodyText"/>
              <w:keepNext w:val="0"/>
              <w:keepLines w:val="0"/>
              <w:spacing w:before="60" w:after="60"/>
              <w:jc w:val="left"/>
            </w:pPr>
            <w:r w:rsidRPr="004F0A5A">
              <w:t>Adjustment of data on cases treated to account for the number and type of cases. Cases are sorted by AR</w:t>
            </w:r>
            <w:r>
              <w:noBreakHyphen/>
            </w:r>
            <w:proofErr w:type="spellStart"/>
            <w:r w:rsidRPr="004F0A5A">
              <w:t>DRG</w:t>
            </w:r>
            <w:proofErr w:type="spellEnd"/>
            <w:r w:rsidRPr="004F0A5A">
              <w:t xml:space="preserve"> into categories of patients with similar clinical conditions and requiring similar hospital services. </w:t>
            </w:r>
            <w:proofErr w:type="spellStart"/>
            <w:r w:rsidRPr="004F0A5A">
              <w:t>Casemix</w:t>
            </w:r>
            <w:proofErr w:type="spellEnd"/>
            <w:r w:rsidRPr="004F0A5A">
              <w:t xml:space="preserve"> adjustment is an important step to achieving comparable measures of efficiency across hospitals and jurisdictions.</w:t>
            </w:r>
          </w:p>
        </w:tc>
      </w:tr>
      <w:tr w:rsidR="00814F52" w:rsidRPr="00AF2819" w14:paraId="5D6F2CE1" w14:textId="77777777" w:rsidTr="005656A9">
        <w:tc>
          <w:tcPr>
            <w:tcW w:w="2397" w:type="dxa"/>
            <w:shd w:val="clear" w:color="auto" w:fill="auto"/>
          </w:tcPr>
          <w:p w14:paraId="2E04A274" w14:textId="77777777" w:rsidR="00814F52" w:rsidRPr="00407F56" w:rsidRDefault="00814F52" w:rsidP="008C7048">
            <w:pPr>
              <w:pStyle w:val="TableBodyText"/>
              <w:keepNext w:val="0"/>
              <w:keepLines w:val="0"/>
              <w:spacing w:before="60" w:after="60"/>
              <w:jc w:val="left"/>
              <w:rPr>
                <w:b/>
              </w:rPr>
            </w:pPr>
            <w:proofErr w:type="spellStart"/>
            <w:r w:rsidRPr="00407F56">
              <w:rPr>
                <w:b/>
              </w:rPr>
              <w:t>Casemix</w:t>
            </w:r>
            <w:proofErr w:type="spellEnd"/>
            <w:r w:rsidRPr="00407F56">
              <w:rPr>
                <w:b/>
              </w:rPr>
              <w:t xml:space="preserve"> adjusted separations</w:t>
            </w:r>
          </w:p>
        </w:tc>
        <w:tc>
          <w:tcPr>
            <w:tcW w:w="6392" w:type="dxa"/>
            <w:shd w:val="clear" w:color="auto" w:fill="auto"/>
          </w:tcPr>
          <w:p w14:paraId="02D917B5" w14:textId="77777777" w:rsidR="00814F52" w:rsidRPr="00AF2819" w:rsidRDefault="00814F52" w:rsidP="008C7048">
            <w:pPr>
              <w:pStyle w:val="TableBodyText"/>
              <w:keepNext w:val="0"/>
              <w:keepLines w:val="0"/>
              <w:spacing w:before="60" w:after="60"/>
              <w:jc w:val="left"/>
            </w:pPr>
            <w:r w:rsidRPr="00AF2819">
              <w:t>The number of separations adjusted to account for differences across hospitals in the complexity of episodes of care.</w:t>
            </w:r>
          </w:p>
        </w:tc>
      </w:tr>
      <w:tr w:rsidR="00814F52" w:rsidRPr="00040114" w14:paraId="2C2D0F67" w14:textId="77777777" w:rsidTr="005656A9">
        <w:tc>
          <w:tcPr>
            <w:tcW w:w="2397" w:type="dxa"/>
            <w:shd w:val="clear" w:color="auto" w:fill="auto"/>
          </w:tcPr>
          <w:p w14:paraId="0D19A170" w14:textId="77777777" w:rsidR="00814F52" w:rsidRPr="00407F56" w:rsidRDefault="00814F52" w:rsidP="008C7048">
            <w:pPr>
              <w:pStyle w:val="TableBodyText"/>
              <w:keepNext w:val="0"/>
              <w:keepLines w:val="0"/>
              <w:spacing w:before="60" w:after="60"/>
              <w:jc w:val="left"/>
              <w:rPr>
                <w:b/>
              </w:rPr>
            </w:pPr>
            <w:r w:rsidRPr="00407F56">
              <w:rPr>
                <w:b/>
              </w:rPr>
              <w:t>Community health services</w:t>
            </w:r>
          </w:p>
        </w:tc>
        <w:tc>
          <w:tcPr>
            <w:tcW w:w="6392" w:type="dxa"/>
            <w:shd w:val="clear" w:color="auto" w:fill="auto"/>
          </w:tcPr>
          <w:p w14:paraId="2B530D2C" w14:textId="77777777" w:rsidR="00814F52" w:rsidRPr="00040114" w:rsidRDefault="00814F52" w:rsidP="008C7048">
            <w:pPr>
              <w:pStyle w:val="TableBodyText"/>
              <w:keepNext w:val="0"/>
              <w:keepLines w:val="0"/>
              <w:spacing w:before="60" w:after="60"/>
              <w:jc w:val="left"/>
            </w:pPr>
            <w:r w:rsidRPr="00040114">
              <w:t>Health services for individuals and groups delivered in a community setting, rather than via hospitals or private facilities.</w:t>
            </w:r>
          </w:p>
        </w:tc>
      </w:tr>
      <w:tr w:rsidR="004256D6" w:rsidRPr="002E4310" w14:paraId="75523F81" w14:textId="77777777" w:rsidTr="005656A9">
        <w:tc>
          <w:tcPr>
            <w:tcW w:w="2397" w:type="dxa"/>
            <w:shd w:val="clear" w:color="auto" w:fill="auto"/>
          </w:tcPr>
          <w:p w14:paraId="57B4A1A8" w14:textId="77777777" w:rsidR="004256D6" w:rsidRPr="00407F56" w:rsidRDefault="004256D6" w:rsidP="008C7048">
            <w:pPr>
              <w:pStyle w:val="TableBodyText"/>
              <w:keepNext w:val="0"/>
              <w:keepLines w:val="0"/>
              <w:spacing w:before="60" w:after="60"/>
              <w:jc w:val="left"/>
              <w:rPr>
                <w:b/>
              </w:rPr>
            </w:pPr>
            <w:r>
              <w:rPr>
                <w:b/>
              </w:rPr>
              <w:t>Comparability</w:t>
            </w:r>
          </w:p>
        </w:tc>
        <w:tc>
          <w:tcPr>
            <w:tcW w:w="6392" w:type="dxa"/>
            <w:shd w:val="clear" w:color="auto" w:fill="auto"/>
          </w:tcPr>
          <w:p w14:paraId="47AA8F8F" w14:textId="77777777" w:rsidR="004256D6" w:rsidRPr="002E4310" w:rsidRDefault="001E496A" w:rsidP="008C7048">
            <w:pPr>
              <w:pStyle w:val="TableBodyText"/>
              <w:keepNext w:val="0"/>
              <w:keepLines w:val="0"/>
              <w:spacing w:before="60" w:after="60"/>
              <w:jc w:val="left"/>
            </w:pPr>
            <w:r w:rsidRPr="001E496A">
              <w:t>Data are considered comparable if (subject to caveats) they can be used to inform an assessment of comparative performance. Typically, data are considered comparable when they are collected in the same way and in accordance with the same definitions. For comparable indicators or measures, significant differences in reported results allow an assessment of differences in performance, rather than being the result of anomalies in the data.</w:t>
            </w:r>
          </w:p>
        </w:tc>
      </w:tr>
      <w:tr w:rsidR="004256D6" w:rsidRPr="002E4310" w14:paraId="1AFECE45" w14:textId="77777777" w:rsidTr="005656A9">
        <w:tc>
          <w:tcPr>
            <w:tcW w:w="2397" w:type="dxa"/>
            <w:shd w:val="clear" w:color="auto" w:fill="auto"/>
          </w:tcPr>
          <w:p w14:paraId="6F5B40E8" w14:textId="77777777" w:rsidR="004256D6" w:rsidRPr="00407F56" w:rsidRDefault="004256D6" w:rsidP="008C7048">
            <w:pPr>
              <w:pStyle w:val="TableBodyText"/>
              <w:keepNext w:val="0"/>
              <w:keepLines w:val="0"/>
              <w:spacing w:before="60" w:after="60"/>
              <w:jc w:val="left"/>
              <w:rPr>
                <w:b/>
              </w:rPr>
            </w:pPr>
            <w:r>
              <w:rPr>
                <w:b/>
              </w:rPr>
              <w:t>Completeness</w:t>
            </w:r>
          </w:p>
        </w:tc>
        <w:tc>
          <w:tcPr>
            <w:tcW w:w="6392" w:type="dxa"/>
            <w:shd w:val="clear" w:color="auto" w:fill="auto"/>
          </w:tcPr>
          <w:p w14:paraId="1AD5E6AA" w14:textId="77777777" w:rsidR="004256D6" w:rsidRPr="002E4310" w:rsidRDefault="001E496A" w:rsidP="008C7048">
            <w:pPr>
              <w:pStyle w:val="TableBodyText"/>
              <w:keepNext w:val="0"/>
              <w:keepLines w:val="0"/>
              <w:spacing w:before="60" w:after="60"/>
              <w:jc w:val="left"/>
            </w:pPr>
            <w:r w:rsidRPr="001E496A">
              <w:t>Data are considered complete if all required data are available for all jurisdictions that provide the service.</w:t>
            </w:r>
          </w:p>
        </w:tc>
      </w:tr>
      <w:tr w:rsidR="00814F52" w:rsidRPr="002E4310" w14:paraId="47995746" w14:textId="77777777" w:rsidTr="005656A9">
        <w:tc>
          <w:tcPr>
            <w:tcW w:w="2397" w:type="dxa"/>
            <w:shd w:val="clear" w:color="auto" w:fill="auto"/>
          </w:tcPr>
          <w:p w14:paraId="3C3BDD9F" w14:textId="77777777" w:rsidR="00814F52" w:rsidRPr="00407F56" w:rsidRDefault="00814F52" w:rsidP="008C7048">
            <w:pPr>
              <w:pStyle w:val="TableBodyText"/>
              <w:keepNext w:val="0"/>
              <w:keepLines w:val="0"/>
              <w:spacing w:before="60" w:after="60"/>
              <w:jc w:val="left"/>
              <w:rPr>
                <w:b/>
              </w:rPr>
            </w:pPr>
            <w:r w:rsidRPr="00407F56">
              <w:rPr>
                <w:b/>
              </w:rPr>
              <w:t>Cost of capital</w:t>
            </w:r>
          </w:p>
        </w:tc>
        <w:tc>
          <w:tcPr>
            <w:tcW w:w="6392" w:type="dxa"/>
            <w:shd w:val="clear" w:color="auto" w:fill="auto"/>
          </w:tcPr>
          <w:p w14:paraId="5FB1EB36" w14:textId="77777777" w:rsidR="00814F52" w:rsidRPr="002E4310" w:rsidRDefault="00814F52" w:rsidP="008C7048">
            <w:pPr>
              <w:pStyle w:val="TableBodyText"/>
              <w:keepNext w:val="0"/>
              <w:keepLines w:val="0"/>
              <w:spacing w:before="60" w:after="60"/>
              <w:jc w:val="left"/>
            </w:pPr>
            <w:r w:rsidRPr="002E4310">
              <w:t>The return foregone on the next best investment, estimated at a rate of 8</w:t>
            </w:r>
            <w:r>
              <w:t> </w:t>
            </w:r>
            <w:r w:rsidRPr="002E4310">
              <w:t>per</w:t>
            </w:r>
            <w:r>
              <w:t> </w:t>
            </w:r>
            <w:r w:rsidRPr="002E4310">
              <w:t>cent of the depreciated replacement value of buildings, equipment and land. Also called the ‘opportunity cost’ of capital.</w:t>
            </w:r>
          </w:p>
        </w:tc>
      </w:tr>
      <w:tr w:rsidR="00814F52" w:rsidRPr="00EA0600" w14:paraId="7B96B855" w14:textId="77777777" w:rsidTr="005656A9">
        <w:tc>
          <w:tcPr>
            <w:tcW w:w="2397" w:type="dxa"/>
            <w:shd w:val="clear" w:color="auto" w:fill="auto"/>
          </w:tcPr>
          <w:p w14:paraId="60B5FE68" w14:textId="77777777" w:rsidR="00814F52" w:rsidRPr="00407F56" w:rsidRDefault="00814F52" w:rsidP="008C7048">
            <w:pPr>
              <w:pStyle w:val="TableBodyText"/>
              <w:keepNext w:val="0"/>
              <w:keepLines w:val="0"/>
              <w:spacing w:before="60" w:after="60"/>
              <w:jc w:val="left"/>
              <w:rPr>
                <w:b/>
              </w:rPr>
            </w:pPr>
            <w:r w:rsidRPr="00407F56">
              <w:rPr>
                <w:b/>
              </w:rPr>
              <w:t>Elective surgery waiting times</w:t>
            </w:r>
          </w:p>
        </w:tc>
        <w:tc>
          <w:tcPr>
            <w:tcW w:w="6392" w:type="dxa"/>
            <w:shd w:val="clear" w:color="auto" w:fill="auto"/>
          </w:tcPr>
          <w:p w14:paraId="40EDBDCA" w14:textId="77777777" w:rsidR="00814F52" w:rsidRPr="00EA0600" w:rsidRDefault="00814F52" w:rsidP="008C7048">
            <w:pPr>
              <w:pStyle w:val="TableBodyText"/>
              <w:keepNext w:val="0"/>
              <w:keepLines w:val="0"/>
              <w:spacing w:before="60" w:after="60"/>
              <w:jc w:val="left"/>
            </w:pPr>
            <w:r w:rsidRPr="002C4278">
              <w:t xml:space="preserve">Elective </w:t>
            </w:r>
            <w:r>
              <w:t>surgery waiting times</w:t>
            </w:r>
            <w:r w:rsidRPr="002C4278">
              <w:t xml:space="preserve"> are calculated by comparing the date on which </w:t>
            </w:r>
            <w:r w:rsidRPr="00671F9E">
              <w:t>patients are added to a waiting list with the date on which they are admitted for the awaited procedure.</w:t>
            </w:r>
            <w:r w:rsidRPr="002C4278">
              <w:t xml:space="preserve"> Days on which the patient was no</w:t>
            </w:r>
            <w:r>
              <w:t xml:space="preserve">t ready for care are excluded. </w:t>
            </w:r>
          </w:p>
        </w:tc>
      </w:tr>
      <w:tr w:rsidR="00814F52" w:rsidRPr="00C26327" w14:paraId="045A0179" w14:textId="77777777" w:rsidTr="005656A9">
        <w:tc>
          <w:tcPr>
            <w:tcW w:w="2397" w:type="dxa"/>
            <w:shd w:val="clear" w:color="auto" w:fill="auto"/>
          </w:tcPr>
          <w:p w14:paraId="602A9FCB" w14:textId="77777777" w:rsidR="00814F52" w:rsidRPr="00407F56" w:rsidRDefault="00814F52" w:rsidP="008C7048">
            <w:pPr>
              <w:pStyle w:val="TableBodyText"/>
              <w:keepNext w:val="0"/>
              <w:keepLines w:val="0"/>
              <w:spacing w:before="60" w:after="60"/>
              <w:jc w:val="left"/>
              <w:rPr>
                <w:b/>
              </w:rPr>
            </w:pPr>
            <w:r w:rsidRPr="00407F56">
              <w:rPr>
                <w:b/>
              </w:rPr>
              <w:t xml:space="preserve">Emergency department waiting time to </w:t>
            </w:r>
            <w:r>
              <w:rPr>
                <w:b/>
              </w:rPr>
              <w:t>commencement of clinical care</w:t>
            </w:r>
          </w:p>
        </w:tc>
        <w:tc>
          <w:tcPr>
            <w:tcW w:w="6392" w:type="dxa"/>
            <w:shd w:val="clear" w:color="auto" w:fill="auto"/>
          </w:tcPr>
          <w:p w14:paraId="5E4125F5" w14:textId="77777777" w:rsidR="00814F52" w:rsidRPr="00C26327" w:rsidRDefault="00814F52" w:rsidP="008C7048">
            <w:pPr>
              <w:pStyle w:val="TableBodyText"/>
              <w:keepNext w:val="0"/>
              <w:keepLines w:val="0"/>
              <w:spacing w:before="60" w:after="60"/>
              <w:jc w:val="left"/>
            </w:pPr>
            <w:r w:rsidRPr="00C26327">
              <w:t>The time elapsed for each patient from presentation to the emergency department (that is, the time at which the patient is clerically registered or triaged, whichever occurs earlier) to the commencement of service by a treating medical officer or nurse.</w:t>
            </w:r>
          </w:p>
        </w:tc>
      </w:tr>
      <w:tr w:rsidR="00814F52" w:rsidRPr="00583AD5" w14:paraId="51EA73CE" w14:textId="77777777" w:rsidTr="005656A9">
        <w:tc>
          <w:tcPr>
            <w:tcW w:w="2397" w:type="dxa"/>
            <w:shd w:val="clear" w:color="auto" w:fill="auto"/>
          </w:tcPr>
          <w:p w14:paraId="0BF72DCA" w14:textId="77777777" w:rsidR="00814F52" w:rsidRPr="00407F56" w:rsidRDefault="00814F52" w:rsidP="008C7048">
            <w:pPr>
              <w:pStyle w:val="TableBodyText"/>
              <w:keepNext w:val="0"/>
              <w:keepLines w:val="0"/>
              <w:spacing w:before="60" w:after="60"/>
              <w:jc w:val="left"/>
              <w:rPr>
                <w:b/>
              </w:rPr>
            </w:pPr>
            <w:r w:rsidRPr="00407F56">
              <w:rPr>
                <w:b/>
              </w:rPr>
              <w:lastRenderedPageBreak/>
              <w:t>Emergency department waiting times to admission</w:t>
            </w:r>
          </w:p>
        </w:tc>
        <w:tc>
          <w:tcPr>
            <w:tcW w:w="6392" w:type="dxa"/>
            <w:shd w:val="clear" w:color="auto" w:fill="auto"/>
          </w:tcPr>
          <w:p w14:paraId="24A46604" w14:textId="77777777" w:rsidR="00814F52" w:rsidRPr="00583AD5" w:rsidRDefault="00814F52" w:rsidP="008C7048">
            <w:pPr>
              <w:pStyle w:val="TableBodyText"/>
              <w:keepNext w:val="0"/>
              <w:keepLines w:val="0"/>
              <w:spacing w:before="60" w:after="60"/>
              <w:jc w:val="left"/>
            </w:pPr>
            <w:r w:rsidRPr="00583AD5">
              <w:t>The time elapsed for each patient from presentation to the emergency department to admission to hospital.</w:t>
            </w:r>
          </w:p>
        </w:tc>
      </w:tr>
      <w:tr w:rsidR="00814F52" w14:paraId="67ECF591" w14:textId="77777777" w:rsidTr="005656A9">
        <w:tc>
          <w:tcPr>
            <w:tcW w:w="2397" w:type="dxa"/>
            <w:shd w:val="clear" w:color="auto" w:fill="auto"/>
          </w:tcPr>
          <w:p w14:paraId="2A698333" w14:textId="77777777" w:rsidR="00814F52" w:rsidRPr="00407F56" w:rsidRDefault="00814F52" w:rsidP="008C7048">
            <w:pPr>
              <w:pStyle w:val="TableBodyText"/>
              <w:keepNext w:val="0"/>
              <w:keepLines w:val="0"/>
              <w:spacing w:before="60" w:after="60"/>
              <w:jc w:val="left"/>
              <w:rPr>
                <w:b/>
              </w:rPr>
            </w:pPr>
            <w:r w:rsidRPr="00407F56">
              <w:rPr>
                <w:b/>
              </w:rPr>
              <w:t>ICD-10-AM</w:t>
            </w:r>
          </w:p>
        </w:tc>
        <w:tc>
          <w:tcPr>
            <w:tcW w:w="6392" w:type="dxa"/>
            <w:shd w:val="clear" w:color="auto" w:fill="auto"/>
          </w:tcPr>
          <w:p w14:paraId="2CDAFB71" w14:textId="77777777" w:rsidR="00814F52" w:rsidRDefault="00814F52" w:rsidP="008C7048">
            <w:pPr>
              <w:pStyle w:val="TableBodyText"/>
              <w:keepNext w:val="0"/>
              <w:keepLines w:val="0"/>
              <w:spacing w:before="60" w:after="60"/>
              <w:jc w:val="left"/>
            </w:pPr>
            <w:r w:rsidRPr="000B2ED3">
              <w:t xml:space="preserve">The Australian modification of the International Standard Classification of Diseases and Related </w:t>
            </w:r>
            <w:r w:rsidRPr="00671F9E">
              <w:t>Health Conditions</w:t>
            </w:r>
            <w:r w:rsidRPr="000B2ED3">
              <w:t>. This is the current classification of diagnoses in Australia.</w:t>
            </w:r>
          </w:p>
        </w:tc>
      </w:tr>
      <w:tr w:rsidR="00814F52" w:rsidRPr="00C05C33" w14:paraId="1A267CC5" w14:textId="77777777" w:rsidTr="005656A9">
        <w:tc>
          <w:tcPr>
            <w:tcW w:w="2397" w:type="dxa"/>
            <w:shd w:val="clear" w:color="auto" w:fill="auto"/>
          </w:tcPr>
          <w:p w14:paraId="08959B83" w14:textId="77777777" w:rsidR="00814F52" w:rsidRPr="00407F56" w:rsidRDefault="00814F52" w:rsidP="008C7048">
            <w:pPr>
              <w:pStyle w:val="TableBodyText"/>
              <w:keepNext w:val="0"/>
              <w:keepLines w:val="0"/>
              <w:spacing w:before="60" w:after="60"/>
              <w:jc w:val="left"/>
              <w:rPr>
                <w:b/>
              </w:rPr>
            </w:pPr>
            <w:r>
              <w:rPr>
                <w:b/>
              </w:rPr>
              <w:t>Hospital boarder</w:t>
            </w:r>
          </w:p>
        </w:tc>
        <w:tc>
          <w:tcPr>
            <w:tcW w:w="6392" w:type="dxa"/>
            <w:shd w:val="clear" w:color="auto" w:fill="auto"/>
          </w:tcPr>
          <w:p w14:paraId="6E7BB047" w14:textId="77777777" w:rsidR="00814F52" w:rsidRPr="00C05C33" w:rsidRDefault="00814F52" w:rsidP="008C7048">
            <w:pPr>
              <w:pStyle w:val="TableBodyText"/>
              <w:keepNext w:val="0"/>
              <w:keepLines w:val="0"/>
              <w:spacing w:before="60" w:after="60"/>
              <w:jc w:val="left"/>
            </w:pPr>
            <w:r w:rsidRPr="00C05C33">
              <w:t>A person who is receiving food and/or accommodation but for whom the hospital does not accept responsibility for treatment and/or care.</w:t>
            </w:r>
          </w:p>
        </w:tc>
      </w:tr>
      <w:tr w:rsidR="00814F52" w14:paraId="5B97A29D" w14:textId="77777777" w:rsidTr="005656A9">
        <w:tc>
          <w:tcPr>
            <w:tcW w:w="2397" w:type="dxa"/>
            <w:shd w:val="clear" w:color="auto" w:fill="auto"/>
          </w:tcPr>
          <w:p w14:paraId="518D5779" w14:textId="77777777" w:rsidR="00814F52" w:rsidRPr="00407F56" w:rsidRDefault="00814F52" w:rsidP="008C7048">
            <w:pPr>
              <w:pStyle w:val="TableBodyText"/>
              <w:keepNext w:val="0"/>
              <w:keepLines w:val="0"/>
              <w:spacing w:before="60" w:after="60"/>
              <w:jc w:val="left"/>
              <w:rPr>
                <w:b/>
              </w:rPr>
            </w:pPr>
            <w:r w:rsidRPr="00407F56">
              <w:rPr>
                <w:b/>
              </w:rPr>
              <w:t>Length of stay</w:t>
            </w:r>
          </w:p>
        </w:tc>
        <w:tc>
          <w:tcPr>
            <w:tcW w:w="6392" w:type="dxa"/>
            <w:shd w:val="clear" w:color="auto" w:fill="auto"/>
          </w:tcPr>
          <w:p w14:paraId="3661A8DB" w14:textId="77777777" w:rsidR="00814F52" w:rsidRDefault="00814F52" w:rsidP="008C7048">
            <w:pPr>
              <w:pStyle w:val="TableBodyText"/>
              <w:keepNext w:val="0"/>
              <w:keepLines w:val="0"/>
              <w:spacing w:before="60" w:after="60"/>
              <w:jc w:val="left"/>
            </w:pPr>
            <w:r w:rsidRPr="000B2ED3">
              <w:t>The period from admission to separation less any days spent away from the hospital (leave days).</w:t>
            </w:r>
          </w:p>
        </w:tc>
      </w:tr>
      <w:tr w:rsidR="00814F52" w14:paraId="66973F2C" w14:textId="77777777" w:rsidTr="005656A9">
        <w:tc>
          <w:tcPr>
            <w:tcW w:w="2397" w:type="dxa"/>
            <w:shd w:val="clear" w:color="auto" w:fill="auto"/>
          </w:tcPr>
          <w:p w14:paraId="63463EB2" w14:textId="77777777" w:rsidR="00814F52" w:rsidRPr="00407F56" w:rsidRDefault="00814F52" w:rsidP="008C7048">
            <w:pPr>
              <w:pStyle w:val="TableBodyText"/>
              <w:keepNext w:val="0"/>
              <w:keepLines w:val="0"/>
              <w:spacing w:before="60" w:after="60"/>
              <w:jc w:val="left"/>
              <w:rPr>
                <w:b/>
              </w:rPr>
            </w:pPr>
            <w:r w:rsidRPr="00407F56">
              <w:rPr>
                <w:b/>
              </w:rPr>
              <w:t>Medicare</w:t>
            </w:r>
          </w:p>
        </w:tc>
        <w:tc>
          <w:tcPr>
            <w:tcW w:w="6392" w:type="dxa"/>
            <w:shd w:val="clear" w:color="auto" w:fill="auto"/>
          </w:tcPr>
          <w:p w14:paraId="18E00E74" w14:textId="77777777" w:rsidR="00814F52" w:rsidRDefault="00814F52" w:rsidP="008C7048">
            <w:pPr>
              <w:pStyle w:val="TableBodyText"/>
              <w:keepNext w:val="0"/>
              <w:keepLines w:val="0"/>
              <w:spacing w:before="60" w:after="60"/>
              <w:jc w:val="left"/>
            </w:pPr>
            <w:r w:rsidRPr="000B2ED3">
              <w:t xml:space="preserve">Australian Government funding of private medical and </w:t>
            </w:r>
            <w:proofErr w:type="spellStart"/>
            <w:r w:rsidRPr="000B2ED3">
              <w:t>optometrical</w:t>
            </w:r>
            <w:proofErr w:type="spellEnd"/>
            <w:r w:rsidRPr="000B2ED3">
              <w:t xml:space="preserve"> services (under the Medicare Benefits Schedule). Sometimes defined to include other forms of Australian Government funding such as subsidisation of selected pharmaceuticals (under the Pharmaceutical Benefits Scheme) and public hospital funding (under the Australian Health Care Agreements), which provides public hospital services free of charge to public patients.</w:t>
            </w:r>
          </w:p>
        </w:tc>
      </w:tr>
      <w:tr w:rsidR="00814F52" w14:paraId="293C4A9C" w14:textId="77777777" w:rsidTr="005656A9">
        <w:tc>
          <w:tcPr>
            <w:tcW w:w="2397" w:type="dxa"/>
            <w:shd w:val="clear" w:color="auto" w:fill="auto"/>
          </w:tcPr>
          <w:p w14:paraId="535F5C51" w14:textId="77777777" w:rsidR="00814F52" w:rsidRPr="00407F56" w:rsidRDefault="00814F52" w:rsidP="008C7048">
            <w:pPr>
              <w:pStyle w:val="TableBodyText"/>
              <w:keepNext w:val="0"/>
              <w:keepLines w:val="0"/>
              <w:spacing w:before="60" w:after="60"/>
              <w:jc w:val="left"/>
              <w:rPr>
                <w:b/>
              </w:rPr>
            </w:pPr>
            <w:r w:rsidRPr="00407F56">
              <w:rPr>
                <w:b/>
              </w:rPr>
              <w:t>Mortality rate</w:t>
            </w:r>
          </w:p>
        </w:tc>
        <w:tc>
          <w:tcPr>
            <w:tcW w:w="6392" w:type="dxa"/>
            <w:shd w:val="clear" w:color="auto" w:fill="auto"/>
          </w:tcPr>
          <w:p w14:paraId="0C656765" w14:textId="77777777" w:rsidR="00814F52" w:rsidRDefault="00814F52" w:rsidP="008C7048">
            <w:pPr>
              <w:pStyle w:val="TableBodyText"/>
              <w:keepNext w:val="0"/>
              <w:keepLines w:val="0"/>
              <w:spacing w:before="60" w:after="60"/>
              <w:jc w:val="left"/>
            </w:pPr>
            <w:r w:rsidRPr="000B2ED3">
              <w:t>The number of deaths per 100 000 people.</w:t>
            </w:r>
          </w:p>
        </w:tc>
      </w:tr>
      <w:tr w:rsidR="00814F52" w:rsidRPr="000B2ED3" w14:paraId="282D258F" w14:textId="77777777" w:rsidTr="005656A9">
        <w:tc>
          <w:tcPr>
            <w:tcW w:w="2397" w:type="dxa"/>
            <w:shd w:val="clear" w:color="auto" w:fill="auto"/>
          </w:tcPr>
          <w:p w14:paraId="09071000" w14:textId="77777777" w:rsidR="00814F52" w:rsidRPr="00407F56" w:rsidRDefault="00814F52" w:rsidP="008C7048">
            <w:pPr>
              <w:pStyle w:val="TableBodyText"/>
              <w:keepNext w:val="0"/>
              <w:keepLines w:val="0"/>
              <w:spacing w:before="60" w:after="60"/>
              <w:jc w:val="left"/>
              <w:rPr>
                <w:b/>
              </w:rPr>
            </w:pPr>
            <w:r w:rsidRPr="00FB644E">
              <w:rPr>
                <w:b/>
              </w:rPr>
              <w:t>Newborn qualification status</w:t>
            </w:r>
          </w:p>
        </w:tc>
        <w:tc>
          <w:tcPr>
            <w:tcW w:w="6392" w:type="dxa"/>
            <w:shd w:val="clear" w:color="auto" w:fill="auto"/>
          </w:tcPr>
          <w:p w14:paraId="6EFD94DB" w14:textId="77777777" w:rsidR="00814F52" w:rsidRDefault="00814F52" w:rsidP="008C7048">
            <w:pPr>
              <w:pStyle w:val="TableBodyText"/>
              <w:keepNext w:val="0"/>
              <w:keepLines w:val="0"/>
              <w:spacing w:before="60" w:after="60"/>
              <w:jc w:val="left"/>
            </w:pPr>
            <w:r>
              <w:t>A newborn qualification status is assigned to each patient day within a newborn episode of care.</w:t>
            </w:r>
          </w:p>
          <w:p w14:paraId="114492FE" w14:textId="77777777" w:rsidR="00814F52" w:rsidRDefault="00814F52" w:rsidP="008C7048">
            <w:pPr>
              <w:pStyle w:val="TableBodyText"/>
              <w:keepNext w:val="0"/>
              <w:keepLines w:val="0"/>
              <w:spacing w:before="60" w:after="60"/>
              <w:jc w:val="left"/>
            </w:pPr>
            <w:r>
              <w:t>A newborn patient day is qualified if the infant meets at least one of the following criteria:</w:t>
            </w:r>
          </w:p>
          <w:p w14:paraId="0EC7D073" w14:textId="77777777" w:rsidR="00814F52" w:rsidRDefault="00814F52" w:rsidP="008C7048">
            <w:pPr>
              <w:pStyle w:val="TableBullet"/>
              <w:keepNext w:val="0"/>
              <w:keepLines w:val="0"/>
            </w:pPr>
            <w:r>
              <w:t xml:space="preserve">is the second or subsequent live born infant of a multiple birth, whose mother is currently an admitted patient, </w:t>
            </w:r>
          </w:p>
          <w:p w14:paraId="22948BC5" w14:textId="77777777" w:rsidR="00814F52" w:rsidRDefault="00814F52" w:rsidP="008C7048">
            <w:pPr>
              <w:pStyle w:val="TableBullet"/>
              <w:keepNext w:val="0"/>
              <w:keepLines w:val="0"/>
            </w:pPr>
            <w:r>
              <w:t xml:space="preserve">is admitted to an intensive care facility in a hospital, being a facility approved by the Commonwealth Minister for the purpose of the provision of special care, </w:t>
            </w:r>
          </w:p>
          <w:p w14:paraId="37C2BCB0" w14:textId="77777777" w:rsidR="00814F52" w:rsidRDefault="00814F52" w:rsidP="008C7048">
            <w:pPr>
              <w:pStyle w:val="TableBullet"/>
              <w:keepNext w:val="0"/>
              <w:keepLines w:val="0"/>
            </w:pPr>
            <w:r>
              <w:t>is admitted to, or remains in hospital without its mother.</w:t>
            </w:r>
          </w:p>
          <w:p w14:paraId="44CD87A6" w14:textId="77777777" w:rsidR="00814F52" w:rsidRDefault="00814F52" w:rsidP="008C7048">
            <w:pPr>
              <w:pStyle w:val="TableBodyText"/>
              <w:keepNext w:val="0"/>
              <w:keepLines w:val="0"/>
              <w:spacing w:before="60" w:after="60"/>
              <w:jc w:val="left"/>
            </w:pPr>
            <w:r>
              <w:t>A newborn patient day is unqualified if the infant does not meet any of the above criteria.</w:t>
            </w:r>
          </w:p>
          <w:p w14:paraId="1BD9D1BC" w14:textId="77777777" w:rsidR="00814F52" w:rsidRDefault="00814F52" w:rsidP="008C7048">
            <w:pPr>
              <w:pStyle w:val="TableBodyText"/>
              <w:keepNext w:val="0"/>
              <w:keepLines w:val="0"/>
              <w:spacing w:before="60" w:after="60"/>
              <w:jc w:val="left"/>
            </w:pPr>
            <w:r>
              <w:t>The day on which a change in qualification status occurs is counted as a day of the new qualification status.</w:t>
            </w:r>
          </w:p>
          <w:p w14:paraId="0E4FD864" w14:textId="77777777" w:rsidR="00814F52" w:rsidRPr="000B2ED3" w:rsidRDefault="00814F52" w:rsidP="008C7048">
            <w:pPr>
              <w:pStyle w:val="TableBodyText"/>
              <w:keepNext w:val="0"/>
              <w:keepLines w:val="0"/>
              <w:spacing w:before="60" w:after="60"/>
              <w:jc w:val="left"/>
            </w:pPr>
            <w:r>
              <w:t>If there is more than one qualification status in a single day, the day is counted as a day of the final qualification status for that day.</w:t>
            </w:r>
          </w:p>
        </w:tc>
      </w:tr>
      <w:tr w:rsidR="00814F52" w:rsidRPr="000B2ED3" w14:paraId="7A008C8A" w14:textId="77777777" w:rsidTr="005656A9">
        <w:tc>
          <w:tcPr>
            <w:tcW w:w="2397" w:type="dxa"/>
            <w:shd w:val="clear" w:color="auto" w:fill="auto"/>
          </w:tcPr>
          <w:p w14:paraId="67069F63" w14:textId="77777777" w:rsidR="00814F52" w:rsidRPr="00407F56" w:rsidRDefault="00814F52" w:rsidP="008C7048">
            <w:pPr>
              <w:pStyle w:val="TableBodyText"/>
              <w:keepNext w:val="0"/>
              <w:keepLines w:val="0"/>
              <w:spacing w:before="60" w:after="60"/>
              <w:jc w:val="left"/>
              <w:rPr>
                <w:b/>
              </w:rPr>
            </w:pPr>
            <w:r w:rsidRPr="00407F56">
              <w:rPr>
                <w:b/>
              </w:rPr>
              <w:t>Nursing workforce</w:t>
            </w:r>
          </w:p>
        </w:tc>
        <w:tc>
          <w:tcPr>
            <w:tcW w:w="6392" w:type="dxa"/>
            <w:shd w:val="clear" w:color="auto" w:fill="auto"/>
          </w:tcPr>
          <w:p w14:paraId="041D7AE6" w14:textId="77777777" w:rsidR="00814F52" w:rsidRPr="000B2ED3" w:rsidRDefault="00814F52" w:rsidP="008C7048">
            <w:pPr>
              <w:pStyle w:val="TableBodyText"/>
              <w:keepNext w:val="0"/>
              <w:keepLines w:val="0"/>
              <w:spacing w:before="60" w:after="60"/>
              <w:jc w:val="left"/>
            </w:pPr>
            <w:r w:rsidRPr="000B2ED3">
              <w:t>Registered and enrolled nurses who are employed in nursing, on extended leave or looking for work in nursing.</w:t>
            </w:r>
          </w:p>
        </w:tc>
      </w:tr>
      <w:tr w:rsidR="00814F52" w:rsidRPr="000B2ED3" w14:paraId="322DA69A" w14:textId="77777777" w:rsidTr="005656A9">
        <w:tc>
          <w:tcPr>
            <w:tcW w:w="2397" w:type="dxa"/>
            <w:shd w:val="clear" w:color="auto" w:fill="auto"/>
          </w:tcPr>
          <w:p w14:paraId="021C72D0" w14:textId="77777777" w:rsidR="00814F52" w:rsidRPr="00407F56" w:rsidRDefault="00814F52" w:rsidP="008C7048">
            <w:pPr>
              <w:pStyle w:val="TableBodyText"/>
              <w:keepNext w:val="0"/>
              <w:keepLines w:val="0"/>
              <w:spacing w:before="60" w:after="60"/>
              <w:jc w:val="left"/>
              <w:rPr>
                <w:b/>
              </w:rPr>
            </w:pPr>
            <w:r w:rsidRPr="00407F56">
              <w:rPr>
                <w:b/>
              </w:rPr>
              <w:t>Medical practitioner workforce</w:t>
            </w:r>
          </w:p>
        </w:tc>
        <w:tc>
          <w:tcPr>
            <w:tcW w:w="6392" w:type="dxa"/>
            <w:shd w:val="clear" w:color="auto" w:fill="auto"/>
          </w:tcPr>
          <w:p w14:paraId="186D3F9A" w14:textId="77777777" w:rsidR="00814F52" w:rsidRPr="000B2ED3" w:rsidRDefault="00814F52" w:rsidP="008C7048">
            <w:pPr>
              <w:pStyle w:val="TableBodyText"/>
              <w:keepNext w:val="0"/>
              <w:keepLines w:val="0"/>
              <w:spacing w:before="60" w:after="60"/>
              <w:jc w:val="left"/>
            </w:pPr>
            <w:r w:rsidRPr="000B2ED3">
              <w:t>Registered medical practitioners who are employed as medical practitioners, on extended leave or looking for work as a medical practitioner.</w:t>
            </w:r>
          </w:p>
        </w:tc>
      </w:tr>
      <w:tr w:rsidR="00814F52" w:rsidRPr="00A96D3B" w14:paraId="1B76F1CE" w14:textId="77777777" w:rsidTr="005656A9">
        <w:tc>
          <w:tcPr>
            <w:tcW w:w="2397" w:type="dxa"/>
            <w:shd w:val="clear" w:color="auto" w:fill="auto"/>
          </w:tcPr>
          <w:p w14:paraId="1C5D4082" w14:textId="77777777" w:rsidR="00814F52" w:rsidRPr="00407F56" w:rsidRDefault="00814F52" w:rsidP="008C7048">
            <w:pPr>
              <w:pStyle w:val="TableBodyText"/>
              <w:keepNext w:val="0"/>
              <w:keepLines w:val="0"/>
              <w:spacing w:before="60" w:after="60"/>
              <w:jc w:val="left"/>
              <w:rPr>
                <w:b/>
              </w:rPr>
            </w:pPr>
            <w:r w:rsidRPr="00407F56">
              <w:rPr>
                <w:b/>
              </w:rPr>
              <w:t>Non-acute care</w:t>
            </w:r>
          </w:p>
        </w:tc>
        <w:tc>
          <w:tcPr>
            <w:tcW w:w="6392" w:type="dxa"/>
            <w:shd w:val="clear" w:color="auto" w:fill="auto"/>
          </w:tcPr>
          <w:p w14:paraId="4080778B" w14:textId="77777777" w:rsidR="00814F52" w:rsidRPr="00A96D3B" w:rsidRDefault="00814F52" w:rsidP="008C7048">
            <w:pPr>
              <w:pStyle w:val="TableBodyText"/>
              <w:keepNext w:val="0"/>
              <w:keepLines w:val="0"/>
              <w:spacing w:before="60" w:after="60"/>
              <w:jc w:val="left"/>
            </w:pPr>
            <w:r w:rsidRPr="00A96D3B">
              <w:t>Includes maintenance care and newborn care</w:t>
            </w:r>
            <w:r>
              <w:t xml:space="preserve"> </w:t>
            </w:r>
            <w:r w:rsidRPr="00671F9E">
              <w:t>(where the newborn does not require acute care).</w:t>
            </w:r>
          </w:p>
        </w:tc>
      </w:tr>
      <w:tr w:rsidR="00814F52" w:rsidRPr="000B2ED3" w14:paraId="145C6132" w14:textId="77777777" w:rsidTr="005656A9">
        <w:tc>
          <w:tcPr>
            <w:tcW w:w="2397" w:type="dxa"/>
            <w:shd w:val="clear" w:color="auto" w:fill="auto"/>
          </w:tcPr>
          <w:p w14:paraId="3D272B4D" w14:textId="77777777" w:rsidR="00814F52" w:rsidRPr="00407F56" w:rsidRDefault="00814F52" w:rsidP="008C7048">
            <w:pPr>
              <w:pStyle w:val="TableBodyText"/>
              <w:keepNext w:val="0"/>
              <w:keepLines w:val="0"/>
              <w:spacing w:before="60" w:after="60"/>
              <w:jc w:val="left"/>
              <w:rPr>
                <w:b/>
              </w:rPr>
            </w:pPr>
            <w:r w:rsidRPr="00407F56">
              <w:rPr>
                <w:b/>
              </w:rPr>
              <w:t>Non-admitted occasions of service</w:t>
            </w:r>
          </w:p>
        </w:tc>
        <w:tc>
          <w:tcPr>
            <w:tcW w:w="6392" w:type="dxa"/>
            <w:shd w:val="clear" w:color="auto" w:fill="auto"/>
          </w:tcPr>
          <w:p w14:paraId="22B4FD0B" w14:textId="77777777" w:rsidR="00814F52" w:rsidRPr="000B2ED3" w:rsidRDefault="00814F52" w:rsidP="008C7048">
            <w:pPr>
              <w:pStyle w:val="TableBodyText"/>
              <w:keepNext w:val="0"/>
              <w:keepLines w:val="0"/>
              <w:spacing w:before="60" w:after="60"/>
              <w:jc w:val="left"/>
            </w:pPr>
            <w:r w:rsidRPr="000B2ED3">
              <w:t xml:space="preserve">Occasion of examination, consultation, treatment or other service provided to a non-admitted patient in a functional unit of a health service establishment. Services </w:t>
            </w:r>
            <w:r>
              <w:t>can</w:t>
            </w:r>
            <w:r w:rsidRPr="000B2ED3">
              <w:t xml:space="preserve"> include emergency department visits, outpatient services (such as pathology, radiology and imaging, and allied health services, including speech therapy and family planning) and other services to non-admitted patients. Hospital non-admitted occasions of service are not yet recorded consistently across states and territories, and relative differences in the complexity of services provided are not yet documented.</w:t>
            </w:r>
          </w:p>
        </w:tc>
      </w:tr>
      <w:tr w:rsidR="00814F52" w:rsidRPr="000B2ED3" w14:paraId="0DDC831A" w14:textId="77777777" w:rsidTr="005656A9">
        <w:tc>
          <w:tcPr>
            <w:tcW w:w="2397" w:type="dxa"/>
            <w:shd w:val="clear" w:color="auto" w:fill="auto"/>
          </w:tcPr>
          <w:p w14:paraId="3709789B" w14:textId="77777777" w:rsidR="00814F52" w:rsidRPr="00407F56" w:rsidRDefault="00814F52" w:rsidP="008C7048">
            <w:pPr>
              <w:pStyle w:val="TableBodyText"/>
              <w:keepNext w:val="0"/>
              <w:keepLines w:val="0"/>
              <w:spacing w:before="60" w:after="60"/>
              <w:jc w:val="left"/>
              <w:rPr>
                <w:b/>
              </w:rPr>
            </w:pPr>
            <w:r w:rsidRPr="00407F56">
              <w:rPr>
                <w:b/>
              </w:rPr>
              <w:t>Non-admitted patient</w:t>
            </w:r>
          </w:p>
        </w:tc>
        <w:tc>
          <w:tcPr>
            <w:tcW w:w="6392" w:type="dxa"/>
            <w:shd w:val="clear" w:color="auto" w:fill="auto"/>
          </w:tcPr>
          <w:p w14:paraId="0164AA0E" w14:textId="77777777" w:rsidR="00814F52" w:rsidRPr="000B2ED3" w:rsidRDefault="00814F52" w:rsidP="008C7048">
            <w:pPr>
              <w:pStyle w:val="TableBodyText"/>
              <w:keepNext w:val="0"/>
              <w:keepLines w:val="0"/>
              <w:spacing w:before="60" w:after="60"/>
              <w:jc w:val="left"/>
            </w:pPr>
            <w:r w:rsidRPr="000B2ED3">
              <w:t>A patient who has not undergone a formal admission process, but who may receive care through an emergency department, outpatient or other non-admitted service.</w:t>
            </w:r>
          </w:p>
        </w:tc>
      </w:tr>
      <w:tr w:rsidR="00814F52" w14:paraId="34A9D180" w14:textId="77777777" w:rsidTr="005656A9">
        <w:tc>
          <w:tcPr>
            <w:tcW w:w="2397" w:type="dxa"/>
            <w:shd w:val="clear" w:color="auto" w:fill="auto"/>
          </w:tcPr>
          <w:p w14:paraId="5F9E2FC5" w14:textId="77777777" w:rsidR="00814F52" w:rsidRPr="00407F56" w:rsidRDefault="00814F52" w:rsidP="008C7048">
            <w:pPr>
              <w:pStyle w:val="TableBodyText"/>
              <w:keepNext w:val="0"/>
              <w:keepLines w:val="0"/>
              <w:spacing w:before="60" w:after="60"/>
              <w:jc w:val="left"/>
              <w:rPr>
                <w:b/>
              </w:rPr>
            </w:pPr>
            <w:r w:rsidRPr="00407F56">
              <w:rPr>
                <w:b/>
              </w:rPr>
              <w:t>Public hospital</w:t>
            </w:r>
          </w:p>
        </w:tc>
        <w:tc>
          <w:tcPr>
            <w:tcW w:w="6392" w:type="dxa"/>
            <w:shd w:val="clear" w:color="auto" w:fill="auto"/>
          </w:tcPr>
          <w:p w14:paraId="529B8E2A" w14:textId="77777777" w:rsidR="00814F52" w:rsidRDefault="00814F52" w:rsidP="008C7048">
            <w:pPr>
              <w:pStyle w:val="TableBodyText"/>
              <w:keepNext w:val="0"/>
              <w:keepLines w:val="0"/>
              <w:spacing w:before="60" w:after="60"/>
              <w:jc w:val="left"/>
            </w:pPr>
            <w:r>
              <w:t xml:space="preserve">A hospital that provides free treatment and accommodation to eligible admitted persons who elect to be treated as public patients. It also provides free services to eligible non-admitted patients and can provide (and charge for) treatment and accommodation services to private patients. Charges to </w:t>
            </w:r>
            <w:r>
              <w:lastRenderedPageBreak/>
              <w:t>non-admitted patients and admitted patients on discharge can be levied in accordance with the Australian Health Care Agreements (for example, aids and appliances).</w:t>
            </w:r>
          </w:p>
        </w:tc>
      </w:tr>
      <w:tr w:rsidR="00814F52" w14:paraId="336617B7" w14:textId="77777777" w:rsidTr="005656A9">
        <w:tc>
          <w:tcPr>
            <w:tcW w:w="2397" w:type="dxa"/>
            <w:shd w:val="clear" w:color="auto" w:fill="auto"/>
          </w:tcPr>
          <w:p w14:paraId="71D6F915" w14:textId="77777777" w:rsidR="00814F52" w:rsidRPr="00407F56" w:rsidRDefault="00814F52" w:rsidP="008C7048">
            <w:pPr>
              <w:pStyle w:val="TableBodyText"/>
              <w:keepNext w:val="0"/>
              <w:keepLines w:val="0"/>
              <w:spacing w:before="60" w:after="60"/>
              <w:jc w:val="left"/>
              <w:rPr>
                <w:b/>
              </w:rPr>
            </w:pPr>
            <w:r w:rsidRPr="00407F56">
              <w:rPr>
                <w:b/>
              </w:rPr>
              <w:lastRenderedPageBreak/>
              <w:t>Real expenditure</w:t>
            </w:r>
          </w:p>
        </w:tc>
        <w:tc>
          <w:tcPr>
            <w:tcW w:w="6392" w:type="dxa"/>
            <w:shd w:val="clear" w:color="auto" w:fill="auto"/>
          </w:tcPr>
          <w:p w14:paraId="5F1E95CF" w14:textId="77777777" w:rsidR="00814F52" w:rsidRDefault="00814F52" w:rsidP="008C7048">
            <w:pPr>
              <w:pStyle w:val="TableBodyText"/>
              <w:keepNext w:val="0"/>
              <w:keepLines w:val="0"/>
              <w:spacing w:before="60" w:after="60"/>
              <w:jc w:val="left"/>
            </w:pPr>
            <w:r>
              <w:t>Actual expenditure adjusted for changes in prices.</w:t>
            </w:r>
          </w:p>
        </w:tc>
      </w:tr>
      <w:tr w:rsidR="00814F52" w14:paraId="19A40BF2" w14:textId="77777777" w:rsidTr="005656A9">
        <w:tc>
          <w:tcPr>
            <w:tcW w:w="2397" w:type="dxa"/>
            <w:shd w:val="clear" w:color="auto" w:fill="auto"/>
          </w:tcPr>
          <w:p w14:paraId="6EA8A86F" w14:textId="77777777" w:rsidR="00814F52" w:rsidRPr="00407F56" w:rsidRDefault="00814F52" w:rsidP="008C7048">
            <w:pPr>
              <w:pStyle w:val="TableBodyText"/>
              <w:keepNext w:val="0"/>
              <w:keepLines w:val="0"/>
              <w:spacing w:before="60" w:after="60"/>
              <w:jc w:val="left"/>
              <w:rPr>
                <w:b/>
              </w:rPr>
            </w:pPr>
            <w:r w:rsidRPr="00407F56">
              <w:rPr>
                <w:b/>
              </w:rPr>
              <w:t>Relative stay index</w:t>
            </w:r>
          </w:p>
        </w:tc>
        <w:tc>
          <w:tcPr>
            <w:tcW w:w="6392" w:type="dxa"/>
            <w:shd w:val="clear" w:color="auto" w:fill="auto"/>
          </w:tcPr>
          <w:p w14:paraId="5752AC2D" w14:textId="77777777" w:rsidR="00814F52" w:rsidRDefault="00814F52" w:rsidP="008C7048">
            <w:pPr>
              <w:pStyle w:val="TableBodyText"/>
              <w:keepNext w:val="0"/>
              <w:keepLines w:val="0"/>
              <w:spacing w:before="60" w:after="60"/>
              <w:jc w:val="left"/>
            </w:pPr>
            <w:r>
              <w:t>The actual number of patient days for acute care separations in selected AR–</w:t>
            </w:r>
            <w:proofErr w:type="spellStart"/>
            <w:r>
              <w:t>DRGs</w:t>
            </w:r>
            <w:proofErr w:type="spellEnd"/>
            <w:r>
              <w:t xml:space="preserve"> divided by the expected number of patient days adjusted for </w:t>
            </w:r>
            <w:proofErr w:type="spellStart"/>
            <w:r>
              <w:t>casemix</w:t>
            </w:r>
            <w:proofErr w:type="spellEnd"/>
            <w:r>
              <w:t>. Includes acute care separations only. Excludes: patients who died or were transferred within 2 days of admission, or separations with length of stay greater than 120 days, AR-</w:t>
            </w:r>
            <w:proofErr w:type="spellStart"/>
            <w:r>
              <w:t>DRGs</w:t>
            </w:r>
            <w:proofErr w:type="spellEnd"/>
            <w:r>
              <w:t xml:space="preserve"> which are for ‘rehabilitation’, AR</w:t>
            </w:r>
            <w:r w:rsidR="004D0FB7">
              <w:noBreakHyphen/>
            </w:r>
            <w:proofErr w:type="spellStart"/>
            <w:r>
              <w:t>DRGs</w:t>
            </w:r>
            <w:proofErr w:type="spellEnd"/>
            <w:r>
              <w:t xml:space="preserve"> which are predominantly same day (such as </w:t>
            </w:r>
            <w:proofErr w:type="spellStart"/>
            <w:r>
              <w:t>R63Z</w:t>
            </w:r>
            <w:proofErr w:type="spellEnd"/>
            <w:r>
              <w:t xml:space="preserve"> chemotherapy and </w:t>
            </w:r>
            <w:proofErr w:type="spellStart"/>
            <w:r>
              <w:t>L61Z</w:t>
            </w:r>
            <w:proofErr w:type="spellEnd"/>
            <w:r>
              <w:t xml:space="preserve"> admit for renal dialysis), AR</w:t>
            </w:r>
            <w:r w:rsidR="004D0FB7">
              <w:t>-</w:t>
            </w:r>
            <w:proofErr w:type="spellStart"/>
            <w:r>
              <w:t>DRGs</w:t>
            </w:r>
            <w:proofErr w:type="spellEnd"/>
            <w:r>
              <w:t xml:space="preserve"> which have a length of stay component in the definition, and error AR-</w:t>
            </w:r>
            <w:proofErr w:type="spellStart"/>
            <w:r>
              <w:t>DRGs</w:t>
            </w:r>
            <w:proofErr w:type="spellEnd"/>
            <w:r>
              <w:t>.</w:t>
            </w:r>
          </w:p>
        </w:tc>
      </w:tr>
      <w:tr w:rsidR="00814F52" w14:paraId="7EECAA3B" w14:textId="77777777" w:rsidTr="005656A9">
        <w:tc>
          <w:tcPr>
            <w:tcW w:w="2397" w:type="dxa"/>
            <w:shd w:val="clear" w:color="auto" w:fill="auto"/>
          </w:tcPr>
          <w:p w14:paraId="456B1556" w14:textId="77777777" w:rsidR="00814F52" w:rsidRPr="00407F56" w:rsidRDefault="00814F52" w:rsidP="008C7048">
            <w:pPr>
              <w:pStyle w:val="TableBodyText"/>
              <w:keepNext w:val="0"/>
              <w:keepLines w:val="0"/>
              <w:spacing w:before="60" w:after="60"/>
              <w:jc w:val="left"/>
              <w:rPr>
                <w:b/>
              </w:rPr>
            </w:pPr>
            <w:r w:rsidRPr="00407F56">
              <w:rPr>
                <w:b/>
              </w:rPr>
              <w:t>Same day patients</w:t>
            </w:r>
          </w:p>
        </w:tc>
        <w:tc>
          <w:tcPr>
            <w:tcW w:w="6392" w:type="dxa"/>
            <w:shd w:val="clear" w:color="auto" w:fill="auto"/>
          </w:tcPr>
          <w:p w14:paraId="381E5697" w14:textId="77777777" w:rsidR="00814F52" w:rsidRDefault="00814F52" w:rsidP="008C7048">
            <w:pPr>
              <w:pStyle w:val="TableBodyText"/>
              <w:keepNext w:val="0"/>
              <w:keepLines w:val="0"/>
              <w:spacing w:before="60" w:after="60"/>
              <w:jc w:val="left"/>
            </w:pPr>
            <w:r>
              <w:t>A patient whose admission date is the same as the separation date.</w:t>
            </w:r>
          </w:p>
        </w:tc>
      </w:tr>
      <w:tr w:rsidR="00814F52" w14:paraId="57484FD0" w14:textId="77777777" w:rsidTr="005656A9">
        <w:tc>
          <w:tcPr>
            <w:tcW w:w="2397" w:type="dxa"/>
            <w:shd w:val="clear" w:color="auto" w:fill="auto"/>
          </w:tcPr>
          <w:p w14:paraId="584B8F4B" w14:textId="77777777" w:rsidR="00814F52" w:rsidRPr="00407F56" w:rsidRDefault="00814F52" w:rsidP="008C7048">
            <w:pPr>
              <w:pStyle w:val="TableBodyText"/>
              <w:keepNext w:val="0"/>
              <w:keepLines w:val="0"/>
              <w:spacing w:before="60" w:after="60"/>
              <w:jc w:val="left"/>
              <w:rPr>
                <w:b/>
              </w:rPr>
            </w:pPr>
            <w:r w:rsidRPr="00407F56">
              <w:rPr>
                <w:b/>
              </w:rPr>
              <w:t>Sentinel events</w:t>
            </w:r>
          </w:p>
        </w:tc>
        <w:tc>
          <w:tcPr>
            <w:tcW w:w="6392" w:type="dxa"/>
            <w:shd w:val="clear" w:color="auto" w:fill="auto"/>
          </w:tcPr>
          <w:p w14:paraId="65C525CE" w14:textId="77777777" w:rsidR="00814F52" w:rsidRDefault="00814F52" w:rsidP="008C7048">
            <w:pPr>
              <w:pStyle w:val="TableBodyText"/>
              <w:keepNext w:val="0"/>
              <w:keepLines w:val="0"/>
              <w:spacing w:before="60" w:after="60"/>
              <w:jc w:val="left"/>
            </w:pPr>
            <w:r>
              <w:t>Adverse events that cause serious harm to patients and that have the potential to undermine public confidence in the healthcare system.</w:t>
            </w:r>
          </w:p>
        </w:tc>
      </w:tr>
      <w:tr w:rsidR="00814F52" w14:paraId="6F77AB2F" w14:textId="77777777" w:rsidTr="005656A9">
        <w:tc>
          <w:tcPr>
            <w:tcW w:w="2397" w:type="dxa"/>
            <w:shd w:val="clear" w:color="auto" w:fill="auto"/>
          </w:tcPr>
          <w:p w14:paraId="0C2AC1B2" w14:textId="77777777" w:rsidR="00814F52" w:rsidRPr="00407F56" w:rsidRDefault="00814F52" w:rsidP="008C7048">
            <w:pPr>
              <w:pStyle w:val="TableBodyText"/>
              <w:keepNext w:val="0"/>
              <w:keepLines w:val="0"/>
              <w:spacing w:before="60" w:after="60"/>
              <w:jc w:val="left"/>
              <w:rPr>
                <w:b/>
              </w:rPr>
            </w:pPr>
            <w:r w:rsidRPr="00407F56">
              <w:rPr>
                <w:b/>
              </w:rPr>
              <w:t>Separation</w:t>
            </w:r>
          </w:p>
        </w:tc>
        <w:tc>
          <w:tcPr>
            <w:tcW w:w="6392" w:type="dxa"/>
            <w:shd w:val="clear" w:color="auto" w:fill="auto"/>
          </w:tcPr>
          <w:p w14:paraId="5F55890D" w14:textId="77777777" w:rsidR="00814F52" w:rsidRDefault="00814F52" w:rsidP="008C7048">
            <w:pPr>
              <w:pStyle w:val="TableBodyText"/>
              <w:keepNext w:val="0"/>
              <w:keepLines w:val="0"/>
              <w:spacing w:before="60" w:after="60"/>
              <w:jc w:val="left"/>
            </w:pPr>
            <w:r>
              <w:t>A total hospital stay (from admission to discharge, transfer or death) or a portion of a hospital stay beginning or ending in a change in the type of care for an admitted patient (for example, from acute to rehabilitation). Includes admitted patients who receive same day procedures (for example, renal dialysis).</w:t>
            </w:r>
          </w:p>
        </w:tc>
      </w:tr>
      <w:tr w:rsidR="003C75A8" w14:paraId="7409D024" w14:textId="77777777" w:rsidTr="005656A9">
        <w:tc>
          <w:tcPr>
            <w:tcW w:w="2397" w:type="dxa"/>
            <w:shd w:val="clear" w:color="auto" w:fill="auto"/>
          </w:tcPr>
          <w:p w14:paraId="7C4F9DF8" w14:textId="521C0FF2" w:rsidR="003C75A8" w:rsidRPr="00407F56" w:rsidRDefault="003C75A8" w:rsidP="008C7048">
            <w:pPr>
              <w:pStyle w:val="TableBodyText"/>
              <w:keepNext w:val="0"/>
              <w:keepLines w:val="0"/>
              <w:spacing w:before="60" w:after="60"/>
              <w:jc w:val="left"/>
              <w:rPr>
                <w:b/>
              </w:rPr>
            </w:pPr>
            <w:r>
              <w:rPr>
                <w:b/>
              </w:rPr>
              <w:t>Service event</w:t>
            </w:r>
          </w:p>
        </w:tc>
        <w:tc>
          <w:tcPr>
            <w:tcW w:w="6392" w:type="dxa"/>
            <w:shd w:val="clear" w:color="auto" w:fill="auto"/>
          </w:tcPr>
          <w:p w14:paraId="156C3A6B" w14:textId="1A90E730" w:rsidR="003C75A8" w:rsidRDefault="003C75A8" w:rsidP="008C7048">
            <w:pPr>
              <w:pStyle w:val="TableBodyText"/>
              <w:keepNext w:val="0"/>
              <w:keepLines w:val="0"/>
              <w:spacing w:before="60" w:after="60"/>
              <w:jc w:val="left"/>
            </w:pPr>
            <w:r>
              <w:t>An interaction between one or more health-care provider(s) with one non-admitted patient, which must contain therapeutic/clinical content and result in dated entry in the patient’s medical record.</w:t>
            </w:r>
          </w:p>
        </w:tc>
      </w:tr>
      <w:tr w:rsidR="00814F52" w:rsidRPr="008A64B8" w14:paraId="1162CD76" w14:textId="77777777" w:rsidTr="005656A9">
        <w:tc>
          <w:tcPr>
            <w:tcW w:w="2397" w:type="dxa"/>
            <w:shd w:val="clear" w:color="auto" w:fill="auto"/>
          </w:tcPr>
          <w:p w14:paraId="5CEF26C1" w14:textId="77777777" w:rsidR="00814F52" w:rsidRPr="00407F56" w:rsidRDefault="00814F52" w:rsidP="008C7048">
            <w:pPr>
              <w:pStyle w:val="TableBodyText"/>
              <w:keepNext w:val="0"/>
              <w:keepLines w:val="0"/>
              <w:spacing w:before="60" w:after="60"/>
              <w:jc w:val="left"/>
              <w:rPr>
                <w:b/>
              </w:rPr>
            </w:pPr>
            <w:r w:rsidRPr="00407F56">
              <w:rPr>
                <w:b/>
              </w:rPr>
              <w:t>Subacute care</w:t>
            </w:r>
          </w:p>
        </w:tc>
        <w:tc>
          <w:tcPr>
            <w:tcW w:w="6392" w:type="dxa"/>
            <w:shd w:val="clear" w:color="auto" w:fill="auto"/>
          </w:tcPr>
          <w:p w14:paraId="5DAE9D8B" w14:textId="77777777" w:rsidR="00814F52" w:rsidRDefault="00814F52" w:rsidP="008C7048">
            <w:pPr>
              <w:pStyle w:val="TableBodyText"/>
              <w:keepNext w:val="0"/>
              <w:keepLines w:val="0"/>
              <w:spacing w:before="60" w:after="60"/>
              <w:jc w:val="left"/>
            </w:pPr>
            <w:r>
              <w:t>Specialised multidisciplinary care in which the primary need for care is optimisation of the patient’s functioning and quality of life. A person’s functioning may relate to their whole body or a body part, the whole person, or the whole person in a social context, and to impairment of a body function or structure, activity limitation and/or participation restriction.</w:t>
            </w:r>
          </w:p>
          <w:p w14:paraId="0EDEB8C3" w14:textId="77777777" w:rsidR="00814F52" w:rsidRPr="008A64B8" w:rsidRDefault="00814F52" w:rsidP="008C7048">
            <w:pPr>
              <w:pStyle w:val="TableBodyText"/>
              <w:keepNext w:val="0"/>
              <w:keepLines w:val="0"/>
              <w:spacing w:before="60" w:after="60"/>
              <w:jc w:val="left"/>
            </w:pPr>
            <w:r>
              <w:t>Subacute care comprises the defined care types of rehabilitation, palliative care, geriatric evaluation and management and psychogeriatric care.</w:t>
            </w:r>
          </w:p>
        </w:tc>
      </w:tr>
      <w:tr w:rsidR="00814F52" w14:paraId="05C88F36" w14:textId="77777777" w:rsidTr="005656A9">
        <w:tc>
          <w:tcPr>
            <w:tcW w:w="2397" w:type="dxa"/>
            <w:shd w:val="clear" w:color="auto" w:fill="auto"/>
          </w:tcPr>
          <w:p w14:paraId="1670D953" w14:textId="77777777" w:rsidR="00814F52" w:rsidRPr="00407F56" w:rsidRDefault="00814F52" w:rsidP="008C7048">
            <w:pPr>
              <w:pStyle w:val="TableBodyText"/>
              <w:keepNext w:val="0"/>
              <w:keepLines w:val="0"/>
              <w:spacing w:before="60" w:after="60"/>
              <w:jc w:val="left"/>
              <w:rPr>
                <w:b/>
              </w:rPr>
            </w:pPr>
            <w:r w:rsidRPr="00407F56">
              <w:rPr>
                <w:b/>
              </w:rPr>
              <w:t>Triage category</w:t>
            </w:r>
          </w:p>
        </w:tc>
        <w:tc>
          <w:tcPr>
            <w:tcW w:w="6392" w:type="dxa"/>
            <w:shd w:val="clear" w:color="auto" w:fill="auto"/>
          </w:tcPr>
          <w:p w14:paraId="024DF423" w14:textId="77777777" w:rsidR="00814F52" w:rsidRDefault="00814F52" w:rsidP="008C7048">
            <w:pPr>
              <w:pStyle w:val="TableBodyText"/>
              <w:keepNext w:val="0"/>
              <w:keepLines w:val="0"/>
              <w:spacing w:before="60" w:after="60"/>
              <w:jc w:val="left"/>
            </w:pPr>
            <w:r>
              <w:t>The urgency of the patient’s need for medical and nursing care:</w:t>
            </w:r>
          </w:p>
          <w:p w14:paraId="039B91EC" w14:textId="77777777" w:rsidR="00814F52" w:rsidRDefault="00814F52" w:rsidP="008C7048">
            <w:pPr>
              <w:pStyle w:val="TableBodyText"/>
              <w:keepNext w:val="0"/>
              <w:keepLines w:val="0"/>
              <w:spacing w:before="60" w:after="60"/>
              <w:jc w:val="left"/>
            </w:pPr>
            <w:r>
              <w:t>category 1 — resuscitation (immediate within seconds)</w:t>
            </w:r>
          </w:p>
          <w:p w14:paraId="0239CEDA" w14:textId="77777777" w:rsidR="00814F52" w:rsidRDefault="00814F52" w:rsidP="008C7048">
            <w:pPr>
              <w:pStyle w:val="TableBodyText"/>
              <w:keepNext w:val="0"/>
              <w:keepLines w:val="0"/>
              <w:spacing w:before="60" w:after="60"/>
              <w:jc w:val="left"/>
            </w:pPr>
            <w:r>
              <w:t>category 2 — emergency (within 10 minutes)</w:t>
            </w:r>
          </w:p>
          <w:p w14:paraId="7EC12992" w14:textId="77777777" w:rsidR="00814F52" w:rsidRDefault="00814F52" w:rsidP="008C7048">
            <w:pPr>
              <w:pStyle w:val="TableBodyText"/>
              <w:keepNext w:val="0"/>
              <w:keepLines w:val="0"/>
              <w:spacing w:before="60" w:after="60"/>
              <w:jc w:val="left"/>
            </w:pPr>
            <w:r>
              <w:t>category 3 — urgent (within 30 minutes)</w:t>
            </w:r>
          </w:p>
          <w:p w14:paraId="5364B350" w14:textId="77777777" w:rsidR="00814F52" w:rsidRDefault="00814F52" w:rsidP="008C7048">
            <w:pPr>
              <w:pStyle w:val="TableBodyText"/>
              <w:keepNext w:val="0"/>
              <w:keepLines w:val="0"/>
              <w:spacing w:before="60" w:after="60"/>
              <w:jc w:val="left"/>
            </w:pPr>
            <w:r>
              <w:t>category 4 — semi-urgent (within 60 minutes)</w:t>
            </w:r>
          </w:p>
          <w:p w14:paraId="593FF5E1" w14:textId="77777777" w:rsidR="00814F52" w:rsidRDefault="00814F52" w:rsidP="008C7048">
            <w:pPr>
              <w:pStyle w:val="TableBodyText"/>
              <w:keepNext w:val="0"/>
              <w:keepLines w:val="0"/>
              <w:spacing w:before="60" w:after="60"/>
              <w:jc w:val="left"/>
            </w:pPr>
            <w:r>
              <w:t>category 5 — non-urgent (within 120 minutes).</w:t>
            </w:r>
          </w:p>
        </w:tc>
      </w:tr>
      <w:tr w:rsidR="00814F52" w14:paraId="7E4E953A" w14:textId="77777777" w:rsidTr="005656A9">
        <w:tc>
          <w:tcPr>
            <w:tcW w:w="2397" w:type="dxa"/>
            <w:shd w:val="clear" w:color="auto" w:fill="auto"/>
          </w:tcPr>
          <w:p w14:paraId="7A2AAF41" w14:textId="77777777" w:rsidR="00814F52" w:rsidRPr="00407F56" w:rsidRDefault="00814F52" w:rsidP="008C7048">
            <w:pPr>
              <w:pStyle w:val="TableBodyText"/>
              <w:keepNext w:val="0"/>
              <w:keepLines w:val="0"/>
              <w:spacing w:before="60" w:after="60"/>
              <w:jc w:val="left"/>
              <w:rPr>
                <w:b/>
              </w:rPr>
            </w:pPr>
            <w:r w:rsidRPr="00407F56">
              <w:rPr>
                <w:b/>
              </w:rPr>
              <w:t>Urgency category for elective surgery</w:t>
            </w:r>
          </w:p>
        </w:tc>
        <w:tc>
          <w:tcPr>
            <w:tcW w:w="6392" w:type="dxa"/>
            <w:shd w:val="clear" w:color="auto" w:fill="auto"/>
          </w:tcPr>
          <w:p w14:paraId="529249FF" w14:textId="77777777" w:rsidR="00814F52" w:rsidRPr="00B372D7" w:rsidRDefault="00814F52" w:rsidP="008C7048">
            <w:pPr>
              <w:pStyle w:val="TableBodyText"/>
              <w:keepNext w:val="0"/>
              <w:keepLines w:val="0"/>
              <w:spacing w:before="60" w:after="60"/>
              <w:jc w:val="left"/>
            </w:pPr>
            <w:r w:rsidRPr="00B372D7">
              <w:t xml:space="preserve">Category 1 patients — admission within 30 days is desirable for a condition that has the potential to deteriorate quickly to the point that it </w:t>
            </w:r>
            <w:r>
              <w:t>can</w:t>
            </w:r>
            <w:r w:rsidRPr="00B372D7">
              <w:t xml:space="preserve"> become an emergency. </w:t>
            </w:r>
          </w:p>
          <w:p w14:paraId="512D9F5E" w14:textId="77777777" w:rsidR="00814F52" w:rsidRPr="00B372D7" w:rsidRDefault="00814F52" w:rsidP="008C7048">
            <w:pPr>
              <w:pStyle w:val="TableBodyText"/>
              <w:keepNext w:val="0"/>
              <w:keepLines w:val="0"/>
              <w:spacing w:before="60" w:after="60"/>
              <w:jc w:val="left"/>
            </w:pPr>
            <w:r w:rsidRPr="00B372D7">
              <w:t>Category 2 patients — admission within 90 days is desirable for a condition that is causing some pain, dysfunction or disability, but that is not likely to deteriorate quickly or become an emergency.</w:t>
            </w:r>
          </w:p>
          <w:p w14:paraId="5E47A9EB" w14:textId="77777777" w:rsidR="00814F52" w:rsidRDefault="00814F52" w:rsidP="008C7048">
            <w:pPr>
              <w:pStyle w:val="TableBodyText"/>
              <w:keepNext w:val="0"/>
              <w:keepLines w:val="0"/>
              <w:spacing w:before="60" w:after="60"/>
              <w:jc w:val="left"/>
            </w:pPr>
            <w:r w:rsidRPr="00B372D7">
              <w:t>Category 3 patients — admission at some time in the future is acceptable for a condition causing minimal or no pain, dysfunction or disability, that is unlikely to deteriorate quickly and that does not have the potential to become an emergency.</w:t>
            </w:r>
          </w:p>
        </w:tc>
      </w:tr>
    </w:tbl>
    <w:p w14:paraId="27BFD1C0" w14:textId="70F6799B" w:rsidR="00814F52" w:rsidRDefault="00D937AB" w:rsidP="00814F52">
      <w:pPr>
        <w:pStyle w:val="Heading2"/>
      </w:pPr>
      <w:bookmarkStart w:id="10" w:name="_Toc465174690"/>
      <w:r>
        <w:t>12.</w:t>
      </w:r>
      <w:r w:rsidR="007F3144">
        <w:rPr>
          <w:noProof/>
        </w:rPr>
        <w:t>5</w:t>
      </w:r>
      <w:r w:rsidR="00814F52">
        <w:tab/>
      </w:r>
      <w:r w:rsidR="00814F52" w:rsidRPr="00814F52">
        <w:t>References</w:t>
      </w:r>
      <w:bookmarkEnd w:id="10"/>
    </w:p>
    <w:p w14:paraId="04DE7A03" w14:textId="77777777" w:rsidR="00814F52" w:rsidRDefault="00814F52" w:rsidP="00814F52">
      <w:pPr>
        <w:pStyle w:val="Reference"/>
      </w:pPr>
      <w:r w:rsidRPr="009B0AA9">
        <w:t>AIHW (Australian Institute of Health and Welfare) 2011</w:t>
      </w:r>
      <w:r w:rsidR="00B810EE">
        <w:t>,</w:t>
      </w:r>
      <w:r w:rsidRPr="009B0AA9">
        <w:t xml:space="preserve"> </w:t>
      </w:r>
      <w:r w:rsidRPr="009B0AA9">
        <w:rPr>
          <w:i/>
        </w:rPr>
        <w:t>Australian Hospital Statistics</w:t>
      </w:r>
      <w:r w:rsidR="00EB4B64">
        <w:rPr>
          <w:i/>
        </w:rPr>
        <w:t xml:space="preserve"> 2009-10</w:t>
      </w:r>
      <w:r w:rsidR="00E470EC" w:rsidRPr="009B0AA9">
        <w:t xml:space="preserve">, </w:t>
      </w:r>
      <w:r w:rsidR="00F20694" w:rsidRPr="00F20694">
        <w:t>Health Services Series No. 40</w:t>
      </w:r>
      <w:r w:rsidR="00F20694">
        <w:t xml:space="preserve">, </w:t>
      </w:r>
      <w:r w:rsidR="00E470EC" w:rsidRPr="009B0AA9">
        <w:t>Cat. </w:t>
      </w:r>
      <w:r w:rsidRPr="009B0AA9">
        <w:t>no</w:t>
      </w:r>
      <w:r w:rsidR="00E470EC" w:rsidRPr="009B0AA9">
        <w:t>. </w:t>
      </w:r>
      <w:proofErr w:type="spellStart"/>
      <w:r w:rsidRPr="009B0AA9">
        <w:t>HSE</w:t>
      </w:r>
      <w:proofErr w:type="spellEnd"/>
      <w:r w:rsidRPr="009B0AA9">
        <w:t xml:space="preserve"> </w:t>
      </w:r>
      <w:r w:rsidR="00F20694">
        <w:t>107</w:t>
      </w:r>
      <w:r w:rsidRPr="009B0AA9">
        <w:t xml:space="preserve"> </w:t>
      </w:r>
      <w:proofErr w:type="spellStart"/>
      <w:r w:rsidRPr="009B0AA9">
        <w:t>AIHW</w:t>
      </w:r>
      <w:proofErr w:type="spellEnd"/>
      <w:r w:rsidRPr="009B0AA9">
        <w:t>, Canberra.</w:t>
      </w:r>
    </w:p>
    <w:p w14:paraId="65FB6E99" w14:textId="2C9C7418" w:rsidR="00DA2BF5" w:rsidRPr="009B0AA9" w:rsidRDefault="00DA2BF5" w:rsidP="00814F52">
      <w:pPr>
        <w:pStyle w:val="Reference"/>
      </w:pPr>
      <w:r w:rsidRPr="009B0AA9">
        <w:lastRenderedPageBreak/>
        <w:t xml:space="preserve">—— </w:t>
      </w:r>
      <w:proofErr w:type="spellStart"/>
      <w:r w:rsidRPr="009B0AA9">
        <w:t>201</w:t>
      </w:r>
      <w:r w:rsidR="00864A27">
        <w:t>7</w:t>
      </w:r>
      <w:r w:rsidR="00287B29" w:rsidRPr="009B0AA9">
        <w:t>a</w:t>
      </w:r>
      <w:proofErr w:type="spellEnd"/>
      <w:r w:rsidRPr="009B0AA9">
        <w:t xml:space="preserve">, </w:t>
      </w:r>
      <w:r w:rsidRPr="009B0AA9">
        <w:rPr>
          <w:i/>
        </w:rPr>
        <w:t>Elective surgery waiting times 201</w:t>
      </w:r>
      <w:r w:rsidR="00864A27">
        <w:rPr>
          <w:i/>
        </w:rPr>
        <w:t>6</w:t>
      </w:r>
      <w:r w:rsidRPr="009B0AA9">
        <w:rPr>
          <w:i/>
        </w:rPr>
        <w:t>–1</w:t>
      </w:r>
      <w:r w:rsidR="00864A27">
        <w:rPr>
          <w:i/>
        </w:rPr>
        <w:t>7</w:t>
      </w:r>
      <w:r w:rsidRPr="009B0AA9">
        <w:rPr>
          <w:i/>
        </w:rPr>
        <w:t>: Australian hospital statistics,</w:t>
      </w:r>
      <w:r w:rsidRPr="009B0AA9">
        <w:t xml:space="preserve"> Health services series no. </w:t>
      </w:r>
      <w:r w:rsidR="00972DC7" w:rsidRPr="00972DC7">
        <w:t>83</w:t>
      </w:r>
      <w:r w:rsidRPr="009B0AA9">
        <w:t xml:space="preserve">. Cat. no. </w:t>
      </w:r>
      <w:proofErr w:type="spellStart"/>
      <w:r w:rsidRPr="009B0AA9">
        <w:t>HSE</w:t>
      </w:r>
      <w:proofErr w:type="spellEnd"/>
      <w:r w:rsidRPr="009B0AA9">
        <w:t xml:space="preserve"> </w:t>
      </w:r>
      <w:r w:rsidR="00972DC7" w:rsidRPr="00972DC7">
        <w:t>197</w:t>
      </w:r>
      <w:r w:rsidRPr="009B0AA9">
        <w:t xml:space="preserve"> </w:t>
      </w:r>
      <w:proofErr w:type="spellStart"/>
      <w:r w:rsidRPr="009B0AA9">
        <w:t>AIHW</w:t>
      </w:r>
      <w:proofErr w:type="spellEnd"/>
      <w:r w:rsidRPr="009B0AA9">
        <w:t>, Canberra.</w:t>
      </w:r>
    </w:p>
    <w:p w14:paraId="79CED58B" w14:textId="77777777" w:rsidR="00DA2BF5" w:rsidRPr="009B0AA9" w:rsidRDefault="00DA2BF5" w:rsidP="00DA2BF5">
      <w:pPr>
        <w:pStyle w:val="Reference"/>
      </w:pPr>
      <w:r w:rsidRPr="009B0AA9">
        <w:t xml:space="preserve">—— </w:t>
      </w:r>
      <w:proofErr w:type="spellStart"/>
      <w:r w:rsidRPr="009B0AA9">
        <w:t>201</w:t>
      </w:r>
      <w:r w:rsidR="00864A27">
        <w:t>7</w:t>
      </w:r>
      <w:r w:rsidR="0061551A" w:rsidRPr="009B0AA9">
        <w:t>b</w:t>
      </w:r>
      <w:proofErr w:type="spellEnd"/>
      <w:r w:rsidRPr="009B0AA9">
        <w:t xml:space="preserve">, </w:t>
      </w:r>
      <w:r w:rsidRPr="009B0AA9">
        <w:rPr>
          <w:i/>
        </w:rPr>
        <w:t>Health expenditure Australia 201</w:t>
      </w:r>
      <w:r w:rsidR="00864A27">
        <w:rPr>
          <w:i/>
        </w:rPr>
        <w:t>5</w:t>
      </w:r>
      <w:r w:rsidRPr="009B0AA9">
        <w:rPr>
          <w:i/>
        </w:rPr>
        <w:t>–1</w:t>
      </w:r>
      <w:r w:rsidR="00864A27">
        <w:rPr>
          <w:i/>
        </w:rPr>
        <w:t>6</w:t>
      </w:r>
      <w:r w:rsidRPr="009B0AA9">
        <w:rPr>
          <w:i/>
        </w:rPr>
        <w:t>,</w:t>
      </w:r>
      <w:r w:rsidRPr="009B0AA9">
        <w:t xml:space="preserve"> Health and Welfare Expenditure Series No. 5</w:t>
      </w:r>
      <w:r w:rsidR="00864A27">
        <w:t>8</w:t>
      </w:r>
      <w:r w:rsidRPr="009B0AA9">
        <w:t>, Cat. no. </w:t>
      </w:r>
      <w:proofErr w:type="spellStart"/>
      <w:r w:rsidRPr="009B0AA9">
        <w:t>HWE</w:t>
      </w:r>
      <w:proofErr w:type="spellEnd"/>
      <w:r w:rsidRPr="009B0AA9">
        <w:t> 6</w:t>
      </w:r>
      <w:r w:rsidR="00864A27">
        <w:t>8</w:t>
      </w:r>
      <w:r w:rsidRPr="009B0AA9">
        <w:t xml:space="preserve"> Canberra, </w:t>
      </w:r>
      <w:proofErr w:type="spellStart"/>
      <w:r w:rsidRPr="009B0AA9">
        <w:t>AIHW</w:t>
      </w:r>
      <w:proofErr w:type="spellEnd"/>
      <w:r w:rsidRPr="009B0AA9">
        <w:t>.</w:t>
      </w:r>
    </w:p>
    <w:p w14:paraId="0EE34044" w14:textId="77777777" w:rsidR="00DA2BF5" w:rsidRPr="009B0AA9" w:rsidRDefault="00DA2BF5" w:rsidP="00814F52">
      <w:pPr>
        <w:pStyle w:val="Reference"/>
      </w:pPr>
      <w:r w:rsidRPr="009B0AA9">
        <w:t xml:space="preserve">—— </w:t>
      </w:r>
      <w:proofErr w:type="spellStart"/>
      <w:r w:rsidRPr="009B0AA9">
        <w:t>201</w:t>
      </w:r>
      <w:r w:rsidR="00864A27">
        <w:t>7</w:t>
      </w:r>
      <w:r w:rsidR="0061551A" w:rsidRPr="009B0AA9">
        <w:t>c</w:t>
      </w:r>
      <w:proofErr w:type="spellEnd"/>
      <w:r w:rsidRPr="009B0AA9">
        <w:t xml:space="preserve">, </w:t>
      </w:r>
      <w:r w:rsidRPr="009B0AA9">
        <w:rPr>
          <w:i/>
        </w:rPr>
        <w:t>Non-admitted patient care 201</w:t>
      </w:r>
      <w:r w:rsidR="00864A27">
        <w:rPr>
          <w:i/>
        </w:rPr>
        <w:t>5</w:t>
      </w:r>
      <w:r w:rsidRPr="009B0AA9">
        <w:rPr>
          <w:i/>
        </w:rPr>
        <w:t>–1</w:t>
      </w:r>
      <w:r w:rsidR="00864A27">
        <w:rPr>
          <w:i/>
        </w:rPr>
        <w:t>6</w:t>
      </w:r>
      <w:r w:rsidRPr="009B0AA9">
        <w:rPr>
          <w:i/>
        </w:rPr>
        <w:t>: Australian hospital statistics</w:t>
      </w:r>
      <w:r w:rsidRPr="009B0AA9">
        <w:t xml:space="preserve">, Health services series no. </w:t>
      </w:r>
      <w:r w:rsidR="004A503E">
        <w:t>76</w:t>
      </w:r>
      <w:r w:rsidRPr="009B0AA9">
        <w:t xml:space="preserve">. Cat. no. </w:t>
      </w:r>
      <w:proofErr w:type="spellStart"/>
      <w:r w:rsidRPr="009B0AA9">
        <w:t>HSE</w:t>
      </w:r>
      <w:proofErr w:type="spellEnd"/>
      <w:r w:rsidRPr="009B0AA9">
        <w:t xml:space="preserve"> </w:t>
      </w:r>
      <w:r w:rsidR="004A503E">
        <w:t>188</w:t>
      </w:r>
      <w:r w:rsidRPr="009B0AA9">
        <w:t xml:space="preserve"> </w:t>
      </w:r>
      <w:proofErr w:type="spellStart"/>
      <w:r w:rsidRPr="009B0AA9">
        <w:t>AIHW</w:t>
      </w:r>
      <w:proofErr w:type="spellEnd"/>
      <w:r w:rsidRPr="009B0AA9">
        <w:t>, Canberra.</w:t>
      </w:r>
    </w:p>
    <w:sectPr w:rsidR="00DA2BF5" w:rsidRPr="009B0AA9" w:rsidSect="00BA5756">
      <w:headerReference w:type="even" r:id="rId21"/>
      <w:headerReference w:type="default" r:id="rId22"/>
      <w:footerReference w:type="even" r:id="rId23"/>
      <w:footerReference w:type="default" r:id="rId24"/>
      <w:pgSz w:w="11907" w:h="16840" w:code="9"/>
      <w:pgMar w:top="1984"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81DAF" w14:textId="77777777" w:rsidR="0017113C" w:rsidRDefault="0017113C">
      <w:r>
        <w:separator/>
      </w:r>
    </w:p>
  </w:endnote>
  <w:endnote w:type="continuationSeparator" w:id="0">
    <w:p w14:paraId="126C090D" w14:textId="77777777" w:rsidR="0017113C" w:rsidRDefault="0017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7113C" w14:paraId="049D4C9F" w14:textId="77777777" w:rsidTr="005F48ED">
      <w:trPr>
        <w:trHeight w:hRule="exact" w:val="567"/>
      </w:trPr>
      <w:tc>
        <w:tcPr>
          <w:tcW w:w="510" w:type="dxa"/>
        </w:tcPr>
        <w:p w14:paraId="65E1DE55" w14:textId="5A8B4F9A" w:rsidR="0017113C" w:rsidRPr="00A24443" w:rsidRDefault="0017113C" w:rsidP="0019293B">
          <w:pPr>
            <w:pStyle w:val="Footer"/>
            <w:tabs>
              <w:tab w:val="left" w:pos="0"/>
            </w:tabs>
            <w:ind w:right="0"/>
            <w:rPr>
              <w:rStyle w:val="PageNumber"/>
              <w:caps w:val="0"/>
            </w:rPr>
          </w:pPr>
          <w:r>
            <w:rPr>
              <w:rStyle w:val="PageNumber"/>
              <w:caps w:val="0"/>
            </w:rPr>
            <w:t>12.</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065B12">
            <w:rPr>
              <w:rStyle w:val="PageNumber"/>
              <w:caps w:val="0"/>
              <w:noProof/>
            </w:rPr>
            <w:t>20</w:t>
          </w:r>
          <w:r w:rsidRPr="00A24443">
            <w:rPr>
              <w:rStyle w:val="PageNumber"/>
              <w:caps w:val="0"/>
            </w:rPr>
            <w:fldChar w:fldCharType="end"/>
          </w:r>
        </w:p>
      </w:tc>
      <w:tc>
        <w:tcPr>
          <w:tcW w:w="7767" w:type="dxa"/>
        </w:tcPr>
        <w:p w14:paraId="251B51C6" w14:textId="5722464A" w:rsidR="0017113C" w:rsidRPr="0013739A" w:rsidRDefault="0017113C" w:rsidP="0013739A">
          <w:pPr>
            <w:pStyle w:val="Footer"/>
            <w:rPr>
              <w:rFonts w:cs="Arial"/>
            </w:rPr>
          </w:pPr>
          <w:r>
            <w:rPr>
              <w:rFonts w:cs="Arial"/>
            </w:rPr>
            <w:t>Report on Government Services 2018</w:t>
          </w:r>
          <w:bookmarkStart w:id="11" w:name="DraftReportEven"/>
          <w:bookmarkEnd w:id="11"/>
        </w:p>
      </w:tc>
      <w:tc>
        <w:tcPr>
          <w:tcW w:w="510" w:type="dxa"/>
        </w:tcPr>
        <w:p w14:paraId="241CEC2D" w14:textId="77777777" w:rsidR="0017113C" w:rsidRDefault="0017113C" w:rsidP="0019293B">
          <w:pPr>
            <w:pStyle w:val="Footer"/>
          </w:pPr>
        </w:p>
      </w:tc>
    </w:tr>
  </w:tbl>
  <w:p w14:paraId="2191342C" w14:textId="77777777" w:rsidR="0017113C" w:rsidRDefault="0017113C" w:rsidP="0019293B">
    <w:pPr>
      <w:pStyle w:val="FooterEnd"/>
    </w:pPr>
  </w:p>
  <w:p w14:paraId="1FF7941C" w14:textId="77777777" w:rsidR="0017113C" w:rsidRDefault="0017113C"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7113C" w14:paraId="1AFABA85" w14:textId="77777777" w:rsidTr="005F48ED">
      <w:trPr>
        <w:trHeight w:hRule="exact" w:val="567"/>
      </w:trPr>
      <w:tc>
        <w:tcPr>
          <w:tcW w:w="510" w:type="dxa"/>
        </w:tcPr>
        <w:p w14:paraId="5DA171E2" w14:textId="77777777" w:rsidR="0017113C" w:rsidRDefault="0017113C">
          <w:pPr>
            <w:pStyle w:val="Footer"/>
            <w:ind w:right="360" w:firstLine="360"/>
          </w:pPr>
        </w:p>
      </w:tc>
      <w:tc>
        <w:tcPr>
          <w:tcW w:w="7767" w:type="dxa"/>
        </w:tcPr>
        <w:p w14:paraId="159AC3F8" w14:textId="4AED7946" w:rsidR="0017113C" w:rsidRPr="00BA5B14" w:rsidRDefault="0017113C" w:rsidP="0013739A">
          <w:pPr>
            <w:pStyle w:val="Footer"/>
            <w:jc w:val="right"/>
            <w:rPr>
              <w:rFonts w:cs="Arial"/>
            </w:rPr>
          </w:pPr>
          <w:r>
            <w:rPr>
              <w:rFonts w:cs="Arial"/>
            </w:rPr>
            <w:t>Public hospitals</w:t>
          </w:r>
        </w:p>
      </w:tc>
      <w:tc>
        <w:tcPr>
          <w:tcW w:w="510" w:type="dxa"/>
        </w:tcPr>
        <w:p w14:paraId="6D5CC4E7" w14:textId="61611EA7" w:rsidR="0017113C" w:rsidRPr="00A24443" w:rsidRDefault="0017113C">
          <w:pPr>
            <w:pStyle w:val="Footer"/>
            <w:jc w:val="right"/>
            <w:rPr>
              <w:caps w:val="0"/>
            </w:rPr>
          </w:pPr>
          <w:r>
            <w:rPr>
              <w:rStyle w:val="PageNumber"/>
              <w:caps w:val="0"/>
            </w:rPr>
            <w:t>12.</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065B12">
            <w:rPr>
              <w:rStyle w:val="PageNumber"/>
              <w:caps w:val="0"/>
              <w:noProof/>
            </w:rPr>
            <w:t>21</w:t>
          </w:r>
          <w:r w:rsidRPr="00A24443">
            <w:rPr>
              <w:rStyle w:val="PageNumber"/>
              <w:caps w:val="0"/>
            </w:rPr>
            <w:fldChar w:fldCharType="end"/>
          </w:r>
        </w:p>
      </w:tc>
    </w:tr>
  </w:tbl>
  <w:p w14:paraId="1FD249AC" w14:textId="77777777" w:rsidR="0017113C" w:rsidRDefault="0017113C">
    <w:pPr>
      <w:pStyle w:val="FooterEnd"/>
    </w:pPr>
  </w:p>
  <w:p w14:paraId="4BE3F086" w14:textId="77777777" w:rsidR="0017113C" w:rsidRDefault="0017113C">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A00F6" w14:textId="77777777" w:rsidR="0017113C" w:rsidRDefault="0017113C">
      <w:r>
        <w:separator/>
      </w:r>
    </w:p>
  </w:footnote>
  <w:footnote w:type="continuationSeparator" w:id="0">
    <w:p w14:paraId="60584E7A" w14:textId="77777777" w:rsidR="0017113C" w:rsidRDefault="00171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17113C" w14:paraId="05A7A27A" w14:textId="77777777">
      <w:tc>
        <w:tcPr>
          <w:tcW w:w="2155" w:type="dxa"/>
          <w:tcBorders>
            <w:top w:val="single" w:sz="24" w:space="0" w:color="auto"/>
          </w:tcBorders>
        </w:tcPr>
        <w:p w14:paraId="75D46742" w14:textId="77777777" w:rsidR="0017113C" w:rsidRDefault="0017113C" w:rsidP="0019293B">
          <w:pPr>
            <w:pStyle w:val="HeaderEven"/>
          </w:pPr>
        </w:p>
      </w:tc>
      <w:tc>
        <w:tcPr>
          <w:tcW w:w="6634" w:type="dxa"/>
          <w:tcBorders>
            <w:top w:val="single" w:sz="6" w:space="0" w:color="auto"/>
          </w:tcBorders>
        </w:tcPr>
        <w:p w14:paraId="708A5339" w14:textId="77777777" w:rsidR="0017113C" w:rsidRDefault="0017113C" w:rsidP="0019293B">
          <w:pPr>
            <w:pStyle w:val="HeaderEven"/>
          </w:pPr>
        </w:p>
      </w:tc>
    </w:tr>
  </w:tbl>
  <w:p w14:paraId="0B10E409" w14:textId="77777777" w:rsidR="0017113C" w:rsidRDefault="0017113C" w:rsidP="0019293B">
    <w:pPr>
      <w:pStyle w:val="HeaderEnd"/>
    </w:pPr>
  </w:p>
  <w:p w14:paraId="654C3DF0" w14:textId="77777777" w:rsidR="0017113C" w:rsidRDefault="0017113C"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17113C" w14:paraId="0995FA53" w14:textId="77777777">
      <w:tc>
        <w:tcPr>
          <w:tcW w:w="6634" w:type="dxa"/>
          <w:tcBorders>
            <w:top w:val="single" w:sz="6" w:space="0" w:color="auto"/>
          </w:tcBorders>
        </w:tcPr>
        <w:p w14:paraId="5A2C3509" w14:textId="77777777" w:rsidR="0017113C" w:rsidRDefault="0017113C" w:rsidP="00E669E2">
          <w:pPr>
            <w:pStyle w:val="HeaderOdd"/>
          </w:pPr>
        </w:p>
      </w:tc>
      <w:tc>
        <w:tcPr>
          <w:tcW w:w="2155" w:type="dxa"/>
          <w:tcBorders>
            <w:top w:val="single" w:sz="24" w:space="0" w:color="auto"/>
          </w:tcBorders>
        </w:tcPr>
        <w:p w14:paraId="6CFB8E7B" w14:textId="77777777" w:rsidR="0017113C" w:rsidRDefault="0017113C" w:rsidP="00E669E2">
          <w:pPr>
            <w:pStyle w:val="HeaderOdd"/>
          </w:pPr>
        </w:p>
      </w:tc>
    </w:tr>
  </w:tbl>
  <w:p w14:paraId="59B0FC85" w14:textId="77777777" w:rsidR="0017113C" w:rsidRDefault="0017113C" w:rsidP="00E669E2">
    <w:pPr>
      <w:pStyle w:val="HeaderEnd"/>
    </w:pPr>
  </w:p>
  <w:p w14:paraId="7CDAD239" w14:textId="77777777" w:rsidR="0017113C" w:rsidRDefault="0017113C"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1"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3"/>
  </w:num>
  <w:num w:numId="3">
    <w:abstractNumId w:val="14"/>
  </w:num>
  <w:num w:numId="4">
    <w:abstractNumId w:val="4"/>
  </w:num>
  <w:num w:numId="5">
    <w:abstractNumId w:val="19"/>
  </w:num>
  <w:num w:numId="6">
    <w:abstractNumId w:val="16"/>
  </w:num>
  <w:num w:numId="7">
    <w:abstractNumId w:val="8"/>
  </w:num>
  <w:num w:numId="8">
    <w:abstractNumId w:val="15"/>
  </w:num>
  <w:num w:numId="9">
    <w:abstractNumId w:val="7"/>
  </w:num>
  <w:num w:numId="10">
    <w:abstractNumId w:val="6"/>
  </w:num>
  <w:num w:numId="11">
    <w:abstractNumId w:val="10"/>
  </w:num>
  <w:num w:numId="12">
    <w:abstractNumId w:val="11"/>
  </w:num>
  <w:num w:numId="13">
    <w:abstractNumId w:val="5"/>
  </w:num>
  <w:num w:numId="14">
    <w:abstractNumId w:val="17"/>
  </w:num>
  <w:num w:numId="15">
    <w:abstractNumId w:val="20"/>
  </w:num>
  <w:num w:numId="16">
    <w:abstractNumId w:val="13"/>
  </w:num>
  <w:num w:numId="17">
    <w:abstractNumId w:val="21"/>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8"/>
  </w:num>
  <w:num w:numId="21">
    <w:abstractNumId w:val="9"/>
  </w:num>
  <w:num w:numId="22">
    <w:abstractNumId w:val="14"/>
  </w:num>
  <w:num w:numId="23">
    <w:abstractNumId w:val="12"/>
  </w:num>
  <w:num w:numId="24">
    <w:abstractNumId w:val="12"/>
  </w:num>
  <w:num w:numId="25">
    <w:abstractNumId w:val="14"/>
  </w:num>
  <w:num w:numId="26">
    <w:abstractNumId w:val="12"/>
  </w:num>
  <w:num w:numId="27">
    <w:abstractNumId w:val="12"/>
  </w:num>
  <w:num w:numId="28">
    <w:abstractNumId w:val="12"/>
  </w:num>
  <w:num w:numId="29">
    <w:abstractNumId w:val="12"/>
  </w:num>
  <w:num w:numId="30">
    <w:abstractNumId w:val="12"/>
  </w:num>
  <w:num w:numId="31">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mirrorMargins/>
  <w:proofState w:spelling="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432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Public hospitals"/>
    <w:docVar w:name="ShortReportTitle" w:val="Report on Government Services 2018"/>
  </w:docVars>
  <w:rsids>
    <w:rsidRoot w:val="00033205"/>
    <w:rsid w:val="000003A3"/>
    <w:rsid w:val="00005662"/>
    <w:rsid w:val="00007065"/>
    <w:rsid w:val="000077C4"/>
    <w:rsid w:val="0001285D"/>
    <w:rsid w:val="00013B88"/>
    <w:rsid w:val="000157EB"/>
    <w:rsid w:val="00015CC6"/>
    <w:rsid w:val="000167AD"/>
    <w:rsid w:val="00016BEE"/>
    <w:rsid w:val="00021137"/>
    <w:rsid w:val="000227D5"/>
    <w:rsid w:val="000236BF"/>
    <w:rsid w:val="00023BBC"/>
    <w:rsid w:val="000245AA"/>
    <w:rsid w:val="00030725"/>
    <w:rsid w:val="0003172E"/>
    <w:rsid w:val="00032B18"/>
    <w:rsid w:val="00033205"/>
    <w:rsid w:val="00033209"/>
    <w:rsid w:val="0003635A"/>
    <w:rsid w:val="0003664B"/>
    <w:rsid w:val="0004111F"/>
    <w:rsid w:val="000414F1"/>
    <w:rsid w:val="00041BC5"/>
    <w:rsid w:val="00041F64"/>
    <w:rsid w:val="00042C08"/>
    <w:rsid w:val="00042EB1"/>
    <w:rsid w:val="00044482"/>
    <w:rsid w:val="000507D6"/>
    <w:rsid w:val="00050BCE"/>
    <w:rsid w:val="00050EF9"/>
    <w:rsid w:val="000522AD"/>
    <w:rsid w:val="00053990"/>
    <w:rsid w:val="000539E3"/>
    <w:rsid w:val="00055077"/>
    <w:rsid w:val="000553AE"/>
    <w:rsid w:val="000565B3"/>
    <w:rsid w:val="00057279"/>
    <w:rsid w:val="00061543"/>
    <w:rsid w:val="0006253E"/>
    <w:rsid w:val="00065B12"/>
    <w:rsid w:val="00070BE5"/>
    <w:rsid w:val="0007150B"/>
    <w:rsid w:val="00071855"/>
    <w:rsid w:val="00076383"/>
    <w:rsid w:val="00077BA3"/>
    <w:rsid w:val="00081A22"/>
    <w:rsid w:val="00081D21"/>
    <w:rsid w:val="00082343"/>
    <w:rsid w:val="000824BC"/>
    <w:rsid w:val="000829F5"/>
    <w:rsid w:val="000842E9"/>
    <w:rsid w:val="00085308"/>
    <w:rsid w:val="0009097D"/>
    <w:rsid w:val="000938F5"/>
    <w:rsid w:val="000939DC"/>
    <w:rsid w:val="00095663"/>
    <w:rsid w:val="0009667F"/>
    <w:rsid w:val="00096CA6"/>
    <w:rsid w:val="00096E55"/>
    <w:rsid w:val="0009783E"/>
    <w:rsid w:val="000A0FED"/>
    <w:rsid w:val="000A2769"/>
    <w:rsid w:val="000A49DB"/>
    <w:rsid w:val="000A66B7"/>
    <w:rsid w:val="000A6A0C"/>
    <w:rsid w:val="000A736D"/>
    <w:rsid w:val="000A750A"/>
    <w:rsid w:val="000A7819"/>
    <w:rsid w:val="000A7AEB"/>
    <w:rsid w:val="000B076A"/>
    <w:rsid w:val="000B1022"/>
    <w:rsid w:val="000B10E7"/>
    <w:rsid w:val="000B55B5"/>
    <w:rsid w:val="000B58BF"/>
    <w:rsid w:val="000B601B"/>
    <w:rsid w:val="000B7DEF"/>
    <w:rsid w:val="000C207E"/>
    <w:rsid w:val="000C2273"/>
    <w:rsid w:val="000C2290"/>
    <w:rsid w:val="000C291E"/>
    <w:rsid w:val="000C2D61"/>
    <w:rsid w:val="000C2EAC"/>
    <w:rsid w:val="000C48CA"/>
    <w:rsid w:val="000C5053"/>
    <w:rsid w:val="000C58EB"/>
    <w:rsid w:val="000C783B"/>
    <w:rsid w:val="000D0370"/>
    <w:rsid w:val="000D10AD"/>
    <w:rsid w:val="000D24A3"/>
    <w:rsid w:val="000D26EC"/>
    <w:rsid w:val="000D2A89"/>
    <w:rsid w:val="000D3453"/>
    <w:rsid w:val="000D37AB"/>
    <w:rsid w:val="000D41E9"/>
    <w:rsid w:val="000D4A1A"/>
    <w:rsid w:val="000D70EF"/>
    <w:rsid w:val="000D7139"/>
    <w:rsid w:val="000E06A7"/>
    <w:rsid w:val="000E0DD0"/>
    <w:rsid w:val="000E1B15"/>
    <w:rsid w:val="000E1C2B"/>
    <w:rsid w:val="000F0035"/>
    <w:rsid w:val="000F04E7"/>
    <w:rsid w:val="000F060A"/>
    <w:rsid w:val="000F119C"/>
    <w:rsid w:val="000F15E6"/>
    <w:rsid w:val="000F181B"/>
    <w:rsid w:val="000F1838"/>
    <w:rsid w:val="000F225D"/>
    <w:rsid w:val="000F420B"/>
    <w:rsid w:val="000F72F3"/>
    <w:rsid w:val="0010082F"/>
    <w:rsid w:val="001008A9"/>
    <w:rsid w:val="001017D1"/>
    <w:rsid w:val="001018F6"/>
    <w:rsid w:val="001036B4"/>
    <w:rsid w:val="001076E0"/>
    <w:rsid w:val="00107AC1"/>
    <w:rsid w:val="00110116"/>
    <w:rsid w:val="00111DF5"/>
    <w:rsid w:val="00112152"/>
    <w:rsid w:val="00112CC4"/>
    <w:rsid w:val="00114D3F"/>
    <w:rsid w:val="00115EF4"/>
    <w:rsid w:val="00116236"/>
    <w:rsid w:val="00120072"/>
    <w:rsid w:val="0012082B"/>
    <w:rsid w:val="00121AF5"/>
    <w:rsid w:val="00124BB9"/>
    <w:rsid w:val="001259D0"/>
    <w:rsid w:val="00126531"/>
    <w:rsid w:val="00126EB8"/>
    <w:rsid w:val="001274A9"/>
    <w:rsid w:val="001274D4"/>
    <w:rsid w:val="00127A69"/>
    <w:rsid w:val="001303BE"/>
    <w:rsid w:val="001308A7"/>
    <w:rsid w:val="00130A1D"/>
    <w:rsid w:val="001311FF"/>
    <w:rsid w:val="00131445"/>
    <w:rsid w:val="001363AA"/>
    <w:rsid w:val="00136B2B"/>
    <w:rsid w:val="0013739A"/>
    <w:rsid w:val="00140F70"/>
    <w:rsid w:val="001411FA"/>
    <w:rsid w:val="00142165"/>
    <w:rsid w:val="00142CAB"/>
    <w:rsid w:val="001439F6"/>
    <w:rsid w:val="001452DE"/>
    <w:rsid w:val="00145ECC"/>
    <w:rsid w:val="001460DC"/>
    <w:rsid w:val="001462BD"/>
    <w:rsid w:val="001475E3"/>
    <w:rsid w:val="0015160D"/>
    <w:rsid w:val="001533B5"/>
    <w:rsid w:val="001551A2"/>
    <w:rsid w:val="00157550"/>
    <w:rsid w:val="001605A5"/>
    <w:rsid w:val="00162434"/>
    <w:rsid w:val="001624B2"/>
    <w:rsid w:val="00164049"/>
    <w:rsid w:val="00165816"/>
    <w:rsid w:val="0016702D"/>
    <w:rsid w:val="001703F0"/>
    <w:rsid w:val="00170D78"/>
    <w:rsid w:val="0017113C"/>
    <w:rsid w:val="001736FD"/>
    <w:rsid w:val="001747BC"/>
    <w:rsid w:val="00180AEC"/>
    <w:rsid w:val="001818F8"/>
    <w:rsid w:val="00181E32"/>
    <w:rsid w:val="00183CFC"/>
    <w:rsid w:val="00183E82"/>
    <w:rsid w:val="0018577D"/>
    <w:rsid w:val="00185790"/>
    <w:rsid w:val="001878BB"/>
    <w:rsid w:val="00187B63"/>
    <w:rsid w:val="001901C0"/>
    <w:rsid w:val="00191AE0"/>
    <w:rsid w:val="001923D8"/>
    <w:rsid w:val="0019293B"/>
    <w:rsid w:val="0019426B"/>
    <w:rsid w:val="001952BF"/>
    <w:rsid w:val="0019610A"/>
    <w:rsid w:val="001A3355"/>
    <w:rsid w:val="001A6A4B"/>
    <w:rsid w:val="001A72BC"/>
    <w:rsid w:val="001A73C2"/>
    <w:rsid w:val="001B09E9"/>
    <w:rsid w:val="001B38C1"/>
    <w:rsid w:val="001B38EB"/>
    <w:rsid w:val="001B4085"/>
    <w:rsid w:val="001B47A8"/>
    <w:rsid w:val="001B4B51"/>
    <w:rsid w:val="001B4CE5"/>
    <w:rsid w:val="001B73E8"/>
    <w:rsid w:val="001B7536"/>
    <w:rsid w:val="001B766D"/>
    <w:rsid w:val="001C0865"/>
    <w:rsid w:val="001C0AED"/>
    <w:rsid w:val="001C3ABA"/>
    <w:rsid w:val="001C5111"/>
    <w:rsid w:val="001C582A"/>
    <w:rsid w:val="001C6474"/>
    <w:rsid w:val="001C685F"/>
    <w:rsid w:val="001D061E"/>
    <w:rsid w:val="001D3A8C"/>
    <w:rsid w:val="001D5485"/>
    <w:rsid w:val="001D5D1F"/>
    <w:rsid w:val="001D6C0A"/>
    <w:rsid w:val="001D7B7D"/>
    <w:rsid w:val="001E0568"/>
    <w:rsid w:val="001E380D"/>
    <w:rsid w:val="001E496A"/>
    <w:rsid w:val="001E7BE8"/>
    <w:rsid w:val="001E7CE6"/>
    <w:rsid w:val="001F0248"/>
    <w:rsid w:val="001F122A"/>
    <w:rsid w:val="001F14B0"/>
    <w:rsid w:val="001F1EF5"/>
    <w:rsid w:val="001F3C85"/>
    <w:rsid w:val="001F3EB3"/>
    <w:rsid w:val="001F4F60"/>
    <w:rsid w:val="001F4F86"/>
    <w:rsid w:val="001F5047"/>
    <w:rsid w:val="001F7036"/>
    <w:rsid w:val="0020016A"/>
    <w:rsid w:val="002006A1"/>
    <w:rsid w:val="00200849"/>
    <w:rsid w:val="0020198C"/>
    <w:rsid w:val="00202C2C"/>
    <w:rsid w:val="00203050"/>
    <w:rsid w:val="002119DD"/>
    <w:rsid w:val="00211D97"/>
    <w:rsid w:val="00212FBE"/>
    <w:rsid w:val="002135AB"/>
    <w:rsid w:val="002144BE"/>
    <w:rsid w:val="00215AD4"/>
    <w:rsid w:val="002163A8"/>
    <w:rsid w:val="0021647B"/>
    <w:rsid w:val="00221BB8"/>
    <w:rsid w:val="00222887"/>
    <w:rsid w:val="002236F0"/>
    <w:rsid w:val="0022393B"/>
    <w:rsid w:val="0022493D"/>
    <w:rsid w:val="002251C7"/>
    <w:rsid w:val="002256CE"/>
    <w:rsid w:val="00226F28"/>
    <w:rsid w:val="002278AD"/>
    <w:rsid w:val="00227F99"/>
    <w:rsid w:val="00227F9F"/>
    <w:rsid w:val="002309A1"/>
    <w:rsid w:val="00231326"/>
    <w:rsid w:val="00232AA2"/>
    <w:rsid w:val="002333C8"/>
    <w:rsid w:val="00233533"/>
    <w:rsid w:val="00233C80"/>
    <w:rsid w:val="00234E6F"/>
    <w:rsid w:val="00236DBA"/>
    <w:rsid w:val="00237503"/>
    <w:rsid w:val="00240D83"/>
    <w:rsid w:val="0024116A"/>
    <w:rsid w:val="00241956"/>
    <w:rsid w:val="00242279"/>
    <w:rsid w:val="00243997"/>
    <w:rsid w:val="00243C34"/>
    <w:rsid w:val="0024516C"/>
    <w:rsid w:val="00245C82"/>
    <w:rsid w:val="00246BC4"/>
    <w:rsid w:val="00247122"/>
    <w:rsid w:val="00250A16"/>
    <w:rsid w:val="0025128B"/>
    <w:rsid w:val="00251433"/>
    <w:rsid w:val="00252286"/>
    <w:rsid w:val="0025242A"/>
    <w:rsid w:val="00254603"/>
    <w:rsid w:val="002567E6"/>
    <w:rsid w:val="00256DF0"/>
    <w:rsid w:val="00260BC1"/>
    <w:rsid w:val="0026526A"/>
    <w:rsid w:val="00267442"/>
    <w:rsid w:val="002678C7"/>
    <w:rsid w:val="00267D9D"/>
    <w:rsid w:val="00270015"/>
    <w:rsid w:val="00270CD2"/>
    <w:rsid w:val="00271535"/>
    <w:rsid w:val="00271870"/>
    <w:rsid w:val="002718E5"/>
    <w:rsid w:val="002724BA"/>
    <w:rsid w:val="002728B5"/>
    <w:rsid w:val="00274E5E"/>
    <w:rsid w:val="00275612"/>
    <w:rsid w:val="00275CD5"/>
    <w:rsid w:val="0027618F"/>
    <w:rsid w:val="002767E8"/>
    <w:rsid w:val="0028005C"/>
    <w:rsid w:val="002808F2"/>
    <w:rsid w:val="00280DC9"/>
    <w:rsid w:val="00282847"/>
    <w:rsid w:val="00283D7F"/>
    <w:rsid w:val="002841C9"/>
    <w:rsid w:val="002845E7"/>
    <w:rsid w:val="00284E97"/>
    <w:rsid w:val="00287B29"/>
    <w:rsid w:val="002901E9"/>
    <w:rsid w:val="00291430"/>
    <w:rsid w:val="00291B40"/>
    <w:rsid w:val="0029259F"/>
    <w:rsid w:val="00293123"/>
    <w:rsid w:val="0029597B"/>
    <w:rsid w:val="00296DDF"/>
    <w:rsid w:val="002A04E6"/>
    <w:rsid w:val="002A22D7"/>
    <w:rsid w:val="002A22DE"/>
    <w:rsid w:val="002A29DE"/>
    <w:rsid w:val="002A3F91"/>
    <w:rsid w:val="002A6201"/>
    <w:rsid w:val="002B0DE6"/>
    <w:rsid w:val="002B2130"/>
    <w:rsid w:val="002B2DF3"/>
    <w:rsid w:val="002B3BA2"/>
    <w:rsid w:val="002B4008"/>
    <w:rsid w:val="002B5085"/>
    <w:rsid w:val="002B59B5"/>
    <w:rsid w:val="002C439F"/>
    <w:rsid w:val="002C603B"/>
    <w:rsid w:val="002C6F81"/>
    <w:rsid w:val="002D0C42"/>
    <w:rsid w:val="002D0E8E"/>
    <w:rsid w:val="002D2223"/>
    <w:rsid w:val="002D266B"/>
    <w:rsid w:val="002D3926"/>
    <w:rsid w:val="002D3AB8"/>
    <w:rsid w:val="002D5981"/>
    <w:rsid w:val="002D7A62"/>
    <w:rsid w:val="002E104F"/>
    <w:rsid w:val="002E138A"/>
    <w:rsid w:val="002E1C13"/>
    <w:rsid w:val="002E24C4"/>
    <w:rsid w:val="002E43EB"/>
    <w:rsid w:val="002E49BE"/>
    <w:rsid w:val="002E4CC2"/>
    <w:rsid w:val="002E640B"/>
    <w:rsid w:val="002E73C4"/>
    <w:rsid w:val="002E7466"/>
    <w:rsid w:val="002E798B"/>
    <w:rsid w:val="002F03AC"/>
    <w:rsid w:val="002F1062"/>
    <w:rsid w:val="002F1876"/>
    <w:rsid w:val="002F4115"/>
    <w:rsid w:val="002F51B9"/>
    <w:rsid w:val="002F56AA"/>
    <w:rsid w:val="00301189"/>
    <w:rsid w:val="00301720"/>
    <w:rsid w:val="00301E4A"/>
    <w:rsid w:val="003030A8"/>
    <w:rsid w:val="00303180"/>
    <w:rsid w:val="00306712"/>
    <w:rsid w:val="00306C24"/>
    <w:rsid w:val="00310622"/>
    <w:rsid w:val="00311EBD"/>
    <w:rsid w:val="0031358D"/>
    <w:rsid w:val="003151AD"/>
    <w:rsid w:val="0031637B"/>
    <w:rsid w:val="003168B8"/>
    <w:rsid w:val="00316989"/>
    <w:rsid w:val="00317AAA"/>
    <w:rsid w:val="00320973"/>
    <w:rsid w:val="00320EE9"/>
    <w:rsid w:val="00322D64"/>
    <w:rsid w:val="00323E09"/>
    <w:rsid w:val="003251E4"/>
    <w:rsid w:val="00325D05"/>
    <w:rsid w:val="0032683D"/>
    <w:rsid w:val="003268A3"/>
    <w:rsid w:val="0033161C"/>
    <w:rsid w:val="0033286A"/>
    <w:rsid w:val="00333932"/>
    <w:rsid w:val="00337213"/>
    <w:rsid w:val="00340186"/>
    <w:rsid w:val="0034349E"/>
    <w:rsid w:val="0034608D"/>
    <w:rsid w:val="00346E2F"/>
    <w:rsid w:val="00350869"/>
    <w:rsid w:val="003518AA"/>
    <w:rsid w:val="00351EB7"/>
    <w:rsid w:val="00351FAE"/>
    <w:rsid w:val="00352165"/>
    <w:rsid w:val="00353182"/>
    <w:rsid w:val="003542AE"/>
    <w:rsid w:val="003542E4"/>
    <w:rsid w:val="003565D9"/>
    <w:rsid w:val="00356738"/>
    <w:rsid w:val="003602E1"/>
    <w:rsid w:val="00362AD7"/>
    <w:rsid w:val="003637FA"/>
    <w:rsid w:val="00363879"/>
    <w:rsid w:val="0036435D"/>
    <w:rsid w:val="00366418"/>
    <w:rsid w:val="00366C24"/>
    <w:rsid w:val="0036736C"/>
    <w:rsid w:val="0037026F"/>
    <w:rsid w:val="00371240"/>
    <w:rsid w:val="003715BA"/>
    <w:rsid w:val="00372D1B"/>
    <w:rsid w:val="00373D10"/>
    <w:rsid w:val="00373D64"/>
    <w:rsid w:val="00374731"/>
    <w:rsid w:val="003759EF"/>
    <w:rsid w:val="00376E59"/>
    <w:rsid w:val="00377EC1"/>
    <w:rsid w:val="00380340"/>
    <w:rsid w:val="00381A4C"/>
    <w:rsid w:val="003844D5"/>
    <w:rsid w:val="00385247"/>
    <w:rsid w:val="00385770"/>
    <w:rsid w:val="003866FC"/>
    <w:rsid w:val="0039051C"/>
    <w:rsid w:val="003919F9"/>
    <w:rsid w:val="003920CF"/>
    <w:rsid w:val="00393026"/>
    <w:rsid w:val="0039613C"/>
    <w:rsid w:val="0039775A"/>
    <w:rsid w:val="00397AFB"/>
    <w:rsid w:val="003A3295"/>
    <w:rsid w:val="003A5B52"/>
    <w:rsid w:val="003A70C2"/>
    <w:rsid w:val="003B23C2"/>
    <w:rsid w:val="003B25AE"/>
    <w:rsid w:val="003B3057"/>
    <w:rsid w:val="003B3072"/>
    <w:rsid w:val="003B3292"/>
    <w:rsid w:val="003B5624"/>
    <w:rsid w:val="003C040C"/>
    <w:rsid w:val="003C1278"/>
    <w:rsid w:val="003C38B5"/>
    <w:rsid w:val="003C5D99"/>
    <w:rsid w:val="003C75A8"/>
    <w:rsid w:val="003D1087"/>
    <w:rsid w:val="003D3C68"/>
    <w:rsid w:val="003D3C97"/>
    <w:rsid w:val="003D442B"/>
    <w:rsid w:val="003D4D96"/>
    <w:rsid w:val="003D58F6"/>
    <w:rsid w:val="003D6386"/>
    <w:rsid w:val="003D6635"/>
    <w:rsid w:val="003D73D2"/>
    <w:rsid w:val="003E091C"/>
    <w:rsid w:val="003E2F59"/>
    <w:rsid w:val="003E3BC5"/>
    <w:rsid w:val="003E3F6E"/>
    <w:rsid w:val="003E68E6"/>
    <w:rsid w:val="003E746B"/>
    <w:rsid w:val="003F0789"/>
    <w:rsid w:val="003F0DC1"/>
    <w:rsid w:val="003F0EAB"/>
    <w:rsid w:val="003F23DF"/>
    <w:rsid w:val="003F2D98"/>
    <w:rsid w:val="003F50CB"/>
    <w:rsid w:val="003F5121"/>
    <w:rsid w:val="003F5D50"/>
    <w:rsid w:val="003F6423"/>
    <w:rsid w:val="003F653A"/>
    <w:rsid w:val="003F7C7E"/>
    <w:rsid w:val="004013B7"/>
    <w:rsid w:val="00401882"/>
    <w:rsid w:val="0040276C"/>
    <w:rsid w:val="0040352A"/>
    <w:rsid w:val="004051C8"/>
    <w:rsid w:val="004100C8"/>
    <w:rsid w:val="004104D3"/>
    <w:rsid w:val="004113E7"/>
    <w:rsid w:val="00411D57"/>
    <w:rsid w:val="00411DBD"/>
    <w:rsid w:val="00412ACE"/>
    <w:rsid w:val="004145D2"/>
    <w:rsid w:val="00414E5C"/>
    <w:rsid w:val="00417669"/>
    <w:rsid w:val="0042106A"/>
    <w:rsid w:val="00421B74"/>
    <w:rsid w:val="0042254F"/>
    <w:rsid w:val="004229AE"/>
    <w:rsid w:val="0042423A"/>
    <w:rsid w:val="004256D6"/>
    <w:rsid w:val="004261E6"/>
    <w:rsid w:val="00426CB4"/>
    <w:rsid w:val="004270C2"/>
    <w:rsid w:val="00427E55"/>
    <w:rsid w:val="00430C03"/>
    <w:rsid w:val="00431249"/>
    <w:rsid w:val="00434C19"/>
    <w:rsid w:val="00435F29"/>
    <w:rsid w:val="004360D8"/>
    <w:rsid w:val="00436223"/>
    <w:rsid w:val="00436EE9"/>
    <w:rsid w:val="00436F93"/>
    <w:rsid w:val="00446C60"/>
    <w:rsid w:val="00447053"/>
    <w:rsid w:val="004470C5"/>
    <w:rsid w:val="00450810"/>
    <w:rsid w:val="00454145"/>
    <w:rsid w:val="004567F9"/>
    <w:rsid w:val="00456B1E"/>
    <w:rsid w:val="00456C23"/>
    <w:rsid w:val="00457248"/>
    <w:rsid w:val="00457D63"/>
    <w:rsid w:val="00461BB1"/>
    <w:rsid w:val="00462C59"/>
    <w:rsid w:val="00462DF2"/>
    <w:rsid w:val="00465238"/>
    <w:rsid w:val="004663E8"/>
    <w:rsid w:val="00466A30"/>
    <w:rsid w:val="0047053E"/>
    <w:rsid w:val="00470737"/>
    <w:rsid w:val="0047076A"/>
    <w:rsid w:val="00472037"/>
    <w:rsid w:val="00475EFE"/>
    <w:rsid w:val="00477144"/>
    <w:rsid w:val="00477C9C"/>
    <w:rsid w:val="004820EF"/>
    <w:rsid w:val="00483A7C"/>
    <w:rsid w:val="0048494C"/>
    <w:rsid w:val="00486079"/>
    <w:rsid w:val="00491380"/>
    <w:rsid w:val="0049216C"/>
    <w:rsid w:val="00493920"/>
    <w:rsid w:val="004939AA"/>
    <w:rsid w:val="0049459F"/>
    <w:rsid w:val="004973D0"/>
    <w:rsid w:val="004A020C"/>
    <w:rsid w:val="004A1261"/>
    <w:rsid w:val="004A1661"/>
    <w:rsid w:val="004A2733"/>
    <w:rsid w:val="004A38DD"/>
    <w:rsid w:val="004A503E"/>
    <w:rsid w:val="004A50CE"/>
    <w:rsid w:val="004A55B2"/>
    <w:rsid w:val="004A727F"/>
    <w:rsid w:val="004B2356"/>
    <w:rsid w:val="004B2E6A"/>
    <w:rsid w:val="004B43AE"/>
    <w:rsid w:val="004B65D2"/>
    <w:rsid w:val="004C251D"/>
    <w:rsid w:val="004C30ED"/>
    <w:rsid w:val="004C58BC"/>
    <w:rsid w:val="004D0FB7"/>
    <w:rsid w:val="004D11D7"/>
    <w:rsid w:val="004D17CA"/>
    <w:rsid w:val="004D3A07"/>
    <w:rsid w:val="004D3AA6"/>
    <w:rsid w:val="004D447D"/>
    <w:rsid w:val="004D47FB"/>
    <w:rsid w:val="004D5675"/>
    <w:rsid w:val="004D63C6"/>
    <w:rsid w:val="004E023B"/>
    <w:rsid w:val="004E0EE9"/>
    <w:rsid w:val="004E127C"/>
    <w:rsid w:val="004E4BA3"/>
    <w:rsid w:val="004E51CD"/>
    <w:rsid w:val="004E5D01"/>
    <w:rsid w:val="004E63B8"/>
    <w:rsid w:val="004F0674"/>
    <w:rsid w:val="004F1A81"/>
    <w:rsid w:val="004F3BD1"/>
    <w:rsid w:val="004F7D79"/>
    <w:rsid w:val="00502C22"/>
    <w:rsid w:val="005071EC"/>
    <w:rsid w:val="005105FF"/>
    <w:rsid w:val="0051076E"/>
    <w:rsid w:val="00512075"/>
    <w:rsid w:val="00513091"/>
    <w:rsid w:val="00513EA6"/>
    <w:rsid w:val="005167FC"/>
    <w:rsid w:val="00516D76"/>
    <w:rsid w:val="00517795"/>
    <w:rsid w:val="0052057E"/>
    <w:rsid w:val="00521B3E"/>
    <w:rsid w:val="00522699"/>
    <w:rsid w:val="00523639"/>
    <w:rsid w:val="00524248"/>
    <w:rsid w:val="00530226"/>
    <w:rsid w:val="00531809"/>
    <w:rsid w:val="0053191B"/>
    <w:rsid w:val="00531FE5"/>
    <w:rsid w:val="005321E1"/>
    <w:rsid w:val="00532248"/>
    <w:rsid w:val="0053384D"/>
    <w:rsid w:val="00533A83"/>
    <w:rsid w:val="00534251"/>
    <w:rsid w:val="005364BB"/>
    <w:rsid w:val="00536C2F"/>
    <w:rsid w:val="00536DD1"/>
    <w:rsid w:val="00536F99"/>
    <w:rsid w:val="005402FA"/>
    <w:rsid w:val="005406B7"/>
    <w:rsid w:val="0054077D"/>
    <w:rsid w:val="00540BEF"/>
    <w:rsid w:val="00542080"/>
    <w:rsid w:val="0054245A"/>
    <w:rsid w:val="00542D24"/>
    <w:rsid w:val="00547129"/>
    <w:rsid w:val="0054716B"/>
    <w:rsid w:val="00550AC8"/>
    <w:rsid w:val="005513D0"/>
    <w:rsid w:val="00551BBB"/>
    <w:rsid w:val="00552C4E"/>
    <w:rsid w:val="00554AEB"/>
    <w:rsid w:val="005551E7"/>
    <w:rsid w:val="005574AD"/>
    <w:rsid w:val="0056207E"/>
    <w:rsid w:val="005626C0"/>
    <w:rsid w:val="005645E1"/>
    <w:rsid w:val="005656A9"/>
    <w:rsid w:val="00567F8B"/>
    <w:rsid w:val="005700B4"/>
    <w:rsid w:val="0057073A"/>
    <w:rsid w:val="00571BA9"/>
    <w:rsid w:val="005729BD"/>
    <w:rsid w:val="005739A0"/>
    <w:rsid w:val="00574193"/>
    <w:rsid w:val="0057664C"/>
    <w:rsid w:val="00580154"/>
    <w:rsid w:val="00580392"/>
    <w:rsid w:val="00581828"/>
    <w:rsid w:val="00582EE1"/>
    <w:rsid w:val="00582F85"/>
    <w:rsid w:val="00583C39"/>
    <w:rsid w:val="0058548F"/>
    <w:rsid w:val="00586A90"/>
    <w:rsid w:val="00587F28"/>
    <w:rsid w:val="00590710"/>
    <w:rsid w:val="005909CF"/>
    <w:rsid w:val="00590A13"/>
    <w:rsid w:val="00590B88"/>
    <w:rsid w:val="00590D39"/>
    <w:rsid w:val="00591E71"/>
    <w:rsid w:val="0059330E"/>
    <w:rsid w:val="00593EE3"/>
    <w:rsid w:val="005950D5"/>
    <w:rsid w:val="005961D0"/>
    <w:rsid w:val="00596429"/>
    <w:rsid w:val="005978EB"/>
    <w:rsid w:val="005A0D41"/>
    <w:rsid w:val="005A20A9"/>
    <w:rsid w:val="005A22A1"/>
    <w:rsid w:val="005A50E7"/>
    <w:rsid w:val="005A6BE8"/>
    <w:rsid w:val="005B4CF5"/>
    <w:rsid w:val="005B7087"/>
    <w:rsid w:val="005C0535"/>
    <w:rsid w:val="005C1E3E"/>
    <w:rsid w:val="005C27B8"/>
    <w:rsid w:val="005C3484"/>
    <w:rsid w:val="005C529A"/>
    <w:rsid w:val="005D00B6"/>
    <w:rsid w:val="005D1761"/>
    <w:rsid w:val="005D1D62"/>
    <w:rsid w:val="005D329F"/>
    <w:rsid w:val="005D53F8"/>
    <w:rsid w:val="005D6554"/>
    <w:rsid w:val="005E04F2"/>
    <w:rsid w:val="005E2A54"/>
    <w:rsid w:val="005E49FC"/>
    <w:rsid w:val="005E4D29"/>
    <w:rsid w:val="005E53B2"/>
    <w:rsid w:val="005E5AA5"/>
    <w:rsid w:val="005E6230"/>
    <w:rsid w:val="005E6D14"/>
    <w:rsid w:val="005E71DB"/>
    <w:rsid w:val="005F0101"/>
    <w:rsid w:val="005F067D"/>
    <w:rsid w:val="005F0C33"/>
    <w:rsid w:val="005F226E"/>
    <w:rsid w:val="005F4523"/>
    <w:rsid w:val="005F48ED"/>
    <w:rsid w:val="005F5037"/>
    <w:rsid w:val="005F522C"/>
    <w:rsid w:val="005F5838"/>
    <w:rsid w:val="005F691D"/>
    <w:rsid w:val="0060015B"/>
    <w:rsid w:val="00600EFB"/>
    <w:rsid w:val="00602670"/>
    <w:rsid w:val="00604654"/>
    <w:rsid w:val="006056DB"/>
    <w:rsid w:val="00606E78"/>
    <w:rsid w:val="00607BF1"/>
    <w:rsid w:val="00611A37"/>
    <w:rsid w:val="00612139"/>
    <w:rsid w:val="00612CC2"/>
    <w:rsid w:val="006138FA"/>
    <w:rsid w:val="0061551A"/>
    <w:rsid w:val="006160B6"/>
    <w:rsid w:val="00617BDC"/>
    <w:rsid w:val="00620CFD"/>
    <w:rsid w:val="0062132A"/>
    <w:rsid w:val="00622FFD"/>
    <w:rsid w:val="0062512C"/>
    <w:rsid w:val="00626770"/>
    <w:rsid w:val="00627E75"/>
    <w:rsid w:val="00630D4D"/>
    <w:rsid w:val="00631F6C"/>
    <w:rsid w:val="00632A74"/>
    <w:rsid w:val="00633E7A"/>
    <w:rsid w:val="00634931"/>
    <w:rsid w:val="006359F8"/>
    <w:rsid w:val="006364FD"/>
    <w:rsid w:val="00636535"/>
    <w:rsid w:val="00636986"/>
    <w:rsid w:val="00637FA0"/>
    <w:rsid w:val="00640A94"/>
    <w:rsid w:val="00640E93"/>
    <w:rsid w:val="006427C8"/>
    <w:rsid w:val="006433C3"/>
    <w:rsid w:val="006437E4"/>
    <w:rsid w:val="00645ED7"/>
    <w:rsid w:val="00646051"/>
    <w:rsid w:val="00646155"/>
    <w:rsid w:val="00651907"/>
    <w:rsid w:val="006548A3"/>
    <w:rsid w:val="00654D42"/>
    <w:rsid w:val="00662403"/>
    <w:rsid w:val="006634C4"/>
    <w:rsid w:val="006635C7"/>
    <w:rsid w:val="00663A0B"/>
    <w:rsid w:val="00666E02"/>
    <w:rsid w:val="00671894"/>
    <w:rsid w:val="00672433"/>
    <w:rsid w:val="006728A2"/>
    <w:rsid w:val="00673B8D"/>
    <w:rsid w:val="00673C30"/>
    <w:rsid w:val="006770DB"/>
    <w:rsid w:val="00677367"/>
    <w:rsid w:val="00680D19"/>
    <w:rsid w:val="00681079"/>
    <w:rsid w:val="00682665"/>
    <w:rsid w:val="00683609"/>
    <w:rsid w:val="006858EF"/>
    <w:rsid w:val="00685E5A"/>
    <w:rsid w:val="00685F0B"/>
    <w:rsid w:val="00685FC7"/>
    <w:rsid w:val="00686FD5"/>
    <w:rsid w:val="00690B2A"/>
    <w:rsid w:val="00692ED8"/>
    <w:rsid w:val="00694D3D"/>
    <w:rsid w:val="00695469"/>
    <w:rsid w:val="00696C96"/>
    <w:rsid w:val="00697725"/>
    <w:rsid w:val="0069790F"/>
    <w:rsid w:val="006A1083"/>
    <w:rsid w:val="006A2881"/>
    <w:rsid w:val="006A3744"/>
    <w:rsid w:val="006A4655"/>
    <w:rsid w:val="006A48DD"/>
    <w:rsid w:val="006A50D9"/>
    <w:rsid w:val="006A6CAE"/>
    <w:rsid w:val="006A7260"/>
    <w:rsid w:val="006B0BCF"/>
    <w:rsid w:val="006B16C7"/>
    <w:rsid w:val="006B2B3C"/>
    <w:rsid w:val="006B39F4"/>
    <w:rsid w:val="006B773A"/>
    <w:rsid w:val="006C10BF"/>
    <w:rsid w:val="006C194C"/>
    <w:rsid w:val="006C1D81"/>
    <w:rsid w:val="006C251D"/>
    <w:rsid w:val="006C3E71"/>
    <w:rsid w:val="006C4B8A"/>
    <w:rsid w:val="006C4C28"/>
    <w:rsid w:val="006C5A5B"/>
    <w:rsid w:val="006C7038"/>
    <w:rsid w:val="006C776E"/>
    <w:rsid w:val="006D16B2"/>
    <w:rsid w:val="006D1E26"/>
    <w:rsid w:val="006D437B"/>
    <w:rsid w:val="006D46DC"/>
    <w:rsid w:val="006D4C7D"/>
    <w:rsid w:val="006D7128"/>
    <w:rsid w:val="006E1461"/>
    <w:rsid w:val="006E1AEF"/>
    <w:rsid w:val="006E40EF"/>
    <w:rsid w:val="006E414B"/>
    <w:rsid w:val="006E486F"/>
    <w:rsid w:val="006E68AA"/>
    <w:rsid w:val="006E73EF"/>
    <w:rsid w:val="006E76C5"/>
    <w:rsid w:val="006E77D8"/>
    <w:rsid w:val="006F0609"/>
    <w:rsid w:val="006F2BA5"/>
    <w:rsid w:val="006F356F"/>
    <w:rsid w:val="006F390B"/>
    <w:rsid w:val="006F3B52"/>
    <w:rsid w:val="006F4A3E"/>
    <w:rsid w:val="006F5B3A"/>
    <w:rsid w:val="006F615F"/>
    <w:rsid w:val="006F76C7"/>
    <w:rsid w:val="00701F7D"/>
    <w:rsid w:val="00706EB0"/>
    <w:rsid w:val="007079C9"/>
    <w:rsid w:val="00711753"/>
    <w:rsid w:val="00711DD6"/>
    <w:rsid w:val="00712FE1"/>
    <w:rsid w:val="00714125"/>
    <w:rsid w:val="00714D4D"/>
    <w:rsid w:val="007150D6"/>
    <w:rsid w:val="00717F02"/>
    <w:rsid w:val="00720367"/>
    <w:rsid w:val="00720A93"/>
    <w:rsid w:val="00722493"/>
    <w:rsid w:val="00722D09"/>
    <w:rsid w:val="00723D17"/>
    <w:rsid w:val="00724D8E"/>
    <w:rsid w:val="007261CC"/>
    <w:rsid w:val="0072631D"/>
    <w:rsid w:val="007266D3"/>
    <w:rsid w:val="00732029"/>
    <w:rsid w:val="00732C66"/>
    <w:rsid w:val="00732E74"/>
    <w:rsid w:val="0073611D"/>
    <w:rsid w:val="007417BD"/>
    <w:rsid w:val="00741841"/>
    <w:rsid w:val="00746199"/>
    <w:rsid w:val="00746E4F"/>
    <w:rsid w:val="00747A0F"/>
    <w:rsid w:val="00750251"/>
    <w:rsid w:val="00754C07"/>
    <w:rsid w:val="00754C53"/>
    <w:rsid w:val="007604BB"/>
    <w:rsid w:val="00760A67"/>
    <w:rsid w:val="007625BC"/>
    <w:rsid w:val="007645E7"/>
    <w:rsid w:val="007673D3"/>
    <w:rsid w:val="00767521"/>
    <w:rsid w:val="007702D3"/>
    <w:rsid w:val="007715C8"/>
    <w:rsid w:val="00772909"/>
    <w:rsid w:val="00773448"/>
    <w:rsid w:val="00775B6A"/>
    <w:rsid w:val="00776522"/>
    <w:rsid w:val="007765DC"/>
    <w:rsid w:val="00776FE3"/>
    <w:rsid w:val="00777E52"/>
    <w:rsid w:val="00781E7F"/>
    <w:rsid w:val="00782385"/>
    <w:rsid w:val="007840F6"/>
    <w:rsid w:val="00785232"/>
    <w:rsid w:val="00787F5A"/>
    <w:rsid w:val="007909F7"/>
    <w:rsid w:val="007955FC"/>
    <w:rsid w:val="00796651"/>
    <w:rsid w:val="00796967"/>
    <w:rsid w:val="00796DD7"/>
    <w:rsid w:val="0079701E"/>
    <w:rsid w:val="007A0899"/>
    <w:rsid w:val="007A1493"/>
    <w:rsid w:val="007A1843"/>
    <w:rsid w:val="007A21EB"/>
    <w:rsid w:val="007A2C22"/>
    <w:rsid w:val="007A48D1"/>
    <w:rsid w:val="007A4D7D"/>
    <w:rsid w:val="007A57E9"/>
    <w:rsid w:val="007A6572"/>
    <w:rsid w:val="007A6EC9"/>
    <w:rsid w:val="007A7397"/>
    <w:rsid w:val="007B0B99"/>
    <w:rsid w:val="007B1A93"/>
    <w:rsid w:val="007B1F5C"/>
    <w:rsid w:val="007B4C01"/>
    <w:rsid w:val="007B791D"/>
    <w:rsid w:val="007C36C9"/>
    <w:rsid w:val="007C382D"/>
    <w:rsid w:val="007C4A5D"/>
    <w:rsid w:val="007C67FB"/>
    <w:rsid w:val="007D036A"/>
    <w:rsid w:val="007D0BD8"/>
    <w:rsid w:val="007D12CC"/>
    <w:rsid w:val="007D1680"/>
    <w:rsid w:val="007D32D3"/>
    <w:rsid w:val="007D422B"/>
    <w:rsid w:val="007D4F59"/>
    <w:rsid w:val="007D6401"/>
    <w:rsid w:val="007D775E"/>
    <w:rsid w:val="007E00A2"/>
    <w:rsid w:val="007E01E4"/>
    <w:rsid w:val="007E0884"/>
    <w:rsid w:val="007E1F41"/>
    <w:rsid w:val="007E2BAF"/>
    <w:rsid w:val="007E3064"/>
    <w:rsid w:val="007E3C02"/>
    <w:rsid w:val="007E4222"/>
    <w:rsid w:val="007E534E"/>
    <w:rsid w:val="007E68BD"/>
    <w:rsid w:val="007E73D7"/>
    <w:rsid w:val="007E7A12"/>
    <w:rsid w:val="007E7BD3"/>
    <w:rsid w:val="007F028B"/>
    <w:rsid w:val="007F2E14"/>
    <w:rsid w:val="007F2E32"/>
    <w:rsid w:val="007F3144"/>
    <w:rsid w:val="007F4619"/>
    <w:rsid w:val="007F5E2F"/>
    <w:rsid w:val="007F5EDF"/>
    <w:rsid w:val="007F7107"/>
    <w:rsid w:val="007F72D1"/>
    <w:rsid w:val="008006FC"/>
    <w:rsid w:val="00800D4C"/>
    <w:rsid w:val="00800E44"/>
    <w:rsid w:val="0080108D"/>
    <w:rsid w:val="00801818"/>
    <w:rsid w:val="008073F1"/>
    <w:rsid w:val="00807705"/>
    <w:rsid w:val="0081021B"/>
    <w:rsid w:val="0081030F"/>
    <w:rsid w:val="008125FA"/>
    <w:rsid w:val="00812F4A"/>
    <w:rsid w:val="00814F52"/>
    <w:rsid w:val="00815B01"/>
    <w:rsid w:val="00816564"/>
    <w:rsid w:val="00816E0B"/>
    <w:rsid w:val="0082087D"/>
    <w:rsid w:val="008233A2"/>
    <w:rsid w:val="008235A8"/>
    <w:rsid w:val="008246B3"/>
    <w:rsid w:val="00824944"/>
    <w:rsid w:val="00825BA0"/>
    <w:rsid w:val="0083312F"/>
    <w:rsid w:val="008332FB"/>
    <w:rsid w:val="0083330D"/>
    <w:rsid w:val="00833DB4"/>
    <w:rsid w:val="00835771"/>
    <w:rsid w:val="008362DC"/>
    <w:rsid w:val="008373A9"/>
    <w:rsid w:val="00837768"/>
    <w:rsid w:val="0084035E"/>
    <w:rsid w:val="00840D2A"/>
    <w:rsid w:val="00840FB7"/>
    <w:rsid w:val="00841728"/>
    <w:rsid w:val="008423BA"/>
    <w:rsid w:val="00842933"/>
    <w:rsid w:val="00843167"/>
    <w:rsid w:val="00844892"/>
    <w:rsid w:val="00847309"/>
    <w:rsid w:val="00851C4F"/>
    <w:rsid w:val="00853D5A"/>
    <w:rsid w:val="0086082C"/>
    <w:rsid w:val="00863D1A"/>
    <w:rsid w:val="00864A27"/>
    <w:rsid w:val="00864ADC"/>
    <w:rsid w:val="0087477F"/>
    <w:rsid w:val="008769E5"/>
    <w:rsid w:val="00880153"/>
    <w:rsid w:val="00880B85"/>
    <w:rsid w:val="00880F97"/>
    <w:rsid w:val="0088133A"/>
    <w:rsid w:val="00881E8D"/>
    <w:rsid w:val="0088252D"/>
    <w:rsid w:val="00885D28"/>
    <w:rsid w:val="008869BB"/>
    <w:rsid w:val="00886C7D"/>
    <w:rsid w:val="00890A59"/>
    <w:rsid w:val="00892167"/>
    <w:rsid w:val="0089285E"/>
    <w:rsid w:val="00893392"/>
    <w:rsid w:val="008941B5"/>
    <w:rsid w:val="0089436C"/>
    <w:rsid w:val="00895B5A"/>
    <w:rsid w:val="00897099"/>
    <w:rsid w:val="008A09E7"/>
    <w:rsid w:val="008A24A6"/>
    <w:rsid w:val="008A24BF"/>
    <w:rsid w:val="008A2576"/>
    <w:rsid w:val="008A39DB"/>
    <w:rsid w:val="008A499A"/>
    <w:rsid w:val="008A6272"/>
    <w:rsid w:val="008A777D"/>
    <w:rsid w:val="008A7B2C"/>
    <w:rsid w:val="008B102A"/>
    <w:rsid w:val="008B196C"/>
    <w:rsid w:val="008B1B79"/>
    <w:rsid w:val="008B328D"/>
    <w:rsid w:val="008B4015"/>
    <w:rsid w:val="008B6B5A"/>
    <w:rsid w:val="008B6B69"/>
    <w:rsid w:val="008B7196"/>
    <w:rsid w:val="008C0152"/>
    <w:rsid w:val="008C0402"/>
    <w:rsid w:val="008C0550"/>
    <w:rsid w:val="008C190D"/>
    <w:rsid w:val="008C5C45"/>
    <w:rsid w:val="008C7048"/>
    <w:rsid w:val="008D03A7"/>
    <w:rsid w:val="008D09E6"/>
    <w:rsid w:val="008D365C"/>
    <w:rsid w:val="008D57FE"/>
    <w:rsid w:val="008D602E"/>
    <w:rsid w:val="008D74B7"/>
    <w:rsid w:val="008D7622"/>
    <w:rsid w:val="008D7B6F"/>
    <w:rsid w:val="008E1B05"/>
    <w:rsid w:val="008E2E73"/>
    <w:rsid w:val="008E4258"/>
    <w:rsid w:val="008E4CA0"/>
    <w:rsid w:val="008E547B"/>
    <w:rsid w:val="008E673F"/>
    <w:rsid w:val="008F0F09"/>
    <w:rsid w:val="008F1E67"/>
    <w:rsid w:val="008F3C63"/>
    <w:rsid w:val="008F4495"/>
    <w:rsid w:val="008F5B99"/>
    <w:rsid w:val="008F7A7F"/>
    <w:rsid w:val="009000C6"/>
    <w:rsid w:val="009021A6"/>
    <w:rsid w:val="009021E2"/>
    <w:rsid w:val="009027BC"/>
    <w:rsid w:val="009027E9"/>
    <w:rsid w:val="009030BF"/>
    <w:rsid w:val="00903B52"/>
    <w:rsid w:val="009057C9"/>
    <w:rsid w:val="0090622A"/>
    <w:rsid w:val="0091032F"/>
    <w:rsid w:val="0091396F"/>
    <w:rsid w:val="00914368"/>
    <w:rsid w:val="0091511B"/>
    <w:rsid w:val="009156AB"/>
    <w:rsid w:val="00916476"/>
    <w:rsid w:val="00917D17"/>
    <w:rsid w:val="00920106"/>
    <w:rsid w:val="00920E29"/>
    <w:rsid w:val="009212B9"/>
    <w:rsid w:val="00921D02"/>
    <w:rsid w:val="00921D34"/>
    <w:rsid w:val="00925671"/>
    <w:rsid w:val="00925DA4"/>
    <w:rsid w:val="00926803"/>
    <w:rsid w:val="00931076"/>
    <w:rsid w:val="009320C2"/>
    <w:rsid w:val="009345D9"/>
    <w:rsid w:val="00934B15"/>
    <w:rsid w:val="00935D27"/>
    <w:rsid w:val="009361DA"/>
    <w:rsid w:val="00937221"/>
    <w:rsid w:val="00937330"/>
    <w:rsid w:val="00937369"/>
    <w:rsid w:val="00940AB0"/>
    <w:rsid w:val="00940C87"/>
    <w:rsid w:val="00942779"/>
    <w:rsid w:val="00942B62"/>
    <w:rsid w:val="0094418D"/>
    <w:rsid w:val="00944934"/>
    <w:rsid w:val="00944F95"/>
    <w:rsid w:val="0094745E"/>
    <w:rsid w:val="00947AC7"/>
    <w:rsid w:val="00947FD8"/>
    <w:rsid w:val="009518D7"/>
    <w:rsid w:val="00951956"/>
    <w:rsid w:val="0095323B"/>
    <w:rsid w:val="0095394A"/>
    <w:rsid w:val="009551A6"/>
    <w:rsid w:val="00955F76"/>
    <w:rsid w:val="00956A0C"/>
    <w:rsid w:val="00956BD9"/>
    <w:rsid w:val="009572E3"/>
    <w:rsid w:val="009572F2"/>
    <w:rsid w:val="00957F5D"/>
    <w:rsid w:val="00960E61"/>
    <w:rsid w:val="00962489"/>
    <w:rsid w:val="0096262D"/>
    <w:rsid w:val="00964ADC"/>
    <w:rsid w:val="00964CAF"/>
    <w:rsid w:val="00965547"/>
    <w:rsid w:val="00966B26"/>
    <w:rsid w:val="00966C8E"/>
    <w:rsid w:val="00967669"/>
    <w:rsid w:val="00967CD3"/>
    <w:rsid w:val="00972DC7"/>
    <w:rsid w:val="00973C53"/>
    <w:rsid w:val="00976134"/>
    <w:rsid w:val="009767A3"/>
    <w:rsid w:val="00980FDB"/>
    <w:rsid w:val="00981B4A"/>
    <w:rsid w:val="009837A1"/>
    <w:rsid w:val="0098415B"/>
    <w:rsid w:val="0099043A"/>
    <w:rsid w:val="00990C2C"/>
    <w:rsid w:val="00991BF7"/>
    <w:rsid w:val="0099310A"/>
    <w:rsid w:val="0099581A"/>
    <w:rsid w:val="009A1F56"/>
    <w:rsid w:val="009A37CE"/>
    <w:rsid w:val="009A5171"/>
    <w:rsid w:val="009A53E9"/>
    <w:rsid w:val="009A67FB"/>
    <w:rsid w:val="009A6D17"/>
    <w:rsid w:val="009B01E5"/>
    <w:rsid w:val="009B0AA9"/>
    <w:rsid w:val="009B1642"/>
    <w:rsid w:val="009B30EC"/>
    <w:rsid w:val="009B3F36"/>
    <w:rsid w:val="009B4896"/>
    <w:rsid w:val="009B579A"/>
    <w:rsid w:val="009B5EAD"/>
    <w:rsid w:val="009B7024"/>
    <w:rsid w:val="009B7702"/>
    <w:rsid w:val="009C36BE"/>
    <w:rsid w:val="009C43B5"/>
    <w:rsid w:val="009C6FCB"/>
    <w:rsid w:val="009D1E8A"/>
    <w:rsid w:val="009D344A"/>
    <w:rsid w:val="009D4478"/>
    <w:rsid w:val="009D567B"/>
    <w:rsid w:val="009D5E81"/>
    <w:rsid w:val="009E1844"/>
    <w:rsid w:val="009E3392"/>
    <w:rsid w:val="009E4249"/>
    <w:rsid w:val="009E45C4"/>
    <w:rsid w:val="009E55BA"/>
    <w:rsid w:val="009F0D1B"/>
    <w:rsid w:val="009F0E39"/>
    <w:rsid w:val="009F0FB6"/>
    <w:rsid w:val="009F1584"/>
    <w:rsid w:val="009F2AFB"/>
    <w:rsid w:val="009F4845"/>
    <w:rsid w:val="009F5BBD"/>
    <w:rsid w:val="009F696D"/>
    <w:rsid w:val="009F6BC6"/>
    <w:rsid w:val="009F74EF"/>
    <w:rsid w:val="00A00906"/>
    <w:rsid w:val="00A00DA1"/>
    <w:rsid w:val="00A02826"/>
    <w:rsid w:val="00A03336"/>
    <w:rsid w:val="00A075A8"/>
    <w:rsid w:val="00A14EB5"/>
    <w:rsid w:val="00A15D5A"/>
    <w:rsid w:val="00A160CF"/>
    <w:rsid w:val="00A1611F"/>
    <w:rsid w:val="00A17328"/>
    <w:rsid w:val="00A1755F"/>
    <w:rsid w:val="00A23A20"/>
    <w:rsid w:val="00A24443"/>
    <w:rsid w:val="00A2571D"/>
    <w:rsid w:val="00A25C1D"/>
    <w:rsid w:val="00A268B9"/>
    <w:rsid w:val="00A26957"/>
    <w:rsid w:val="00A2703A"/>
    <w:rsid w:val="00A2757E"/>
    <w:rsid w:val="00A311DE"/>
    <w:rsid w:val="00A32280"/>
    <w:rsid w:val="00A32FE4"/>
    <w:rsid w:val="00A33DFF"/>
    <w:rsid w:val="00A35115"/>
    <w:rsid w:val="00A35B13"/>
    <w:rsid w:val="00A35E6C"/>
    <w:rsid w:val="00A36D9A"/>
    <w:rsid w:val="00A376A3"/>
    <w:rsid w:val="00A40CB4"/>
    <w:rsid w:val="00A416AE"/>
    <w:rsid w:val="00A451DC"/>
    <w:rsid w:val="00A46AEA"/>
    <w:rsid w:val="00A50767"/>
    <w:rsid w:val="00A51977"/>
    <w:rsid w:val="00A52A23"/>
    <w:rsid w:val="00A537E4"/>
    <w:rsid w:val="00A554AB"/>
    <w:rsid w:val="00A563C2"/>
    <w:rsid w:val="00A57062"/>
    <w:rsid w:val="00A62C0F"/>
    <w:rsid w:val="00A65E33"/>
    <w:rsid w:val="00A67781"/>
    <w:rsid w:val="00A70042"/>
    <w:rsid w:val="00A700C1"/>
    <w:rsid w:val="00A7155A"/>
    <w:rsid w:val="00A72DD6"/>
    <w:rsid w:val="00A7376F"/>
    <w:rsid w:val="00A761F9"/>
    <w:rsid w:val="00A810C6"/>
    <w:rsid w:val="00A81422"/>
    <w:rsid w:val="00A82A8D"/>
    <w:rsid w:val="00A8387F"/>
    <w:rsid w:val="00A84917"/>
    <w:rsid w:val="00A84C79"/>
    <w:rsid w:val="00A84EE4"/>
    <w:rsid w:val="00A86D9B"/>
    <w:rsid w:val="00A9177A"/>
    <w:rsid w:val="00A9188A"/>
    <w:rsid w:val="00A92B53"/>
    <w:rsid w:val="00A94FA6"/>
    <w:rsid w:val="00A956EE"/>
    <w:rsid w:val="00A972C2"/>
    <w:rsid w:val="00A973BA"/>
    <w:rsid w:val="00AA02CA"/>
    <w:rsid w:val="00AA1A38"/>
    <w:rsid w:val="00AA1C7A"/>
    <w:rsid w:val="00AA49A0"/>
    <w:rsid w:val="00AA6307"/>
    <w:rsid w:val="00AA6474"/>
    <w:rsid w:val="00AA6710"/>
    <w:rsid w:val="00AA6878"/>
    <w:rsid w:val="00AA7B9A"/>
    <w:rsid w:val="00AA7C7F"/>
    <w:rsid w:val="00AB0681"/>
    <w:rsid w:val="00AB0A2C"/>
    <w:rsid w:val="00AB33DA"/>
    <w:rsid w:val="00AB4B67"/>
    <w:rsid w:val="00AB67E3"/>
    <w:rsid w:val="00AC04E3"/>
    <w:rsid w:val="00AC202F"/>
    <w:rsid w:val="00AC2D2B"/>
    <w:rsid w:val="00AC2E8C"/>
    <w:rsid w:val="00AC3A15"/>
    <w:rsid w:val="00AC3A27"/>
    <w:rsid w:val="00AC6D5B"/>
    <w:rsid w:val="00AC7D84"/>
    <w:rsid w:val="00AD520B"/>
    <w:rsid w:val="00AD60A1"/>
    <w:rsid w:val="00AD64DC"/>
    <w:rsid w:val="00AD6CF3"/>
    <w:rsid w:val="00AD6D55"/>
    <w:rsid w:val="00AD7305"/>
    <w:rsid w:val="00AE0361"/>
    <w:rsid w:val="00AE0A87"/>
    <w:rsid w:val="00AE264A"/>
    <w:rsid w:val="00AE3BCC"/>
    <w:rsid w:val="00AE4E91"/>
    <w:rsid w:val="00AE6F61"/>
    <w:rsid w:val="00AF0FAC"/>
    <w:rsid w:val="00AF6760"/>
    <w:rsid w:val="00AF6DAE"/>
    <w:rsid w:val="00B011B0"/>
    <w:rsid w:val="00B01EEE"/>
    <w:rsid w:val="00B02B12"/>
    <w:rsid w:val="00B02B8A"/>
    <w:rsid w:val="00B03C7E"/>
    <w:rsid w:val="00B05293"/>
    <w:rsid w:val="00B061E5"/>
    <w:rsid w:val="00B06B9B"/>
    <w:rsid w:val="00B0709D"/>
    <w:rsid w:val="00B0716B"/>
    <w:rsid w:val="00B10808"/>
    <w:rsid w:val="00B11A99"/>
    <w:rsid w:val="00B12F8F"/>
    <w:rsid w:val="00B150D8"/>
    <w:rsid w:val="00B21BC9"/>
    <w:rsid w:val="00B23CC9"/>
    <w:rsid w:val="00B245FF"/>
    <w:rsid w:val="00B24A40"/>
    <w:rsid w:val="00B27B11"/>
    <w:rsid w:val="00B30582"/>
    <w:rsid w:val="00B31D1B"/>
    <w:rsid w:val="00B32D63"/>
    <w:rsid w:val="00B32E0F"/>
    <w:rsid w:val="00B330C2"/>
    <w:rsid w:val="00B33C47"/>
    <w:rsid w:val="00B3446C"/>
    <w:rsid w:val="00B3476F"/>
    <w:rsid w:val="00B34E8F"/>
    <w:rsid w:val="00B35B76"/>
    <w:rsid w:val="00B3687A"/>
    <w:rsid w:val="00B42091"/>
    <w:rsid w:val="00B425C3"/>
    <w:rsid w:val="00B43737"/>
    <w:rsid w:val="00B440AD"/>
    <w:rsid w:val="00B4477A"/>
    <w:rsid w:val="00B44B44"/>
    <w:rsid w:val="00B470DD"/>
    <w:rsid w:val="00B479BB"/>
    <w:rsid w:val="00B52652"/>
    <w:rsid w:val="00B52C5D"/>
    <w:rsid w:val="00B53E7E"/>
    <w:rsid w:val="00B55CD5"/>
    <w:rsid w:val="00B56D2D"/>
    <w:rsid w:val="00B57937"/>
    <w:rsid w:val="00B57CB4"/>
    <w:rsid w:val="00B609BC"/>
    <w:rsid w:val="00B61D41"/>
    <w:rsid w:val="00B62FDA"/>
    <w:rsid w:val="00B6342E"/>
    <w:rsid w:val="00B64FE7"/>
    <w:rsid w:val="00B65F2D"/>
    <w:rsid w:val="00B66F7E"/>
    <w:rsid w:val="00B7113F"/>
    <w:rsid w:val="00B74015"/>
    <w:rsid w:val="00B748FC"/>
    <w:rsid w:val="00B76090"/>
    <w:rsid w:val="00B764F5"/>
    <w:rsid w:val="00B76A15"/>
    <w:rsid w:val="00B8038E"/>
    <w:rsid w:val="00B8094E"/>
    <w:rsid w:val="00B80BC2"/>
    <w:rsid w:val="00B80EDE"/>
    <w:rsid w:val="00B810EE"/>
    <w:rsid w:val="00B813EB"/>
    <w:rsid w:val="00B81EBB"/>
    <w:rsid w:val="00B8279D"/>
    <w:rsid w:val="00B85ADF"/>
    <w:rsid w:val="00B86906"/>
    <w:rsid w:val="00B86A29"/>
    <w:rsid w:val="00B912C8"/>
    <w:rsid w:val="00B913C6"/>
    <w:rsid w:val="00B92C62"/>
    <w:rsid w:val="00B93C8D"/>
    <w:rsid w:val="00B943CD"/>
    <w:rsid w:val="00B95513"/>
    <w:rsid w:val="00BA0FB1"/>
    <w:rsid w:val="00BA1573"/>
    <w:rsid w:val="00BA2BCF"/>
    <w:rsid w:val="00BA2D4A"/>
    <w:rsid w:val="00BA3821"/>
    <w:rsid w:val="00BA39AF"/>
    <w:rsid w:val="00BA4896"/>
    <w:rsid w:val="00BA4DF3"/>
    <w:rsid w:val="00BA5756"/>
    <w:rsid w:val="00BA5842"/>
    <w:rsid w:val="00BA5B14"/>
    <w:rsid w:val="00BA6129"/>
    <w:rsid w:val="00BA6495"/>
    <w:rsid w:val="00BA73B6"/>
    <w:rsid w:val="00BA7D43"/>
    <w:rsid w:val="00BA7E27"/>
    <w:rsid w:val="00BB1F64"/>
    <w:rsid w:val="00BB2603"/>
    <w:rsid w:val="00BB3F8D"/>
    <w:rsid w:val="00BB3F96"/>
    <w:rsid w:val="00BB4F14"/>
    <w:rsid w:val="00BB4FCD"/>
    <w:rsid w:val="00BC04E9"/>
    <w:rsid w:val="00BC1667"/>
    <w:rsid w:val="00BC2582"/>
    <w:rsid w:val="00BC2EEE"/>
    <w:rsid w:val="00BC3AF8"/>
    <w:rsid w:val="00BC6024"/>
    <w:rsid w:val="00BC6128"/>
    <w:rsid w:val="00BC6697"/>
    <w:rsid w:val="00BC7D0C"/>
    <w:rsid w:val="00BC7D36"/>
    <w:rsid w:val="00BD0373"/>
    <w:rsid w:val="00BD13EA"/>
    <w:rsid w:val="00BD17E8"/>
    <w:rsid w:val="00BD192D"/>
    <w:rsid w:val="00BD2487"/>
    <w:rsid w:val="00BD349A"/>
    <w:rsid w:val="00BD583F"/>
    <w:rsid w:val="00BD7F6C"/>
    <w:rsid w:val="00BE0456"/>
    <w:rsid w:val="00BE1695"/>
    <w:rsid w:val="00BE1887"/>
    <w:rsid w:val="00BE20CC"/>
    <w:rsid w:val="00BE2652"/>
    <w:rsid w:val="00BE3808"/>
    <w:rsid w:val="00BE6192"/>
    <w:rsid w:val="00BE7773"/>
    <w:rsid w:val="00BE7904"/>
    <w:rsid w:val="00BF1612"/>
    <w:rsid w:val="00BF1A08"/>
    <w:rsid w:val="00BF2A0B"/>
    <w:rsid w:val="00BF36D1"/>
    <w:rsid w:val="00BF5562"/>
    <w:rsid w:val="00BF5976"/>
    <w:rsid w:val="00BF6063"/>
    <w:rsid w:val="00BF6849"/>
    <w:rsid w:val="00BF6E62"/>
    <w:rsid w:val="00BF6FD7"/>
    <w:rsid w:val="00C0001D"/>
    <w:rsid w:val="00C00780"/>
    <w:rsid w:val="00C01760"/>
    <w:rsid w:val="00C03B88"/>
    <w:rsid w:val="00C05644"/>
    <w:rsid w:val="00C062E9"/>
    <w:rsid w:val="00C07B64"/>
    <w:rsid w:val="00C07BE2"/>
    <w:rsid w:val="00C10D0B"/>
    <w:rsid w:val="00C119F4"/>
    <w:rsid w:val="00C122A1"/>
    <w:rsid w:val="00C13721"/>
    <w:rsid w:val="00C14FE4"/>
    <w:rsid w:val="00C16585"/>
    <w:rsid w:val="00C17227"/>
    <w:rsid w:val="00C17391"/>
    <w:rsid w:val="00C173DF"/>
    <w:rsid w:val="00C17556"/>
    <w:rsid w:val="00C17A5E"/>
    <w:rsid w:val="00C21C9F"/>
    <w:rsid w:val="00C2242F"/>
    <w:rsid w:val="00C22CA1"/>
    <w:rsid w:val="00C233ED"/>
    <w:rsid w:val="00C23AF1"/>
    <w:rsid w:val="00C2617D"/>
    <w:rsid w:val="00C26D99"/>
    <w:rsid w:val="00C27472"/>
    <w:rsid w:val="00C27A6E"/>
    <w:rsid w:val="00C27C1C"/>
    <w:rsid w:val="00C27DE3"/>
    <w:rsid w:val="00C3066D"/>
    <w:rsid w:val="00C3079C"/>
    <w:rsid w:val="00C309C5"/>
    <w:rsid w:val="00C3416B"/>
    <w:rsid w:val="00C36009"/>
    <w:rsid w:val="00C36D49"/>
    <w:rsid w:val="00C453C1"/>
    <w:rsid w:val="00C50A83"/>
    <w:rsid w:val="00C51187"/>
    <w:rsid w:val="00C51F1A"/>
    <w:rsid w:val="00C52416"/>
    <w:rsid w:val="00C529DD"/>
    <w:rsid w:val="00C52C94"/>
    <w:rsid w:val="00C52DCC"/>
    <w:rsid w:val="00C53040"/>
    <w:rsid w:val="00C543F4"/>
    <w:rsid w:val="00C544B8"/>
    <w:rsid w:val="00C553A5"/>
    <w:rsid w:val="00C55DDB"/>
    <w:rsid w:val="00C562EC"/>
    <w:rsid w:val="00C56A41"/>
    <w:rsid w:val="00C5700F"/>
    <w:rsid w:val="00C5731E"/>
    <w:rsid w:val="00C60BAE"/>
    <w:rsid w:val="00C62242"/>
    <w:rsid w:val="00C6291C"/>
    <w:rsid w:val="00C62A62"/>
    <w:rsid w:val="00C633AB"/>
    <w:rsid w:val="00C633CB"/>
    <w:rsid w:val="00C653E8"/>
    <w:rsid w:val="00C664CD"/>
    <w:rsid w:val="00C67FD1"/>
    <w:rsid w:val="00C71443"/>
    <w:rsid w:val="00C72F4B"/>
    <w:rsid w:val="00C736B7"/>
    <w:rsid w:val="00C74971"/>
    <w:rsid w:val="00C75A0E"/>
    <w:rsid w:val="00C760BF"/>
    <w:rsid w:val="00C774DF"/>
    <w:rsid w:val="00C778D5"/>
    <w:rsid w:val="00C77C5D"/>
    <w:rsid w:val="00C81D4A"/>
    <w:rsid w:val="00C81FC3"/>
    <w:rsid w:val="00C822D2"/>
    <w:rsid w:val="00C84A88"/>
    <w:rsid w:val="00C85195"/>
    <w:rsid w:val="00C858FA"/>
    <w:rsid w:val="00C868DF"/>
    <w:rsid w:val="00C8762C"/>
    <w:rsid w:val="00C927A9"/>
    <w:rsid w:val="00C97D34"/>
    <w:rsid w:val="00C97DAD"/>
    <w:rsid w:val="00CA00F9"/>
    <w:rsid w:val="00CA228B"/>
    <w:rsid w:val="00CA2961"/>
    <w:rsid w:val="00CA4570"/>
    <w:rsid w:val="00CB15B6"/>
    <w:rsid w:val="00CB2253"/>
    <w:rsid w:val="00CB26A6"/>
    <w:rsid w:val="00CB2C47"/>
    <w:rsid w:val="00CB3FA6"/>
    <w:rsid w:val="00CB50D7"/>
    <w:rsid w:val="00CB65FD"/>
    <w:rsid w:val="00CB6AA7"/>
    <w:rsid w:val="00CB7177"/>
    <w:rsid w:val="00CB7CED"/>
    <w:rsid w:val="00CC070F"/>
    <w:rsid w:val="00CC0D5C"/>
    <w:rsid w:val="00CC1998"/>
    <w:rsid w:val="00CC335C"/>
    <w:rsid w:val="00CC4239"/>
    <w:rsid w:val="00CC490F"/>
    <w:rsid w:val="00CC4946"/>
    <w:rsid w:val="00CC4A84"/>
    <w:rsid w:val="00CC64A1"/>
    <w:rsid w:val="00CC64BD"/>
    <w:rsid w:val="00CC6BBD"/>
    <w:rsid w:val="00CD255B"/>
    <w:rsid w:val="00CD26A5"/>
    <w:rsid w:val="00CD315C"/>
    <w:rsid w:val="00CD7DC9"/>
    <w:rsid w:val="00CE2DCB"/>
    <w:rsid w:val="00CE31F1"/>
    <w:rsid w:val="00CE3ECF"/>
    <w:rsid w:val="00CE510F"/>
    <w:rsid w:val="00CE6100"/>
    <w:rsid w:val="00CE797C"/>
    <w:rsid w:val="00CE7FB4"/>
    <w:rsid w:val="00CF2893"/>
    <w:rsid w:val="00CF3B11"/>
    <w:rsid w:val="00CF7D80"/>
    <w:rsid w:val="00D05049"/>
    <w:rsid w:val="00D1018E"/>
    <w:rsid w:val="00D1043B"/>
    <w:rsid w:val="00D107B6"/>
    <w:rsid w:val="00D1090F"/>
    <w:rsid w:val="00D126F3"/>
    <w:rsid w:val="00D13FAC"/>
    <w:rsid w:val="00D14AB7"/>
    <w:rsid w:val="00D17324"/>
    <w:rsid w:val="00D217E8"/>
    <w:rsid w:val="00D22CE9"/>
    <w:rsid w:val="00D238F7"/>
    <w:rsid w:val="00D23C57"/>
    <w:rsid w:val="00D24D2E"/>
    <w:rsid w:val="00D250F1"/>
    <w:rsid w:val="00D26570"/>
    <w:rsid w:val="00D2691D"/>
    <w:rsid w:val="00D270A4"/>
    <w:rsid w:val="00D304B3"/>
    <w:rsid w:val="00D3138E"/>
    <w:rsid w:val="00D31FE9"/>
    <w:rsid w:val="00D3297D"/>
    <w:rsid w:val="00D339ED"/>
    <w:rsid w:val="00D33AB0"/>
    <w:rsid w:val="00D34D43"/>
    <w:rsid w:val="00D34E1B"/>
    <w:rsid w:val="00D35317"/>
    <w:rsid w:val="00D376BA"/>
    <w:rsid w:val="00D37D29"/>
    <w:rsid w:val="00D42AFF"/>
    <w:rsid w:val="00D434A0"/>
    <w:rsid w:val="00D45634"/>
    <w:rsid w:val="00D4730D"/>
    <w:rsid w:val="00D549AF"/>
    <w:rsid w:val="00D55673"/>
    <w:rsid w:val="00D5568A"/>
    <w:rsid w:val="00D612D3"/>
    <w:rsid w:val="00D61A5E"/>
    <w:rsid w:val="00D6278F"/>
    <w:rsid w:val="00D63C8E"/>
    <w:rsid w:val="00D63D73"/>
    <w:rsid w:val="00D64336"/>
    <w:rsid w:val="00D64452"/>
    <w:rsid w:val="00D66E1E"/>
    <w:rsid w:val="00D70696"/>
    <w:rsid w:val="00D71B02"/>
    <w:rsid w:val="00D7283A"/>
    <w:rsid w:val="00D7363E"/>
    <w:rsid w:val="00D75704"/>
    <w:rsid w:val="00D75722"/>
    <w:rsid w:val="00D80CF5"/>
    <w:rsid w:val="00D81E8E"/>
    <w:rsid w:val="00D82BA0"/>
    <w:rsid w:val="00D8436C"/>
    <w:rsid w:val="00D8440D"/>
    <w:rsid w:val="00D8447A"/>
    <w:rsid w:val="00D85736"/>
    <w:rsid w:val="00D8651D"/>
    <w:rsid w:val="00D86C30"/>
    <w:rsid w:val="00D86DD7"/>
    <w:rsid w:val="00D91346"/>
    <w:rsid w:val="00D921EC"/>
    <w:rsid w:val="00D92C52"/>
    <w:rsid w:val="00D937AB"/>
    <w:rsid w:val="00DA10A8"/>
    <w:rsid w:val="00DA2079"/>
    <w:rsid w:val="00DA2BF5"/>
    <w:rsid w:val="00DA3262"/>
    <w:rsid w:val="00DA52E8"/>
    <w:rsid w:val="00DA530F"/>
    <w:rsid w:val="00DA5898"/>
    <w:rsid w:val="00DA5B6D"/>
    <w:rsid w:val="00DA5BBA"/>
    <w:rsid w:val="00DB2061"/>
    <w:rsid w:val="00DB26D2"/>
    <w:rsid w:val="00DB37A0"/>
    <w:rsid w:val="00DB5DE8"/>
    <w:rsid w:val="00DB67C9"/>
    <w:rsid w:val="00DB6CC8"/>
    <w:rsid w:val="00DC04EF"/>
    <w:rsid w:val="00DC0C95"/>
    <w:rsid w:val="00DC3C3A"/>
    <w:rsid w:val="00DC4C30"/>
    <w:rsid w:val="00DC4F0B"/>
    <w:rsid w:val="00DC6A35"/>
    <w:rsid w:val="00DC7B42"/>
    <w:rsid w:val="00DD0951"/>
    <w:rsid w:val="00DD0E27"/>
    <w:rsid w:val="00DD2DC9"/>
    <w:rsid w:val="00DD2E6E"/>
    <w:rsid w:val="00DD4EFF"/>
    <w:rsid w:val="00DD5C4F"/>
    <w:rsid w:val="00DD5D1C"/>
    <w:rsid w:val="00DD6403"/>
    <w:rsid w:val="00DD6580"/>
    <w:rsid w:val="00DD696A"/>
    <w:rsid w:val="00DE1688"/>
    <w:rsid w:val="00DE180A"/>
    <w:rsid w:val="00DE2D57"/>
    <w:rsid w:val="00DE2E6E"/>
    <w:rsid w:val="00DE34A7"/>
    <w:rsid w:val="00DE34DB"/>
    <w:rsid w:val="00DE446D"/>
    <w:rsid w:val="00DE64AB"/>
    <w:rsid w:val="00DF1228"/>
    <w:rsid w:val="00DF1FE9"/>
    <w:rsid w:val="00DF54C2"/>
    <w:rsid w:val="00E01D7F"/>
    <w:rsid w:val="00E027A7"/>
    <w:rsid w:val="00E03669"/>
    <w:rsid w:val="00E055D1"/>
    <w:rsid w:val="00E05A56"/>
    <w:rsid w:val="00E05B07"/>
    <w:rsid w:val="00E05C03"/>
    <w:rsid w:val="00E14510"/>
    <w:rsid w:val="00E14557"/>
    <w:rsid w:val="00E16F3A"/>
    <w:rsid w:val="00E17C72"/>
    <w:rsid w:val="00E20061"/>
    <w:rsid w:val="00E20530"/>
    <w:rsid w:val="00E21097"/>
    <w:rsid w:val="00E21FC6"/>
    <w:rsid w:val="00E2343B"/>
    <w:rsid w:val="00E24B82"/>
    <w:rsid w:val="00E25189"/>
    <w:rsid w:val="00E25305"/>
    <w:rsid w:val="00E27FFE"/>
    <w:rsid w:val="00E30F6D"/>
    <w:rsid w:val="00E313D7"/>
    <w:rsid w:val="00E34B32"/>
    <w:rsid w:val="00E376DD"/>
    <w:rsid w:val="00E37AEC"/>
    <w:rsid w:val="00E4012C"/>
    <w:rsid w:val="00E431A9"/>
    <w:rsid w:val="00E43F3D"/>
    <w:rsid w:val="00E44170"/>
    <w:rsid w:val="00E45D96"/>
    <w:rsid w:val="00E47018"/>
    <w:rsid w:val="00E470EC"/>
    <w:rsid w:val="00E4766C"/>
    <w:rsid w:val="00E5102C"/>
    <w:rsid w:val="00E51EC9"/>
    <w:rsid w:val="00E53F3D"/>
    <w:rsid w:val="00E546B3"/>
    <w:rsid w:val="00E57B97"/>
    <w:rsid w:val="00E57F9D"/>
    <w:rsid w:val="00E6090E"/>
    <w:rsid w:val="00E60973"/>
    <w:rsid w:val="00E63FA4"/>
    <w:rsid w:val="00E669E2"/>
    <w:rsid w:val="00E677EB"/>
    <w:rsid w:val="00E70026"/>
    <w:rsid w:val="00E72D71"/>
    <w:rsid w:val="00E76135"/>
    <w:rsid w:val="00E805BB"/>
    <w:rsid w:val="00E805EF"/>
    <w:rsid w:val="00E82F4F"/>
    <w:rsid w:val="00E83206"/>
    <w:rsid w:val="00E847EB"/>
    <w:rsid w:val="00E86412"/>
    <w:rsid w:val="00E864DF"/>
    <w:rsid w:val="00E87239"/>
    <w:rsid w:val="00E901F8"/>
    <w:rsid w:val="00E9094C"/>
    <w:rsid w:val="00E919A3"/>
    <w:rsid w:val="00E91C99"/>
    <w:rsid w:val="00E93B57"/>
    <w:rsid w:val="00E953B0"/>
    <w:rsid w:val="00E95D2D"/>
    <w:rsid w:val="00E978FF"/>
    <w:rsid w:val="00EA0C02"/>
    <w:rsid w:val="00EA2D9B"/>
    <w:rsid w:val="00EA2FD4"/>
    <w:rsid w:val="00EA3F81"/>
    <w:rsid w:val="00EA4743"/>
    <w:rsid w:val="00EA550A"/>
    <w:rsid w:val="00EA5E5A"/>
    <w:rsid w:val="00EA618A"/>
    <w:rsid w:val="00EA6CA3"/>
    <w:rsid w:val="00EB0F9C"/>
    <w:rsid w:val="00EB1629"/>
    <w:rsid w:val="00EB2CC3"/>
    <w:rsid w:val="00EB3338"/>
    <w:rsid w:val="00EB4B64"/>
    <w:rsid w:val="00EB696F"/>
    <w:rsid w:val="00EB796A"/>
    <w:rsid w:val="00EC2844"/>
    <w:rsid w:val="00EC5500"/>
    <w:rsid w:val="00EC6520"/>
    <w:rsid w:val="00EC6B38"/>
    <w:rsid w:val="00ED0F5C"/>
    <w:rsid w:val="00ED18F8"/>
    <w:rsid w:val="00ED2727"/>
    <w:rsid w:val="00ED43D2"/>
    <w:rsid w:val="00ED498E"/>
    <w:rsid w:val="00ED4AB2"/>
    <w:rsid w:val="00ED5345"/>
    <w:rsid w:val="00ED58D6"/>
    <w:rsid w:val="00ED63D7"/>
    <w:rsid w:val="00ED6769"/>
    <w:rsid w:val="00EE058A"/>
    <w:rsid w:val="00EE0B04"/>
    <w:rsid w:val="00EE2270"/>
    <w:rsid w:val="00EE2556"/>
    <w:rsid w:val="00EE2C15"/>
    <w:rsid w:val="00EE659E"/>
    <w:rsid w:val="00EE6EDA"/>
    <w:rsid w:val="00EE778E"/>
    <w:rsid w:val="00EF1858"/>
    <w:rsid w:val="00EF1D85"/>
    <w:rsid w:val="00EF1E38"/>
    <w:rsid w:val="00EF2FDD"/>
    <w:rsid w:val="00EF5210"/>
    <w:rsid w:val="00EF6342"/>
    <w:rsid w:val="00EF6719"/>
    <w:rsid w:val="00EF6C6C"/>
    <w:rsid w:val="00EF6D03"/>
    <w:rsid w:val="00F00BFE"/>
    <w:rsid w:val="00F01C95"/>
    <w:rsid w:val="00F04F27"/>
    <w:rsid w:val="00F056FC"/>
    <w:rsid w:val="00F0632F"/>
    <w:rsid w:val="00F069AE"/>
    <w:rsid w:val="00F06D21"/>
    <w:rsid w:val="00F10476"/>
    <w:rsid w:val="00F10933"/>
    <w:rsid w:val="00F109F4"/>
    <w:rsid w:val="00F10ED8"/>
    <w:rsid w:val="00F12273"/>
    <w:rsid w:val="00F135D8"/>
    <w:rsid w:val="00F13A1C"/>
    <w:rsid w:val="00F15CEC"/>
    <w:rsid w:val="00F17337"/>
    <w:rsid w:val="00F17753"/>
    <w:rsid w:val="00F2059F"/>
    <w:rsid w:val="00F20694"/>
    <w:rsid w:val="00F20C39"/>
    <w:rsid w:val="00F210C6"/>
    <w:rsid w:val="00F21886"/>
    <w:rsid w:val="00F219B4"/>
    <w:rsid w:val="00F21DE5"/>
    <w:rsid w:val="00F220B8"/>
    <w:rsid w:val="00F22632"/>
    <w:rsid w:val="00F2288F"/>
    <w:rsid w:val="00F237E7"/>
    <w:rsid w:val="00F2548B"/>
    <w:rsid w:val="00F26202"/>
    <w:rsid w:val="00F2723D"/>
    <w:rsid w:val="00F31299"/>
    <w:rsid w:val="00F32B70"/>
    <w:rsid w:val="00F33BA3"/>
    <w:rsid w:val="00F3534A"/>
    <w:rsid w:val="00F353DA"/>
    <w:rsid w:val="00F35BFB"/>
    <w:rsid w:val="00F36908"/>
    <w:rsid w:val="00F36ACC"/>
    <w:rsid w:val="00F375F0"/>
    <w:rsid w:val="00F40ACB"/>
    <w:rsid w:val="00F42727"/>
    <w:rsid w:val="00F42A70"/>
    <w:rsid w:val="00F42C80"/>
    <w:rsid w:val="00F43845"/>
    <w:rsid w:val="00F441D3"/>
    <w:rsid w:val="00F473F2"/>
    <w:rsid w:val="00F47A08"/>
    <w:rsid w:val="00F5092B"/>
    <w:rsid w:val="00F51609"/>
    <w:rsid w:val="00F52708"/>
    <w:rsid w:val="00F52876"/>
    <w:rsid w:val="00F5385C"/>
    <w:rsid w:val="00F55C25"/>
    <w:rsid w:val="00F56077"/>
    <w:rsid w:val="00F6049B"/>
    <w:rsid w:val="00F60E7F"/>
    <w:rsid w:val="00F61EFD"/>
    <w:rsid w:val="00F63494"/>
    <w:rsid w:val="00F65968"/>
    <w:rsid w:val="00F70A15"/>
    <w:rsid w:val="00F73727"/>
    <w:rsid w:val="00F766A7"/>
    <w:rsid w:val="00F76A6C"/>
    <w:rsid w:val="00F76FA6"/>
    <w:rsid w:val="00F81006"/>
    <w:rsid w:val="00F8176B"/>
    <w:rsid w:val="00F81BE4"/>
    <w:rsid w:val="00F825E1"/>
    <w:rsid w:val="00F83ACA"/>
    <w:rsid w:val="00F85325"/>
    <w:rsid w:val="00F90136"/>
    <w:rsid w:val="00F90BA4"/>
    <w:rsid w:val="00F91898"/>
    <w:rsid w:val="00F91AC7"/>
    <w:rsid w:val="00F930F8"/>
    <w:rsid w:val="00F95C30"/>
    <w:rsid w:val="00FA0800"/>
    <w:rsid w:val="00FA2C16"/>
    <w:rsid w:val="00FA2E1B"/>
    <w:rsid w:val="00FA406D"/>
    <w:rsid w:val="00FA4287"/>
    <w:rsid w:val="00FA462E"/>
    <w:rsid w:val="00FB0674"/>
    <w:rsid w:val="00FB0BC3"/>
    <w:rsid w:val="00FB1044"/>
    <w:rsid w:val="00FB1303"/>
    <w:rsid w:val="00FB1882"/>
    <w:rsid w:val="00FB25D1"/>
    <w:rsid w:val="00FB439A"/>
    <w:rsid w:val="00FB467C"/>
    <w:rsid w:val="00FB6BFA"/>
    <w:rsid w:val="00FC0C04"/>
    <w:rsid w:val="00FC1F42"/>
    <w:rsid w:val="00FC2297"/>
    <w:rsid w:val="00FC2377"/>
    <w:rsid w:val="00FC325F"/>
    <w:rsid w:val="00FC5CA5"/>
    <w:rsid w:val="00FD22B1"/>
    <w:rsid w:val="00FD33F1"/>
    <w:rsid w:val="00FD3566"/>
    <w:rsid w:val="00FD711B"/>
    <w:rsid w:val="00FD7CBA"/>
    <w:rsid w:val="00FE2697"/>
    <w:rsid w:val="00FE38A2"/>
    <w:rsid w:val="00FE3FE5"/>
    <w:rsid w:val="00FE41E8"/>
    <w:rsid w:val="00FE5397"/>
    <w:rsid w:val="00FE5498"/>
    <w:rsid w:val="00FE7DC1"/>
    <w:rsid w:val="00FF0510"/>
    <w:rsid w:val="00FF07FC"/>
    <w:rsid w:val="00FF13E8"/>
    <w:rsid w:val="00FF17C6"/>
    <w:rsid w:val="00FF4AE3"/>
    <w:rsid w:val="00FF4FA0"/>
    <w:rsid w:val="00FF5D69"/>
    <w:rsid w:val="00FF65D2"/>
    <w:rsid w:val="00FF7A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2129"/>
    <o:shapelayout v:ext="edit">
      <o:idmap v:ext="edit" data="1"/>
    </o:shapelayout>
  </w:shapeDefaults>
  <w:decimalSymbol w:val="."/>
  <w:listSeparator w:val=","/>
  <w14:docId w14:val="64381B9E"/>
  <w15:docId w15:val="{90318591-D8BB-4DEF-94E7-3E6A4EEDE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65B12"/>
    <w:rPr>
      <w:sz w:val="24"/>
      <w:szCs w:val="24"/>
    </w:rPr>
  </w:style>
  <w:style w:type="paragraph" w:styleId="Heading1">
    <w:name w:val="heading 1"/>
    <w:basedOn w:val="BodyText"/>
    <w:next w:val="BodyText"/>
    <w:rsid w:val="00065B12"/>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065B12"/>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065B12"/>
    <w:pPr>
      <w:spacing w:before="560" w:line="320" w:lineRule="exact"/>
      <w:ind w:left="0" w:firstLine="0"/>
      <w:outlineLvl w:val="2"/>
    </w:pPr>
    <w:rPr>
      <w:sz w:val="26"/>
    </w:rPr>
  </w:style>
  <w:style w:type="paragraph" w:styleId="Heading4">
    <w:name w:val="heading 4"/>
    <w:basedOn w:val="Heading3"/>
    <w:next w:val="BodyText"/>
    <w:qFormat/>
    <w:rsid w:val="00065B12"/>
    <w:pPr>
      <w:spacing w:before="480"/>
      <w:outlineLvl w:val="3"/>
    </w:pPr>
    <w:rPr>
      <w:b w:val="0"/>
      <w:sz w:val="24"/>
    </w:rPr>
  </w:style>
  <w:style w:type="paragraph" w:styleId="Heading5">
    <w:name w:val="heading 5"/>
    <w:basedOn w:val="Heading4"/>
    <w:next w:val="BodyText"/>
    <w:link w:val="Heading5Char"/>
    <w:qFormat/>
    <w:rsid w:val="00065B12"/>
    <w:pPr>
      <w:outlineLvl w:val="4"/>
    </w:pPr>
    <w:rPr>
      <w:i/>
      <w:sz w:val="22"/>
    </w:rPr>
  </w:style>
  <w:style w:type="paragraph" w:styleId="Heading6">
    <w:name w:val="heading 6"/>
    <w:basedOn w:val="BodyText"/>
    <w:next w:val="BodyText"/>
    <w:semiHidden/>
    <w:rsid w:val="00065B12"/>
    <w:pPr>
      <w:spacing w:after="60"/>
      <w:jc w:val="left"/>
      <w:outlineLvl w:val="5"/>
    </w:pPr>
    <w:rPr>
      <w:i/>
      <w:sz w:val="22"/>
    </w:rPr>
  </w:style>
  <w:style w:type="paragraph" w:styleId="Heading7">
    <w:name w:val="heading 7"/>
    <w:basedOn w:val="BodyText"/>
    <w:next w:val="BodyText"/>
    <w:semiHidden/>
    <w:rsid w:val="00065B12"/>
    <w:pPr>
      <w:spacing w:after="60" w:line="240" w:lineRule="auto"/>
      <w:jc w:val="left"/>
      <w:outlineLvl w:val="6"/>
    </w:pPr>
    <w:rPr>
      <w:rFonts w:ascii="Arial" w:hAnsi="Arial"/>
      <w:sz w:val="20"/>
    </w:rPr>
  </w:style>
  <w:style w:type="paragraph" w:styleId="Heading8">
    <w:name w:val="heading 8"/>
    <w:basedOn w:val="BodyText"/>
    <w:next w:val="BodyText"/>
    <w:semiHidden/>
    <w:rsid w:val="00065B12"/>
    <w:pPr>
      <w:spacing w:after="60" w:line="240" w:lineRule="auto"/>
      <w:jc w:val="left"/>
      <w:outlineLvl w:val="7"/>
    </w:pPr>
    <w:rPr>
      <w:rFonts w:ascii="Arial" w:hAnsi="Arial"/>
      <w:i/>
      <w:sz w:val="20"/>
    </w:rPr>
  </w:style>
  <w:style w:type="paragraph" w:styleId="Heading9">
    <w:name w:val="heading 9"/>
    <w:basedOn w:val="BodyText"/>
    <w:next w:val="BodyText"/>
    <w:semiHidden/>
    <w:rsid w:val="00065B12"/>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065B1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65B12"/>
  </w:style>
  <w:style w:type="paragraph" w:styleId="BodyText">
    <w:name w:val="Body Text"/>
    <w:link w:val="BodyTextChar"/>
    <w:qFormat/>
    <w:rsid w:val="00065B12"/>
    <w:pPr>
      <w:spacing w:before="240" w:line="300" w:lineRule="atLeast"/>
      <w:jc w:val="both"/>
    </w:pPr>
    <w:rPr>
      <w:sz w:val="24"/>
    </w:rPr>
  </w:style>
  <w:style w:type="paragraph" w:styleId="Footer">
    <w:name w:val="footer"/>
    <w:basedOn w:val="BodyText"/>
    <w:link w:val="FooterChar"/>
    <w:rsid w:val="00065B12"/>
    <w:pPr>
      <w:spacing w:before="80" w:line="200" w:lineRule="exact"/>
      <w:ind w:right="6"/>
      <w:jc w:val="left"/>
    </w:pPr>
    <w:rPr>
      <w:rFonts w:ascii="Arial" w:hAnsi="Arial"/>
      <w:caps/>
      <w:spacing w:val="-4"/>
      <w:sz w:val="16"/>
    </w:rPr>
  </w:style>
  <w:style w:type="paragraph" w:customStyle="1" w:styleId="FooterEnd">
    <w:name w:val="Footer End"/>
    <w:basedOn w:val="Footer"/>
    <w:rsid w:val="00065B12"/>
    <w:pPr>
      <w:spacing w:before="0" w:line="20" w:lineRule="exact"/>
    </w:pPr>
  </w:style>
  <w:style w:type="paragraph" w:styleId="Header">
    <w:name w:val="header"/>
    <w:basedOn w:val="BodyText"/>
    <w:rsid w:val="00065B12"/>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065B12"/>
    <w:pPr>
      <w:spacing w:line="20" w:lineRule="exact"/>
    </w:pPr>
    <w:rPr>
      <w:sz w:val="16"/>
    </w:rPr>
  </w:style>
  <w:style w:type="paragraph" w:customStyle="1" w:styleId="HeaderEven">
    <w:name w:val="Header Even"/>
    <w:basedOn w:val="Header"/>
    <w:rsid w:val="00065B12"/>
  </w:style>
  <w:style w:type="paragraph" w:customStyle="1" w:styleId="HeaderOdd">
    <w:name w:val="Header Odd"/>
    <w:basedOn w:val="Header"/>
    <w:rsid w:val="00065B12"/>
  </w:style>
  <w:style w:type="character" w:styleId="PageNumber">
    <w:name w:val="page number"/>
    <w:basedOn w:val="DefaultParagraphFont"/>
    <w:rsid w:val="00065B12"/>
    <w:rPr>
      <w:rFonts w:ascii="Arial" w:hAnsi="Arial"/>
      <w:b/>
      <w:sz w:val="16"/>
    </w:rPr>
  </w:style>
  <w:style w:type="paragraph" w:customStyle="1" w:styleId="Abbreviation">
    <w:name w:val="Abbreviation"/>
    <w:basedOn w:val="BodyText"/>
    <w:rsid w:val="00065B12"/>
    <w:pPr>
      <w:spacing w:before="120"/>
      <w:ind w:left="2381" w:hanging="2381"/>
      <w:jc w:val="left"/>
    </w:pPr>
  </w:style>
  <w:style w:type="paragraph" w:customStyle="1" w:styleId="Box">
    <w:name w:val="Box"/>
    <w:basedOn w:val="BodyText"/>
    <w:link w:val="BoxChar"/>
    <w:qFormat/>
    <w:rsid w:val="00065B12"/>
    <w:pPr>
      <w:keepNext/>
      <w:spacing w:before="120" w:line="260" w:lineRule="atLeast"/>
    </w:pPr>
    <w:rPr>
      <w:rFonts w:ascii="Arial" w:hAnsi="Arial"/>
      <w:sz w:val="20"/>
    </w:rPr>
  </w:style>
  <w:style w:type="paragraph" w:customStyle="1" w:styleId="BoxContinued">
    <w:name w:val="Box Continued"/>
    <w:basedOn w:val="BodyText"/>
    <w:next w:val="BodyText"/>
    <w:semiHidden/>
    <w:rsid w:val="00065B12"/>
    <w:pPr>
      <w:spacing w:before="180" w:line="220" w:lineRule="exact"/>
      <w:jc w:val="right"/>
    </w:pPr>
    <w:rPr>
      <w:rFonts w:ascii="Arial" w:hAnsi="Arial"/>
      <w:sz w:val="18"/>
    </w:rPr>
  </w:style>
  <w:style w:type="paragraph" w:customStyle="1" w:styleId="BoxHeading1">
    <w:name w:val="Box Heading 1"/>
    <w:basedOn w:val="BodyText"/>
    <w:next w:val="Box"/>
    <w:rsid w:val="00065B12"/>
    <w:pPr>
      <w:keepNext/>
      <w:spacing w:before="200" w:line="280" w:lineRule="atLeast"/>
    </w:pPr>
    <w:rPr>
      <w:rFonts w:ascii="Arial" w:hAnsi="Arial"/>
      <w:b/>
      <w:sz w:val="22"/>
    </w:rPr>
  </w:style>
  <w:style w:type="paragraph" w:customStyle="1" w:styleId="BoxHeading2">
    <w:name w:val="Box Heading 2"/>
    <w:basedOn w:val="BoxHeading1"/>
    <w:next w:val="Normal"/>
    <w:rsid w:val="00065B12"/>
    <w:rPr>
      <w:b w:val="0"/>
      <w:i/>
    </w:rPr>
  </w:style>
  <w:style w:type="paragraph" w:customStyle="1" w:styleId="BoxListBullet">
    <w:name w:val="Box List Bullet"/>
    <w:basedOn w:val="BodyText"/>
    <w:rsid w:val="00065B12"/>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065B12"/>
    <w:pPr>
      <w:numPr>
        <w:numId w:val="13"/>
      </w:numPr>
      <w:ind w:left="568" w:hanging="284"/>
    </w:pPr>
  </w:style>
  <w:style w:type="paragraph" w:customStyle="1" w:styleId="BoxListNumber">
    <w:name w:val="Box List Number"/>
    <w:basedOn w:val="BodyText"/>
    <w:rsid w:val="00065B12"/>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65B12"/>
    <w:pPr>
      <w:numPr>
        <w:ilvl w:val="1"/>
      </w:numPr>
      <w:ind w:left="681" w:hanging="397"/>
    </w:pPr>
  </w:style>
  <w:style w:type="paragraph" w:customStyle="1" w:styleId="BoxQuote">
    <w:name w:val="Box Quote"/>
    <w:basedOn w:val="BodyText"/>
    <w:next w:val="Box"/>
    <w:qFormat/>
    <w:rsid w:val="00065B12"/>
    <w:pPr>
      <w:keepNext/>
      <w:spacing w:before="60" w:line="240" w:lineRule="exact"/>
      <w:ind w:left="284"/>
    </w:pPr>
    <w:rPr>
      <w:rFonts w:ascii="Arial" w:hAnsi="Arial"/>
      <w:sz w:val="18"/>
    </w:rPr>
  </w:style>
  <w:style w:type="paragraph" w:customStyle="1" w:styleId="Note">
    <w:name w:val="Note"/>
    <w:basedOn w:val="BodyText"/>
    <w:next w:val="BodyText"/>
    <w:rsid w:val="00065B12"/>
    <w:pPr>
      <w:keepLines/>
      <w:spacing w:before="80" w:line="220" w:lineRule="exact"/>
    </w:pPr>
    <w:rPr>
      <w:rFonts w:ascii="Arial" w:hAnsi="Arial"/>
      <w:sz w:val="18"/>
    </w:rPr>
  </w:style>
  <w:style w:type="paragraph" w:customStyle="1" w:styleId="Source">
    <w:name w:val="Source"/>
    <w:basedOn w:val="Normal"/>
    <w:next w:val="BodyText"/>
    <w:rsid w:val="00065B12"/>
    <w:pPr>
      <w:keepLines/>
      <w:spacing w:before="80" w:line="220" w:lineRule="exact"/>
      <w:jc w:val="both"/>
    </w:pPr>
    <w:rPr>
      <w:rFonts w:ascii="Arial" w:hAnsi="Arial"/>
      <w:sz w:val="18"/>
      <w:szCs w:val="20"/>
    </w:rPr>
  </w:style>
  <w:style w:type="paragraph" w:customStyle="1" w:styleId="BoxSource">
    <w:name w:val="Box Source"/>
    <w:basedOn w:val="Source"/>
    <w:next w:val="BodyText"/>
    <w:rsid w:val="00065B12"/>
    <w:pPr>
      <w:spacing w:before="120"/>
    </w:pPr>
  </w:style>
  <w:style w:type="paragraph" w:customStyle="1" w:styleId="BoxSpaceAbove">
    <w:name w:val="Box Space Above"/>
    <w:basedOn w:val="BodyText"/>
    <w:rsid w:val="00065B12"/>
    <w:pPr>
      <w:keepNext/>
      <w:spacing w:before="360" w:line="80" w:lineRule="exact"/>
      <w:jc w:val="left"/>
    </w:pPr>
  </w:style>
  <w:style w:type="paragraph" w:styleId="Caption">
    <w:name w:val="caption"/>
    <w:basedOn w:val="Normal"/>
    <w:next w:val="BodyText"/>
    <w:rsid w:val="00065B12"/>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065B12"/>
    <w:pPr>
      <w:spacing w:before="120" w:after="0"/>
    </w:pPr>
  </w:style>
  <w:style w:type="paragraph" w:customStyle="1" w:styleId="BoxSubtitle">
    <w:name w:val="Box Subtitle"/>
    <w:basedOn w:val="BoxTitle"/>
    <w:next w:val="Normal"/>
    <w:rsid w:val="00065B12"/>
    <w:pPr>
      <w:spacing w:after="80" w:line="200" w:lineRule="exact"/>
      <w:ind w:firstLine="0"/>
    </w:pPr>
    <w:rPr>
      <w:b w:val="0"/>
      <w:sz w:val="20"/>
    </w:rPr>
  </w:style>
  <w:style w:type="paragraph" w:customStyle="1" w:styleId="Chapter">
    <w:name w:val="Chapter"/>
    <w:basedOn w:val="Heading1"/>
    <w:next w:val="BodyText"/>
    <w:semiHidden/>
    <w:rsid w:val="00065B12"/>
    <w:pPr>
      <w:ind w:left="0" w:firstLine="0"/>
      <w:outlineLvl w:val="9"/>
    </w:pPr>
  </w:style>
  <w:style w:type="paragraph" w:customStyle="1" w:styleId="ChapterSummary">
    <w:name w:val="Chapter Summary"/>
    <w:basedOn w:val="BodyText"/>
    <w:rsid w:val="00065B12"/>
    <w:pPr>
      <w:spacing w:line="280" w:lineRule="atLeast"/>
      <w:ind w:left="907"/>
    </w:pPr>
    <w:rPr>
      <w:rFonts w:ascii="Arial" w:hAnsi="Arial"/>
      <w:b/>
      <w:sz w:val="20"/>
    </w:rPr>
  </w:style>
  <w:style w:type="character" w:styleId="CommentReference">
    <w:name w:val="annotation reference"/>
    <w:basedOn w:val="DefaultParagraphFont"/>
    <w:semiHidden/>
    <w:rsid w:val="00065B12"/>
    <w:rPr>
      <w:b/>
      <w:vanish/>
      <w:color w:val="FF00FF"/>
      <w:sz w:val="20"/>
    </w:rPr>
  </w:style>
  <w:style w:type="paragraph" w:styleId="CommentText">
    <w:name w:val="annotation text"/>
    <w:basedOn w:val="Normal"/>
    <w:link w:val="CommentTextChar"/>
    <w:semiHidden/>
    <w:rsid w:val="00065B12"/>
    <w:pPr>
      <w:spacing w:before="120" w:line="240" w:lineRule="atLeast"/>
      <w:ind w:left="567" w:hanging="567"/>
    </w:pPr>
    <w:rPr>
      <w:sz w:val="20"/>
    </w:rPr>
  </w:style>
  <w:style w:type="paragraph" w:customStyle="1" w:styleId="Continued">
    <w:name w:val="Continued"/>
    <w:basedOn w:val="BoxContinued"/>
    <w:next w:val="BodyText"/>
    <w:rsid w:val="00065B12"/>
  </w:style>
  <w:style w:type="character" w:customStyle="1" w:styleId="DocumentInfo">
    <w:name w:val="Document Info"/>
    <w:basedOn w:val="DefaultParagraphFont"/>
    <w:semiHidden/>
    <w:rsid w:val="00065B12"/>
    <w:rPr>
      <w:rFonts w:ascii="Arial" w:hAnsi="Arial"/>
      <w:sz w:val="14"/>
    </w:rPr>
  </w:style>
  <w:style w:type="character" w:customStyle="1" w:styleId="DraftingNote">
    <w:name w:val="Drafting Note"/>
    <w:basedOn w:val="DefaultParagraphFont"/>
    <w:rsid w:val="00065B12"/>
    <w:rPr>
      <w:b/>
      <w:color w:val="FF0000"/>
      <w:sz w:val="24"/>
      <w:u w:val="dotted"/>
    </w:rPr>
  </w:style>
  <w:style w:type="paragraph" w:customStyle="1" w:styleId="Figure">
    <w:name w:val="Figure"/>
    <w:basedOn w:val="BodyText"/>
    <w:rsid w:val="00065B12"/>
    <w:pPr>
      <w:keepNext/>
      <w:spacing w:before="120" w:after="120" w:line="240" w:lineRule="atLeast"/>
      <w:jc w:val="center"/>
    </w:pPr>
  </w:style>
  <w:style w:type="paragraph" w:customStyle="1" w:styleId="FigureTitle">
    <w:name w:val="Figure Title"/>
    <w:basedOn w:val="Caption"/>
    <w:next w:val="Subtitle"/>
    <w:rsid w:val="00065B12"/>
    <w:pPr>
      <w:spacing w:before="120"/>
    </w:pPr>
  </w:style>
  <w:style w:type="paragraph" w:styleId="Subtitle">
    <w:name w:val="Subtitle"/>
    <w:basedOn w:val="Caption"/>
    <w:link w:val="SubtitleChar"/>
    <w:qFormat/>
    <w:rsid w:val="00065B12"/>
    <w:pPr>
      <w:spacing w:before="0" w:line="200" w:lineRule="exact"/>
      <w:ind w:firstLine="0"/>
    </w:pPr>
    <w:rPr>
      <w:b w:val="0"/>
      <w:sz w:val="20"/>
    </w:rPr>
  </w:style>
  <w:style w:type="paragraph" w:customStyle="1" w:styleId="Finding">
    <w:name w:val="Finding"/>
    <w:basedOn w:val="BodyText"/>
    <w:rsid w:val="00065B12"/>
    <w:pPr>
      <w:keepLines/>
      <w:spacing w:before="120" w:line="280" w:lineRule="atLeast"/>
    </w:pPr>
    <w:rPr>
      <w:rFonts w:ascii="Arial" w:hAnsi="Arial"/>
      <w:sz w:val="22"/>
    </w:rPr>
  </w:style>
  <w:style w:type="paragraph" w:customStyle="1" w:styleId="FindingBullet">
    <w:name w:val="Finding Bullet"/>
    <w:basedOn w:val="Finding"/>
    <w:rsid w:val="00065B12"/>
    <w:pPr>
      <w:numPr>
        <w:numId w:val="15"/>
      </w:numPr>
      <w:spacing w:before="80"/>
    </w:pPr>
  </w:style>
  <w:style w:type="paragraph" w:customStyle="1" w:styleId="FindingNoTitle">
    <w:name w:val="Finding NoTitle"/>
    <w:basedOn w:val="Finding"/>
    <w:semiHidden/>
    <w:rsid w:val="00065B12"/>
    <w:pPr>
      <w:spacing w:before="240"/>
    </w:pPr>
  </w:style>
  <w:style w:type="paragraph" w:customStyle="1" w:styleId="RecTitle">
    <w:name w:val="Rec Title"/>
    <w:basedOn w:val="BodyText"/>
    <w:next w:val="Rec"/>
    <w:qFormat/>
    <w:rsid w:val="00065B12"/>
    <w:pPr>
      <w:keepNext/>
      <w:keepLines/>
      <w:spacing w:line="280" w:lineRule="atLeast"/>
    </w:pPr>
    <w:rPr>
      <w:rFonts w:ascii="Arial" w:hAnsi="Arial"/>
      <w:caps/>
      <w:sz w:val="18"/>
    </w:rPr>
  </w:style>
  <w:style w:type="paragraph" w:customStyle="1" w:styleId="FindingTitle">
    <w:name w:val="Finding Title"/>
    <w:basedOn w:val="RecTitle"/>
    <w:next w:val="Finding"/>
    <w:rsid w:val="00065B12"/>
  </w:style>
  <w:style w:type="character" w:styleId="FootnoteReference">
    <w:name w:val="footnote reference"/>
    <w:basedOn w:val="DefaultParagraphFont"/>
    <w:semiHidden/>
    <w:rsid w:val="00065B12"/>
    <w:rPr>
      <w:rFonts w:ascii="Times New Roman" w:hAnsi="Times New Roman"/>
      <w:position w:val="6"/>
      <w:sz w:val="20"/>
      <w:vertAlign w:val="baseline"/>
    </w:rPr>
  </w:style>
  <w:style w:type="paragraph" w:styleId="FootnoteText">
    <w:name w:val="footnote text"/>
    <w:basedOn w:val="BodyText"/>
    <w:rsid w:val="00065B12"/>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065B12"/>
    <w:rPr>
      <w:i/>
    </w:rPr>
  </w:style>
  <w:style w:type="paragraph" w:customStyle="1" w:styleId="Jurisdictioncommentsbodytext">
    <w:name w:val="Jurisdiction comments body text"/>
    <w:rsid w:val="00065B12"/>
    <w:pPr>
      <w:spacing w:after="140"/>
      <w:jc w:val="both"/>
    </w:pPr>
    <w:rPr>
      <w:rFonts w:ascii="Arial" w:hAnsi="Arial"/>
      <w:sz w:val="24"/>
      <w:lang w:eastAsia="en-US"/>
    </w:rPr>
  </w:style>
  <w:style w:type="paragraph" w:customStyle="1" w:styleId="Jurisdictioncommentsheading">
    <w:name w:val="Jurisdiction comments heading"/>
    <w:rsid w:val="00065B12"/>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065B12"/>
    <w:pPr>
      <w:numPr>
        <w:numId w:val="2"/>
      </w:numPr>
      <w:spacing w:after="140"/>
      <w:jc w:val="both"/>
    </w:pPr>
    <w:rPr>
      <w:rFonts w:ascii="Arial" w:hAnsi="Arial"/>
      <w:sz w:val="24"/>
      <w:lang w:eastAsia="en-US"/>
    </w:rPr>
  </w:style>
  <w:style w:type="paragraph" w:styleId="ListBullet">
    <w:name w:val="List Bullet"/>
    <w:basedOn w:val="BodyText"/>
    <w:rsid w:val="00065B12"/>
    <w:pPr>
      <w:numPr>
        <w:numId w:val="3"/>
      </w:numPr>
      <w:spacing w:before="120"/>
    </w:pPr>
  </w:style>
  <w:style w:type="paragraph" w:styleId="ListBullet2">
    <w:name w:val="List Bullet 2"/>
    <w:basedOn w:val="BodyText"/>
    <w:rsid w:val="00065B12"/>
    <w:pPr>
      <w:numPr>
        <w:numId w:val="4"/>
      </w:numPr>
      <w:spacing w:before="120"/>
    </w:pPr>
  </w:style>
  <w:style w:type="paragraph" w:styleId="ListBullet3">
    <w:name w:val="List Bullet 3"/>
    <w:basedOn w:val="BodyText"/>
    <w:rsid w:val="00065B12"/>
    <w:pPr>
      <w:numPr>
        <w:numId w:val="5"/>
      </w:numPr>
      <w:spacing w:before="120"/>
      <w:ind w:left="1020" w:hanging="340"/>
    </w:pPr>
  </w:style>
  <w:style w:type="paragraph" w:styleId="ListNumber">
    <w:name w:val="List Number"/>
    <w:basedOn w:val="BodyText"/>
    <w:rsid w:val="00065B12"/>
    <w:pPr>
      <w:numPr>
        <w:numId w:val="9"/>
      </w:numPr>
      <w:spacing w:before="120"/>
    </w:pPr>
  </w:style>
  <w:style w:type="paragraph" w:styleId="ListNumber2">
    <w:name w:val="List Number 2"/>
    <w:basedOn w:val="ListNumber"/>
    <w:rsid w:val="00065B12"/>
    <w:pPr>
      <w:numPr>
        <w:ilvl w:val="1"/>
      </w:numPr>
    </w:pPr>
  </w:style>
  <w:style w:type="paragraph" w:styleId="ListNumber3">
    <w:name w:val="List Number 3"/>
    <w:basedOn w:val="ListNumber2"/>
    <w:rsid w:val="00065B12"/>
    <w:pPr>
      <w:numPr>
        <w:ilvl w:val="2"/>
      </w:numPr>
    </w:pPr>
  </w:style>
  <w:style w:type="character" w:customStyle="1" w:styleId="NoteLabel">
    <w:name w:val="Note Label"/>
    <w:basedOn w:val="DefaultParagraphFont"/>
    <w:rsid w:val="00065B12"/>
    <w:rPr>
      <w:rFonts w:ascii="Arial" w:hAnsi="Arial"/>
      <w:b/>
      <w:position w:val="6"/>
      <w:sz w:val="18"/>
    </w:rPr>
  </w:style>
  <w:style w:type="paragraph" w:customStyle="1" w:styleId="PartDivider">
    <w:name w:val="Part Divider"/>
    <w:basedOn w:val="BodyText"/>
    <w:next w:val="BodyText"/>
    <w:semiHidden/>
    <w:rsid w:val="00065B12"/>
    <w:pPr>
      <w:spacing w:before="0" w:line="40" w:lineRule="exact"/>
      <w:jc w:val="right"/>
    </w:pPr>
    <w:rPr>
      <w:smallCaps/>
      <w:sz w:val="16"/>
    </w:rPr>
  </w:style>
  <w:style w:type="paragraph" w:customStyle="1" w:styleId="PartNumber">
    <w:name w:val="Part Number"/>
    <w:basedOn w:val="BodyText"/>
    <w:next w:val="BodyText"/>
    <w:semiHidden/>
    <w:rsid w:val="00065B12"/>
    <w:pPr>
      <w:spacing w:before="4000" w:line="320" w:lineRule="exact"/>
      <w:ind w:left="6634"/>
      <w:jc w:val="right"/>
    </w:pPr>
    <w:rPr>
      <w:smallCaps/>
      <w:spacing w:val="60"/>
      <w:sz w:val="32"/>
    </w:rPr>
  </w:style>
  <w:style w:type="paragraph" w:customStyle="1" w:styleId="PartTitle">
    <w:name w:val="Part Title"/>
    <w:basedOn w:val="BodyText"/>
    <w:semiHidden/>
    <w:rsid w:val="00065B12"/>
    <w:pPr>
      <w:spacing w:before="160" w:after="1360" w:line="520" w:lineRule="exact"/>
      <w:ind w:right="2381"/>
      <w:jc w:val="right"/>
    </w:pPr>
    <w:rPr>
      <w:smallCaps/>
      <w:sz w:val="52"/>
    </w:rPr>
  </w:style>
  <w:style w:type="paragraph" w:styleId="Quote">
    <w:name w:val="Quote"/>
    <w:basedOn w:val="BodyText"/>
    <w:next w:val="BodyText"/>
    <w:qFormat/>
    <w:rsid w:val="00065B12"/>
    <w:pPr>
      <w:spacing w:before="120" w:line="280" w:lineRule="exact"/>
      <w:ind w:left="340"/>
    </w:pPr>
    <w:rPr>
      <w:sz w:val="22"/>
    </w:rPr>
  </w:style>
  <w:style w:type="paragraph" w:customStyle="1" w:styleId="QuoteBullet">
    <w:name w:val="Quote Bullet"/>
    <w:basedOn w:val="Quote"/>
    <w:rsid w:val="00065B12"/>
    <w:pPr>
      <w:numPr>
        <w:numId w:val="6"/>
      </w:numPr>
    </w:pPr>
  </w:style>
  <w:style w:type="paragraph" w:customStyle="1" w:styleId="Rec">
    <w:name w:val="Rec"/>
    <w:basedOn w:val="BodyText"/>
    <w:qFormat/>
    <w:rsid w:val="00065B12"/>
    <w:pPr>
      <w:keepLines/>
      <w:spacing w:before="120" w:line="280" w:lineRule="atLeast"/>
    </w:pPr>
    <w:rPr>
      <w:rFonts w:ascii="Arial" w:hAnsi="Arial"/>
      <w:sz w:val="22"/>
    </w:rPr>
  </w:style>
  <w:style w:type="paragraph" w:customStyle="1" w:styleId="RecBullet">
    <w:name w:val="Rec Bullet"/>
    <w:basedOn w:val="Rec"/>
    <w:rsid w:val="00065B12"/>
    <w:pPr>
      <w:numPr>
        <w:numId w:val="17"/>
      </w:numPr>
      <w:spacing w:before="80"/>
    </w:pPr>
  </w:style>
  <w:style w:type="paragraph" w:customStyle="1" w:styleId="RecB">
    <w:name w:val="RecB"/>
    <w:basedOn w:val="Normal"/>
    <w:semiHidden/>
    <w:rsid w:val="00065B12"/>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065B12"/>
    <w:pPr>
      <w:numPr>
        <w:numId w:val="11"/>
      </w:numPr>
      <w:spacing w:before="80"/>
    </w:pPr>
  </w:style>
  <w:style w:type="paragraph" w:customStyle="1" w:styleId="RecBNoTitle">
    <w:name w:val="RecB NoTitle"/>
    <w:basedOn w:val="RecB"/>
    <w:semiHidden/>
    <w:rsid w:val="00065B12"/>
    <w:pPr>
      <w:spacing w:before="240"/>
    </w:pPr>
  </w:style>
  <w:style w:type="paragraph" w:customStyle="1" w:styleId="Reference">
    <w:name w:val="Reference"/>
    <w:basedOn w:val="BodyText"/>
    <w:rsid w:val="00065B12"/>
    <w:pPr>
      <w:spacing w:before="120"/>
      <w:ind w:left="340" w:hanging="340"/>
    </w:pPr>
  </w:style>
  <w:style w:type="paragraph" w:customStyle="1" w:styleId="SequenceInfo">
    <w:name w:val="Sequence Info"/>
    <w:basedOn w:val="BodyText"/>
    <w:semiHidden/>
    <w:rsid w:val="00065B12"/>
    <w:rPr>
      <w:vanish/>
      <w:sz w:val="16"/>
    </w:rPr>
  </w:style>
  <w:style w:type="paragraph" w:customStyle="1" w:styleId="SideNote">
    <w:name w:val="Side Note"/>
    <w:basedOn w:val="BodyText"/>
    <w:next w:val="BodyText"/>
    <w:semiHidden/>
    <w:rsid w:val="00065B12"/>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065B12"/>
    <w:pPr>
      <w:framePr w:wrap="around"/>
      <w:numPr>
        <w:numId w:val="7"/>
      </w:numPr>
      <w:tabs>
        <w:tab w:val="left" w:pos="227"/>
      </w:tabs>
    </w:pPr>
  </w:style>
  <w:style w:type="paragraph" w:customStyle="1" w:styleId="SideNoteGraphic">
    <w:name w:val="Side Note Graphic"/>
    <w:basedOn w:val="SideNote"/>
    <w:next w:val="BodyText"/>
    <w:semiHidden/>
    <w:rsid w:val="00065B12"/>
    <w:pPr>
      <w:framePr w:wrap="around"/>
    </w:pPr>
  </w:style>
  <w:style w:type="paragraph" w:customStyle="1" w:styleId="TableBodyText">
    <w:name w:val="Table Body Text"/>
    <w:basedOn w:val="BodyText"/>
    <w:link w:val="TableBodyTextChar"/>
    <w:rsid w:val="00065B12"/>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065B12"/>
    <w:pPr>
      <w:numPr>
        <w:numId w:val="8"/>
      </w:numPr>
      <w:jc w:val="left"/>
    </w:pPr>
  </w:style>
  <w:style w:type="paragraph" w:customStyle="1" w:styleId="TableColumnHeading">
    <w:name w:val="Table Column Heading"/>
    <w:basedOn w:val="TableBodyText"/>
    <w:rsid w:val="00065B12"/>
    <w:pPr>
      <w:spacing w:before="80" w:after="80"/>
    </w:pPr>
    <w:rPr>
      <w:i/>
    </w:rPr>
  </w:style>
  <w:style w:type="paragraph" w:styleId="TOC2">
    <w:name w:val="toc 2"/>
    <w:basedOn w:val="TOC1"/>
    <w:rsid w:val="00065B12"/>
    <w:pPr>
      <w:ind w:left="1134" w:hanging="624"/>
    </w:pPr>
    <w:rPr>
      <w:b w:val="0"/>
    </w:rPr>
  </w:style>
  <w:style w:type="paragraph" w:styleId="TOC3">
    <w:name w:val="toc 3"/>
    <w:basedOn w:val="TOC2"/>
    <w:rsid w:val="00065B12"/>
    <w:pPr>
      <w:spacing w:before="60"/>
      <w:ind w:left="1190" w:hanging="680"/>
    </w:pPr>
  </w:style>
  <w:style w:type="paragraph" w:styleId="TableofFigures">
    <w:name w:val="table of figures"/>
    <w:basedOn w:val="TOC3"/>
    <w:next w:val="BodyText"/>
    <w:semiHidden/>
    <w:rsid w:val="00065B12"/>
    <w:pPr>
      <w:ind w:left="737" w:hanging="737"/>
    </w:pPr>
  </w:style>
  <w:style w:type="paragraph" w:customStyle="1" w:styleId="TableTitle">
    <w:name w:val="Table Title"/>
    <w:basedOn w:val="Caption"/>
    <w:next w:val="Subtitle"/>
    <w:qFormat/>
    <w:rsid w:val="00065B12"/>
    <w:pPr>
      <w:spacing w:before="120"/>
    </w:pPr>
  </w:style>
  <w:style w:type="paragraph" w:customStyle="1" w:styleId="TableUnitsRow">
    <w:name w:val="Table Units Row"/>
    <w:basedOn w:val="TableBodyText"/>
    <w:rsid w:val="00065B12"/>
    <w:pPr>
      <w:spacing w:before="40"/>
    </w:pPr>
  </w:style>
  <w:style w:type="paragraph" w:styleId="TOC1">
    <w:name w:val="toc 1"/>
    <w:basedOn w:val="Normal"/>
    <w:next w:val="TOC2"/>
    <w:link w:val="TOC1Char"/>
    <w:rsid w:val="00065B12"/>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065B12"/>
    <w:pPr>
      <w:ind w:left="1191" w:firstLine="0"/>
    </w:pPr>
  </w:style>
  <w:style w:type="paragraph" w:customStyle="1" w:styleId="RecBBullet2">
    <w:name w:val="RecB Bullet 2"/>
    <w:basedOn w:val="ListBullet2"/>
    <w:semiHidden/>
    <w:rsid w:val="00065B12"/>
    <w:pPr>
      <w:pBdr>
        <w:left w:val="single" w:sz="24" w:space="29" w:color="C0C0C0"/>
      </w:pBdr>
    </w:pPr>
    <w:rPr>
      <w:b/>
      <w:i/>
    </w:rPr>
  </w:style>
  <w:style w:type="paragraph" w:styleId="BalloonText">
    <w:name w:val="Balloon Text"/>
    <w:basedOn w:val="Normal"/>
    <w:link w:val="BalloonTextChar"/>
    <w:rsid w:val="00065B12"/>
    <w:rPr>
      <w:rFonts w:ascii="Tahoma" w:hAnsi="Tahoma" w:cs="Tahoma"/>
      <w:sz w:val="16"/>
      <w:szCs w:val="16"/>
    </w:rPr>
  </w:style>
  <w:style w:type="character" w:customStyle="1" w:styleId="BalloonTextChar">
    <w:name w:val="Balloon Text Char"/>
    <w:basedOn w:val="DefaultParagraphFont"/>
    <w:link w:val="BalloonText"/>
    <w:rsid w:val="00065B12"/>
    <w:rPr>
      <w:rFonts w:ascii="Tahoma" w:hAnsi="Tahoma" w:cs="Tahoma"/>
      <w:sz w:val="16"/>
      <w:szCs w:val="16"/>
    </w:rPr>
  </w:style>
  <w:style w:type="character" w:customStyle="1" w:styleId="SubtitleChar">
    <w:name w:val="Subtitle Char"/>
    <w:basedOn w:val="DefaultParagraphFont"/>
    <w:link w:val="Subtitle"/>
    <w:rsid w:val="00065B12"/>
    <w:rPr>
      <w:rFonts w:ascii="Arial" w:hAnsi="Arial"/>
      <w:szCs w:val="24"/>
    </w:rPr>
  </w:style>
  <w:style w:type="paragraph" w:customStyle="1" w:styleId="BoxListBullet3">
    <w:name w:val="Box List Bullet 3"/>
    <w:basedOn w:val="ListBullet3"/>
    <w:rsid w:val="00065B12"/>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065B12"/>
    <w:rPr>
      <w:i/>
      <w:iCs/>
    </w:rPr>
  </w:style>
  <w:style w:type="paragraph" w:customStyle="1" w:styleId="BoxQuoteBullet">
    <w:name w:val="Box Quote Bullet"/>
    <w:basedOn w:val="BoxQuote"/>
    <w:next w:val="Box"/>
    <w:rsid w:val="00065B12"/>
    <w:pPr>
      <w:numPr>
        <w:numId w:val="12"/>
      </w:numPr>
      <w:ind w:left="568" w:hanging="284"/>
    </w:pPr>
  </w:style>
  <w:style w:type="paragraph" w:customStyle="1" w:styleId="InformationRequestBullet">
    <w:name w:val="Information Request Bullet"/>
    <w:basedOn w:val="ListBullet"/>
    <w:next w:val="BodyText"/>
    <w:rsid w:val="00065B1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065B12"/>
    <w:pPr>
      <w:keepNext w:val="0"/>
      <w:spacing w:before="60" w:after="60" w:line="80" w:lineRule="exact"/>
    </w:pPr>
    <w:rPr>
      <w:sz w:val="14"/>
    </w:rPr>
  </w:style>
  <w:style w:type="paragraph" w:customStyle="1" w:styleId="KeyPointsListBullet">
    <w:name w:val="Key Points List Bullet"/>
    <w:basedOn w:val="Normal"/>
    <w:qFormat/>
    <w:rsid w:val="00065B12"/>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065B12"/>
    <w:pPr>
      <w:numPr>
        <w:numId w:val="21"/>
      </w:numPr>
      <w:ind w:left="568" w:hanging="284"/>
    </w:pPr>
  </w:style>
  <w:style w:type="paragraph" w:customStyle="1" w:styleId="InformationRequestTitle">
    <w:name w:val="Information Request Title"/>
    <w:basedOn w:val="FindingTitle"/>
    <w:next w:val="InformationRequest"/>
    <w:rsid w:val="00065B12"/>
    <w:rPr>
      <w:i/>
    </w:rPr>
  </w:style>
  <w:style w:type="paragraph" w:customStyle="1" w:styleId="Space">
    <w:name w:val="Space"/>
    <w:basedOn w:val="Normal"/>
    <w:rsid w:val="00065B12"/>
    <w:pPr>
      <w:keepNext/>
      <w:spacing w:line="120" w:lineRule="exact"/>
      <w:jc w:val="both"/>
    </w:pPr>
    <w:rPr>
      <w:rFonts w:ascii="Arial" w:hAnsi="Arial"/>
      <w:sz w:val="20"/>
      <w:szCs w:val="20"/>
    </w:rPr>
  </w:style>
  <w:style w:type="paragraph" w:customStyle="1" w:styleId="Heading1nochapterno">
    <w:name w:val="Heading 1 (no chapter no.)"/>
    <w:basedOn w:val="Heading1"/>
    <w:rsid w:val="00065B12"/>
    <w:pPr>
      <w:spacing w:before="0"/>
      <w:ind w:left="0" w:firstLine="0"/>
    </w:pPr>
  </w:style>
  <w:style w:type="paragraph" w:customStyle="1" w:styleId="Heading2nosectionno">
    <w:name w:val="Heading 2 (no section no.)"/>
    <w:basedOn w:val="Heading2"/>
    <w:rsid w:val="00065B12"/>
    <w:pPr>
      <w:ind w:left="0" w:firstLine="0"/>
    </w:pPr>
  </w:style>
  <w:style w:type="character" w:customStyle="1" w:styleId="Heading5Char">
    <w:name w:val="Heading 5 Char"/>
    <w:basedOn w:val="DefaultParagraphFont"/>
    <w:link w:val="Heading5"/>
    <w:rsid w:val="00065B12"/>
    <w:rPr>
      <w:rFonts w:ascii="Arial" w:hAnsi="Arial"/>
      <w:i/>
      <w:sz w:val="22"/>
    </w:rPr>
  </w:style>
  <w:style w:type="paragraph" w:customStyle="1" w:styleId="Figurespace">
    <w:name w:val="Figure space"/>
    <w:basedOn w:val="Box"/>
    <w:rsid w:val="00065B12"/>
    <w:pPr>
      <w:spacing w:before="0" w:line="120" w:lineRule="exact"/>
    </w:pPr>
  </w:style>
  <w:style w:type="paragraph" w:customStyle="1" w:styleId="FooterDraftReport">
    <w:name w:val="FooterDraftReport"/>
    <w:basedOn w:val="Footer"/>
    <w:link w:val="FooterDraftReportChar"/>
    <w:rsid w:val="00065B12"/>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065B12"/>
    <w:rPr>
      <w:sz w:val="24"/>
    </w:rPr>
  </w:style>
  <w:style w:type="character" w:customStyle="1" w:styleId="FooterChar">
    <w:name w:val="Footer Char"/>
    <w:basedOn w:val="BodyTextChar"/>
    <w:link w:val="Footer"/>
    <w:rsid w:val="00065B12"/>
    <w:rPr>
      <w:rFonts w:ascii="Arial" w:hAnsi="Arial"/>
      <w:caps/>
      <w:spacing w:val="-4"/>
      <w:sz w:val="16"/>
    </w:rPr>
  </w:style>
  <w:style w:type="character" w:customStyle="1" w:styleId="FooterDraftReportChar">
    <w:name w:val="FooterDraftReport Char"/>
    <w:basedOn w:val="FooterChar"/>
    <w:link w:val="FooterDraftReport"/>
    <w:rsid w:val="00065B12"/>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065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065B12"/>
    <w:rPr>
      <w:rFonts w:ascii="Arial" w:hAnsi="Arial"/>
      <w:b/>
      <w:sz w:val="26"/>
      <w:szCs w:val="26"/>
      <w:lang w:eastAsia="en-US"/>
    </w:rPr>
  </w:style>
  <w:style w:type="character" w:styleId="Hyperlink">
    <w:name w:val="Hyperlink"/>
    <w:basedOn w:val="DefaultParagraphFont"/>
    <w:rsid w:val="00B02B12"/>
    <w:rPr>
      <w:color w:val="78A22F" w:themeColor="hyperlink"/>
      <w:u w:val="single"/>
    </w:rPr>
  </w:style>
  <w:style w:type="paragraph" w:customStyle="1" w:styleId="Heading1NotTOC">
    <w:name w:val="Heading 1 Not TOC"/>
    <w:basedOn w:val="Heading1"/>
    <w:next w:val="BodyText"/>
    <w:rsid w:val="005F522C"/>
    <w:rPr>
      <w:kern w:val="28"/>
      <w:szCs w:val="26"/>
      <w:lang w:eastAsia="en-US"/>
    </w:rPr>
  </w:style>
  <w:style w:type="character" w:customStyle="1" w:styleId="BoxChar">
    <w:name w:val="Box Char"/>
    <w:basedOn w:val="DefaultParagraphFont"/>
    <w:link w:val="Box"/>
    <w:rsid w:val="006F76C7"/>
    <w:rPr>
      <w:rFonts w:ascii="Arial" w:hAnsi="Arial"/>
    </w:rPr>
  </w:style>
  <w:style w:type="character" w:customStyle="1" w:styleId="TableBodyTextChar">
    <w:name w:val="Table Body Text Char"/>
    <w:link w:val="TableBodyText"/>
    <w:rsid w:val="006F76C7"/>
    <w:rPr>
      <w:rFonts w:ascii="Arial" w:hAnsi="Arial"/>
      <w:sz w:val="18"/>
    </w:rPr>
  </w:style>
  <w:style w:type="paragraph" w:styleId="CommentSubject">
    <w:name w:val="annotation subject"/>
    <w:basedOn w:val="CommentText"/>
    <w:next w:val="CommentText"/>
    <w:link w:val="CommentSubjectChar"/>
    <w:rsid w:val="00C53040"/>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C53040"/>
    <w:rPr>
      <w:szCs w:val="24"/>
    </w:rPr>
  </w:style>
  <w:style w:type="character" w:customStyle="1" w:styleId="CommentSubjectChar">
    <w:name w:val="Comment Subject Char"/>
    <w:basedOn w:val="CommentTextChar"/>
    <w:link w:val="CommentSubject"/>
    <w:rsid w:val="00C53040"/>
    <w:rPr>
      <w:b/>
      <w:bCs/>
      <w:szCs w:val="24"/>
    </w:rPr>
  </w:style>
  <w:style w:type="paragraph" w:styleId="Revision">
    <w:name w:val="Revision"/>
    <w:hidden/>
    <w:uiPriority w:val="99"/>
    <w:semiHidden/>
    <w:rsid w:val="00DE34DB"/>
    <w:rPr>
      <w:sz w:val="24"/>
      <w:szCs w:val="24"/>
    </w:rPr>
  </w:style>
  <w:style w:type="character" w:customStyle="1" w:styleId="Continuedintitle">
    <w:name w:val="Continued (in title)"/>
    <w:basedOn w:val="DefaultParagraphFont"/>
    <w:rsid w:val="00065B12"/>
    <w:rPr>
      <w:rFonts w:ascii="Arial" w:hAnsi="Arial"/>
      <w:b/>
      <w:sz w:val="18"/>
    </w:rPr>
  </w:style>
  <w:style w:type="paragraph" w:customStyle="1" w:styleId="Default">
    <w:name w:val="Default"/>
    <w:rsid w:val="0026526A"/>
    <w:pPr>
      <w:autoSpaceDE w:val="0"/>
      <w:autoSpaceDN w:val="0"/>
      <w:adjustRightInd w:val="0"/>
    </w:pPr>
    <w:rPr>
      <w:rFonts w:ascii="Book Antiqua" w:hAnsi="Book Antiqua" w:cs="Book Antiqua"/>
      <w:color w:val="000000"/>
      <w:sz w:val="24"/>
      <w:szCs w:val="24"/>
    </w:rPr>
  </w:style>
  <w:style w:type="character" w:customStyle="1" w:styleId="Heading3Char">
    <w:name w:val="Heading 3 Char"/>
    <w:basedOn w:val="DefaultParagraphFont"/>
    <w:link w:val="Heading3"/>
    <w:rsid w:val="00B76A15"/>
    <w:rPr>
      <w:rFonts w:ascii="Arial" w:hAnsi="Arial"/>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1133">
      <w:bodyDiv w:val="1"/>
      <w:marLeft w:val="0"/>
      <w:marRight w:val="0"/>
      <w:marTop w:val="0"/>
      <w:marBottom w:val="0"/>
      <w:divBdr>
        <w:top w:val="none" w:sz="0" w:space="0" w:color="auto"/>
        <w:left w:val="none" w:sz="0" w:space="0" w:color="auto"/>
        <w:bottom w:val="none" w:sz="0" w:space="0" w:color="auto"/>
        <w:right w:val="none" w:sz="0" w:space="0" w:color="auto"/>
      </w:divBdr>
    </w:div>
    <w:div w:id="51855118">
      <w:bodyDiv w:val="1"/>
      <w:marLeft w:val="0"/>
      <w:marRight w:val="0"/>
      <w:marTop w:val="0"/>
      <w:marBottom w:val="0"/>
      <w:divBdr>
        <w:top w:val="none" w:sz="0" w:space="0" w:color="auto"/>
        <w:left w:val="none" w:sz="0" w:space="0" w:color="auto"/>
        <w:bottom w:val="none" w:sz="0" w:space="0" w:color="auto"/>
        <w:right w:val="none" w:sz="0" w:space="0" w:color="auto"/>
      </w:divBdr>
    </w:div>
    <w:div w:id="68386528">
      <w:bodyDiv w:val="1"/>
      <w:marLeft w:val="0"/>
      <w:marRight w:val="0"/>
      <w:marTop w:val="0"/>
      <w:marBottom w:val="0"/>
      <w:divBdr>
        <w:top w:val="none" w:sz="0" w:space="0" w:color="auto"/>
        <w:left w:val="none" w:sz="0" w:space="0" w:color="auto"/>
        <w:bottom w:val="none" w:sz="0" w:space="0" w:color="auto"/>
        <w:right w:val="none" w:sz="0" w:space="0" w:color="auto"/>
      </w:divBdr>
    </w:div>
    <w:div w:id="206525746">
      <w:bodyDiv w:val="1"/>
      <w:marLeft w:val="0"/>
      <w:marRight w:val="0"/>
      <w:marTop w:val="0"/>
      <w:marBottom w:val="0"/>
      <w:divBdr>
        <w:top w:val="none" w:sz="0" w:space="0" w:color="auto"/>
        <w:left w:val="none" w:sz="0" w:space="0" w:color="auto"/>
        <w:bottom w:val="none" w:sz="0" w:space="0" w:color="auto"/>
        <w:right w:val="none" w:sz="0" w:space="0" w:color="auto"/>
      </w:divBdr>
    </w:div>
    <w:div w:id="231502018">
      <w:bodyDiv w:val="1"/>
      <w:marLeft w:val="0"/>
      <w:marRight w:val="0"/>
      <w:marTop w:val="0"/>
      <w:marBottom w:val="0"/>
      <w:divBdr>
        <w:top w:val="none" w:sz="0" w:space="0" w:color="auto"/>
        <w:left w:val="none" w:sz="0" w:space="0" w:color="auto"/>
        <w:bottom w:val="none" w:sz="0" w:space="0" w:color="auto"/>
        <w:right w:val="none" w:sz="0" w:space="0" w:color="auto"/>
      </w:divBdr>
    </w:div>
    <w:div w:id="251204176">
      <w:bodyDiv w:val="1"/>
      <w:marLeft w:val="0"/>
      <w:marRight w:val="0"/>
      <w:marTop w:val="0"/>
      <w:marBottom w:val="0"/>
      <w:divBdr>
        <w:top w:val="none" w:sz="0" w:space="0" w:color="auto"/>
        <w:left w:val="none" w:sz="0" w:space="0" w:color="auto"/>
        <w:bottom w:val="none" w:sz="0" w:space="0" w:color="auto"/>
        <w:right w:val="none" w:sz="0" w:space="0" w:color="auto"/>
      </w:divBdr>
    </w:div>
    <w:div w:id="409885883">
      <w:bodyDiv w:val="1"/>
      <w:marLeft w:val="0"/>
      <w:marRight w:val="0"/>
      <w:marTop w:val="0"/>
      <w:marBottom w:val="0"/>
      <w:divBdr>
        <w:top w:val="none" w:sz="0" w:space="0" w:color="auto"/>
        <w:left w:val="none" w:sz="0" w:space="0" w:color="auto"/>
        <w:bottom w:val="none" w:sz="0" w:space="0" w:color="auto"/>
        <w:right w:val="none" w:sz="0" w:space="0" w:color="auto"/>
      </w:divBdr>
    </w:div>
    <w:div w:id="529883445">
      <w:bodyDiv w:val="1"/>
      <w:marLeft w:val="0"/>
      <w:marRight w:val="0"/>
      <w:marTop w:val="0"/>
      <w:marBottom w:val="0"/>
      <w:divBdr>
        <w:top w:val="none" w:sz="0" w:space="0" w:color="auto"/>
        <w:left w:val="none" w:sz="0" w:space="0" w:color="auto"/>
        <w:bottom w:val="none" w:sz="0" w:space="0" w:color="auto"/>
        <w:right w:val="none" w:sz="0" w:space="0" w:color="auto"/>
      </w:divBdr>
    </w:div>
    <w:div w:id="991133611">
      <w:bodyDiv w:val="1"/>
      <w:marLeft w:val="0"/>
      <w:marRight w:val="0"/>
      <w:marTop w:val="0"/>
      <w:marBottom w:val="0"/>
      <w:divBdr>
        <w:top w:val="none" w:sz="0" w:space="0" w:color="auto"/>
        <w:left w:val="none" w:sz="0" w:space="0" w:color="auto"/>
        <w:bottom w:val="none" w:sz="0" w:space="0" w:color="auto"/>
        <w:right w:val="none" w:sz="0" w:space="0" w:color="auto"/>
      </w:divBdr>
    </w:div>
    <w:div w:id="1006522729">
      <w:bodyDiv w:val="1"/>
      <w:marLeft w:val="0"/>
      <w:marRight w:val="0"/>
      <w:marTop w:val="0"/>
      <w:marBottom w:val="0"/>
      <w:divBdr>
        <w:top w:val="none" w:sz="0" w:space="0" w:color="auto"/>
        <w:left w:val="none" w:sz="0" w:space="0" w:color="auto"/>
        <w:bottom w:val="none" w:sz="0" w:space="0" w:color="auto"/>
        <w:right w:val="none" w:sz="0" w:space="0" w:color="auto"/>
      </w:divBdr>
    </w:div>
    <w:div w:id="1048258267">
      <w:bodyDiv w:val="1"/>
      <w:marLeft w:val="0"/>
      <w:marRight w:val="0"/>
      <w:marTop w:val="0"/>
      <w:marBottom w:val="0"/>
      <w:divBdr>
        <w:top w:val="none" w:sz="0" w:space="0" w:color="auto"/>
        <w:left w:val="none" w:sz="0" w:space="0" w:color="auto"/>
        <w:bottom w:val="none" w:sz="0" w:space="0" w:color="auto"/>
        <w:right w:val="none" w:sz="0" w:space="0" w:color="auto"/>
      </w:divBdr>
    </w:div>
    <w:div w:id="1067219177">
      <w:bodyDiv w:val="1"/>
      <w:marLeft w:val="0"/>
      <w:marRight w:val="0"/>
      <w:marTop w:val="0"/>
      <w:marBottom w:val="0"/>
      <w:divBdr>
        <w:top w:val="none" w:sz="0" w:space="0" w:color="auto"/>
        <w:left w:val="none" w:sz="0" w:space="0" w:color="auto"/>
        <w:bottom w:val="none" w:sz="0" w:space="0" w:color="auto"/>
        <w:right w:val="none" w:sz="0" w:space="0" w:color="auto"/>
      </w:divBdr>
    </w:div>
    <w:div w:id="1095663355">
      <w:bodyDiv w:val="1"/>
      <w:marLeft w:val="0"/>
      <w:marRight w:val="0"/>
      <w:marTop w:val="0"/>
      <w:marBottom w:val="0"/>
      <w:divBdr>
        <w:top w:val="none" w:sz="0" w:space="0" w:color="auto"/>
        <w:left w:val="none" w:sz="0" w:space="0" w:color="auto"/>
        <w:bottom w:val="none" w:sz="0" w:space="0" w:color="auto"/>
        <w:right w:val="none" w:sz="0" w:space="0" w:color="auto"/>
      </w:divBdr>
    </w:div>
    <w:div w:id="1142113469">
      <w:bodyDiv w:val="1"/>
      <w:marLeft w:val="0"/>
      <w:marRight w:val="0"/>
      <w:marTop w:val="0"/>
      <w:marBottom w:val="0"/>
      <w:divBdr>
        <w:top w:val="none" w:sz="0" w:space="0" w:color="auto"/>
        <w:left w:val="none" w:sz="0" w:space="0" w:color="auto"/>
        <w:bottom w:val="none" w:sz="0" w:space="0" w:color="auto"/>
        <w:right w:val="none" w:sz="0" w:space="0" w:color="auto"/>
      </w:divBdr>
    </w:div>
    <w:div w:id="1266116538">
      <w:bodyDiv w:val="1"/>
      <w:marLeft w:val="0"/>
      <w:marRight w:val="0"/>
      <w:marTop w:val="0"/>
      <w:marBottom w:val="0"/>
      <w:divBdr>
        <w:top w:val="none" w:sz="0" w:space="0" w:color="auto"/>
        <w:left w:val="none" w:sz="0" w:space="0" w:color="auto"/>
        <w:bottom w:val="none" w:sz="0" w:space="0" w:color="auto"/>
        <w:right w:val="none" w:sz="0" w:space="0" w:color="auto"/>
      </w:divBdr>
    </w:div>
    <w:div w:id="1300112202">
      <w:bodyDiv w:val="1"/>
      <w:marLeft w:val="0"/>
      <w:marRight w:val="0"/>
      <w:marTop w:val="0"/>
      <w:marBottom w:val="0"/>
      <w:divBdr>
        <w:top w:val="none" w:sz="0" w:space="0" w:color="auto"/>
        <w:left w:val="none" w:sz="0" w:space="0" w:color="auto"/>
        <w:bottom w:val="none" w:sz="0" w:space="0" w:color="auto"/>
        <w:right w:val="none" w:sz="0" w:space="0" w:color="auto"/>
      </w:divBdr>
    </w:div>
    <w:div w:id="1318846972">
      <w:bodyDiv w:val="1"/>
      <w:marLeft w:val="0"/>
      <w:marRight w:val="0"/>
      <w:marTop w:val="0"/>
      <w:marBottom w:val="0"/>
      <w:divBdr>
        <w:top w:val="none" w:sz="0" w:space="0" w:color="auto"/>
        <w:left w:val="none" w:sz="0" w:space="0" w:color="auto"/>
        <w:bottom w:val="none" w:sz="0" w:space="0" w:color="auto"/>
        <w:right w:val="none" w:sz="0" w:space="0" w:color="auto"/>
      </w:divBdr>
    </w:div>
    <w:div w:id="1474757894">
      <w:bodyDiv w:val="1"/>
      <w:marLeft w:val="0"/>
      <w:marRight w:val="0"/>
      <w:marTop w:val="0"/>
      <w:marBottom w:val="0"/>
      <w:divBdr>
        <w:top w:val="none" w:sz="0" w:space="0" w:color="auto"/>
        <w:left w:val="none" w:sz="0" w:space="0" w:color="auto"/>
        <w:bottom w:val="none" w:sz="0" w:space="0" w:color="auto"/>
        <w:right w:val="none" w:sz="0" w:space="0" w:color="auto"/>
      </w:divBdr>
    </w:div>
    <w:div w:id="1516727559">
      <w:bodyDiv w:val="1"/>
      <w:marLeft w:val="0"/>
      <w:marRight w:val="0"/>
      <w:marTop w:val="0"/>
      <w:marBottom w:val="0"/>
      <w:divBdr>
        <w:top w:val="none" w:sz="0" w:space="0" w:color="auto"/>
        <w:left w:val="none" w:sz="0" w:space="0" w:color="auto"/>
        <w:bottom w:val="none" w:sz="0" w:space="0" w:color="auto"/>
        <w:right w:val="none" w:sz="0" w:space="0" w:color="auto"/>
      </w:divBdr>
    </w:div>
    <w:div w:id="1517427445">
      <w:bodyDiv w:val="1"/>
      <w:marLeft w:val="0"/>
      <w:marRight w:val="0"/>
      <w:marTop w:val="0"/>
      <w:marBottom w:val="0"/>
      <w:divBdr>
        <w:top w:val="none" w:sz="0" w:space="0" w:color="auto"/>
        <w:left w:val="none" w:sz="0" w:space="0" w:color="auto"/>
        <w:bottom w:val="none" w:sz="0" w:space="0" w:color="auto"/>
        <w:right w:val="none" w:sz="0" w:space="0" w:color="auto"/>
      </w:divBdr>
    </w:div>
    <w:div w:id="1616713879">
      <w:bodyDiv w:val="1"/>
      <w:marLeft w:val="0"/>
      <w:marRight w:val="0"/>
      <w:marTop w:val="0"/>
      <w:marBottom w:val="0"/>
      <w:divBdr>
        <w:top w:val="none" w:sz="0" w:space="0" w:color="auto"/>
        <w:left w:val="none" w:sz="0" w:space="0" w:color="auto"/>
        <w:bottom w:val="none" w:sz="0" w:space="0" w:color="auto"/>
        <w:right w:val="none" w:sz="0" w:space="0" w:color="auto"/>
      </w:divBdr>
    </w:div>
    <w:div w:id="1624192660">
      <w:bodyDiv w:val="1"/>
      <w:marLeft w:val="0"/>
      <w:marRight w:val="0"/>
      <w:marTop w:val="0"/>
      <w:marBottom w:val="0"/>
      <w:divBdr>
        <w:top w:val="none" w:sz="0" w:space="0" w:color="auto"/>
        <w:left w:val="none" w:sz="0" w:space="0" w:color="auto"/>
        <w:bottom w:val="none" w:sz="0" w:space="0" w:color="auto"/>
        <w:right w:val="none" w:sz="0" w:space="0" w:color="auto"/>
      </w:divBdr>
    </w:div>
    <w:div w:id="1637950926">
      <w:bodyDiv w:val="1"/>
      <w:marLeft w:val="0"/>
      <w:marRight w:val="0"/>
      <w:marTop w:val="0"/>
      <w:marBottom w:val="0"/>
      <w:divBdr>
        <w:top w:val="none" w:sz="0" w:space="0" w:color="auto"/>
        <w:left w:val="none" w:sz="0" w:space="0" w:color="auto"/>
        <w:bottom w:val="none" w:sz="0" w:space="0" w:color="auto"/>
        <w:right w:val="none" w:sz="0" w:space="0" w:color="auto"/>
      </w:divBdr>
    </w:div>
    <w:div w:id="1736314454">
      <w:bodyDiv w:val="1"/>
      <w:marLeft w:val="0"/>
      <w:marRight w:val="0"/>
      <w:marTop w:val="0"/>
      <w:marBottom w:val="0"/>
      <w:divBdr>
        <w:top w:val="none" w:sz="0" w:space="0" w:color="auto"/>
        <w:left w:val="none" w:sz="0" w:space="0" w:color="auto"/>
        <w:bottom w:val="none" w:sz="0" w:space="0" w:color="auto"/>
        <w:right w:val="none" w:sz="0" w:space="0" w:color="auto"/>
      </w:divBdr>
    </w:div>
    <w:div w:id="1886287481">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45572354">
      <w:bodyDiv w:val="1"/>
      <w:marLeft w:val="0"/>
      <w:marRight w:val="0"/>
      <w:marTop w:val="0"/>
      <w:marBottom w:val="0"/>
      <w:divBdr>
        <w:top w:val="none" w:sz="0" w:space="0" w:color="auto"/>
        <w:left w:val="none" w:sz="0" w:space="0" w:color="auto"/>
        <w:bottom w:val="none" w:sz="0" w:space="0" w:color="auto"/>
        <w:right w:val="none" w:sz="0" w:space="0" w:color="auto"/>
      </w:divBdr>
    </w:div>
    <w:div w:id="2004232705">
      <w:bodyDiv w:val="1"/>
      <w:marLeft w:val="0"/>
      <w:marRight w:val="0"/>
      <w:marTop w:val="0"/>
      <w:marBottom w:val="0"/>
      <w:divBdr>
        <w:top w:val="none" w:sz="0" w:space="0" w:color="auto"/>
        <w:left w:val="none" w:sz="0" w:space="0" w:color="auto"/>
        <w:bottom w:val="none" w:sz="0" w:space="0" w:color="auto"/>
        <w:right w:val="none" w:sz="0" w:space="0" w:color="auto"/>
      </w:divBdr>
    </w:div>
    <w:div w:id="2014724092">
      <w:bodyDiv w:val="1"/>
      <w:marLeft w:val="0"/>
      <w:marRight w:val="0"/>
      <w:marTop w:val="0"/>
      <w:marBottom w:val="0"/>
      <w:divBdr>
        <w:top w:val="none" w:sz="0" w:space="0" w:color="auto"/>
        <w:left w:val="none" w:sz="0" w:space="0" w:color="auto"/>
        <w:bottom w:val="none" w:sz="0" w:space="0" w:color="auto"/>
        <w:right w:val="none" w:sz="0" w:space="0" w:color="auto"/>
      </w:divBdr>
    </w:div>
    <w:div w:id="206120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si\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A8C23-325B-4371-9B77-EF690D7B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16</TotalTime>
  <Pages>33</Pages>
  <Words>8807</Words>
  <Characters>50808</Characters>
  <Application>Microsoft Office Word</Application>
  <DocSecurity>0</DocSecurity>
  <Lines>423</Lines>
  <Paragraphs>118</Paragraphs>
  <ScaleCrop>false</ScaleCrop>
  <HeadingPairs>
    <vt:vector size="2" baseType="variant">
      <vt:variant>
        <vt:lpstr>Title</vt:lpstr>
      </vt:variant>
      <vt:variant>
        <vt:i4>1</vt:i4>
      </vt:variant>
    </vt:vector>
  </HeadingPairs>
  <TitlesOfParts>
    <vt:vector size="1" baseType="lpstr">
      <vt:lpstr>Chapter 12 Public hospitals - Report on Government Services 2018</vt:lpstr>
    </vt:vector>
  </TitlesOfParts>
  <Company>Productivity Commission</Company>
  <LinksUpToDate>false</LinksUpToDate>
  <CharactersWithSpaces>59497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12 Public hospitals - Report on Government Services 2018</dc:title>
  <dc:subject/>
  <dc:creator>Steering Committee for the Review of Government Service Provision</dc:creator>
  <cp:keywords/>
  <dc:description/>
  <cp:lastModifiedBy>Frech, Tanya</cp:lastModifiedBy>
  <cp:revision>13</cp:revision>
  <cp:lastPrinted>2017-12-21T01:30:00Z</cp:lastPrinted>
  <dcterms:created xsi:type="dcterms:W3CDTF">2018-01-04T01:06:00Z</dcterms:created>
  <dcterms:modified xsi:type="dcterms:W3CDTF">2018-01-15T04:15:00Z</dcterms:modified>
</cp:coreProperties>
</file>